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66675</wp:posOffset>
            </wp:positionV>
            <wp:extent cx="1817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85725</wp:posOffset>
            </wp:positionV>
            <wp:extent cx="181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9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86" w:lineRule="exact"/>
        <w:rPr>
          <w:sz w:val="24"/>
          <w:szCs w:val="24"/>
          <w:color w:val="auto"/>
        </w:rPr>
      </w:pPr>
    </w:p>
    <w:p>
      <w:pPr>
        <w:ind w:left="520"/>
        <w:spacing w:after="0"/>
        <w:rPr>
          <w:sz w:val="20"/>
          <w:szCs w:val="20"/>
          <w:color w:val="auto"/>
        </w:rPr>
      </w:pPr>
      <w:r>
        <w:rPr>
          <w:rFonts w:ascii="Arial" w:cs="Arial" w:eastAsia="Arial" w:hAnsi="Arial"/>
          <w:sz w:val="14"/>
          <w:szCs w:val="14"/>
          <w:b w:val="1"/>
          <w:bCs w:val="1"/>
          <w:color w:val="auto"/>
        </w:rPr>
        <w:t>For the Quarterly Period Ended March 31, 2026</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520" w:type="dxa"/>
        <w:tblCellMar>
          <w:top w:w="0" w:type="dxa"/>
          <w:left w:w="0" w:type="dxa"/>
          <w:bottom w:w="0" w:type="dxa"/>
          <w:right w:w="0" w:type="dxa"/>
        </w:tblCellMar>
      </w:tblPr>
      <w:tr>
        <w:trPr>
          <w:trHeight w:val="193"/>
        </w:trPr>
        <w:tc>
          <w:tcPr>
            <w:tcW w:w="2820" w:type="dxa"/>
            <w:vAlign w:val="bottom"/>
          </w:tcPr>
          <w:p>
            <w:pPr>
              <w:spacing w:after="0"/>
              <w:rPr>
                <w:sz w:val="20"/>
                <w:szCs w:val="20"/>
                <w:color w:val="auto"/>
              </w:rPr>
            </w:pPr>
            <w:r>
              <w:rPr>
                <w:rFonts w:ascii="Arial" w:cs="Arial" w:eastAsia="Arial" w:hAnsi="Arial"/>
                <w:sz w:val="14"/>
                <w:szCs w:val="14"/>
                <w:b w:val="1"/>
                <w:bCs w:val="1"/>
                <w:color w:val="auto"/>
              </w:rPr>
              <w:t>For the Transition Period From</w:t>
            </w:r>
          </w:p>
        </w:tc>
        <w:tc>
          <w:tcPr>
            <w:tcW w:w="5960" w:type="dxa"/>
            <w:vAlign w:val="bottom"/>
            <w:gridSpan w:val="3"/>
          </w:tcPr>
          <w:p>
            <w:pPr>
              <w:ind w:left="20"/>
              <w:spacing w:after="0"/>
              <w:rPr>
                <w:sz w:val="20"/>
                <w:szCs w:val="20"/>
                <w:color w:val="auto"/>
              </w:rPr>
            </w:pPr>
            <w:r>
              <w:rPr>
                <w:rFonts w:ascii="Arial" w:cs="Arial" w:eastAsia="Arial" w:hAnsi="Arial"/>
                <w:sz w:val="14"/>
                <w:szCs w:val="14"/>
                <w:b w:val="1"/>
                <w:bCs w:val="1"/>
                <w:color w:val="auto"/>
              </w:rPr>
              <w:t>to</w:t>
            </w:r>
          </w:p>
        </w:tc>
      </w:tr>
      <w:tr>
        <w:trPr>
          <w:trHeight w:val="247"/>
        </w:trPr>
        <w:tc>
          <w:tcPr>
            <w:tcW w:w="2820" w:type="dxa"/>
            <w:vAlign w:val="bottom"/>
          </w:tcPr>
          <w:p>
            <w:pPr>
              <w:spacing w:after="0"/>
              <w:rPr>
                <w:sz w:val="21"/>
                <w:szCs w:val="21"/>
                <w:color w:val="auto"/>
              </w:rPr>
            </w:pPr>
          </w:p>
        </w:tc>
        <w:tc>
          <w:tcPr>
            <w:tcW w:w="5960" w:type="dxa"/>
            <w:vAlign w:val="bottom"/>
            <w:gridSpan w:val="3"/>
          </w:tcPr>
          <w:p>
            <w:pPr>
              <w:jc w:val="center"/>
              <w:ind w:right="1333"/>
              <w:spacing w:after="0"/>
              <w:rPr>
                <w:sz w:val="20"/>
                <w:szCs w:val="20"/>
                <w:color w:val="auto"/>
              </w:rPr>
            </w:pPr>
            <w:r>
              <w:rPr>
                <w:rFonts w:ascii="Arial" w:cs="Arial" w:eastAsia="Arial" w:hAnsi="Arial"/>
                <w:sz w:val="18"/>
                <w:szCs w:val="18"/>
                <w:b w:val="1"/>
                <w:bCs w:val="1"/>
                <w:color w:val="auto"/>
                <w:w w:val="99"/>
              </w:rPr>
              <w:t>Commission File Number 001-37845</w:t>
            </w:r>
          </w:p>
        </w:tc>
      </w:tr>
      <w:tr>
        <w:trPr>
          <w:trHeight w:val="83"/>
        </w:trPr>
        <w:tc>
          <w:tcPr>
            <w:tcW w:w="3680" w:type="dxa"/>
            <w:vAlign w:val="bottom"/>
            <w:gridSpan w:val="2"/>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r>
      <w:tr>
        <w:trPr>
          <w:trHeight w:val="626"/>
        </w:trPr>
        <w:tc>
          <w:tcPr>
            <w:tcW w:w="8780" w:type="dxa"/>
            <w:vAlign w:val="bottom"/>
            <w:gridSpan w:val="4"/>
          </w:tcPr>
          <w:p>
            <w:pPr>
              <w:jc w:val="center"/>
              <w:ind w:left="1312"/>
              <w:spacing w:after="0"/>
              <w:rPr>
                <w:sz w:val="20"/>
                <w:szCs w:val="20"/>
                <w:color w:val="auto"/>
              </w:rPr>
            </w:pPr>
            <w:r>
              <w:rPr>
                <w:rFonts w:ascii="Arial" w:cs="Arial" w:eastAsia="Arial" w:hAnsi="Arial"/>
                <w:sz w:val="43"/>
                <w:szCs w:val="43"/>
                <w:b w:val="1"/>
                <w:bCs w:val="1"/>
                <w:color w:val="auto"/>
              </w:rPr>
              <w:t>MICROSOFT CORPORATION</w:t>
            </w:r>
          </w:p>
        </w:tc>
      </w:tr>
      <w:tr>
        <w:trPr>
          <w:trHeight w:val="43"/>
        </w:trPr>
        <w:tc>
          <w:tcPr>
            <w:tcW w:w="2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2240" w:type="dxa"/>
            <w:vAlign w:val="bottom"/>
          </w:tcPr>
          <w:p>
            <w:pPr>
              <w:spacing w:after="0"/>
              <w:rPr>
                <w:sz w:val="3"/>
                <w:szCs w:val="3"/>
                <w:color w:val="auto"/>
              </w:rPr>
            </w:pPr>
          </w:p>
        </w:tc>
      </w:tr>
      <w:tr>
        <w:trPr>
          <w:trHeight w:val="222"/>
        </w:trPr>
        <w:tc>
          <w:tcPr>
            <w:tcW w:w="2820" w:type="dxa"/>
            <w:vAlign w:val="bottom"/>
          </w:tcPr>
          <w:p>
            <w:pPr>
              <w:jc w:val="center"/>
              <w:ind w:left="772"/>
              <w:spacing w:after="0"/>
              <w:rPr>
                <w:sz w:val="20"/>
                <w:szCs w:val="20"/>
                <w:color w:val="auto"/>
              </w:rPr>
            </w:pPr>
            <w:r>
              <w:rPr>
                <w:rFonts w:ascii="Arial" w:cs="Arial" w:eastAsia="Arial" w:hAnsi="Arial"/>
                <w:sz w:val="15"/>
                <w:szCs w:val="15"/>
                <w:b w:val="1"/>
                <w:bCs w:val="1"/>
                <w:color w:val="auto"/>
              </w:rPr>
              <w:t>WASHINGTON</w:t>
            </w:r>
          </w:p>
        </w:tc>
        <w:tc>
          <w:tcPr>
            <w:tcW w:w="5960" w:type="dxa"/>
            <w:vAlign w:val="bottom"/>
            <w:gridSpan w:val="3"/>
          </w:tcPr>
          <w:p>
            <w:pPr>
              <w:jc w:val="right"/>
              <w:spacing w:after="0"/>
              <w:rPr>
                <w:sz w:val="20"/>
                <w:szCs w:val="20"/>
                <w:color w:val="auto"/>
              </w:rPr>
            </w:pPr>
            <w:r>
              <w:rPr>
                <w:rFonts w:ascii="Arial" w:cs="Arial" w:eastAsia="Arial" w:hAnsi="Arial"/>
                <w:sz w:val="15"/>
                <w:szCs w:val="15"/>
                <w:b w:val="1"/>
                <w:bCs w:val="1"/>
                <w:color w:val="auto"/>
              </w:rPr>
              <w:t>91-1144442</w:t>
            </w:r>
          </w:p>
        </w:tc>
      </w:tr>
      <w:tr>
        <w:trPr>
          <w:trHeight w:val="186"/>
        </w:trPr>
        <w:tc>
          <w:tcPr>
            <w:tcW w:w="2820" w:type="dxa"/>
            <w:vAlign w:val="bottom"/>
          </w:tcPr>
          <w:p>
            <w:pPr>
              <w:jc w:val="center"/>
              <w:ind w:left="772"/>
              <w:spacing w:after="0"/>
              <w:rPr>
                <w:sz w:val="20"/>
                <w:szCs w:val="20"/>
                <w:color w:val="auto"/>
              </w:rPr>
            </w:pPr>
            <w:r>
              <w:rPr>
                <w:rFonts w:ascii="Arial" w:cs="Arial" w:eastAsia="Arial" w:hAnsi="Arial"/>
                <w:sz w:val="13"/>
                <w:szCs w:val="13"/>
                <w:b w:val="1"/>
                <w:bCs w:val="1"/>
                <w:color w:val="auto"/>
              </w:rPr>
              <w:t>(STATE OF INCORPORATION)</w:t>
            </w:r>
          </w:p>
        </w:tc>
        <w:tc>
          <w:tcPr>
            <w:tcW w:w="8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40" w:type="dxa"/>
            <w:vAlign w:val="bottom"/>
          </w:tcPr>
          <w:p>
            <w:pPr>
              <w:jc w:val="center"/>
              <w:ind w:left="1333"/>
              <w:spacing w:after="0"/>
              <w:rPr>
                <w:sz w:val="20"/>
                <w:szCs w:val="20"/>
                <w:color w:val="auto"/>
              </w:rPr>
            </w:pPr>
            <w:r>
              <w:rPr>
                <w:rFonts w:ascii="Arial" w:cs="Arial" w:eastAsia="Arial" w:hAnsi="Arial"/>
                <w:sz w:val="13"/>
                <w:szCs w:val="13"/>
                <w:b w:val="1"/>
                <w:bCs w:val="1"/>
                <w:color w:val="auto"/>
              </w:rPr>
              <w:t>(I.R.S. ID)</w:t>
            </w: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line="233"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210"/>
        </w:trPr>
        <w:tc>
          <w:tcPr>
            <w:tcW w:w="450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bl>
    <w:p>
      <w:pPr>
        <w:spacing w:after="0" w:line="35" w:lineRule="exact"/>
        <w:rPr>
          <w:sz w:val="24"/>
          <w:szCs w:val="24"/>
          <w:color w:val="auto"/>
        </w:rPr>
      </w:pPr>
    </w:p>
    <w:p>
      <w:pPr>
        <w:jc w:val="both"/>
        <w:spacing w:after="0" w:line="24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76" w:right="339" w:bottom="1440" w:gutter="0" w:footer="0" w:header="0"/>
        </w:sectPr>
      </w:pPr>
    </w:p>
    <w:p>
      <w:pPr>
        <w:spacing w:after="0" w:line="1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3" w:lineRule="exact"/>
        <w:rPr>
          <w:sz w:val="24"/>
          <w:szCs w:val="24"/>
          <w:color w:val="auto"/>
        </w:rPr>
      </w:pPr>
    </w:p>
    <w:p>
      <w:pPr>
        <w:sectPr>
          <w:pgSz w:w="11900" w:h="16838" w:orient="portrait"/>
          <w:cols w:equalWidth="0" w:num="2">
            <w:col w:w="7640" w:space="720"/>
            <w:col w:w="2880"/>
          </w:cols>
          <w:pgMar w:left="320" w:top="1176" w:right="339" w:bottom="1440" w:gutter="0" w:footer="0" w:header="0"/>
          <w:type w:val="continuous"/>
        </w:sectPr>
      </w:pPr>
    </w:p>
    <w:p>
      <w:pPr>
        <w:spacing w:after="0" w:line="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70" w:lineRule="exact"/>
        <w:rPr>
          <w:sz w:val="24"/>
          <w:szCs w:val="24"/>
          <w:color w:val="auto"/>
        </w:rPr>
      </w:pPr>
    </w:p>
    <w:p>
      <w:pPr>
        <w:sectPr>
          <w:pgSz w:w="11900" w:h="16838" w:orient="portrait"/>
          <w:cols w:equalWidth="0" w:num="2">
            <w:col w:w="7640" w:space="720"/>
            <w:col w:w="2880"/>
          </w:cols>
          <w:pgMar w:left="320" w:top="1176" w:right="339" w:bottom="1440" w:gutter="0" w:footer="0" w:header="0"/>
          <w:type w:val="continuous"/>
        </w:sectPr>
      </w:pPr>
    </w:p>
    <w:p>
      <w:pPr>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340"/>
        <w:spacing w:after="0" w:line="22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Class</w:t>
            </w:r>
          </w:p>
        </w:tc>
        <w:tc>
          <w:tcPr>
            <w:tcW w:w="50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Outstanding as of April 23, 2026</w:t>
            </w:r>
          </w:p>
        </w:tc>
      </w:tr>
      <w:tr>
        <w:trPr>
          <w:trHeight w:val="203"/>
        </w:trPr>
        <w:tc>
          <w:tcPr>
            <w:tcW w:w="6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$0.00000625 par value per share</w:t>
            </w:r>
          </w:p>
        </w:tc>
        <w:tc>
          <w:tcPr>
            <w:tcW w:w="506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color w:val="auto"/>
              </w:rPr>
              <w:t>7,428,434,704 shares</w:t>
            </w:r>
          </w:p>
        </w:tc>
      </w:tr>
      <w:tr>
        <w:trPr>
          <w:trHeight w:val="1202"/>
        </w:trPr>
        <w:tc>
          <w:tcPr>
            <w:tcW w:w="61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MICROSOFT CORPORATION</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2026</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68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53"/>
        </w:trPr>
        <w:tc>
          <w:tcPr>
            <w:tcW w:w="900" w:type="dxa"/>
            <w:vAlign w:val="bottom"/>
            <w:vMerge w:val="continue"/>
          </w:tcPr>
          <w:p>
            <w:pPr>
              <w:spacing w:after="0"/>
              <w:rPr>
                <w:sz w:val="13"/>
                <w:szCs w:val="13"/>
                <w:color w:val="auto"/>
              </w:rPr>
            </w:pPr>
          </w:p>
        </w:tc>
        <w:tc>
          <w:tcPr>
            <w:tcW w:w="9680" w:type="dxa"/>
            <w:vAlign w:val="bottom"/>
            <w:gridSpan w:val="1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700" w:type="dxa"/>
            <w:vAlign w:val="bottom"/>
            <w:tcBorders>
              <w:bottom w:val="single" w:sz="8" w:color="0000EE"/>
            </w:tcBorders>
            <w:gridSpan w:val="6"/>
          </w:tcPr>
          <w:p>
            <w:pPr>
              <w:ind w:left="20"/>
              <w:spacing w:after="0"/>
              <w:rPr>
                <w:sz w:val="20"/>
                <w:szCs w:val="20"/>
                <w:color w:val="auto"/>
              </w:rPr>
            </w:pPr>
            <w:r>
              <w:rPr>
                <w:rFonts w:ascii="Arial" w:cs="Arial" w:eastAsia="Arial" w:hAnsi="Arial"/>
                <w:sz w:val="18"/>
                <w:szCs w:val="18"/>
                <w:color w:val="auto"/>
                <w:w w:val="98"/>
              </w:rPr>
              <w:t>Financial Statements</w:t>
            </w:r>
          </w:p>
        </w:tc>
        <w:tc>
          <w:tcPr>
            <w:tcW w:w="710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17"/>
          </w:tcPr>
          <w:p>
            <w:pPr>
              <w:ind w:left="20"/>
              <w:spacing w:after="0"/>
              <w:rPr>
                <w:sz w:val="20"/>
                <w:szCs w:val="20"/>
                <w:color w:val="auto"/>
              </w:rPr>
            </w:pPr>
            <w:r>
              <w:rPr>
                <w:rFonts w:ascii="Arial" w:cs="Arial" w:eastAsia="Arial" w:hAnsi="Arial"/>
                <w:sz w:val="18"/>
                <w:szCs w:val="18"/>
                <w:color w:val="auto"/>
              </w:rPr>
              <w:t>a)   Income Statements for the Three and Nine Months Ended March 31, 2026 and 2025</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17"/>
          </w:tcPr>
          <w:p>
            <w:pPr>
              <w:ind w:left="20"/>
              <w:spacing w:after="0"/>
              <w:rPr>
                <w:sz w:val="20"/>
                <w:szCs w:val="20"/>
                <w:color w:val="auto"/>
              </w:rPr>
            </w:pPr>
            <w:r>
              <w:rPr>
                <w:rFonts w:ascii="Arial" w:cs="Arial" w:eastAsia="Arial" w:hAnsi="Arial"/>
                <w:sz w:val="18"/>
                <w:szCs w:val="18"/>
                <w:color w:val="auto"/>
              </w:rPr>
              <w:t>b)   Comprehensive Income Statements for the Three and Nine Months Ended March 31, 2026 and 2025</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17"/>
          </w:tcPr>
          <w:p>
            <w:pPr>
              <w:ind w:left="20"/>
              <w:spacing w:after="0"/>
              <w:rPr>
                <w:sz w:val="20"/>
                <w:szCs w:val="20"/>
                <w:color w:val="auto"/>
              </w:rPr>
            </w:pPr>
            <w:r>
              <w:rPr>
                <w:rFonts w:ascii="Arial" w:cs="Arial" w:eastAsia="Arial" w:hAnsi="Arial"/>
                <w:sz w:val="18"/>
                <w:szCs w:val="18"/>
                <w:color w:val="auto"/>
              </w:rPr>
              <w:t>c)   Balance Sheets as of March 31, 2026 and June 30, 2025</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17"/>
          </w:tcPr>
          <w:p>
            <w:pPr>
              <w:ind w:left="20"/>
              <w:spacing w:after="0"/>
              <w:rPr>
                <w:sz w:val="20"/>
                <w:szCs w:val="20"/>
                <w:color w:val="auto"/>
              </w:rPr>
            </w:pPr>
            <w:r>
              <w:rPr>
                <w:rFonts w:ascii="Arial" w:cs="Arial" w:eastAsia="Arial" w:hAnsi="Arial"/>
                <w:sz w:val="18"/>
                <w:szCs w:val="18"/>
                <w:color w:val="auto"/>
              </w:rPr>
              <w:t>d)   Cash Flows Statements for the Three and Nine Months Ended March 31, 2026 and 2025</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e)</w:t>
            </w:r>
          </w:p>
        </w:tc>
        <w:tc>
          <w:tcPr>
            <w:tcW w:w="77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w w:val="99"/>
              </w:rPr>
              <w:t>Stockholders’ Equity Statements for the Three and Nine Months Ended March 31, 2026 and 2025</w:t>
            </w:r>
          </w:p>
        </w:tc>
        <w:tc>
          <w:tcPr>
            <w:tcW w:w="6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f)</w:t>
            </w:r>
          </w:p>
        </w:tc>
        <w:tc>
          <w:tcPr>
            <w:tcW w:w="8360" w:type="dxa"/>
            <w:vAlign w:val="bottom"/>
            <w:gridSpan w:val="16"/>
          </w:tcPr>
          <w:p>
            <w:pPr>
              <w:spacing w:after="0"/>
              <w:rPr>
                <w:sz w:val="20"/>
                <w:szCs w:val="20"/>
                <w:color w:val="auto"/>
              </w:rPr>
            </w:pPr>
            <w:r>
              <w:rPr>
                <w:rFonts w:ascii="Arial" w:cs="Arial" w:eastAsia="Arial" w:hAnsi="Arial"/>
                <w:sz w:val="18"/>
                <w:szCs w:val="18"/>
                <w:color w:val="auto"/>
              </w:rPr>
              <w:t>Notes to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0" w:type="dxa"/>
            <w:vAlign w:val="bottom"/>
            <w:gridSpan w:val="17"/>
          </w:tcPr>
          <w:p>
            <w:pPr>
              <w:ind w:left="20"/>
              <w:spacing w:after="0"/>
              <w:rPr>
                <w:sz w:val="20"/>
                <w:szCs w:val="20"/>
                <w:color w:val="auto"/>
              </w:rPr>
            </w:pPr>
            <w:r>
              <w:rPr>
                <w:rFonts w:ascii="Arial" w:cs="Arial" w:eastAsia="Arial" w:hAnsi="Arial"/>
                <w:sz w:val="18"/>
                <w:szCs w:val="18"/>
                <w:color w:val="auto"/>
              </w:rPr>
              <w:t>g)   Report of Independent Registered Public Accounting Firm</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160" w:type="dxa"/>
            <w:vAlign w:val="bottom"/>
            <w:tcBorders>
              <w:bottom w:val="single" w:sz="8" w:color="0000EE"/>
            </w:tcBorders>
            <w:gridSpan w:val="13"/>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00" w:type="dxa"/>
            <w:vAlign w:val="bottom"/>
            <w:gridSpan w:val="17"/>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tcBorders>
              <w:top w:val="single" w:sz="8" w:color="0000EE"/>
            </w:tcBorders>
            <w:gridSpan w:val="9"/>
          </w:tcPr>
          <w:p>
            <w:pPr>
              <w:ind w:left="20"/>
              <w:spacing w:after="0"/>
              <w:rPr>
                <w:sz w:val="20"/>
                <w:szCs w:val="20"/>
                <w:color w:val="auto"/>
              </w:rPr>
            </w:pPr>
            <w:r>
              <w:rPr>
                <w:rFonts w:ascii="Arial" w:cs="Arial" w:eastAsia="Arial" w:hAnsi="Arial"/>
                <w:sz w:val="18"/>
                <w:szCs w:val="18"/>
                <w:color w:val="auto"/>
              </w:rPr>
              <w:t>Controls and Procedures</w:t>
            </w:r>
          </w:p>
        </w:tc>
        <w:tc>
          <w:tcPr>
            <w:tcW w:w="408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8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7"/>
          </w:tcPr>
          <w:p>
            <w:pPr>
              <w:ind w:left="20"/>
              <w:spacing w:after="0"/>
              <w:rPr>
                <w:sz w:val="20"/>
                <w:szCs w:val="20"/>
                <w:color w:val="auto"/>
              </w:rPr>
            </w:pPr>
            <w:r>
              <w:rPr>
                <w:rFonts w:ascii="Arial" w:cs="Arial" w:eastAsia="Arial" w:hAnsi="Arial"/>
                <w:sz w:val="18"/>
                <w:szCs w:val="18"/>
                <w:color w:val="auto"/>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tcBorders>
              <w:top w:val="single" w:sz="8" w:color="0000EE"/>
            </w:tcBorders>
            <w:gridSpan w:val="5"/>
          </w:tcPr>
          <w:p>
            <w:pPr>
              <w:ind w:left="20"/>
              <w:spacing w:after="0"/>
              <w:rPr>
                <w:sz w:val="20"/>
                <w:szCs w:val="20"/>
                <w:color w:val="auto"/>
              </w:rPr>
            </w:pPr>
            <w:r>
              <w:rPr>
                <w:rFonts w:ascii="Arial" w:cs="Arial" w:eastAsia="Arial" w:hAnsi="Arial"/>
                <w:sz w:val="18"/>
                <w:szCs w:val="18"/>
                <w:color w:val="auto"/>
              </w:rPr>
              <w:t>Risk Factors</w:t>
            </w:r>
          </w:p>
        </w:tc>
        <w:tc>
          <w:tcPr>
            <w:tcW w:w="730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39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00" w:type="dxa"/>
            <w:vAlign w:val="bottom"/>
            <w:gridSpan w:val="17"/>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86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auto"/>
              </w:rPr>
              <w:t>Other Information</w:t>
            </w:r>
          </w:p>
        </w:tc>
        <w:tc>
          <w:tcPr>
            <w:tcW w:w="39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EE"/>
            </w:tcBorders>
            <w:gridSpan w:val="4"/>
          </w:tcPr>
          <w:p>
            <w:pPr>
              <w:ind w:left="20"/>
              <w:spacing w:after="0"/>
              <w:rPr>
                <w:sz w:val="20"/>
                <w:szCs w:val="20"/>
                <w:color w:val="auto"/>
              </w:rPr>
            </w:pPr>
            <w:r>
              <w:rPr>
                <w:rFonts w:ascii="Arial" w:cs="Arial" w:eastAsia="Arial" w:hAnsi="Arial"/>
                <w:sz w:val="18"/>
                <w:szCs w:val="18"/>
                <w:color w:val="auto"/>
              </w:rPr>
              <w:t>Exhibits</w:t>
            </w:r>
          </w:p>
        </w:tc>
        <w:tc>
          <w:tcPr>
            <w:tcW w:w="740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85"/>
        </w:trPr>
        <w:tc>
          <w:tcPr>
            <w:tcW w:w="178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20"/>
        </w:trPr>
        <w:tc>
          <w:tcPr>
            <w:tcW w:w="9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8"/>
          </w:tcPr>
          <w:p>
            <w:pPr>
              <w:jc w:val="right"/>
              <w:ind w:right="84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9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2026</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2026</w:t>
            </w: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Product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15,089</w:t>
            </w:r>
          </w:p>
        </w:tc>
        <w:tc>
          <w:tcPr>
            <w:tcW w:w="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15,319</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47,462</w:t>
            </w: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46,810</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Service and other</w:t>
            </w:r>
          </w:p>
        </w:tc>
        <w:tc>
          <w:tcPr>
            <w:tcW w:w="34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67,797</w:t>
            </w: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54,747</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194,370</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158,473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23"/>
                <w:szCs w:val="2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82,886</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70,066</w:t>
            </w:r>
          </w:p>
        </w:tc>
        <w:tc>
          <w:tcPr>
            <w:tcW w:w="280" w:type="dxa"/>
            <w:vAlign w:val="bottom"/>
          </w:tcPr>
          <w:p>
            <w:pPr>
              <w:spacing w:after="0"/>
              <w:rPr>
                <w:sz w:val="23"/>
                <w:szCs w:val="2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241,832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205,283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59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revenue:</w:t>
            </w:r>
          </w:p>
        </w:tc>
        <w:tc>
          <w:tcPr>
            <w:tcW w:w="34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2,733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3,037</w:t>
            </w:r>
          </w:p>
        </w:tc>
        <w:tc>
          <w:tcPr>
            <w:tcW w:w="2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9,160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ind w:left="140"/>
              <w:spacing w:after="0" w:line="202" w:lineRule="exact"/>
              <w:rPr>
                <w:sz w:val="20"/>
                <w:szCs w:val="20"/>
                <w:color w:val="auto"/>
              </w:rPr>
            </w:pPr>
            <w:r>
              <w:rPr>
                <w:rFonts w:ascii="Arial" w:cs="Arial" w:eastAsia="Arial" w:hAnsi="Arial"/>
                <w:sz w:val="18"/>
                <w:szCs w:val="18"/>
                <w:color w:val="auto"/>
              </w:rPr>
              <w:t>Service and other</w:t>
            </w:r>
          </w:p>
        </w:tc>
        <w:tc>
          <w:tcPr>
            <w:tcW w:w="340" w:type="dxa"/>
            <w:vAlign w:val="bottom"/>
            <w:shd w:val="clear" w:color="auto" w:fill="E5E5E4"/>
          </w:tcPr>
          <w:p>
            <w:pPr>
              <w:spacing w:after="0"/>
              <w:rPr>
                <w:sz w:val="17"/>
                <w:szCs w:val="17"/>
                <w:color w:val="auto"/>
              </w:rPr>
            </w:pPr>
          </w:p>
        </w:tc>
        <w:tc>
          <w:tcPr>
            <w:tcW w:w="82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24,095</w:t>
            </w:r>
          </w:p>
        </w:tc>
        <w:tc>
          <w:tcPr>
            <w:tcW w:w="22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18,882</w:t>
            </w:r>
          </w:p>
        </w:tc>
        <w:tc>
          <w:tcPr>
            <w:tcW w:w="280" w:type="dxa"/>
            <w:vAlign w:val="bottom"/>
            <w:shd w:val="clear" w:color="auto" w:fill="E5E5E4"/>
          </w:tcPr>
          <w:p>
            <w:pPr>
              <w:spacing w:after="0"/>
              <w:rPr>
                <w:sz w:val="17"/>
                <w:szCs w:val="17"/>
                <w:color w:val="auto"/>
              </w:rPr>
            </w:pPr>
          </w:p>
        </w:tc>
        <w:tc>
          <w:tcPr>
            <w:tcW w:w="86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67,689</w:t>
            </w:r>
          </w:p>
        </w:tc>
        <w:tc>
          <w:tcPr>
            <w:tcW w:w="18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94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53,630</w:t>
            </w:r>
          </w:p>
        </w:tc>
        <w:tc>
          <w:tcPr>
            <w:tcW w:w="0" w:type="dxa"/>
            <w:vAlign w:val="bottom"/>
          </w:tcPr>
          <w:p>
            <w:pPr>
              <w:spacing w:after="0"/>
              <w:rPr>
                <w:sz w:val="1"/>
                <w:szCs w:val="1"/>
                <w:color w:val="auto"/>
              </w:rPr>
            </w:pPr>
          </w:p>
        </w:tc>
      </w:tr>
      <w:tr>
        <w:trPr>
          <w:trHeight w:val="41"/>
        </w:trPr>
        <w:tc>
          <w:tcPr>
            <w:tcW w:w="5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80"/>
              <w:spacing w:after="0"/>
              <w:rPr>
                <w:sz w:val="20"/>
                <w:szCs w:val="20"/>
                <w:color w:val="auto"/>
              </w:rPr>
            </w:pPr>
            <w:r>
              <w:rPr>
                <w:rFonts w:ascii="Arial" w:cs="Arial" w:eastAsia="Arial" w:hAnsi="Arial"/>
                <w:sz w:val="18"/>
                <w:szCs w:val="18"/>
                <w:color w:val="auto"/>
              </w:rPr>
              <w:t>Total cost of revenue</w:t>
            </w:r>
          </w:p>
        </w:tc>
        <w:tc>
          <w:tcPr>
            <w:tcW w:w="340" w:type="dxa"/>
            <w:vAlign w:val="bottom"/>
          </w:tcPr>
          <w:p>
            <w:pPr>
              <w:spacing w:after="0"/>
              <w:rPr>
                <w:sz w:val="23"/>
                <w:szCs w:val="2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26,828</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21,919</w:t>
            </w:r>
          </w:p>
        </w:tc>
        <w:tc>
          <w:tcPr>
            <w:tcW w:w="280" w:type="dxa"/>
            <w:vAlign w:val="bottom"/>
          </w:tcPr>
          <w:p>
            <w:pPr>
              <w:spacing w:after="0"/>
              <w:rPr>
                <w:sz w:val="23"/>
                <w:szCs w:val="2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76,849</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63,817</w:t>
            </w:r>
          </w:p>
        </w:tc>
        <w:tc>
          <w:tcPr>
            <w:tcW w:w="0" w:type="dxa"/>
            <w:vAlign w:val="bottom"/>
          </w:tcPr>
          <w:p>
            <w:pPr>
              <w:spacing w:after="0"/>
              <w:rPr>
                <w:sz w:val="1"/>
                <w:szCs w:val="1"/>
                <w:color w:val="auto"/>
              </w:rPr>
            </w:pPr>
          </w:p>
        </w:tc>
      </w:tr>
      <w:tr>
        <w:trPr>
          <w:trHeight w:val="41"/>
        </w:trPr>
        <w:tc>
          <w:tcPr>
            <w:tcW w:w="59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ind w:left="280"/>
              <w:spacing w:after="0" w:line="202" w:lineRule="exact"/>
              <w:rPr>
                <w:sz w:val="20"/>
                <w:szCs w:val="20"/>
                <w:color w:val="auto"/>
              </w:rPr>
            </w:pPr>
            <w:r>
              <w:rPr>
                <w:rFonts w:ascii="Arial" w:cs="Arial" w:eastAsia="Arial" w:hAnsi="Arial"/>
                <w:sz w:val="18"/>
                <w:szCs w:val="18"/>
                <w:color w:val="auto"/>
              </w:rPr>
              <w:t>Gross margin</w:t>
            </w:r>
          </w:p>
        </w:tc>
        <w:tc>
          <w:tcPr>
            <w:tcW w:w="340" w:type="dxa"/>
            <w:vAlign w:val="bottom"/>
            <w:shd w:val="clear" w:color="auto" w:fill="E5E5E4"/>
          </w:tcPr>
          <w:p>
            <w:pPr>
              <w:spacing w:after="0"/>
              <w:rPr>
                <w:sz w:val="17"/>
                <w:szCs w:val="17"/>
                <w:color w:val="auto"/>
              </w:rPr>
            </w:pPr>
          </w:p>
        </w:tc>
        <w:tc>
          <w:tcPr>
            <w:tcW w:w="82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56,058</w:t>
            </w:r>
          </w:p>
        </w:tc>
        <w:tc>
          <w:tcPr>
            <w:tcW w:w="22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48,147</w:t>
            </w:r>
          </w:p>
        </w:tc>
        <w:tc>
          <w:tcPr>
            <w:tcW w:w="280" w:type="dxa"/>
            <w:vAlign w:val="bottom"/>
            <w:shd w:val="clear" w:color="auto" w:fill="E5E5E4"/>
          </w:tcPr>
          <w:p>
            <w:pPr>
              <w:spacing w:after="0"/>
              <w:rPr>
                <w:sz w:val="17"/>
                <w:szCs w:val="17"/>
                <w:color w:val="auto"/>
              </w:rPr>
            </w:pPr>
          </w:p>
        </w:tc>
        <w:tc>
          <w:tcPr>
            <w:tcW w:w="86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164,983</w:t>
            </w:r>
          </w:p>
        </w:tc>
        <w:tc>
          <w:tcPr>
            <w:tcW w:w="18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860" w:type="dxa"/>
            <w:vAlign w:val="bottom"/>
            <w:gridSpan w:val="2"/>
            <w:shd w:val="clear" w:color="auto" w:fill="E5E5E4"/>
          </w:tcPr>
          <w:p>
            <w:pPr>
              <w:jc w:val="right"/>
              <w:ind w:right="20"/>
              <w:spacing w:after="0" w:line="202" w:lineRule="exact"/>
              <w:rPr>
                <w:sz w:val="20"/>
                <w:szCs w:val="20"/>
                <w:color w:val="auto"/>
              </w:rPr>
            </w:pPr>
            <w:r>
              <w:rPr>
                <w:rFonts w:ascii="Arial" w:cs="Arial" w:eastAsia="Arial" w:hAnsi="Arial"/>
                <w:sz w:val="18"/>
                <w:szCs w:val="18"/>
                <w:color w:val="auto"/>
              </w:rPr>
              <w:t>141,466</w:t>
            </w:r>
          </w:p>
        </w:tc>
        <w:tc>
          <w:tcPr>
            <w:tcW w:w="80" w:type="dxa"/>
            <w:vAlign w:val="bottom"/>
            <w:shd w:val="clear" w:color="auto" w:fill="E5E5E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8,915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8,198</w:t>
            </w:r>
          </w:p>
        </w:tc>
        <w:tc>
          <w:tcPr>
            <w:tcW w:w="2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25,565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23,659</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Sales and marketing</w:t>
            </w:r>
          </w:p>
        </w:tc>
        <w:tc>
          <w:tcPr>
            <w:tcW w:w="340" w:type="dxa"/>
            <w:vAlign w:val="bottom"/>
            <w:shd w:val="clear" w:color="auto" w:fill="E5E5E4"/>
          </w:tcPr>
          <w:p>
            <w:pPr>
              <w:spacing w:after="0"/>
              <w:rPr>
                <w:sz w:val="17"/>
                <w:szCs w:val="17"/>
                <w:color w:val="auto"/>
              </w:rPr>
            </w:pPr>
          </w:p>
        </w:tc>
        <w:tc>
          <w:tcPr>
            <w:tcW w:w="82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6,814</w:t>
            </w:r>
          </w:p>
        </w:tc>
        <w:tc>
          <w:tcPr>
            <w:tcW w:w="22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6,212</w:t>
            </w:r>
          </w:p>
        </w:tc>
        <w:tc>
          <w:tcPr>
            <w:tcW w:w="280" w:type="dxa"/>
            <w:vAlign w:val="bottom"/>
            <w:shd w:val="clear" w:color="auto" w:fill="E5E5E4"/>
          </w:tcPr>
          <w:p>
            <w:pPr>
              <w:spacing w:after="0"/>
              <w:rPr>
                <w:sz w:val="17"/>
                <w:szCs w:val="17"/>
                <w:color w:val="auto"/>
              </w:rPr>
            </w:pPr>
          </w:p>
        </w:tc>
        <w:tc>
          <w:tcPr>
            <w:tcW w:w="86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19,115</w:t>
            </w:r>
          </w:p>
        </w:tc>
        <w:tc>
          <w:tcPr>
            <w:tcW w:w="18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94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18,369</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1,737</w:t>
            </w:r>
          </w:p>
        </w:tc>
        <w:tc>
          <w:tcPr>
            <w:tcW w:w="2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5,669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Operating income</w:t>
            </w:r>
          </w:p>
        </w:tc>
        <w:tc>
          <w:tcPr>
            <w:tcW w:w="340" w:type="dxa"/>
            <w:vAlign w:val="bottom"/>
            <w:shd w:val="clear" w:color="auto" w:fill="E5E5E4"/>
          </w:tcPr>
          <w:p>
            <w:pPr>
              <w:spacing w:after="0"/>
              <w:rPr>
                <w:sz w:val="17"/>
                <w:szCs w:val="17"/>
                <w:color w:val="auto"/>
              </w:rPr>
            </w:pPr>
          </w:p>
        </w:tc>
        <w:tc>
          <w:tcPr>
            <w:tcW w:w="82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38,398</w:t>
            </w:r>
          </w:p>
        </w:tc>
        <w:tc>
          <w:tcPr>
            <w:tcW w:w="22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32,000</w:t>
            </w:r>
          </w:p>
        </w:tc>
        <w:tc>
          <w:tcPr>
            <w:tcW w:w="280" w:type="dxa"/>
            <w:vAlign w:val="bottom"/>
            <w:shd w:val="clear" w:color="auto" w:fill="E5E5E4"/>
          </w:tcPr>
          <w:p>
            <w:pPr>
              <w:spacing w:after="0"/>
              <w:rPr>
                <w:sz w:val="17"/>
                <w:szCs w:val="17"/>
                <w:color w:val="auto"/>
              </w:rPr>
            </w:pPr>
          </w:p>
        </w:tc>
        <w:tc>
          <w:tcPr>
            <w:tcW w:w="86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114,634</w:t>
            </w:r>
          </w:p>
        </w:tc>
        <w:tc>
          <w:tcPr>
            <w:tcW w:w="18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94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94,205</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942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7,253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E5E5E4"/>
          </w:tcPr>
          <w:p>
            <w:pPr>
              <w:spacing w:after="0"/>
              <w:rPr>
                <w:sz w:val="17"/>
                <w:szCs w:val="17"/>
                <w:color w:val="auto"/>
              </w:rPr>
            </w:pPr>
          </w:p>
        </w:tc>
        <w:tc>
          <w:tcPr>
            <w:tcW w:w="82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39,340</w:t>
            </w:r>
          </w:p>
        </w:tc>
        <w:tc>
          <w:tcPr>
            <w:tcW w:w="22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31,377</w:t>
            </w:r>
          </w:p>
        </w:tc>
        <w:tc>
          <w:tcPr>
            <w:tcW w:w="280" w:type="dxa"/>
            <w:vAlign w:val="bottom"/>
            <w:shd w:val="clear" w:color="auto" w:fill="E5E5E4"/>
          </w:tcPr>
          <w:p>
            <w:pPr>
              <w:spacing w:after="0"/>
              <w:rPr>
                <w:sz w:val="17"/>
                <w:szCs w:val="17"/>
                <w:color w:val="auto"/>
              </w:rPr>
            </w:pPr>
          </w:p>
        </w:tc>
        <w:tc>
          <w:tcPr>
            <w:tcW w:w="86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121,887</w:t>
            </w:r>
          </w:p>
        </w:tc>
        <w:tc>
          <w:tcPr>
            <w:tcW w:w="18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94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91,011</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7,562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5,553</w:t>
            </w:r>
          </w:p>
        </w:tc>
        <w:tc>
          <w:tcPr>
            <w:tcW w:w="2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23,904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16,412</w:t>
            </w: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shd w:val="clear" w:color="auto" w:fill="E5E5E4"/>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31,778</w:t>
            </w:r>
          </w:p>
        </w:tc>
        <w:tc>
          <w:tcPr>
            <w:tcW w:w="520" w:type="dxa"/>
            <w:vAlign w:val="bottom"/>
            <w:gridSpan w:val="2"/>
            <w:shd w:val="clear" w:color="auto" w:fill="E5E5E4"/>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25,824</w:t>
            </w:r>
          </w:p>
        </w:tc>
        <w:tc>
          <w:tcPr>
            <w:tcW w:w="280" w:type="dxa"/>
            <w:vAlign w:val="bottom"/>
            <w:shd w:val="clear" w:color="auto" w:fill="E5E5E4"/>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97,983</w:t>
            </w:r>
          </w:p>
        </w:tc>
        <w:tc>
          <w:tcPr>
            <w:tcW w:w="460" w:type="dxa"/>
            <w:vAlign w:val="bottom"/>
            <w:gridSpan w:val="2"/>
            <w:shd w:val="clear" w:color="auto" w:fill="E5E5E4"/>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74,599</w:t>
            </w:r>
          </w:p>
        </w:tc>
        <w:tc>
          <w:tcPr>
            <w:tcW w:w="0" w:type="dxa"/>
            <w:vAlign w:val="bottom"/>
          </w:tcPr>
          <w:p>
            <w:pPr>
              <w:spacing w:after="0"/>
              <w:rPr>
                <w:sz w:val="1"/>
                <w:szCs w:val="1"/>
                <w:color w:val="auto"/>
              </w:rPr>
            </w:pPr>
          </w:p>
        </w:tc>
      </w:tr>
      <w:tr>
        <w:trPr>
          <w:trHeight w:val="48"/>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ind w:left="140"/>
              <w:spacing w:after="0" w:line="202" w:lineRule="exact"/>
              <w:rPr>
                <w:sz w:val="20"/>
                <w:szCs w:val="20"/>
                <w:color w:val="auto"/>
              </w:rPr>
            </w:pPr>
            <w:r>
              <w:rPr>
                <w:rFonts w:ascii="Arial" w:cs="Arial" w:eastAsia="Arial" w:hAnsi="Arial"/>
                <w:sz w:val="18"/>
                <w:szCs w:val="18"/>
                <w:color w:val="auto"/>
              </w:rPr>
              <w:t>Basic</w:t>
            </w:r>
          </w:p>
        </w:tc>
        <w:tc>
          <w:tcPr>
            <w:tcW w:w="340" w:type="dxa"/>
            <w:vAlign w:val="bottom"/>
            <w:shd w:val="clear" w:color="auto" w:fill="E5E5E4"/>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4.28</w:t>
            </w:r>
          </w:p>
        </w:tc>
        <w:tc>
          <w:tcPr>
            <w:tcW w:w="520" w:type="dxa"/>
            <w:vAlign w:val="bottom"/>
            <w:gridSpan w:val="2"/>
            <w:shd w:val="clear" w:color="auto" w:fill="E5E5E4"/>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3.47</w:t>
            </w:r>
          </w:p>
        </w:tc>
        <w:tc>
          <w:tcPr>
            <w:tcW w:w="280" w:type="dxa"/>
            <w:vAlign w:val="bottom"/>
            <w:shd w:val="clear" w:color="auto" w:fill="E5E5E4"/>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13.19</w:t>
            </w:r>
          </w:p>
        </w:tc>
        <w:tc>
          <w:tcPr>
            <w:tcW w:w="460" w:type="dxa"/>
            <w:vAlign w:val="bottom"/>
            <w:gridSpan w:val="2"/>
            <w:shd w:val="clear" w:color="auto" w:fill="E5E5E4"/>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4.27</w:t>
            </w:r>
          </w:p>
        </w:tc>
        <w:tc>
          <w:tcPr>
            <w:tcW w:w="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3.46</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13.14</w:t>
            </w: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340" w:type="dxa"/>
            <w:vAlign w:val="bottom"/>
            <w:shd w:val="clear" w:color="auto" w:fill="E5E5E4"/>
          </w:tcPr>
          <w:p>
            <w:pPr>
              <w:spacing w:after="0"/>
              <w:rPr>
                <w:sz w:val="17"/>
                <w:szCs w:val="17"/>
                <w:color w:val="auto"/>
              </w:rPr>
            </w:pPr>
          </w:p>
        </w:tc>
        <w:tc>
          <w:tcPr>
            <w:tcW w:w="780" w:type="dxa"/>
            <w:vAlign w:val="bottom"/>
            <w:shd w:val="clear" w:color="auto" w:fill="E5E5E4"/>
          </w:tcPr>
          <w:p>
            <w:pPr>
              <w:spacing w:after="0"/>
              <w:rPr>
                <w:sz w:val="17"/>
                <w:szCs w:val="17"/>
                <w:color w:val="auto"/>
              </w:rPr>
            </w:pPr>
          </w:p>
        </w:tc>
        <w:tc>
          <w:tcPr>
            <w:tcW w:w="40" w:type="dxa"/>
            <w:vAlign w:val="bottom"/>
            <w:shd w:val="clear" w:color="auto" w:fill="E5E5E4"/>
          </w:tcPr>
          <w:p>
            <w:pPr>
              <w:spacing w:after="0"/>
              <w:rPr>
                <w:sz w:val="17"/>
                <w:szCs w:val="17"/>
                <w:color w:val="auto"/>
              </w:rPr>
            </w:pPr>
          </w:p>
        </w:tc>
        <w:tc>
          <w:tcPr>
            <w:tcW w:w="22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820" w:type="dxa"/>
            <w:vAlign w:val="bottom"/>
            <w:shd w:val="clear" w:color="auto" w:fill="E5E5E4"/>
          </w:tcPr>
          <w:p>
            <w:pPr>
              <w:spacing w:after="0"/>
              <w:rPr>
                <w:sz w:val="17"/>
                <w:szCs w:val="17"/>
                <w:color w:val="auto"/>
              </w:rPr>
            </w:pPr>
          </w:p>
        </w:tc>
        <w:tc>
          <w:tcPr>
            <w:tcW w:w="22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820" w:type="dxa"/>
            <w:vAlign w:val="bottom"/>
            <w:shd w:val="clear" w:color="auto" w:fill="E5E5E4"/>
          </w:tcPr>
          <w:p>
            <w:pPr>
              <w:spacing w:after="0"/>
              <w:rPr>
                <w:sz w:val="17"/>
                <w:szCs w:val="17"/>
                <w:color w:val="auto"/>
              </w:rPr>
            </w:pPr>
          </w:p>
        </w:tc>
        <w:tc>
          <w:tcPr>
            <w:tcW w:w="40" w:type="dxa"/>
            <w:vAlign w:val="bottom"/>
            <w:shd w:val="clear" w:color="auto" w:fill="E5E5E4"/>
          </w:tcPr>
          <w:p>
            <w:pPr>
              <w:spacing w:after="0"/>
              <w:rPr>
                <w:sz w:val="17"/>
                <w:szCs w:val="17"/>
                <w:color w:val="auto"/>
              </w:rPr>
            </w:pPr>
          </w:p>
        </w:tc>
        <w:tc>
          <w:tcPr>
            <w:tcW w:w="18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840" w:type="dxa"/>
            <w:vAlign w:val="bottom"/>
            <w:shd w:val="clear" w:color="auto" w:fill="E5E5E4"/>
          </w:tcPr>
          <w:p>
            <w:pPr>
              <w:spacing w:after="0"/>
              <w:rPr>
                <w:sz w:val="17"/>
                <w:szCs w:val="17"/>
                <w:color w:val="auto"/>
              </w:rPr>
            </w:pPr>
          </w:p>
        </w:tc>
        <w:tc>
          <w:tcPr>
            <w:tcW w:w="20" w:type="dxa"/>
            <w:vAlign w:val="bottom"/>
            <w:shd w:val="clear" w:color="auto" w:fill="E5E5E4"/>
          </w:tcPr>
          <w:p>
            <w:pPr>
              <w:spacing w:after="0"/>
              <w:rPr>
                <w:sz w:val="17"/>
                <w:szCs w:val="17"/>
                <w:color w:val="auto"/>
              </w:rPr>
            </w:pPr>
          </w:p>
        </w:tc>
        <w:tc>
          <w:tcPr>
            <w:tcW w:w="80" w:type="dxa"/>
            <w:vAlign w:val="bottom"/>
            <w:shd w:val="clear" w:color="auto" w:fill="E5E5E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340" w:type="dxa"/>
            <w:vAlign w:val="bottom"/>
          </w:tcPr>
          <w:p>
            <w:pPr>
              <w:spacing w:after="0"/>
              <w:rPr>
                <w:sz w:val="17"/>
                <w:szCs w:val="17"/>
                <w:color w:val="auto"/>
              </w:rPr>
            </w:pPr>
          </w:p>
        </w:tc>
        <w:tc>
          <w:tcPr>
            <w:tcW w:w="82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7,426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7,434</w:t>
            </w:r>
          </w:p>
        </w:tc>
        <w:tc>
          <w:tcPr>
            <w:tcW w:w="28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7,430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ind w:left="14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E5E5E4"/>
          </w:tcPr>
          <w:p>
            <w:pPr>
              <w:spacing w:after="0"/>
              <w:rPr>
                <w:sz w:val="17"/>
                <w:szCs w:val="17"/>
                <w:color w:val="auto"/>
              </w:rPr>
            </w:pPr>
          </w:p>
        </w:tc>
        <w:tc>
          <w:tcPr>
            <w:tcW w:w="82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7,445</w:t>
            </w:r>
          </w:p>
        </w:tc>
        <w:tc>
          <w:tcPr>
            <w:tcW w:w="22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7,461</w:t>
            </w:r>
          </w:p>
        </w:tc>
        <w:tc>
          <w:tcPr>
            <w:tcW w:w="280" w:type="dxa"/>
            <w:vAlign w:val="bottom"/>
            <w:shd w:val="clear" w:color="auto" w:fill="E5E5E4"/>
          </w:tcPr>
          <w:p>
            <w:pPr>
              <w:spacing w:after="0"/>
              <w:rPr>
                <w:sz w:val="17"/>
                <w:szCs w:val="17"/>
                <w:color w:val="auto"/>
              </w:rPr>
            </w:pPr>
          </w:p>
        </w:tc>
        <w:tc>
          <w:tcPr>
            <w:tcW w:w="860" w:type="dxa"/>
            <w:vAlign w:val="bottom"/>
            <w:gridSpan w:val="2"/>
            <w:shd w:val="clear" w:color="auto" w:fill="E5E5E4"/>
          </w:tcPr>
          <w:p>
            <w:pPr>
              <w:jc w:val="right"/>
              <w:ind w:right="40"/>
              <w:spacing w:after="0" w:line="202" w:lineRule="exact"/>
              <w:rPr>
                <w:sz w:val="20"/>
                <w:szCs w:val="20"/>
                <w:color w:val="auto"/>
              </w:rPr>
            </w:pPr>
            <w:r>
              <w:rPr>
                <w:rFonts w:ascii="Arial" w:cs="Arial" w:eastAsia="Arial" w:hAnsi="Arial"/>
                <w:sz w:val="18"/>
                <w:szCs w:val="18"/>
                <w:b w:val="1"/>
                <w:bCs w:val="1"/>
                <w:color w:val="auto"/>
              </w:rPr>
              <w:t>7,457</w:t>
            </w:r>
          </w:p>
        </w:tc>
        <w:tc>
          <w:tcPr>
            <w:tcW w:w="18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94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 w:name="page4"/>
    <w:bookmarkEnd w:id="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(Unaudited)</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9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93"/>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173"/>
              <w:spacing w:after="0"/>
              <w:rPr>
                <w:sz w:val="20"/>
                <w:szCs w:val="20"/>
                <w:color w:val="auto"/>
              </w:rPr>
            </w:pPr>
            <w:r>
              <w:rPr>
                <w:rFonts w:ascii="Arial" w:cs="Arial" w:eastAsia="Arial" w:hAnsi="Arial"/>
                <w:sz w:val="13"/>
                <w:szCs w:val="13"/>
                <w:b w:val="1"/>
                <w:bCs w:val="1"/>
                <w:color w:val="auto"/>
              </w:rPr>
              <w:t>2026</w:t>
            </w: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31,778</w:t>
            </w:r>
          </w:p>
        </w:tc>
        <w:tc>
          <w:tcPr>
            <w:tcW w:w="4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25,824</w:t>
            </w:r>
          </w:p>
        </w:tc>
        <w:tc>
          <w:tcPr>
            <w:tcW w:w="40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97,983</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74,599</w:t>
            </w:r>
          </w:p>
        </w:tc>
        <w:tc>
          <w:tcPr>
            <w:tcW w:w="0" w:type="dxa"/>
            <w:vAlign w:val="bottom"/>
          </w:tcPr>
          <w:p>
            <w:pPr>
              <w:spacing w:after="0"/>
              <w:rPr>
                <w:sz w:val="1"/>
                <w:szCs w:val="1"/>
                <w:color w:val="auto"/>
              </w:rPr>
            </w:pPr>
          </w:p>
        </w:tc>
      </w:tr>
      <w:tr>
        <w:trPr>
          <w:trHeight w:val="48"/>
        </w:trPr>
        <w:tc>
          <w:tcPr>
            <w:tcW w:w="598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Net change related to derivatives</w:t>
            </w: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(6)</w:t>
            </w:r>
          </w:p>
        </w:tc>
        <w:tc>
          <w:tcPr>
            <w:tcW w:w="28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Net change related to investments</w:t>
            </w:r>
          </w:p>
        </w:tc>
        <w:tc>
          <w:tcPr>
            <w:tcW w:w="340" w:type="dxa"/>
            <w:vAlign w:val="bottom"/>
          </w:tcPr>
          <w:p>
            <w:pPr>
              <w:spacing w:after="0"/>
              <w:rPr>
                <w:sz w:val="17"/>
                <w:szCs w:val="17"/>
                <w:color w:val="auto"/>
              </w:rPr>
            </w:pPr>
          </w:p>
        </w:tc>
        <w:tc>
          <w:tcPr>
            <w:tcW w:w="960" w:type="dxa"/>
            <w:vAlign w:val="bottom"/>
            <w:gridSpan w:val="2"/>
          </w:tcPr>
          <w:p>
            <w:pPr>
              <w:jc w:val="right"/>
              <w:ind w:right="33"/>
              <w:spacing w:after="0" w:line="202" w:lineRule="exact"/>
              <w:rPr>
                <w:sz w:val="20"/>
                <w:szCs w:val="20"/>
                <w:color w:val="auto"/>
              </w:rPr>
            </w:pPr>
            <w:r>
              <w:rPr>
                <w:rFonts w:ascii="Arial" w:cs="Arial" w:eastAsia="Arial" w:hAnsi="Arial"/>
                <w:sz w:val="18"/>
                <w:szCs w:val="18"/>
                <w:b w:val="1"/>
                <w:bCs w:val="1"/>
                <w:color w:val="auto"/>
              </w:rPr>
              <w:t>(239)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ind w:right="173"/>
              <w:spacing w:after="0" w:line="202" w:lineRule="exact"/>
              <w:rPr>
                <w:sz w:val="20"/>
                <w:szCs w:val="20"/>
                <w:color w:val="auto"/>
              </w:rPr>
            </w:pPr>
            <w:r>
              <w:rPr>
                <w:rFonts w:ascii="Arial" w:cs="Arial" w:eastAsia="Arial" w:hAnsi="Arial"/>
                <w:sz w:val="18"/>
                <w:szCs w:val="18"/>
                <w:b w:val="1"/>
                <w:bCs w:val="1"/>
                <w:color w:val="auto"/>
              </w:rPr>
              <w:t>287</w:t>
            </w:r>
          </w:p>
        </w:tc>
        <w:tc>
          <w:tcPr>
            <w:tcW w:w="28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Translation adjustments and other</w:t>
            </w: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33"/>
              <w:spacing w:after="0" w:line="202" w:lineRule="exact"/>
              <w:rPr>
                <w:sz w:val="20"/>
                <w:szCs w:val="20"/>
                <w:color w:val="auto"/>
              </w:rPr>
            </w:pPr>
            <w:r>
              <w:rPr>
                <w:rFonts w:ascii="Arial" w:cs="Arial" w:eastAsia="Arial" w:hAnsi="Arial"/>
                <w:sz w:val="18"/>
                <w:szCs w:val="18"/>
                <w:b w:val="1"/>
                <w:bCs w:val="1"/>
                <w:color w:val="auto"/>
              </w:rPr>
              <w:t>(287)</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353</w:t>
            </w:r>
          </w:p>
        </w:tc>
        <w:tc>
          <w:tcPr>
            <w:tcW w:w="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(162)</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598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b w:val="1"/>
                <w:bCs w:val="1"/>
                <w:color w:val="auto"/>
              </w:rPr>
              <w:t>(526)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119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59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31,252</w:t>
            </w:r>
          </w:p>
        </w:tc>
        <w:tc>
          <w:tcPr>
            <w:tcW w:w="4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26,607</w:t>
            </w:r>
          </w:p>
        </w:tc>
        <w:tc>
          <w:tcPr>
            <w:tcW w:w="4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E5E5E5"/>
          </w:tcPr>
          <w:p>
            <w:pPr>
              <w:jc w:val="right"/>
              <w:ind w:right="173"/>
              <w:spacing w:after="0" w:line="202" w:lineRule="exact"/>
              <w:rPr>
                <w:sz w:val="20"/>
                <w:szCs w:val="20"/>
                <w:color w:val="auto"/>
              </w:rPr>
            </w:pPr>
            <w:r>
              <w:rPr>
                <w:rFonts w:ascii="Arial" w:cs="Arial" w:eastAsia="Arial" w:hAnsi="Arial"/>
                <w:sz w:val="18"/>
                <w:szCs w:val="18"/>
                <w:b w:val="1"/>
                <w:bCs w:val="1"/>
                <w:color w:val="auto"/>
              </w:rPr>
              <w:t>98,102</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75,356</w:t>
            </w:r>
          </w:p>
        </w:tc>
        <w:tc>
          <w:tcPr>
            <w:tcW w:w="0" w:type="dxa"/>
            <w:vAlign w:val="bottom"/>
          </w:tcPr>
          <w:p>
            <w:pPr>
              <w:spacing w:after="0"/>
              <w:rPr>
                <w:sz w:val="1"/>
                <w:szCs w:val="1"/>
                <w:color w:val="auto"/>
              </w:rPr>
            </w:pPr>
          </w:p>
        </w:tc>
      </w:tr>
      <w:tr>
        <w:trPr>
          <w:trHeight w:val="48"/>
        </w:trPr>
        <w:tc>
          <w:tcPr>
            <w:tcW w:w="59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95"/>
        </w:trPr>
        <w:tc>
          <w:tcPr>
            <w:tcW w:w="8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32,105</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30,242</w:t>
            </w:r>
          </w:p>
        </w:tc>
      </w:tr>
      <w:tr>
        <w:trPr>
          <w:trHeight w:val="243"/>
        </w:trPr>
        <w:tc>
          <w:tcPr>
            <w:tcW w:w="80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46,167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64,323</w:t>
            </w:r>
          </w:p>
        </w:tc>
      </w:tr>
      <w:tr>
        <w:trPr>
          <w:trHeight w:val="34"/>
        </w:trPr>
        <w:tc>
          <w:tcPr>
            <w:tcW w:w="80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Total cash, cash equivalents, and short-term investments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78,272</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94,565</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$794</w:t>
            </w:r>
            <w:r>
              <w:rPr>
                <w:rFonts w:ascii="Arial" w:cs="Arial" w:eastAsia="Arial" w:hAnsi="Arial"/>
                <w:sz w:val="18"/>
                <w:szCs w:val="18"/>
                <w:color w:val="auto"/>
              </w:rPr>
              <w:t xml:space="preserve"> and $944</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60,041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69,905</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Inventories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1,219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938</w:t>
            </w:r>
          </w:p>
        </w:tc>
      </w:tr>
      <w:tr>
        <w:trPr>
          <w:trHeight w:val="243"/>
        </w:trPr>
        <w:tc>
          <w:tcPr>
            <w:tcW w:w="80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35,797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25,723</w:t>
            </w:r>
          </w:p>
        </w:tc>
      </w:tr>
      <w:tr>
        <w:trPr>
          <w:trHeight w:val="34"/>
        </w:trPr>
        <w:tc>
          <w:tcPr>
            <w:tcW w:w="80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175,329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191,131</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$111,723</w:t>
            </w:r>
            <w:r>
              <w:rPr>
                <w:rFonts w:ascii="Arial" w:cs="Arial" w:eastAsia="Arial" w:hAnsi="Arial"/>
                <w:sz w:val="18"/>
                <w:szCs w:val="18"/>
                <w:color w:val="auto"/>
              </w:rPr>
              <w:t xml:space="preserve"> and $93,653</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283,228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204,966</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24,403</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24,823</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33,683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15,405</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119,661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119,509</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19,325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22,604</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assets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38,599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40,565</w:t>
            </w:r>
          </w:p>
        </w:tc>
      </w:tr>
      <w:tr>
        <w:trPr>
          <w:trHeight w:val="41"/>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80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694,228</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619,003</w:t>
            </w:r>
          </w:p>
        </w:tc>
      </w:tr>
      <w:tr>
        <w:trPr>
          <w:trHeight w:val="41"/>
        </w:trPr>
        <w:tc>
          <w:tcPr>
            <w:tcW w:w="800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37,513</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27,724</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8,839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2,999</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Accrued compensation</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11,270</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13,709</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Short-term income taxes</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3,563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7,211</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Short-term unearned revenue</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50,924</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64,555</w:t>
            </w:r>
          </w:p>
        </w:tc>
      </w:tr>
      <w:tr>
        <w:trPr>
          <w:trHeight w:val="243"/>
        </w:trPr>
        <w:tc>
          <w:tcPr>
            <w:tcW w:w="80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24,552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25,020</w:t>
            </w:r>
          </w:p>
        </w:tc>
      </w:tr>
      <w:tr>
        <w:trPr>
          <w:trHeight w:val="34"/>
        </w:trPr>
        <w:tc>
          <w:tcPr>
            <w:tcW w:w="80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000" w:type="dxa"/>
            <w:vAlign w:val="bottom"/>
            <w:shd w:val="clear" w:color="auto" w:fill="E5E5E5"/>
          </w:tcPr>
          <w:p>
            <w:pPr>
              <w:ind w:left="360"/>
              <w:spacing w:after="0" w:line="202" w:lineRule="exact"/>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136,661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141,218</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31,423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40,152</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income taxes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27,941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25,986</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Long-term unearned revenue</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2,753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2,710</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2,899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2,835</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16,703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17,437</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61,481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45,186</w:t>
            </w:r>
          </w:p>
        </w:tc>
      </w:tr>
      <w:tr>
        <w:trPr>
          <w:trHeight w:val="40"/>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800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279,861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275,524</w:t>
            </w:r>
          </w:p>
        </w:tc>
      </w:tr>
      <w:tr>
        <w:trPr>
          <w:trHeight w:val="41"/>
        </w:trPr>
        <w:tc>
          <w:tcPr>
            <w:tcW w:w="80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2"/>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7,429</w:t>
            </w:r>
            <w:r>
              <w:rPr>
                <w:rFonts w:ascii="Arial" w:cs="Arial" w:eastAsia="Arial" w:hAnsi="Arial"/>
                <w:sz w:val="18"/>
                <w:szCs w:val="18"/>
                <w:color w:val="auto"/>
              </w:rPr>
              <w:t xml:space="preserve"> and 7,434</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115,069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109,095</w:t>
            </w: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302,526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237,731</w:t>
            </w: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(3,228)</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(3,347)</w:t>
            </w:r>
          </w:p>
        </w:tc>
      </w:tr>
      <w:tr>
        <w:trPr>
          <w:trHeight w:val="41"/>
        </w:trPr>
        <w:tc>
          <w:tcPr>
            <w:tcW w:w="8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800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414,367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343,479</w:t>
            </w:r>
          </w:p>
        </w:tc>
      </w:tr>
      <w:tr>
        <w:trPr>
          <w:trHeight w:val="40"/>
        </w:trPr>
        <w:tc>
          <w:tcPr>
            <w:tcW w:w="800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8000" w:type="dxa"/>
            <w:vAlign w:val="bottom"/>
            <w:shd w:val="clear" w:color="auto" w:fill="E5E5E5"/>
          </w:tcPr>
          <w:p>
            <w:pPr>
              <w:ind w:left="72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694,228</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619,003</w:t>
            </w:r>
          </w:p>
        </w:tc>
      </w:tr>
      <w:tr>
        <w:trPr>
          <w:trHeight w:val="48"/>
        </w:trPr>
        <w:tc>
          <w:tcPr>
            <w:tcW w:w="80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 w:name="page6"/>
    <w:bookmarkEnd w:id="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FLOWS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(Unaudited)</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9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Operations</w:t>
            </w: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31,778</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25,824</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97,983</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74,599</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Adjustments to reconcile net income to net cash from operations:</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Depreciation, amortization, and other</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10,167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7,734</w:t>
            </w:r>
          </w:p>
        </w:tc>
        <w:tc>
          <w:tcPr>
            <w:tcW w:w="28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27,512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20,116</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3,081</w:t>
            </w:r>
          </w:p>
        </w:tc>
        <w:tc>
          <w:tcPr>
            <w:tcW w:w="2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2,980</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9,283</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2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Net recognized losses (gains) on investments and derivatives</w:t>
            </w:r>
          </w:p>
        </w:tc>
        <w:tc>
          <w:tcPr>
            <w:tcW w:w="300" w:type="dxa"/>
            <w:vAlign w:val="bottom"/>
          </w:tcPr>
          <w:p>
            <w:pPr>
              <w:spacing w:after="0"/>
              <w:rPr>
                <w:sz w:val="17"/>
                <w:szCs w:val="17"/>
                <w:color w:val="auto"/>
              </w:rPr>
            </w:pPr>
          </w:p>
        </w:tc>
        <w:tc>
          <w:tcPr>
            <w:tcW w:w="1080" w:type="dxa"/>
            <w:vAlign w:val="bottom"/>
            <w:gridSpan w:val="2"/>
          </w:tcPr>
          <w:p>
            <w:pPr>
              <w:jc w:val="right"/>
              <w:ind w:right="133"/>
              <w:spacing w:after="0" w:line="202" w:lineRule="exact"/>
              <w:rPr>
                <w:sz w:val="20"/>
                <w:szCs w:val="20"/>
                <w:color w:val="auto"/>
              </w:rPr>
            </w:pPr>
            <w:r>
              <w:rPr>
                <w:rFonts w:ascii="Arial" w:cs="Arial" w:eastAsia="Arial" w:hAnsi="Arial"/>
                <w:sz w:val="18"/>
                <w:szCs w:val="18"/>
                <w:b w:val="1"/>
                <w:bCs w:val="1"/>
                <w:color w:val="auto"/>
              </w:rPr>
              <w:t>(1,280)</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708</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(7,304)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2,602</w:t>
            </w:r>
          </w:p>
        </w:tc>
        <w:tc>
          <w:tcPr>
            <w:tcW w:w="2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(2,244)</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9,539</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2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Accounts receivable</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(4,707)</w:t>
            </w: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(2,461)</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8,347</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2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3"/>
        </w:trPr>
        <w:tc>
          <w:tcPr>
            <w:tcW w:w="5980" w:type="dxa"/>
            <w:vAlign w:val="bottom"/>
          </w:tcPr>
          <w:p>
            <w:pPr>
              <w:ind w:left="260"/>
              <w:spacing w:after="0" w:line="202" w:lineRule="exact"/>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7"/>
                <w:szCs w:val="17"/>
                <w:color w:val="auto"/>
              </w:rPr>
            </w:pPr>
          </w:p>
        </w:tc>
        <w:tc>
          <w:tcPr>
            <w:tcW w:w="1080" w:type="dxa"/>
            <w:vAlign w:val="bottom"/>
            <w:gridSpan w:val="2"/>
          </w:tcPr>
          <w:p>
            <w:pPr>
              <w:jc w:val="right"/>
              <w:ind w:right="133"/>
              <w:spacing w:after="0" w:line="202" w:lineRule="exact"/>
              <w:rPr>
                <w:sz w:val="20"/>
                <w:szCs w:val="20"/>
                <w:color w:val="auto"/>
              </w:rPr>
            </w:pPr>
            <w:r>
              <w:rPr>
                <w:rFonts w:ascii="Arial" w:cs="Arial" w:eastAsia="Arial" w:hAnsi="Arial"/>
                <w:sz w:val="18"/>
                <w:szCs w:val="18"/>
                <w:b w:val="1"/>
                <w:bCs w:val="1"/>
                <w:color w:val="auto"/>
              </w:rPr>
              <w:t>(161)</w:t>
            </w: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(283)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758</w:t>
            </w:r>
          </w:p>
        </w:tc>
        <w:tc>
          <w:tcPr>
            <w:tcW w:w="2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1,076</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215</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642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60"/>
              <w:spacing w:after="0" w:line="202" w:lineRule="exact"/>
              <w:rPr>
                <w:sz w:val="20"/>
                <w:szCs w:val="20"/>
                <w:color w:val="auto"/>
              </w:rPr>
            </w:pPr>
            <w:r>
              <w:rPr>
                <w:rFonts w:ascii="Arial" w:cs="Arial" w:eastAsia="Arial" w:hAnsi="Arial"/>
                <w:sz w:val="18"/>
                <w:szCs w:val="18"/>
                <w:color w:val="auto"/>
              </w:rPr>
              <w:t>Other long-term assets</w:t>
            </w:r>
          </w:p>
        </w:tc>
        <w:tc>
          <w:tcPr>
            <w:tcW w:w="300" w:type="dxa"/>
            <w:vAlign w:val="bottom"/>
          </w:tcPr>
          <w:p>
            <w:pPr>
              <w:spacing w:after="0"/>
              <w:rPr>
                <w:sz w:val="17"/>
                <w:szCs w:val="17"/>
                <w:color w:val="auto"/>
              </w:rPr>
            </w:pPr>
          </w:p>
        </w:tc>
        <w:tc>
          <w:tcPr>
            <w:tcW w:w="1080" w:type="dxa"/>
            <w:vAlign w:val="bottom"/>
            <w:gridSpan w:val="2"/>
          </w:tcPr>
          <w:p>
            <w:pPr>
              <w:jc w:val="right"/>
              <w:ind w:right="133"/>
              <w:spacing w:after="0" w:line="202" w:lineRule="exact"/>
              <w:rPr>
                <w:sz w:val="20"/>
                <w:szCs w:val="20"/>
                <w:color w:val="auto"/>
              </w:rPr>
            </w:pPr>
            <w:r>
              <w:rPr>
                <w:rFonts w:ascii="Arial" w:cs="Arial" w:eastAsia="Arial" w:hAnsi="Arial"/>
                <w:sz w:val="18"/>
                <w:szCs w:val="18"/>
                <w:b w:val="1"/>
                <w:bCs w:val="1"/>
                <w:color w:val="auto"/>
              </w:rPr>
              <w:t>(932)</w:t>
            </w:r>
          </w:p>
        </w:tc>
        <w:tc>
          <w:tcPr>
            <w:tcW w:w="3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(518)</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(2,614)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Accounts payable</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2,320</w:t>
            </w:r>
          </w:p>
        </w:tc>
        <w:tc>
          <w:tcPr>
            <w:tcW w:w="2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1,179</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2,903</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2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3"/>
        </w:trPr>
        <w:tc>
          <w:tcPr>
            <w:tcW w:w="5980" w:type="dxa"/>
            <w:vAlign w:val="bottom"/>
          </w:tcPr>
          <w:p>
            <w:pPr>
              <w:ind w:left="260"/>
              <w:spacing w:after="0" w:line="202" w:lineRule="exact"/>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17"/>
                <w:szCs w:val="17"/>
                <w:color w:val="auto"/>
              </w:rPr>
            </w:pPr>
          </w:p>
        </w:tc>
        <w:tc>
          <w:tcPr>
            <w:tcW w:w="1080" w:type="dxa"/>
            <w:vAlign w:val="bottom"/>
            <w:gridSpan w:val="2"/>
          </w:tcPr>
          <w:p>
            <w:pPr>
              <w:jc w:val="right"/>
              <w:ind w:right="133"/>
              <w:spacing w:after="0" w:line="202" w:lineRule="exact"/>
              <w:rPr>
                <w:sz w:val="20"/>
                <w:szCs w:val="20"/>
                <w:color w:val="auto"/>
              </w:rPr>
            </w:pPr>
            <w:r>
              <w:rPr>
                <w:rFonts w:ascii="Arial" w:cs="Arial" w:eastAsia="Arial" w:hAnsi="Arial"/>
                <w:sz w:val="18"/>
                <w:szCs w:val="18"/>
                <w:b w:val="1"/>
                <w:bCs w:val="1"/>
                <w:color w:val="auto"/>
              </w:rPr>
              <w:t>(166)</w:t>
            </w:r>
          </w:p>
        </w:tc>
        <w:tc>
          <w:tcPr>
            <w:tcW w:w="3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(1,032)</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(13,067)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(12,923)</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Income taxes</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2,296</w:t>
            </w:r>
          </w:p>
        </w:tc>
        <w:tc>
          <w:tcPr>
            <w:tcW w:w="2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1,298</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(1,568)</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2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3"/>
        </w:trPr>
        <w:tc>
          <w:tcPr>
            <w:tcW w:w="5980" w:type="dxa"/>
            <w:vAlign w:val="bottom"/>
          </w:tcPr>
          <w:p>
            <w:pPr>
              <w:ind w:left="260"/>
              <w:spacing w:after="0" w:line="202" w:lineRule="exact"/>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2,539</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2,839</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(166)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260"/>
              <w:spacing w:after="0" w:line="202" w:lineRule="exact"/>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(1,616)</w:t>
            </w: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(391)</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(3,286)</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292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00"/>
              <w:spacing w:after="0"/>
              <w:rPr>
                <w:sz w:val="20"/>
                <w:szCs w:val="20"/>
                <w:color w:val="auto"/>
              </w:rPr>
            </w:pPr>
            <w:r>
              <w:rPr>
                <w:rFonts w:ascii="Arial" w:cs="Arial" w:eastAsia="Arial" w:hAnsi="Arial"/>
                <w:sz w:val="18"/>
                <w:szCs w:val="18"/>
                <w:color w:val="auto"/>
              </w:rPr>
              <w:t>Net cash from operations</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46,679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37,044</w:t>
            </w:r>
          </w:p>
        </w:tc>
        <w:tc>
          <w:tcPr>
            <w:tcW w:w="28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127,494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93,515</w:t>
            </w:r>
          </w:p>
        </w:tc>
        <w:tc>
          <w:tcPr>
            <w:tcW w:w="0" w:type="dxa"/>
            <w:vAlign w:val="bottom"/>
          </w:tcPr>
          <w:p>
            <w:pPr>
              <w:spacing w:after="0"/>
              <w:rPr>
                <w:sz w:val="1"/>
                <w:szCs w:val="1"/>
                <w:color w:val="auto"/>
              </w:rPr>
            </w:pPr>
          </w:p>
        </w:tc>
      </w:tr>
      <w:tr>
        <w:trPr>
          <w:trHeight w:val="41"/>
        </w:trPr>
        <w:tc>
          <w:tcPr>
            <w:tcW w:w="59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Financing</w:t>
            </w: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Repayments of debt, maturities of 90 days or less</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Repayments of debt</w:t>
            </w:r>
          </w:p>
        </w:tc>
        <w:tc>
          <w:tcPr>
            <w:tcW w:w="300" w:type="dxa"/>
            <w:vAlign w:val="bottom"/>
            <w:shd w:val="clear" w:color="auto" w:fill="E5E5E4"/>
          </w:tcPr>
          <w:p>
            <w:pPr>
              <w:spacing w:after="0"/>
              <w:rPr>
                <w:sz w:val="17"/>
                <w:szCs w:val="17"/>
                <w:color w:val="auto"/>
              </w:rPr>
            </w:pPr>
          </w:p>
        </w:tc>
        <w:tc>
          <w:tcPr>
            <w:tcW w:w="820" w:type="dxa"/>
            <w:vAlign w:val="bottom"/>
            <w:shd w:val="clear" w:color="auto" w:fill="E5E5E4"/>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6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160"/>
              <w:spacing w:after="0" w:line="202" w:lineRule="exact"/>
              <w:rPr>
                <w:sz w:val="20"/>
                <w:szCs w:val="20"/>
                <w:color w:val="auto"/>
              </w:rPr>
            </w:pPr>
            <w:r>
              <w:rPr>
                <w:rFonts w:ascii="Arial" w:cs="Arial" w:eastAsia="Arial" w:hAnsi="Arial"/>
                <w:sz w:val="18"/>
                <w:szCs w:val="18"/>
                <w:color w:val="auto"/>
              </w:rPr>
              <w:t>(2,250)</w:t>
            </w:r>
          </w:p>
        </w:tc>
        <w:tc>
          <w:tcPr>
            <w:tcW w:w="280" w:type="dxa"/>
            <w:vAlign w:val="bottom"/>
            <w:shd w:val="clear" w:color="auto" w:fill="E5E5E4"/>
          </w:tcPr>
          <w:p>
            <w:pPr>
              <w:spacing w:after="0"/>
              <w:rPr>
                <w:sz w:val="17"/>
                <w:szCs w:val="17"/>
                <w:color w:val="auto"/>
              </w:rPr>
            </w:pPr>
          </w:p>
        </w:tc>
        <w:tc>
          <w:tcPr>
            <w:tcW w:w="900" w:type="dxa"/>
            <w:vAlign w:val="bottom"/>
            <w:gridSpan w:val="2"/>
            <w:shd w:val="clear" w:color="auto" w:fill="E5E5E4"/>
          </w:tcPr>
          <w:p>
            <w:pPr>
              <w:jc w:val="right"/>
              <w:ind w:right="20"/>
              <w:spacing w:after="0" w:line="202" w:lineRule="exact"/>
              <w:rPr>
                <w:sz w:val="20"/>
                <w:szCs w:val="20"/>
                <w:color w:val="auto"/>
              </w:rPr>
            </w:pPr>
            <w:r>
              <w:rPr>
                <w:rFonts w:ascii="Arial" w:cs="Arial" w:eastAsia="Arial" w:hAnsi="Arial"/>
                <w:sz w:val="18"/>
                <w:szCs w:val="18"/>
                <w:b w:val="1"/>
                <w:bCs w:val="1"/>
                <w:color w:val="auto"/>
              </w:rPr>
              <w:t>(3,000)</w:t>
            </w:r>
          </w:p>
        </w:tc>
        <w:tc>
          <w:tcPr>
            <w:tcW w:w="14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920" w:type="dxa"/>
            <w:vAlign w:val="bottom"/>
            <w:gridSpan w:val="3"/>
            <w:shd w:val="clear" w:color="auto" w:fill="E5E5E4"/>
          </w:tcPr>
          <w:p>
            <w:pPr>
              <w:jc w:val="right"/>
              <w:ind w:right="40"/>
              <w:spacing w:after="0" w:line="202" w:lineRule="exact"/>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Common stock issued</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546</w:t>
            </w:r>
          </w:p>
        </w:tc>
        <w:tc>
          <w:tcPr>
            <w:tcW w:w="28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1,489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Common stock repurchased</w:t>
            </w:r>
          </w:p>
        </w:tc>
        <w:tc>
          <w:tcPr>
            <w:tcW w:w="300" w:type="dxa"/>
            <w:vAlign w:val="bottom"/>
            <w:shd w:val="clear" w:color="auto" w:fill="E5E5E4"/>
          </w:tcPr>
          <w:p>
            <w:pPr>
              <w:spacing w:after="0"/>
              <w:rPr>
                <w:sz w:val="17"/>
                <w:szCs w:val="17"/>
                <w:color w:val="auto"/>
              </w:rPr>
            </w:pPr>
          </w:p>
        </w:tc>
        <w:tc>
          <w:tcPr>
            <w:tcW w:w="1080" w:type="dxa"/>
            <w:vAlign w:val="bottom"/>
            <w:gridSpan w:val="2"/>
            <w:shd w:val="clear" w:color="auto" w:fill="E5E5E4"/>
          </w:tcPr>
          <w:p>
            <w:pPr>
              <w:jc w:val="right"/>
              <w:ind w:right="133"/>
              <w:spacing w:after="0" w:line="202" w:lineRule="exact"/>
              <w:rPr>
                <w:sz w:val="20"/>
                <w:szCs w:val="20"/>
                <w:color w:val="auto"/>
              </w:rPr>
            </w:pPr>
            <w:r>
              <w:rPr>
                <w:rFonts w:ascii="Arial" w:cs="Arial" w:eastAsia="Arial" w:hAnsi="Arial"/>
                <w:sz w:val="18"/>
                <w:szCs w:val="18"/>
                <w:b w:val="1"/>
                <w:bCs w:val="1"/>
                <w:color w:val="auto"/>
              </w:rPr>
              <w:t>(4,627)</w:t>
            </w: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160"/>
              <w:spacing w:after="0" w:line="202" w:lineRule="exact"/>
              <w:rPr>
                <w:sz w:val="20"/>
                <w:szCs w:val="20"/>
                <w:color w:val="auto"/>
              </w:rPr>
            </w:pPr>
            <w:r>
              <w:rPr>
                <w:rFonts w:ascii="Arial" w:cs="Arial" w:eastAsia="Arial" w:hAnsi="Arial"/>
                <w:sz w:val="18"/>
                <w:szCs w:val="18"/>
                <w:color w:val="auto"/>
              </w:rPr>
              <w:t>(4,781)</w:t>
            </w:r>
          </w:p>
        </w:tc>
        <w:tc>
          <w:tcPr>
            <w:tcW w:w="280" w:type="dxa"/>
            <w:vAlign w:val="bottom"/>
            <w:shd w:val="clear" w:color="auto" w:fill="E5E5E4"/>
          </w:tcPr>
          <w:p>
            <w:pPr>
              <w:spacing w:after="0"/>
              <w:rPr>
                <w:sz w:val="17"/>
                <w:szCs w:val="17"/>
                <w:color w:val="auto"/>
              </w:rPr>
            </w:pPr>
          </w:p>
        </w:tc>
        <w:tc>
          <w:tcPr>
            <w:tcW w:w="900" w:type="dxa"/>
            <w:vAlign w:val="bottom"/>
            <w:gridSpan w:val="2"/>
            <w:shd w:val="clear" w:color="auto" w:fill="E5E5E4"/>
          </w:tcPr>
          <w:p>
            <w:pPr>
              <w:jc w:val="right"/>
              <w:ind w:right="20"/>
              <w:spacing w:after="0" w:line="202" w:lineRule="exact"/>
              <w:rPr>
                <w:sz w:val="20"/>
                <w:szCs w:val="20"/>
                <w:color w:val="auto"/>
              </w:rPr>
            </w:pPr>
            <w:r>
              <w:rPr>
                <w:rFonts w:ascii="Arial" w:cs="Arial" w:eastAsia="Arial" w:hAnsi="Arial"/>
                <w:sz w:val="18"/>
                <w:szCs w:val="18"/>
                <w:b w:val="1"/>
                <w:bCs w:val="1"/>
                <w:color w:val="auto"/>
              </w:rPr>
              <w:t>(17,692)</w:t>
            </w:r>
          </w:p>
        </w:tc>
        <w:tc>
          <w:tcPr>
            <w:tcW w:w="14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920" w:type="dxa"/>
            <w:vAlign w:val="bottom"/>
            <w:gridSpan w:val="3"/>
            <w:shd w:val="clear" w:color="auto" w:fill="E5E5E4"/>
          </w:tcPr>
          <w:p>
            <w:pPr>
              <w:jc w:val="right"/>
              <w:ind w:right="40"/>
              <w:spacing w:after="0" w:line="202" w:lineRule="exact"/>
              <w:rPr>
                <w:sz w:val="20"/>
                <w:szCs w:val="20"/>
                <w:color w:val="auto"/>
              </w:rPr>
            </w:pPr>
            <w:r>
              <w:rPr>
                <w:rFonts w:ascii="Arial" w:cs="Arial" w:eastAsia="Arial" w:hAnsi="Arial"/>
                <w:sz w:val="18"/>
                <w:szCs w:val="18"/>
                <w:color w:val="auto"/>
              </w:rPr>
              <w:t>(13,874)</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Common stock cash dividends paid</w:t>
            </w:r>
          </w:p>
        </w:tc>
        <w:tc>
          <w:tcPr>
            <w:tcW w:w="300" w:type="dxa"/>
            <w:vAlign w:val="bottom"/>
          </w:tcPr>
          <w:p>
            <w:pPr>
              <w:spacing w:after="0"/>
              <w:rPr>
                <w:sz w:val="17"/>
                <w:szCs w:val="17"/>
                <w:color w:val="auto"/>
              </w:rPr>
            </w:pPr>
          </w:p>
        </w:tc>
        <w:tc>
          <w:tcPr>
            <w:tcW w:w="1080" w:type="dxa"/>
            <w:vAlign w:val="bottom"/>
            <w:gridSpan w:val="2"/>
          </w:tcPr>
          <w:p>
            <w:pPr>
              <w:jc w:val="right"/>
              <w:ind w:right="133"/>
              <w:spacing w:after="0" w:line="202" w:lineRule="exact"/>
              <w:rPr>
                <w:sz w:val="20"/>
                <w:szCs w:val="20"/>
                <w:color w:val="auto"/>
              </w:rPr>
            </w:pPr>
            <w:r>
              <w:rPr>
                <w:rFonts w:ascii="Arial" w:cs="Arial" w:eastAsia="Arial" w:hAnsi="Arial"/>
                <w:sz w:val="18"/>
                <w:szCs w:val="18"/>
                <w:b w:val="1"/>
                <w:bCs w:val="1"/>
                <w:color w:val="auto"/>
              </w:rPr>
              <w:t>(6,756)</w:t>
            </w:r>
          </w:p>
        </w:tc>
        <w:tc>
          <w:tcPr>
            <w:tcW w:w="3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(6,169)</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(19,687)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shd w:val="clear" w:color="auto" w:fill="E5E5E4"/>
          </w:tcPr>
          <w:p>
            <w:pPr>
              <w:spacing w:after="0"/>
              <w:rPr>
                <w:sz w:val="17"/>
                <w:szCs w:val="17"/>
                <w:color w:val="auto"/>
              </w:rPr>
            </w:pPr>
          </w:p>
        </w:tc>
        <w:tc>
          <w:tcPr>
            <w:tcW w:w="1080" w:type="dxa"/>
            <w:vAlign w:val="bottom"/>
            <w:gridSpan w:val="2"/>
            <w:shd w:val="clear" w:color="auto" w:fill="E5E5E4"/>
          </w:tcPr>
          <w:p>
            <w:pPr>
              <w:jc w:val="right"/>
              <w:ind w:right="133"/>
              <w:spacing w:after="0" w:line="202" w:lineRule="exact"/>
              <w:rPr>
                <w:sz w:val="20"/>
                <w:szCs w:val="20"/>
                <w:color w:val="auto"/>
              </w:rPr>
            </w:pPr>
            <w:r>
              <w:rPr>
                <w:rFonts w:ascii="Arial" w:cs="Arial" w:eastAsia="Arial" w:hAnsi="Arial"/>
                <w:sz w:val="18"/>
                <w:szCs w:val="18"/>
                <w:b w:val="1"/>
                <w:bCs w:val="1"/>
                <w:color w:val="auto"/>
              </w:rPr>
              <w:t>(509)</w:t>
            </w: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160"/>
              <w:spacing w:after="0" w:line="202" w:lineRule="exact"/>
              <w:rPr>
                <w:sz w:val="20"/>
                <w:szCs w:val="20"/>
                <w:color w:val="auto"/>
              </w:rPr>
            </w:pPr>
            <w:r>
              <w:rPr>
                <w:rFonts w:ascii="Arial" w:cs="Arial" w:eastAsia="Arial" w:hAnsi="Arial"/>
                <w:sz w:val="18"/>
                <w:szCs w:val="18"/>
                <w:color w:val="auto"/>
              </w:rPr>
              <w:t>(382)</w:t>
            </w:r>
          </w:p>
        </w:tc>
        <w:tc>
          <w:tcPr>
            <w:tcW w:w="280" w:type="dxa"/>
            <w:vAlign w:val="bottom"/>
            <w:shd w:val="clear" w:color="auto" w:fill="E5E5E4"/>
          </w:tcPr>
          <w:p>
            <w:pPr>
              <w:spacing w:after="0"/>
              <w:rPr>
                <w:sz w:val="17"/>
                <w:szCs w:val="17"/>
                <w:color w:val="auto"/>
              </w:rPr>
            </w:pPr>
          </w:p>
        </w:tc>
        <w:tc>
          <w:tcPr>
            <w:tcW w:w="900" w:type="dxa"/>
            <w:vAlign w:val="bottom"/>
            <w:gridSpan w:val="2"/>
            <w:shd w:val="clear" w:color="auto" w:fill="E5E5E4"/>
          </w:tcPr>
          <w:p>
            <w:pPr>
              <w:jc w:val="right"/>
              <w:ind w:right="20"/>
              <w:spacing w:after="0" w:line="202" w:lineRule="exact"/>
              <w:rPr>
                <w:sz w:val="20"/>
                <w:szCs w:val="20"/>
                <w:color w:val="auto"/>
              </w:rPr>
            </w:pPr>
            <w:r>
              <w:rPr>
                <w:rFonts w:ascii="Arial" w:cs="Arial" w:eastAsia="Arial" w:hAnsi="Arial"/>
                <w:sz w:val="18"/>
                <w:szCs w:val="18"/>
                <w:b w:val="1"/>
                <w:bCs w:val="1"/>
                <w:color w:val="auto"/>
              </w:rPr>
              <w:t>(1,877)</w:t>
            </w:r>
          </w:p>
        </w:tc>
        <w:tc>
          <w:tcPr>
            <w:tcW w:w="14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920" w:type="dxa"/>
            <w:vAlign w:val="bottom"/>
            <w:gridSpan w:val="3"/>
            <w:shd w:val="clear" w:color="auto" w:fill="E5E5E4"/>
          </w:tcPr>
          <w:p>
            <w:pPr>
              <w:jc w:val="right"/>
              <w:ind w:right="40"/>
              <w:spacing w:after="0" w:line="202" w:lineRule="exact"/>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00"/>
              <w:spacing w:after="0"/>
              <w:rPr>
                <w:sz w:val="20"/>
                <w:szCs w:val="20"/>
                <w:color w:val="auto"/>
              </w:rPr>
            </w:pPr>
            <w:r>
              <w:rPr>
                <w:rFonts w:ascii="Arial" w:cs="Arial" w:eastAsia="Arial" w:hAnsi="Arial"/>
                <w:sz w:val="18"/>
                <w:szCs w:val="18"/>
                <w:color w:val="auto"/>
              </w:rPr>
              <w:t>Net cash used in financing</w:t>
            </w:r>
          </w:p>
        </w:tc>
        <w:tc>
          <w:tcPr>
            <w:tcW w:w="300" w:type="dxa"/>
            <w:vAlign w:val="bottom"/>
          </w:tcPr>
          <w:p>
            <w:pPr>
              <w:spacing w:after="0"/>
              <w:rPr>
                <w:sz w:val="23"/>
                <w:szCs w:val="23"/>
                <w:color w:val="auto"/>
              </w:rPr>
            </w:pPr>
          </w:p>
        </w:tc>
        <w:tc>
          <w:tcPr>
            <w:tcW w:w="108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(11,351)</w:t>
            </w:r>
          </w:p>
        </w:tc>
        <w:tc>
          <w:tcPr>
            <w:tcW w:w="30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(13,036)</w:t>
            </w:r>
          </w:p>
        </w:tc>
        <w:tc>
          <w:tcPr>
            <w:tcW w:w="28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(40,767)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(40,855)</w:t>
            </w:r>
          </w:p>
        </w:tc>
        <w:tc>
          <w:tcPr>
            <w:tcW w:w="0" w:type="dxa"/>
            <w:vAlign w:val="bottom"/>
          </w:tcPr>
          <w:p>
            <w:pPr>
              <w:spacing w:after="0"/>
              <w:rPr>
                <w:sz w:val="1"/>
                <w:szCs w:val="1"/>
                <w:color w:val="auto"/>
              </w:rPr>
            </w:pPr>
          </w:p>
        </w:tc>
      </w:tr>
      <w:tr>
        <w:trPr>
          <w:trHeight w:val="40"/>
        </w:trPr>
        <w:tc>
          <w:tcPr>
            <w:tcW w:w="59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b w:val="1"/>
                <w:bCs w:val="1"/>
                <w:color w:val="auto"/>
              </w:rPr>
              <w:t>Investing</w:t>
            </w:r>
          </w:p>
        </w:tc>
        <w:tc>
          <w:tcPr>
            <w:tcW w:w="300" w:type="dxa"/>
            <w:vAlign w:val="bottom"/>
            <w:shd w:val="clear" w:color="auto" w:fill="E5E5E4"/>
          </w:tcPr>
          <w:p>
            <w:pPr>
              <w:spacing w:after="0"/>
              <w:rPr>
                <w:sz w:val="17"/>
                <w:szCs w:val="17"/>
                <w:color w:val="auto"/>
              </w:rPr>
            </w:pPr>
          </w:p>
        </w:tc>
        <w:tc>
          <w:tcPr>
            <w:tcW w:w="820" w:type="dxa"/>
            <w:vAlign w:val="bottom"/>
            <w:shd w:val="clear" w:color="auto" w:fill="E5E5E4"/>
          </w:tcPr>
          <w:p>
            <w:pPr>
              <w:spacing w:after="0"/>
              <w:rPr>
                <w:sz w:val="17"/>
                <w:szCs w:val="17"/>
                <w:color w:val="auto"/>
              </w:rPr>
            </w:pPr>
          </w:p>
        </w:tc>
        <w:tc>
          <w:tcPr>
            <w:tcW w:w="26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820" w:type="dxa"/>
            <w:vAlign w:val="bottom"/>
            <w:shd w:val="clear" w:color="auto" w:fill="E5E5E4"/>
          </w:tcPr>
          <w:p>
            <w:pPr>
              <w:spacing w:after="0"/>
              <w:rPr>
                <w:sz w:val="17"/>
                <w:szCs w:val="17"/>
                <w:color w:val="auto"/>
              </w:rPr>
            </w:pPr>
          </w:p>
        </w:tc>
        <w:tc>
          <w:tcPr>
            <w:tcW w:w="220" w:type="dxa"/>
            <w:vAlign w:val="bottom"/>
            <w:shd w:val="clear" w:color="auto" w:fill="E5E5E4"/>
          </w:tcPr>
          <w:p>
            <w:pPr>
              <w:spacing w:after="0"/>
              <w:rPr>
                <w:sz w:val="17"/>
                <w:szCs w:val="17"/>
                <w:color w:val="auto"/>
              </w:rPr>
            </w:pPr>
          </w:p>
        </w:tc>
        <w:tc>
          <w:tcPr>
            <w:tcW w:w="280" w:type="dxa"/>
            <w:vAlign w:val="bottom"/>
            <w:shd w:val="clear" w:color="auto" w:fill="E5E5E4"/>
          </w:tcPr>
          <w:p>
            <w:pPr>
              <w:spacing w:after="0"/>
              <w:rPr>
                <w:sz w:val="17"/>
                <w:szCs w:val="17"/>
                <w:color w:val="auto"/>
              </w:rPr>
            </w:pPr>
          </w:p>
        </w:tc>
        <w:tc>
          <w:tcPr>
            <w:tcW w:w="820" w:type="dxa"/>
            <w:vAlign w:val="bottom"/>
            <w:shd w:val="clear" w:color="auto" w:fill="E5E5E4"/>
          </w:tcPr>
          <w:p>
            <w:pPr>
              <w:spacing w:after="0"/>
              <w:rPr>
                <w:sz w:val="17"/>
                <w:szCs w:val="17"/>
                <w:color w:val="auto"/>
              </w:rPr>
            </w:pPr>
          </w:p>
        </w:tc>
        <w:tc>
          <w:tcPr>
            <w:tcW w:w="80" w:type="dxa"/>
            <w:vAlign w:val="bottom"/>
            <w:shd w:val="clear" w:color="auto" w:fill="E5E5E4"/>
          </w:tcPr>
          <w:p>
            <w:pPr>
              <w:spacing w:after="0"/>
              <w:rPr>
                <w:sz w:val="17"/>
                <w:szCs w:val="17"/>
                <w:color w:val="auto"/>
              </w:rPr>
            </w:pPr>
          </w:p>
        </w:tc>
        <w:tc>
          <w:tcPr>
            <w:tcW w:w="14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820" w:type="dxa"/>
            <w:vAlign w:val="bottom"/>
            <w:shd w:val="clear" w:color="auto" w:fill="E5E5E4"/>
          </w:tcPr>
          <w:p>
            <w:pPr>
              <w:spacing w:after="0"/>
              <w:rPr>
                <w:sz w:val="17"/>
                <w:szCs w:val="17"/>
                <w:color w:val="auto"/>
              </w:rPr>
            </w:pPr>
          </w:p>
        </w:tc>
        <w:tc>
          <w:tcPr>
            <w:tcW w:w="20" w:type="dxa"/>
            <w:vAlign w:val="bottom"/>
            <w:shd w:val="clear" w:color="auto" w:fill="E5E5E4"/>
          </w:tcPr>
          <w:p>
            <w:pPr>
              <w:spacing w:after="0"/>
              <w:rPr>
                <w:sz w:val="17"/>
                <w:szCs w:val="17"/>
                <w:color w:val="auto"/>
              </w:rPr>
            </w:pPr>
          </w:p>
        </w:tc>
        <w:tc>
          <w:tcPr>
            <w:tcW w:w="80" w:type="dxa"/>
            <w:vAlign w:val="bottom"/>
            <w:shd w:val="clear" w:color="auto" w:fill="E5E5E4"/>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Additions to property and equipment</w:t>
            </w:r>
          </w:p>
        </w:tc>
        <w:tc>
          <w:tcPr>
            <w:tcW w:w="300" w:type="dxa"/>
            <w:vAlign w:val="bottom"/>
          </w:tcPr>
          <w:p>
            <w:pPr>
              <w:spacing w:after="0"/>
              <w:rPr>
                <w:sz w:val="17"/>
                <w:szCs w:val="17"/>
                <w:color w:val="auto"/>
              </w:rPr>
            </w:pPr>
          </w:p>
        </w:tc>
        <w:tc>
          <w:tcPr>
            <w:tcW w:w="1080" w:type="dxa"/>
            <w:vAlign w:val="bottom"/>
            <w:gridSpan w:val="2"/>
          </w:tcPr>
          <w:p>
            <w:pPr>
              <w:jc w:val="right"/>
              <w:ind w:right="133"/>
              <w:spacing w:after="0" w:line="202" w:lineRule="exact"/>
              <w:rPr>
                <w:sz w:val="20"/>
                <w:szCs w:val="20"/>
                <w:color w:val="auto"/>
              </w:rPr>
            </w:pPr>
            <w:r>
              <w:rPr>
                <w:rFonts w:ascii="Arial" w:cs="Arial" w:eastAsia="Arial" w:hAnsi="Arial"/>
                <w:sz w:val="18"/>
                <w:szCs w:val="18"/>
                <w:b w:val="1"/>
                <w:bCs w:val="1"/>
                <w:color w:val="auto"/>
              </w:rPr>
              <w:t>(30,876)</w:t>
            </w:r>
          </w:p>
        </w:tc>
        <w:tc>
          <w:tcPr>
            <w:tcW w:w="3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(16,745)</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(80,146)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(47,472)</w:t>
            </w:r>
          </w:p>
        </w:tc>
        <w:tc>
          <w:tcPr>
            <w:tcW w:w="0" w:type="dxa"/>
            <w:vAlign w:val="bottom"/>
          </w:tcPr>
          <w:p>
            <w:pPr>
              <w:spacing w:after="0"/>
              <w:rPr>
                <w:sz w:val="1"/>
                <w:szCs w:val="1"/>
                <w:color w:val="auto"/>
              </w:rPr>
            </w:pPr>
          </w:p>
        </w:tc>
      </w:tr>
      <w:tr>
        <w:trPr>
          <w:trHeight w:val="184"/>
        </w:trPr>
        <w:tc>
          <w:tcPr>
            <w:tcW w:w="5980" w:type="dxa"/>
            <w:vAlign w:val="bottom"/>
            <w:shd w:val="clear" w:color="auto" w:fill="E5E5E4"/>
          </w:tcPr>
          <w:p>
            <w:pPr>
              <w:spacing w:after="0" w:line="183" w:lineRule="exact"/>
              <w:rPr>
                <w:sz w:val="20"/>
                <w:szCs w:val="20"/>
                <w:color w:val="auto"/>
              </w:rPr>
            </w:pPr>
            <w:r>
              <w:rPr>
                <w:rFonts w:ascii="Arial" w:cs="Arial" w:eastAsia="Arial" w:hAnsi="Arial"/>
                <w:sz w:val="18"/>
                <w:szCs w:val="18"/>
                <w:color w:val="auto"/>
              </w:rPr>
              <w:t>Acquisition of companies, net of cash acquired and divestitures, and</w:t>
            </w:r>
          </w:p>
        </w:tc>
        <w:tc>
          <w:tcPr>
            <w:tcW w:w="300" w:type="dxa"/>
            <w:vAlign w:val="bottom"/>
            <w:shd w:val="clear" w:color="auto" w:fill="E5E5E4"/>
          </w:tcPr>
          <w:p>
            <w:pPr>
              <w:spacing w:after="0"/>
              <w:rPr>
                <w:sz w:val="15"/>
                <w:szCs w:val="15"/>
                <w:color w:val="auto"/>
              </w:rPr>
            </w:pPr>
          </w:p>
        </w:tc>
        <w:tc>
          <w:tcPr>
            <w:tcW w:w="820" w:type="dxa"/>
            <w:vAlign w:val="bottom"/>
            <w:shd w:val="clear" w:color="auto" w:fill="E5E5E4"/>
          </w:tcPr>
          <w:p>
            <w:pPr>
              <w:spacing w:after="0"/>
              <w:rPr>
                <w:sz w:val="15"/>
                <w:szCs w:val="15"/>
                <w:color w:val="auto"/>
              </w:rPr>
            </w:pPr>
          </w:p>
        </w:tc>
        <w:tc>
          <w:tcPr>
            <w:tcW w:w="260" w:type="dxa"/>
            <w:vAlign w:val="bottom"/>
            <w:shd w:val="clear" w:color="auto" w:fill="E5E5E4"/>
          </w:tcPr>
          <w:p>
            <w:pPr>
              <w:spacing w:after="0"/>
              <w:rPr>
                <w:sz w:val="15"/>
                <w:szCs w:val="15"/>
                <w:color w:val="auto"/>
              </w:rPr>
            </w:pPr>
          </w:p>
        </w:tc>
        <w:tc>
          <w:tcPr>
            <w:tcW w:w="300" w:type="dxa"/>
            <w:vAlign w:val="bottom"/>
            <w:shd w:val="clear" w:color="auto" w:fill="E5E5E4"/>
          </w:tcPr>
          <w:p>
            <w:pPr>
              <w:spacing w:after="0"/>
              <w:rPr>
                <w:sz w:val="15"/>
                <w:szCs w:val="15"/>
                <w:color w:val="auto"/>
              </w:rPr>
            </w:pPr>
          </w:p>
        </w:tc>
        <w:tc>
          <w:tcPr>
            <w:tcW w:w="820" w:type="dxa"/>
            <w:vAlign w:val="bottom"/>
            <w:shd w:val="clear" w:color="auto" w:fill="E5E5E4"/>
          </w:tcPr>
          <w:p>
            <w:pPr>
              <w:spacing w:after="0"/>
              <w:rPr>
                <w:sz w:val="15"/>
                <w:szCs w:val="15"/>
                <w:color w:val="auto"/>
              </w:rPr>
            </w:pPr>
          </w:p>
        </w:tc>
        <w:tc>
          <w:tcPr>
            <w:tcW w:w="220" w:type="dxa"/>
            <w:vAlign w:val="bottom"/>
            <w:shd w:val="clear" w:color="auto" w:fill="E5E5E4"/>
          </w:tcPr>
          <w:p>
            <w:pPr>
              <w:spacing w:after="0"/>
              <w:rPr>
                <w:sz w:val="15"/>
                <w:szCs w:val="15"/>
                <w:color w:val="auto"/>
              </w:rPr>
            </w:pPr>
          </w:p>
        </w:tc>
        <w:tc>
          <w:tcPr>
            <w:tcW w:w="280" w:type="dxa"/>
            <w:vAlign w:val="bottom"/>
            <w:shd w:val="clear" w:color="auto" w:fill="E5E5E4"/>
          </w:tcPr>
          <w:p>
            <w:pPr>
              <w:spacing w:after="0"/>
              <w:rPr>
                <w:sz w:val="15"/>
                <w:szCs w:val="15"/>
                <w:color w:val="auto"/>
              </w:rPr>
            </w:pPr>
          </w:p>
        </w:tc>
        <w:tc>
          <w:tcPr>
            <w:tcW w:w="820" w:type="dxa"/>
            <w:vAlign w:val="bottom"/>
            <w:shd w:val="clear" w:color="auto" w:fill="E5E5E4"/>
          </w:tcPr>
          <w:p>
            <w:pPr>
              <w:spacing w:after="0"/>
              <w:rPr>
                <w:sz w:val="15"/>
                <w:szCs w:val="15"/>
                <w:color w:val="auto"/>
              </w:rPr>
            </w:pPr>
          </w:p>
        </w:tc>
        <w:tc>
          <w:tcPr>
            <w:tcW w:w="80" w:type="dxa"/>
            <w:vAlign w:val="bottom"/>
            <w:shd w:val="clear" w:color="auto" w:fill="E5E5E4"/>
          </w:tcPr>
          <w:p>
            <w:pPr>
              <w:spacing w:after="0"/>
              <w:rPr>
                <w:sz w:val="15"/>
                <w:szCs w:val="15"/>
                <w:color w:val="auto"/>
              </w:rPr>
            </w:pPr>
          </w:p>
        </w:tc>
        <w:tc>
          <w:tcPr>
            <w:tcW w:w="140" w:type="dxa"/>
            <w:vAlign w:val="bottom"/>
            <w:shd w:val="clear" w:color="auto" w:fill="E5E5E4"/>
          </w:tcPr>
          <w:p>
            <w:pPr>
              <w:spacing w:after="0"/>
              <w:rPr>
                <w:sz w:val="15"/>
                <w:szCs w:val="15"/>
                <w:color w:val="auto"/>
              </w:rPr>
            </w:pPr>
          </w:p>
        </w:tc>
        <w:tc>
          <w:tcPr>
            <w:tcW w:w="300" w:type="dxa"/>
            <w:vAlign w:val="bottom"/>
            <w:shd w:val="clear" w:color="auto" w:fill="E5E5E4"/>
          </w:tcPr>
          <w:p>
            <w:pPr>
              <w:spacing w:after="0"/>
              <w:rPr>
                <w:sz w:val="15"/>
                <w:szCs w:val="15"/>
                <w:color w:val="auto"/>
              </w:rPr>
            </w:pPr>
          </w:p>
        </w:tc>
        <w:tc>
          <w:tcPr>
            <w:tcW w:w="820" w:type="dxa"/>
            <w:vAlign w:val="bottom"/>
            <w:shd w:val="clear" w:color="auto" w:fill="E5E5E4"/>
          </w:tcPr>
          <w:p>
            <w:pPr>
              <w:spacing w:after="0"/>
              <w:rPr>
                <w:sz w:val="15"/>
                <w:szCs w:val="15"/>
                <w:color w:val="auto"/>
              </w:rPr>
            </w:pPr>
          </w:p>
        </w:tc>
        <w:tc>
          <w:tcPr>
            <w:tcW w:w="20" w:type="dxa"/>
            <w:vAlign w:val="bottom"/>
            <w:shd w:val="clear" w:color="auto" w:fill="E5E5E4"/>
          </w:tcPr>
          <w:p>
            <w:pPr>
              <w:spacing w:after="0"/>
              <w:rPr>
                <w:sz w:val="15"/>
                <w:szCs w:val="15"/>
                <w:color w:val="auto"/>
              </w:rPr>
            </w:pPr>
          </w:p>
        </w:tc>
        <w:tc>
          <w:tcPr>
            <w:tcW w:w="80" w:type="dxa"/>
            <w:vAlign w:val="bottom"/>
            <w:shd w:val="clear" w:color="auto" w:fill="E5E5E4"/>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80" w:type="dxa"/>
            <w:vAlign w:val="bottom"/>
            <w:shd w:val="clear" w:color="auto" w:fill="E5E5E4"/>
          </w:tcPr>
          <w:p>
            <w:pPr>
              <w:ind w:left="140"/>
              <w:spacing w:after="0"/>
              <w:rPr>
                <w:sz w:val="20"/>
                <w:szCs w:val="20"/>
                <w:color w:val="auto"/>
              </w:rPr>
            </w:pPr>
            <w:r>
              <w:rPr>
                <w:rFonts w:ascii="Arial" w:cs="Arial" w:eastAsia="Arial" w:hAnsi="Arial"/>
                <w:sz w:val="18"/>
                <w:szCs w:val="18"/>
                <w:color w:val="auto"/>
              </w:rPr>
              <w:t>purchases of intangible and other assets</w:t>
            </w:r>
          </w:p>
        </w:tc>
        <w:tc>
          <w:tcPr>
            <w:tcW w:w="300" w:type="dxa"/>
            <w:vAlign w:val="bottom"/>
            <w:shd w:val="clear" w:color="auto" w:fill="E5E5E4"/>
          </w:tcPr>
          <w:p>
            <w:pPr>
              <w:spacing w:after="0"/>
              <w:rPr>
                <w:sz w:val="19"/>
                <w:szCs w:val="19"/>
                <w:color w:val="auto"/>
              </w:rPr>
            </w:pPr>
          </w:p>
        </w:tc>
        <w:tc>
          <w:tcPr>
            <w:tcW w:w="1080" w:type="dxa"/>
            <w:vAlign w:val="bottom"/>
            <w:gridSpan w:val="2"/>
            <w:shd w:val="clear" w:color="auto" w:fill="E5E5E4"/>
          </w:tcPr>
          <w:p>
            <w:pPr>
              <w:jc w:val="right"/>
              <w:ind w:right="133"/>
              <w:spacing w:after="0"/>
              <w:rPr>
                <w:sz w:val="20"/>
                <w:szCs w:val="20"/>
                <w:color w:val="auto"/>
              </w:rPr>
            </w:pPr>
            <w:r>
              <w:rPr>
                <w:rFonts w:ascii="Arial" w:cs="Arial" w:eastAsia="Arial" w:hAnsi="Arial"/>
                <w:sz w:val="18"/>
                <w:szCs w:val="18"/>
                <w:b w:val="1"/>
                <w:bCs w:val="1"/>
                <w:color w:val="auto"/>
              </w:rPr>
              <w:t>(258)</w:t>
            </w:r>
          </w:p>
        </w:tc>
        <w:tc>
          <w:tcPr>
            <w:tcW w:w="300" w:type="dxa"/>
            <w:vAlign w:val="bottom"/>
            <w:shd w:val="clear" w:color="auto" w:fill="E5E5E4"/>
          </w:tcPr>
          <w:p>
            <w:pPr>
              <w:spacing w:after="0"/>
              <w:rPr>
                <w:sz w:val="19"/>
                <w:szCs w:val="19"/>
                <w:color w:val="auto"/>
              </w:rPr>
            </w:pPr>
          </w:p>
        </w:tc>
        <w:tc>
          <w:tcPr>
            <w:tcW w:w="1040" w:type="dxa"/>
            <w:vAlign w:val="bottom"/>
            <w:gridSpan w:val="2"/>
            <w:shd w:val="clear" w:color="auto" w:fill="E5E5E4"/>
          </w:tcPr>
          <w:p>
            <w:pPr>
              <w:jc w:val="right"/>
              <w:ind w:right="160"/>
              <w:spacing w:after="0"/>
              <w:rPr>
                <w:sz w:val="20"/>
                <w:szCs w:val="20"/>
                <w:color w:val="auto"/>
              </w:rPr>
            </w:pPr>
            <w:r>
              <w:rPr>
                <w:rFonts w:ascii="Arial" w:cs="Arial" w:eastAsia="Arial" w:hAnsi="Arial"/>
                <w:sz w:val="18"/>
                <w:szCs w:val="18"/>
                <w:color w:val="auto"/>
              </w:rPr>
              <w:t>(981)</w:t>
            </w:r>
          </w:p>
        </w:tc>
        <w:tc>
          <w:tcPr>
            <w:tcW w:w="280" w:type="dxa"/>
            <w:vAlign w:val="bottom"/>
            <w:shd w:val="clear" w:color="auto" w:fill="E5E5E4"/>
          </w:tcPr>
          <w:p>
            <w:pPr>
              <w:spacing w:after="0"/>
              <w:rPr>
                <w:sz w:val="19"/>
                <w:szCs w:val="19"/>
                <w:color w:val="auto"/>
              </w:rPr>
            </w:pPr>
          </w:p>
        </w:tc>
        <w:tc>
          <w:tcPr>
            <w:tcW w:w="900" w:type="dxa"/>
            <w:vAlign w:val="bottom"/>
            <w:gridSpan w:val="2"/>
            <w:shd w:val="clear" w:color="auto" w:fill="E5E5E4"/>
          </w:tcPr>
          <w:p>
            <w:pPr>
              <w:jc w:val="right"/>
              <w:ind w:right="20"/>
              <w:spacing w:after="0"/>
              <w:rPr>
                <w:sz w:val="20"/>
                <w:szCs w:val="20"/>
                <w:color w:val="auto"/>
              </w:rPr>
            </w:pPr>
            <w:r>
              <w:rPr>
                <w:rFonts w:ascii="Arial" w:cs="Arial" w:eastAsia="Arial" w:hAnsi="Arial"/>
                <w:sz w:val="18"/>
                <w:szCs w:val="18"/>
                <w:b w:val="1"/>
                <w:bCs w:val="1"/>
                <w:color w:val="auto"/>
              </w:rPr>
              <w:t>(1,291)</w:t>
            </w:r>
          </w:p>
        </w:tc>
        <w:tc>
          <w:tcPr>
            <w:tcW w:w="140" w:type="dxa"/>
            <w:vAlign w:val="bottom"/>
            <w:shd w:val="clear" w:color="auto" w:fill="E5E5E4"/>
          </w:tcPr>
          <w:p>
            <w:pPr>
              <w:spacing w:after="0"/>
              <w:rPr>
                <w:sz w:val="19"/>
                <w:szCs w:val="19"/>
                <w:color w:val="auto"/>
              </w:rPr>
            </w:pPr>
          </w:p>
        </w:tc>
        <w:tc>
          <w:tcPr>
            <w:tcW w:w="300" w:type="dxa"/>
            <w:vAlign w:val="bottom"/>
            <w:shd w:val="clear" w:color="auto" w:fill="E5E5E4"/>
          </w:tcPr>
          <w:p>
            <w:pPr>
              <w:spacing w:after="0"/>
              <w:rPr>
                <w:sz w:val="19"/>
                <w:szCs w:val="19"/>
                <w:color w:val="auto"/>
              </w:rPr>
            </w:pPr>
          </w:p>
        </w:tc>
        <w:tc>
          <w:tcPr>
            <w:tcW w:w="920" w:type="dxa"/>
            <w:vAlign w:val="bottom"/>
            <w:gridSpan w:val="3"/>
            <w:shd w:val="clear" w:color="auto" w:fill="E5E5E4"/>
          </w:tcPr>
          <w:p>
            <w:pPr>
              <w:jc w:val="right"/>
              <w:ind w:right="40"/>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Purchases of investments</w:t>
            </w:r>
          </w:p>
        </w:tc>
        <w:tc>
          <w:tcPr>
            <w:tcW w:w="300" w:type="dxa"/>
            <w:vAlign w:val="bottom"/>
          </w:tcPr>
          <w:p>
            <w:pPr>
              <w:spacing w:after="0"/>
              <w:rPr>
                <w:sz w:val="17"/>
                <w:szCs w:val="17"/>
                <w:color w:val="auto"/>
              </w:rPr>
            </w:pPr>
          </w:p>
        </w:tc>
        <w:tc>
          <w:tcPr>
            <w:tcW w:w="1080" w:type="dxa"/>
            <w:vAlign w:val="bottom"/>
            <w:gridSpan w:val="2"/>
          </w:tcPr>
          <w:p>
            <w:pPr>
              <w:jc w:val="right"/>
              <w:ind w:right="133"/>
              <w:spacing w:after="0" w:line="202" w:lineRule="exact"/>
              <w:rPr>
                <w:sz w:val="20"/>
                <w:szCs w:val="20"/>
                <w:color w:val="auto"/>
              </w:rPr>
            </w:pPr>
            <w:r>
              <w:rPr>
                <w:rFonts w:ascii="Arial" w:cs="Arial" w:eastAsia="Arial" w:hAnsi="Arial"/>
                <w:sz w:val="18"/>
                <w:szCs w:val="18"/>
                <w:b w:val="1"/>
                <w:bCs w:val="1"/>
                <w:color w:val="auto"/>
              </w:rPr>
              <w:t>(12,006)</w:t>
            </w:r>
          </w:p>
        </w:tc>
        <w:tc>
          <w:tcPr>
            <w:tcW w:w="3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(4,474)</w:t>
            </w:r>
          </w:p>
        </w:tc>
        <w:tc>
          <w:tcPr>
            <w:tcW w:w="28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(39,522)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Maturities of investments</w:t>
            </w:r>
          </w:p>
        </w:tc>
        <w:tc>
          <w:tcPr>
            <w:tcW w:w="300" w:type="dxa"/>
            <w:vAlign w:val="bottom"/>
            <w:shd w:val="clear" w:color="auto" w:fill="E5E5E4"/>
          </w:tcPr>
          <w:p>
            <w:pPr>
              <w:spacing w:after="0"/>
              <w:rPr>
                <w:sz w:val="17"/>
                <w:szCs w:val="17"/>
                <w:color w:val="auto"/>
              </w:rPr>
            </w:pPr>
          </w:p>
        </w:tc>
        <w:tc>
          <w:tcPr>
            <w:tcW w:w="820" w:type="dxa"/>
            <w:vAlign w:val="bottom"/>
            <w:shd w:val="clear" w:color="auto" w:fill="E5E5E4"/>
          </w:tcPr>
          <w:p>
            <w:pPr>
              <w:jc w:val="right"/>
              <w:spacing w:after="0" w:line="202" w:lineRule="exact"/>
              <w:rPr>
                <w:sz w:val="20"/>
                <w:szCs w:val="20"/>
                <w:color w:val="auto"/>
              </w:rPr>
            </w:pPr>
            <w:r>
              <w:rPr>
                <w:rFonts w:ascii="Arial" w:cs="Arial" w:eastAsia="Arial" w:hAnsi="Arial"/>
                <w:sz w:val="18"/>
                <w:szCs w:val="18"/>
                <w:b w:val="1"/>
                <w:bCs w:val="1"/>
                <w:color w:val="auto"/>
              </w:rPr>
              <w:t>11,976</w:t>
            </w:r>
          </w:p>
        </w:tc>
        <w:tc>
          <w:tcPr>
            <w:tcW w:w="26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6,721</w:t>
            </w:r>
          </w:p>
        </w:tc>
        <w:tc>
          <w:tcPr>
            <w:tcW w:w="280" w:type="dxa"/>
            <w:vAlign w:val="bottom"/>
            <w:shd w:val="clear" w:color="auto" w:fill="E5E5E4"/>
          </w:tcPr>
          <w:p>
            <w:pPr>
              <w:spacing w:after="0"/>
              <w:rPr>
                <w:sz w:val="17"/>
                <w:szCs w:val="17"/>
                <w:color w:val="auto"/>
              </w:rPr>
            </w:pPr>
          </w:p>
        </w:tc>
        <w:tc>
          <w:tcPr>
            <w:tcW w:w="900" w:type="dxa"/>
            <w:vAlign w:val="bottom"/>
            <w:gridSpan w:val="2"/>
            <w:shd w:val="clear" w:color="auto" w:fill="E5E5E4"/>
          </w:tcPr>
          <w:p>
            <w:pPr>
              <w:jc w:val="right"/>
              <w:ind w:right="80"/>
              <w:spacing w:after="0" w:line="202" w:lineRule="exact"/>
              <w:rPr>
                <w:sz w:val="20"/>
                <w:szCs w:val="20"/>
                <w:color w:val="auto"/>
              </w:rPr>
            </w:pPr>
            <w:r>
              <w:rPr>
                <w:rFonts w:ascii="Arial" w:cs="Arial" w:eastAsia="Arial" w:hAnsi="Arial"/>
                <w:sz w:val="18"/>
                <w:szCs w:val="18"/>
                <w:b w:val="1"/>
                <w:bCs w:val="1"/>
                <w:color w:val="auto"/>
              </w:rPr>
              <w:t>30,424</w:t>
            </w:r>
          </w:p>
        </w:tc>
        <w:tc>
          <w:tcPr>
            <w:tcW w:w="14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92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Sales of investments</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6,358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2,161</w:t>
            </w:r>
          </w:p>
        </w:tc>
        <w:tc>
          <w:tcPr>
            <w:tcW w:w="28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15,311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Other, net</w:t>
            </w:r>
          </w:p>
        </w:tc>
        <w:tc>
          <w:tcPr>
            <w:tcW w:w="300" w:type="dxa"/>
            <w:vAlign w:val="bottom"/>
            <w:shd w:val="clear" w:color="auto" w:fill="E5E5E4"/>
          </w:tcPr>
          <w:p>
            <w:pPr>
              <w:spacing w:after="0"/>
              <w:rPr>
                <w:sz w:val="17"/>
                <w:szCs w:val="17"/>
                <w:color w:val="auto"/>
              </w:rPr>
            </w:pPr>
          </w:p>
        </w:tc>
        <w:tc>
          <w:tcPr>
            <w:tcW w:w="1080" w:type="dxa"/>
            <w:vAlign w:val="bottom"/>
            <w:gridSpan w:val="2"/>
            <w:shd w:val="clear" w:color="auto" w:fill="E5E5E4"/>
          </w:tcPr>
          <w:p>
            <w:pPr>
              <w:jc w:val="right"/>
              <w:ind w:right="133"/>
              <w:spacing w:after="0" w:line="202" w:lineRule="exact"/>
              <w:rPr>
                <w:sz w:val="20"/>
                <w:szCs w:val="20"/>
                <w:color w:val="auto"/>
              </w:rPr>
            </w:pPr>
            <w:r>
              <w:rPr>
                <w:rFonts w:ascii="Arial" w:cs="Arial" w:eastAsia="Arial" w:hAnsi="Arial"/>
                <w:sz w:val="18"/>
                <w:szCs w:val="18"/>
                <w:b w:val="1"/>
                <w:bCs w:val="1"/>
                <w:color w:val="auto"/>
              </w:rPr>
              <w:t>(2,599)</w:t>
            </w: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604</w:t>
            </w:r>
          </w:p>
        </w:tc>
        <w:tc>
          <w:tcPr>
            <w:tcW w:w="280" w:type="dxa"/>
            <w:vAlign w:val="bottom"/>
            <w:shd w:val="clear" w:color="auto" w:fill="E5E5E4"/>
          </w:tcPr>
          <w:p>
            <w:pPr>
              <w:spacing w:after="0"/>
              <w:rPr>
                <w:sz w:val="17"/>
                <w:szCs w:val="17"/>
                <w:color w:val="auto"/>
              </w:rPr>
            </w:pPr>
          </w:p>
        </w:tc>
        <w:tc>
          <w:tcPr>
            <w:tcW w:w="900" w:type="dxa"/>
            <w:vAlign w:val="bottom"/>
            <w:gridSpan w:val="2"/>
            <w:shd w:val="clear" w:color="auto" w:fill="E5E5E4"/>
          </w:tcPr>
          <w:p>
            <w:pPr>
              <w:jc w:val="right"/>
              <w:ind w:right="20"/>
              <w:spacing w:after="0" w:line="202" w:lineRule="exact"/>
              <w:rPr>
                <w:sz w:val="20"/>
                <w:szCs w:val="20"/>
                <w:color w:val="auto"/>
              </w:rPr>
            </w:pPr>
            <w:r>
              <w:rPr>
                <w:rFonts w:ascii="Arial" w:cs="Arial" w:eastAsia="Arial" w:hAnsi="Arial"/>
                <w:sz w:val="18"/>
                <w:szCs w:val="18"/>
                <w:b w:val="1"/>
                <w:bCs w:val="1"/>
                <w:color w:val="auto"/>
              </w:rPr>
              <w:t>(9,445)</w:t>
            </w:r>
          </w:p>
        </w:tc>
        <w:tc>
          <w:tcPr>
            <w:tcW w:w="14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920" w:type="dxa"/>
            <w:vAlign w:val="bottom"/>
            <w:gridSpan w:val="3"/>
            <w:shd w:val="clear" w:color="auto" w:fill="E5E5E4"/>
          </w:tcPr>
          <w:p>
            <w:pPr>
              <w:jc w:val="right"/>
              <w:ind w:right="4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400"/>
              <w:spacing w:after="0"/>
              <w:rPr>
                <w:sz w:val="20"/>
                <w:szCs w:val="20"/>
                <w:color w:val="auto"/>
              </w:rPr>
            </w:pPr>
            <w:r>
              <w:rPr>
                <w:rFonts w:ascii="Arial" w:cs="Arial" w:eastAsia="Arial" w:hAnsi="Arial"/>
                <w:sz w:val="18"/>
                <w:szCs w:val="18"/>
                <w:color w:val="auto"/>
              </w:rPr>
              <w:t>Net cash used in investing</w:t>
            </w:r>
          </w:p>
        </w:tc>
        <w:tc>
          <w:tcPr>
            <w:tcW w:w="300" w:type="dxa"/>
            <w:vAlign w:val="bottom"/>
          </w:tcPr>
          <w:p>
            <w:pPr>
              <w:spacing w:after="0"/>
              <w:rPr>
                <w:sz w:val="23"/>
                <w:szCs w:val="23"/>
                <w:color w:val="auto"/>
              </w:rPr>
            </w:pPr>
          </w:p>
        </w:tc>
        <w:tc>
          <w:tcPr>
            <w:tcW w:w="108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(27,405)</w:t>
            </w:r>
          </w:p>
        </w:tc>
        <w:tc>
          <w:tcPr>
            <w:tcW w:w="300" w:type="dxa"/>
            <w:vAlign w:val="bottom"/>
          </w:tcPr>
          <w:p>
            <w:pPr>
              <w:spacing w:after="0"/>
              <w:rPr>
                <w:sz w:val="23"/>
                <w:szCs w:val="2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(12,714)</w:t>
            </w:r>
          </w:p>
        </w:tc>
        <w:tc>
          <w:tcPr>
            <w:tcW w:w="28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(84,669)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(42,027)</w:t>
            </w:r>
          </w:p>
        </w:tc>
        <w:tc>
          <w:tcPr>
            <w:tcW w:w="0" w:type="dxa"/>
            <w:vAlign w:val="bottom"/>
          </w:tcPr>
          <w:p>
            <w:pPr>
              <w:spacing w:after="0"/>
              <w:rPr>
                <w:sz w:val="1"/>
                <w:szCs w:val="1"/>
                <w:color w:val="auto"/>
              </w:rPr>
            </w:pPr>
          </w:p>
        </w:tc>
      </w:tr>
      <w:tr>
        <w:trPr>
          <w:trHeight w:val="40"/>
        </w:trPr>
        <w:tc>
          <w:tcPr>
            <w:tcW w:w="59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Effect of foreign exchange rates on cash and cash equivalents</w:t>
            </w:r>
          </w:p>
        </w:tc>
        <w:tc>
          <w:tcPr>
            <w:tcW w:w="300" w:type="dxa"/>
            <w:vAlign w:val="bottom"/>
            <w:shd w:val="clear" w:color="auto" w:fill="E5E5E4"/>
          </w:tcPr>
          <w:p>
            <w:pPr>
              <w:spacing w:after="0"/>
              <w:rPr>
                <w:sz w:val="17"/>
                <w:szCs w:val="17"/>
                <w:color w:val="auto"/>
              </w:rPr>
            </w:pPr>
          </w:p>
        </w:tc>
        <w:tc>
          <w:tcPr>
            <w:tcW w:w="1080" w:type="dxa"/>
            <w:vAlign w:val="bottom"/>
            <w:gridSpan w:val="2"/>
            <w:shd w:val="clear" w:color="auto" w:fill="E5E5E4"/>
          </w:tcPr>
          <w:p>
            <w:pPr>
              <w:jc w:val="right"/>
              <w:ind w:right="133"/>
              <w:spacing w:after="0" w:line="202" w:lineRule="exact"/>
              <w:rPr>
                <w:sz w:val="20"/>
                <w:szCs w:val="20"/>
                <w:color w:val="auto"/>
              </w:rPr>
            </w:pPr>
            <w:r>
              <w:rPr>
                <w:rFonts w:ascii="Arial" w:cs="Arial" w:eastAsia="Arial" w:hAnsi="Arial"/>
                <w:sz w:val="18"/>
                <w:szCs w:val="18"/>
                <w:b w:val="1"/>
                <w:bCs w:val="1"/>
                <w:color w:val="auto"/>
              </w:rPr>
              <w:t>(114)</w:t>
            </w: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52</w:t>
            </w:r>
          </w:p>
        </w:tc>
        <w:tc>
          <w:tcPr>
            <w:tcW w:w="280" w:type="dxa"/>
            <w:vAlign w:val="bottom"/>
            <w:shd w:val="clear" w:color="auto" w:fill="E5E5E4"/>
          </w:tcPr>
          <w:p>
            <w:pPr>
              <w:spacing w:after="0"/>
              <w:rPr>
                <w:sz w:val="17"/>
                <w:szCs w:val="17"/>
                <w:color w:val="auto"/>
              </w:rPr>
            </w:pPr>
          </w:p>
        </w:tc>
        <w:tc>
          <w:tcPr>
            <w:tcW w:w="900" w:type="dxa"/>
            <w:vAlign w:val="bottom"/>
            <w:gridSpan w:val="2"/>
            <w:shd w:val="clear" w:color="auto" w:fill="E5E5E4"/>
          </w:tcPr>
          <w:p>
            <w:pPr>
              <w:jc w:val="right"/>
              <w:ind w:right="20"/>
              <w:spacing w:after="0" w:line="202" w:lineRule="exact"/>
              <w:rPr>
                <w:sz w:val="20"/>
                <w:szCs w:val="20"/>
                <w:color w:val="auto"/>
              </w:rPr>
            </w:pPr>
            <w:r>
              <w:rPr>
                <w:rFonts w:ascii="Arial" w:cs="Arial" w:eastAsia="Arial" w:hAnsi="Arial"/>
                <w:sz w:val="18"/>
                <w:szCs w:val="18"/>
                <w:b w:val="1"/>
                <w:bCs w:val="1"/>
                <w:color w:val="auto"/>
              </w:rPr>
              <w:t>(195)</w:t>
            </w:r>
          </w:p>
        </w:tc>
        <w:tc>
          <w:tcPr>
            <w:tcW w:w="14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920" w:type="dxa"/>
            <w:vAlign w:val="bottom"/>
            <w:gridSpan w:val="3"/>
            <w:shd w:val="clear" w:color="auto" w:fill="E5E5E4"/>
          </w:tcPr>
          <w:p>
            <w:pPr>
              <w:jc w:val="right"/>
              <w:ind w:right="40"/>
              <w:spacing w:after="0" w:line="202"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7,809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11,346</w:t>
            </w:r>
          </w:p>
        </w:tc>
        <w:tc>
          <w:tcPr>
            <w:tcW w:w="2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1,863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03"/>
        </w:trPr>
        <w:tc>
          <w:tcPr>
            <w:tcW w:w="59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E5E5E4"/>
          </w:tcPr>
          <w:p>
            <w:pPr>
              <w:spacing w:after="0"/>
              <w:rPr>
                <w:sz w:val="17"/>
                <w:szCs w:val="17"/>
                <w:color w:val="auto"/>
              </w:rPr>
            </w:pPr>
          </w:p>
        </w:tc>
        <w:tc>
          <w:tcPr>
            <w:tcW w:w="820" w:type="dxa"/>
            <w:vAlign w:val="bottom"/>
            <w:shd w:val="clear" w:color="auto" w:fill="E5E5E4"/>
          </w:tcPr>
          <w:p>
            <w:pPr>
              <w:jc w:val="right"/>
              <w:spacing w:after="0" w:line="202" w:lineRule="exact"/>
              <w:rPr>
                <w:sz w:val="20"/>
                <w:szCs w:val="20"/>
                <w:color w:val="auto"/>
              </w:rPr>
            </w:pPr>
            <w:r>
              <w:rPr>
                <w:rFonts w:ascii="Arial" w:cs="Arial" w:eastAsia="Arial" w:hAnsi="Arial"/>
                <w:sz w:val="18"/>
                <w:szCs w:val="18"/>
                <w:b w:val="1"/>
                <w:bCs w:val="1"/>
                <w:color w:val="auto"/>
              </w:rPr>
              <w:t>24,296</w:t>
            </w:r>
          </w:p>
        </w:tc>
        <w:tc>
          <w:tcPr>
            <w:tcW w:w="26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17,482</w:t>
            </w:r>
          </w:p>
        </w:tc>
        <w:tc>
          <w:tcPr>
            <w:tcW w:w="280" w:type="dxa"/>
            <w:vAlign w:val="bottom"/>
            <w:shd w:val="clear" w:color="auto" w:fill="E5E5E4"/>
          </w:tcPr>
          <w:p>
            <w:pPr>
              <w:spacing w:after="0"/>
              <w:rPr>
                <w:sz w:val="17"/>
                <w:szCs w:val="17"/>
                <w:color w:val="auto"/>
              </w:rPr>
            </w:pPr>
          </w:p>
        </w:tc>
        <w:tc>
          <w:tcPr>
            <w:tcW w:w="900" w:type="dxa"/>
            <w:vAlign w:val="bottom"/>
            <w:gridSpan w:val="2"/>
            <w:shd w:val="clear" w:color="auto" w:fill="E5E5E4"/>
          </w:tcPr>
          <w:p>
            <w:pPr>
              <w:jc w:val="right"/>
              <w:ind w:right="80"/>
              <w:spacing w:after="0" w:line="202" w:lineRule="exact"/>
              <w:rPr>
                <w:sz w:val="20"/>
                <w:szCs w:val="20"/>
                <w:color w:val="auto"/>
              </w:rPr>
            </w:pPr>
            <w:r>
              <w:rPr>
                <w:rFonts w:ascii="Arial" w:cs="Arial" w:eastAsia="Arial" w:hAnsi="Arial"/>
                <w:sz w:val="18"/>
                <w:szCs w:val="18"/>
                <w:b w:val="1"/>
                <w:bCs w:val="1"/>
                <w:color w:val="auto"/>
              </w:rPr>
              <w:t>30,242</w:t>
            </w:r>
          </w:p>
        </w:tc>
        <w:tc>
          <w:tcPr>
            <w:tcW w:w="14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920" w:type="dxa"/>
            <w:vAlign w:val="bottom"/>
            <w:gridSpan w:val="3"/>
            <w:shd w:val="clear" w:color="auto" w:fill="E5E5E4"/>
          </w:tcPr>
          <w:p>
            <w:pPr>
              <w:jc w:val="right"/>
              <w:ind w:right="100"/>
              <w:spacing w:after="0" w:line="202" w:lineRule="exact"/>
              <w:rPr>
                <w:sz w:val="20"/>
                <w:szCs w:val="20"/>
                <w:color w:val="auto"/>
              </w:rPr>
            </w:pPr>
            <w:r>
              <w:rPr>
                <w:rFonts w:ascii="Arial" w:cs="Arial" w:eastAsia="Arial" w:hAnsi="Arial"/>
                <w:sz w:val="18"/>
                <w:szCs w:val="18"/>
                <w:color w:val="auto"/>
              </w:rPr>
              <w:t>18,315</w:t>
            </w: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32,105</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28,828</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32,105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28,828</w:t>
            </w:r>
          </w:p>
        </w:tc>
        <w:tc>
          <w:tcPr>
            <w:tcW w:w="0" w:type="dxa"/>
            <w:vAlign w:val="bottom"/>
          </w:tcPr>
          <w:p>
            <w:pPr>
              <w:spacing w:after="0"/>
              <w:rPr>
                <w:sz w:val="1"/>
                <w:szCs w:val="1"/>
                <w:color w:val="auto"/>
              </w:rPr>
            </w:pPr>
          </w:p>
        </w:tc>
      </w:tr>
      <w:tr>
        <w:trPr>
          <w:trHeight w:val="35"/>
        </w:trPr>
        <w:tc>
          <w:tcPr>
            <w:tcW w:w="598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9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93"/>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153"/>
              <w:spacing w:after="0"/>
              <w:rPr>
                <w:sz w:val="20"/>
                <w:szCs w:val="20"/>
                <w:color w:val="auto"/>
              </w:rPr>
            </w:pPr>
            <w:r>
              <w:rPr>
                <w:rFonts w:ascii="Arial" w:cs="Arial" w:eastAsia="Arial" w:hAnsi="Arial"/>
                <w:sz w:val="13"/>
                <w:szCs w:val="13"/>
                <w:b w:val="1"/>
                <w:bCs w:val="1"/>
                <w:color w:val="auto"/>
              </w:rPr>
              <w:t>2026</w:t>
            </w: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Common stock and paid-in capital</w:t>
            </w:r>
          </w:p>
        </w:tc>
        <w:tc>
          <w:tcPr>
            <w:tcW w:w="3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93"/>
              <w:spacing w:after="0" w:line="202" w:lineRule="exact"/>
              <w:rPr>
                <w:sz w:val="20"/>
                <w:szCs w:val="20"/>
                <w:color w:val="auto"/>
              </w:rPr>
            </w:pPr>
            <w:r>
              <w:rPr>
                <w:rFonts w:ascii="Arial" w:cs="Arial" w:eastAsia="Arial" w:hAnsi="Arial"/>
                <w:sz w:val="18"/>
                <w:szCs w:val="18"/>
                <w:b w:val="1"/>
                <w:bCs w:val="1"/>
                <w:color w:val="auto"/>
              </w:rPr>
              <w:t>112,788</w:t>
            </w:r>
          </w:p>
        </w:tc>
        <w:tc>
          <w:tcPr>
            <w:tcW w:w="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104,829</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53"/>
              <w:spacing w:after="0" w:line="202" w:lineRule="exact"/>
              <w:rPr>
                <w:sz w:val="20"/>
                <w:szCs w:val="20"/>
                <w:color w:val="auto"/>
              </w:rPr>
            </w:pPr>
            <w:r>
              <w:rPr>
                <w:rFonts w:ascii="Arial" w:cs="Arial" w:eastAsia="Arial" w:hAnsi="Arial"/>
                <w:sz w:val="18"/>
                <w:szCs w:val="18"/>
                <w:b w:val="1"/>
                <w:bCs w:val="1"/>
                <w:color w:val="auto"/>
              </w:rPr>
              <w:t>109,095</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100,923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541</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546</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1,489</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300" w:type="dxa"/>
            <w:vAlign w:val="bottom"/>
          </w:tcPr>
          <w:p>
            <w:pPr>
              <w:spacing w:after="0"/>
              <w:rPr>
                <w:sz w:val="17"/>
                <w:szCs w:val="17"/>
                <w:color w:val="auto"/>
              </w:rPr>
            </w:pPr>
          </w:p>
        </w:tc>
        <w:tc>
          <w:tcPr>
            <w:tcW w:w="1000" w:type="dxa"/>
            <w:vAlign w:val="bottom"/>
            <w:gridSpan w:val="2"/>
          </w:tcPr>
          <w:p>
            <w:pPr>
              <w:jc w:val="right"/>
              <w:ind w:right="33"/>
              <w:spacing w:after="0" w:line="202" w:lineRule="exact"/>
              <w:rPr>
                <w:sz w:val="20"/>
                <w:szCs w:val="20"/>
                <w:color w:val="auto"/>
              </w:rPr>
            </w:pPr>
            <w:r>
              <w:rPr>
                <w:rFonts w:ascii="Arial" w:cs="Arial" w:eastAsia="Arial" w:hAnsi="Arial"/>
                <w:sz w:val="18"/>
                <w:szCs w:val="18"/>
                <w:b w:val="1"/>
                <w:bCs w:val="1"/>
                <w:color w:val="auto"/>
              </w:rPr>
              <w:t>(1,341)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(1,390)</w:t>
            </w:r>
          </w:p>
        </w:tc>
        <w:tc>
          <w:tcPr>
            <w:tcW w:w="280" w:type="dxa"/>
            <w:vAlign w:val="bottom"/>
          </w:tcPr>
          <w:p>
            <w:pPr>
              <w:spacing w:after="0"/>
              <w:rPr>
                <w:sz w:val="17"/>
                <w:szCs w:val="17"/>
                <w:color w:val="auto"/>
              </w:rPr>
            </w:pPr>
          </w:p>
        </w:tc>
        <w:tc>
          <w:tcPr>
            <w:tcW w:w="1040" w:type="dxa"/>
            <w:vAlign w:val="bottom"/>
            <w:gridSpan w:val="2"/>
          </w:tcPr>
          <w:p>
            <w:pPr>
              <w:jc w:val="right"/>
              <w:ind w:right="93"/>
              <w:spacing w:after="0" w:line="202" w:lineRule="exact"/>
              <w:rPr>
                <w:sz w:val="20"/>
                <w:szCs w:val="20"/>
                <w:color w:val="auto"/>
              </w:rPr>
            </w:pPr>
            <w:r>
              <w:rPr>
                <w:rFonts w:ascii="Arial" w:cs="Arial" w:eastAsia="Arial" w:hAnsi="Arial"/>
                <w:sz w:val="18"/>
                <w:szCs w:val="18"/>
                <w:b w:val="1"/>
                <w:bCs w:val="1"/>
                <w:color w:val="auto"/>
              </w:rPr>
              <w:t>(4,796)</w:t>
            </w:r>
          </w:p>
        </w:tc>
        <w:tc>
          <w:tcPr>
            <w:tcW w:w="26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3,081</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2,980</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9,283</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00" w:type="dxa"/>
            <w:vAlign w:val="bottom"/>
            <w:gridSpan w:val="2"/>
          </w:tcPr>
          <w:p>
            <w:pPr>
              <w:jc w:val="right"/>
              <w:ind w:right="93"/>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1040" w:type="dxa"/>
            <w:vAlign w:val="bottom"/>
            <w:gridSpan w:val="2"/>
          </w:tcPr>
          <w:p>
            <w:pPr>
              <w:jc w:val="right"/>
              <w:ind w:right="93"/>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115,069</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106,965</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115,069</w:t>
            </w:r>
          </w:p>
        </w:tc>
        <w:tc>
          <w:tcPr>
            <w:tcW w:w="2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106,965</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280,789</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203,482</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237,731</w:t>
            </w:r>
          </w:p>
        </w:tc>
        <w:tc>
          <w:tcPr>
            <w:tcW w:w="2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173,144</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7"/>
                <w:szCs w:val="17"/>
                <w:color w:val="auto"/>
              </w:rPr>
            </w:pPr>
          </w:p>
        </w:tc>
        <w:tc>
          <w:tcPr>
            <w:tcW w:w="1000" w:type="dxa"/>
            <w:vAlign w:val="bottom"/>
            <w:gridSpan w:val="2"/>
          </w:tcPr>
          <w:p>
            <w:pPr>
              <w:jc w:val="right"/>
              <w:ind w:right="93"/>
              <w:spacing w:after="0" w:line="202" w:lineRule="exact"/>
              <w:rPr>
                <w:sz w:val="20"/>
                <w:szCs w:val="20"/>
                <w:color w:val="auto"/>
              </w:rPr>
            </w:pPr>
            <w:r>
              <w:rPr>
                <w:rFonts w:ascii="Arial" w:cs="Arial" w:eastAsia="Arial" w:hAnsi="Arial"/>
                <w:sz w:val="18"/>
                <w:szCs w:val="18"/>
                <w:b w:val="1"/>
                <w:bCs w:val="1"/>
                <w:color w:val="auto"/>
              </w:rPr>
              <w:t>31,778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25,824</w:t>
            </w:r>
          </w:p>
        </w:tc>
        <w:tc>
          <w:tcPr>
            <w:tcW w:w="280" w:type="dxa"/>
            <w:vAlign w:val="bottom"/>
          </w:tcPr>
          <w:p>
            <w:pPr>
              <w:spacing w:after="0"/>
              <w:rPr>
                <w:sz w:val="17"/>
                <w:szCs w:val="17"/>
                <w:color w:val="auto"/>
              </w:rPr>
            </w:pPr>
          </w:p>
        </w:tc>
        <w:tc>
          <w:tcPr>
            <w:tcW w:w="1040" w:type="dxa"/>
            <w:vAlign w:val="bottom"/>
            <w:gridSpan w:val="2"/>
          </w:tcPr>
          <w:p>
            <w:pPr>
              <w:jc w:val="right"/>
              <w:ind w:right="153"/>
              <w:spacing w:after="0" w:line="202" w:lineRule="exact"/>
              <w:rPr>
                <w:sz w:val="20"/>
                <w:szCs w:val="20"/>
                <w:color w:val="auto"/>
              </w:rPr>
            </w:pPr>
            <w:r>
              <w:rPr>
                <w:rFonts w:ascii="Arial" w:cs="Arial" w:eastAsia="Arial" w:hAnsi="Arial"/>
                <w:sz w:val="18"/>
                <w:szCs w:val="18"/>
                <w:b w:val="1"/>
                <w:bCs w:val="1"/>
                <w:color w:val="auto"/>
              </w:rPr>
              <w:t>97,983</w:t>
            </w:r>
          </w:p>
        </w:tc>
        <w:tc>
          <w:tcPr>
            <w:tcW w:w="26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74,599</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w:t>
            </w: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33"/>
              <w:spacing w:after="0" w:line="202" w:lineRule="exact"/>
              <w:rPr>
                <w:sz w:val="20"/>
                <w:szCs w:val="20"/>
                <w:color w:val="auto"/>
              </w:rPr>
            </w:pPr>
            <w:r>
              <w:rPr>
                <w:rFonts w:ascii="Arial" w:cs="Arial" w:eastAsia="Arial" w:hAnsi="Arial"/>
                <w:sz w:val="18"/>
                <w:szCs w:val="18"/>
                <w:b w:val="1"/>
                <w:bCs w:val="1"/>
                <w:color w:val="auto"/>
              </w:rPr>
              <w:t>(6,756)</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(6,168)</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(20,277)</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300" w:type="dxa"/>
            <w:vAlign w:val="bottom"/>
          </w:tcPr>
          <w:p>
            <w:pPr>
              <w:spacing w:after="0"/>
              <w:rPr>
                <w:sz w:val="21"/>
                <w:szCs w:val="21"/>
                <w:color w:val="auto"/>
              </w:rPr>
            </w:pPr>
          </w:p>
        </w:tc>
        <w:tc>
          <w:tcPr>
            <w:tcW w:w="1000" w:type="dxa"/>
            <w:vAlign w:val="bottom"/>
            <w:gridSpan w:val="2"/>
          </w:tcPr>
          <w:p>
            <w:pPr>
              <w:jc w:val="right"/>
              <w:ind w:right="33"/>
              <w:spacing w:after="0"/>
              <w:rPr>
                <w:sz w:val="20"/>
                <w:szCs w:val="20"/>
                <w:color w:val="auto"/>
              </w:rPr>
            </w:pPr>
            <w:r>
              <w:rPr>
                <w:rFonts w:ascii="Arial" w:cs="Arial" w:eastAsia="Arial" w:hAnsi="Arial"/>
                <w:sz w:val="18"/>
                <w:szCs w:val="18"/>
                <w:b w:val="1"/>
                <w:bCs w:val="1"/>
                <w:color w:val="auto"/>
              </w:rPr>
              <w:t>(3,285)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(3,379)</w:t>
            </w:r>
          </w:p>
        </w:tc>
        <w:tc>
          <w:tcPr>
            <w:tcW w:w="280" w:type="dxa"/>
            <w:vAlign w:val="bottom"/>
          </w:tcPr>
          <w:p>
            <w:pPr>
              <w:spacing w:after="0"/>
              <w:rPr>
                <w:sz w:val="21"/>
                <w:szCs w:val="21"/>
                <w:color w:val="auto"/>
              </w:rPr>
            </w:pPr>
          </w:p>
        </w:tc>
        <w:tc>
          <w:tcPr>
            <w:tcW w:w="1040" w:type="dxa"/>
            <w:vAlign w:val="bottom"/>
            <w:gridSpan w:val="2"/>
          </w:tcPr>
          <w:p>
            <w:pPr>
              <w:jc w:val="right"/>
              <w:ind w:right="93"/>
              <w:spacing w:after="0"/>
              <w:rPr>
                <w:sz w:val="20"/>
                <w:szCs w:val="20"/>
                <w:color w:val="auto"/>
              </w:rPr>
            </w:pPr>
            <w:r>
              <w:rPr>
                <w:rFonts w:ascii="Arial" w:cs="Arial" w:eastAsia="Arial" w:hAnsi="Arial"/>
                <w:sz w:val="18"/>
                <w:szCs w:val="18"/>
                <w:b w:val="1"/>
                <w:bCs w:val="1"/>
                <w:color w:val="auto"/>
              </w:rPr>
              <w:t>(12,911)</w:t>
            </w:r>
          </w:p>
        </w:tc>
        <w:tc>
          <w:tcPr>
            <w:tcW w:w="2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(9,476)</w:t>
            </w: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302,526</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219,759</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302,526</w:t>
            </w:r>
          </w:p>
        </w:tc>
        <w:tc>
          <w:tcPr>
            <w:tcW w:w="2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219,759</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33"/>
              <w:spacing w:after="0" w:line="202" w:lineRule="exact"/>
              <w:rPr>
                <w:sz w:val="20"/>
                <w:szCs w:val="20"/>
                <w:color w:val="auto"/>
              </w:rPr>
            </w:pPr>
            <w:r>
              <w:rPr>
                <w:rFonts w:ascii="Arial" w:cs="Arial" w:eastAsia="Arial" w:hAnsi="Arial"/>
                <w:sz w:val="18"/>
                <w:szCs w:val="18"/>
                <w:b w:val="1"/>
                <w:bCs w:val="1"/>
                <w:color w:val="auto"/>
              </w:rPr>
              <w:t>(2,702)</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(5,616)</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(3,347)</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1000" w:type="dxa"/>
            <w:vAlign w:val="bottom"/>
            <w:gridSpan w:val="2"/>
          </w:tcPr>
          <w:p>
            <w:pPr>
              <w:jc w:val="right"/>
              <w:ind w:right="33"/>
              <w:spacing w:after="0"/>
              <w:rPr>
                <w:sz w:val="20"/>
                <w:szCs w:val="20"/>
                <w:color w:val="auto"/>
              </w:rPr>
            </w:pPr>
            <w:r>
              <w:rPr>
                <w:rFonts w:ascii="Arial" w:cs="Arial" w:eastAsia="Arial" w:hAnsi="Arial"/>
                <w:sz w:val="18"/>
                <w:szCs w:val="18"/>
                <w:b w:val="1"/>
                <w:bCs w:val="1"/>
                <w:color w:val="auto"/>
              </w:rPr>
              <w:t>(526)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21"/>
                <w:szCs w:val="21"/>
                <w:color w:val="auto"/>
              </w:rPr>
            </w:pPr>
          </w:p>
        </w:tc>
        <w:tc>
          <w:tcPr>
            <w:tcW w:w="1040" w:type="dxa"/>
            <w:vAlign w:val="bottom"/>
            <w:gridSpan w:val="2"/>
          </w:tcPr>
          <w:p>
            <w:pPr>
              <w:jc w:val="right"/>
              <w:ind w:right="153"/>
              <w:spacing w:after="0"/>
              <w:rPr>
                <w:sz w:val="20"/>
                <w:szCs w:val="20"/>
                <w:color w:val="auto"/>
              </w:rPr>
            </w:pPr>
            <w:r>
              <w:rPr>
                <w:rFonts w:ascii="Arial" w:cs="Arial" w:eastAsia="Arial" w:hAnsi="Arial"/>
                <w:sz w:val="18"/>
                <w:szCs w:val="18"/>
                <w:b w:val="1"/>
                <w:bCs w:val="1"/>
                <w:color w:val="auto"/>
              </w:rPr>
              <w:t>119</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9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33"/>
              <w:spacing w:after="0" w:line="202" w:lineRule="exact"/>
              <w:rPr>
                <w:sz w:val="20"/>
                <w:szCs w:val="20"/>
                <w:color w:val="auto"/>
              </w:rPr>
            </w:pPr>
            <w:r>
              <w:rPr>
                <w:rFonts w:ascii="Arial" w:cs="Arial" w:eastAsia="Arial" w:hAnsi="Arial"/>
                <w:sz w:val="18"/>
                <w:szCs w:val="18"/>
                <w:b w:val="1"/>
                <w:bCs w:val="1"/>
                <w:color w:val="auto"/>
              </w:rPr>
              <w:t>(3,228)</w:t>
            </w:r>
          </w:p>
        </w:tc>
        <w:tc>
          <w:tcPr>
            <w:tcW w:w="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(4,833)</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(3,228)</w:t>
            </w:r>
          </w:p>
        </w:tc>
        <w:tc>
          <w:tcPr>
            <w:tcW w:w="2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41"/>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9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93"/>
              <w:spacing w:after="0"/>
              <w:rPr>
                <w:sz w:val="20"/>
                <w:szCs w:val="20"/>
                <w:color w:val="auto"/>
              </w:rPr>
            </w:pPr>
            <w:r>
              <w:rPr>
                <w:rFonts w:ascii="Arial" w:cs="Arial" w:eastAsia="Arial" w:hAnsi="Arial"/>
                <w:sz w:val="18"/>
                <w:szCs w:val="18"/>
                <w:b w:val="1"/>
                <w:bCs w:val="1"/>
                <w:color w:val="auto"/>
              </w:rPr>
              <w:t>414,367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321,891</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53"/>
              <w:spacing w:after="0"/>
              <w:rPr>
                <w:sz w:val="20"/>
                <w:szCs w:val="20"/>
                <w:color w:val="auto"/>
              </w:rPr>
            </w:pPr>
            <w:r>
              <w:rPr>
                <w:rFonts w:ascii="Arial" w:cs="Arial" w:eastAsia="Arial" w:hAnsi="Arial"/>
                <w:sz w:val="18"/>
                <w:szCs w:val="18"/>
                <w:b w:val="1"/>
                <w:bCs w:val="1"/>
                <w:color w:val="auto"/>
              </w:rPr>
              <w:t>414,367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321,891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98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dividends declared per common share</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93"/>
              <w:spacing w:after="0" w:line="202" w:lineRule="exact"/>
              <w:rPr>
                <w:sz w:val="20"/>
                <w:szCs w:val="20"/>
                <w:color w:val="auto"/>
              </w:rPr>
            </w:pPr>
            <w:r>
              <w:rPr>
                <w:rFonts w:ascii="Arial" w:cs="Arial" w:eastAsia="Arial" w:hAnsi="Arial"/>
                <w:sz w:val="18"/>
                <w:szCs w:val="18"/>
                <w:b w:val="1"/>
                <w:bCs w:val="1"/>
                <w:color w:val="auto"/>
              </w:rPr>
              <w:t>0.91</w:t>
            </w:r>
          </w:p>
        </w:tc>
        <w:tc>
          <w:tcPr>
            <w:tcW w:w="3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0.83</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2.73</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2.49</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7" w:name="page8"/>
    <w:bookmarkEnd w:id="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2025 Form 10-K filed with the U.S. Securities and Exchange Commission on July 30, 2025.</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recast certain prior period amounts on our consolidated cash flows statements to conform to the current period presentation. The recast of these prior period amounts had no impact on our consolidated balance sheets, consolidated income statements, or net cash from (used in) operations, investing, or financing on our consolidated cash flows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the fair value of and/or potential impairment of goodwill and intangible assets for our reporting units; product life cycles; useful lives of our tangible and intangible assets; allowances for doubtful accounts;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 w:name="page9"/>
    <w:bookmarkEnd w:id="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Equity investments with readily determinable fair values are generally measured at fair value. Equity investments that are not recorded at fair value are measured using the equity method of accounting when required or measured at cost with adjustments for observable changes in price or impairments (referred to as the measurement alternative). For equity investments recorded at fair value, we perform a qualitative assessment on a periodic basis and recognize an impairment if there are sufficient indicators that the fair value of the investment is less than carrying value. Changes in fair value are recorded in other income (expense), net. Equity method investments may be recorded on a lag of up to three months when sufficient financial information is not available in a timely manner. For equity method investments recorded on a lag, we recognize the impact of intervening events that have a material impact on our consolidated financial statements in the period in which they occurred.</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w:t>
      </w:r>
    </w:p>
    <w:p>
      <w:pPr>
        <w:spacing w:after="0" w:line="1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 long-term strategic partnership with OpenAI. In October 2025, we signed a new definitive agreement with OpenAI that extends this partnership. Additionally, OpenAI formed a public benefit corporation and completed a recapitalization (“OpenAI Recapitalization”). We have an investment of approximately 27 percent of OpenAI on an as-converted basis accounted for under the equity method of accounting. As a result of the OpenAI Recapitalization, we had a decrease in our proportionate ownership of OpenAI and recorded a dilution gain in other income (expense), net. Refer to Note 3 – Other Income (Expense), Net for additional information. We calculate our equity method income or loss using the hypothetical liquidation at book value (“HLBV”) method because our liquidation rights and priorities differ from our underlying ownership interest. Under the HLBV method, we recognize income or loss based on the change in the amount we would receive if the net assets of the investee were distributed at book value. We have made total funding commitments of $13 billion, of which $11.8 billion has been funded as of March 31,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 w:name="page10"/>
    <w:bookmarkEnd w:id="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34" w:lineRule="exact"/>
        <w:rPr>
          <w:sz w:val="20"/>
          <w:szCs w:val="20"/>
          <w:color w:val="auto"/>
        </w:rPr>
      </w:pPr>
    </w:p>
    <w:p>
      <w:pPr>
        <w:jc w:val="both"/>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spacing w:after="0" w:line="47"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and June 30, 2025, long-term accounts receivable, net of allowance for doubtful accounts, was $5.1 billion and $5.2 billion, respectively, and is included in other long-term assets in our consolidated balance sheets.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March 31, 2026 and June 30, 2025, other receivables related to activities to facilitate the purchase of server components were $17.8 billion and $8.2 billion, respectively, and are included in other current assets in our consolidated balance sheets. Additionally, as of March 31, 2026, restricted investments pursuant to a supplier agreement were $11.5 billion, with $2.8 billion included in short-term investments and $8.7 billion included in equity and other investments in our consolidated balance sheet.</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record financing receivables when we offer certain customers the option to acquire our software products and services offerings through a financing program in a limited number of countries. As of March 31, 2026 and June 30, 2025, our financing receivables, net were $2.6 billion and $4.3 billion, respectively, for short-term and long-term financing receivables, which are included in other current assets and other long-term assets in our consolidated balance sheets.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an allowance for doubtful accounts which reflects our best estimate of credit losses inherent in the accounts receivable and financing receivable balances. We determine the allowance based on known troubled accounts, historical experience, and other currently available evidence.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0" w:name="page11"/>
    <w:bookmarkEnd w:id="1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Improvements to Income Tax Disclosures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2023, the Financial Accounting Standards Board (“FASB”) issued a new standard to improve income tax disclosures. The guidance requires additional disclosure of disaggregated income taxes paid and prescribes standardized categories for the components of the effective tax rate reconciliation. We will adopt the standard prospectively on the effective date in our annual reporting for fiscal year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 Disaggregation of Income Statement Expenses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annual reporting for fiscal year 2028 and interim periods thereafter, with early adoption permitted. We are currently evaluating the impact of this standard on our disclosures.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amounts)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80" w:type="dxa"/>
            <w:vAlign w:val="bottom"/>
            <w:gridSpan w:val="6"/>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2026</w:t>
            </w: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60" w:type="dxa"/>
            <w:vAlign w:val="bottom"/>
            <w:shd w:val="clear" w:color="auto" w:fill="E5E5E5"/>
          </w:tcPr>
          <w:p>
            <w:pPr>
              <w:spacing w:after="0"/>
              <w:rPr>
                <w:sz w:val="20"/>
                <w:szCs w:val="20"/>
                <w:color w:val="auto"/>
              </w:rPr>
            </w:pPr>
            <w:r>
              <w:rPr>
                <w:rFonts w:ascii="Arial" w:cs="Arial" w:eastAsia="Arial" w:hAnsi="Arial"/>
                <w:sz w:val="18"/>
                <w:szCs w:val="18"/>
                <w:color w:val="auto"/>
              </w:rPr>
              <w:t>Net income available for common shareholders (A)</w:t>
            </w: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31,778</w:t>
            </w:r>
          </w:p>
        </w:tc>
        <w:tc>
          <w:tcPr>
            <w:tcW w:w="3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25,824</w:t>
            </w:r>
          </w:p>
        </w:tc>
        <w:tc>
          <w:tcPr>
            <w:tcW w:w="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97,983</w:t>
            </w:r>
          </w:p>
        </w:tc>
        <w:tc>
          <w:tcPr>
            <w:tcW w:w="4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74,599</w:t>
            </w:r>
          </w:p>
        </w:tc>
        <w:tc>
          <w:tcPr>
            <w:tcW w:w="0" w:type="dxa"/>
            <w:vAlign w:val="bottom"/>
          </w:tcPr>
          <w:p>
            <w:pPr>
              <w:spacing w:after="0"/>
              <w:rPr>
                <w:sz w:val="1"/>
                <w:szCs w:val="1"/>
                <w:color w:val="auto"/>
              </w:rPr>
            </w:pPr>
          </w:p>
        </w:tc>
      </w:tr>
      <w:tr>
        <w:trPr>
          <w:trHeight w:val="48"/>
        </w:trPr>
        <w:tc>
          <w:tcPr>
            <w:tcW w:w="5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7,430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02"/>
        </w:trPr>
        <w:tc>
          <w:tcPr>
            <w:tcW w:w="5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6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0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
        </w:trPr>
        <w:tc>
          <w:tcPr>
            <w:tcW w:w="5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36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7,457</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21"/>
        </w:trPr>
        <w:tc>
          <w:tcPr>
            <w:tcW w:w="5360" w:type="dxa"/>
            <w:vAlign w:val="bottom"/>
          </w:tcPr>
          <w:p>
            <w:pPr>
              <w:spacing w:after="0"/>
              <w:rPr>
                <w:sz w:val="20"/>
                <w:szCs w:val="20"/>
                <w:color w:val="auto"/>
              </w:rPr>
            </w:pPr>
            <w:r>
              <w:rPr>
                <w:rFonts w:ascii="Arial" w:cs="Arial" w:eastAsia="Arial" w:hAnsi="Arial"/>
                <w:sz w:val="13"/>
                <w:szCs w:val="13"/>
                <w:b w:val="1"/>
                <w:bCs w:val="1"/>
                <w:color w:val="auto"/>
              </w:rPr>
              <w:t>Earnings Per Share</w:t>
            </w: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60" w:type="dxa"/>
            <w:vAlign w:val="bottom"/>
            <w:shd w:val="clear" w:color="auto" w:fill="E5E5E5"/>
          </w:tcPr>
          <w:p>
            <w:pPr>
              <w:spacing w:after="0"/>
              <w:rPr>
                <w:sz w:val="20"/>
                <w:szCs w:val="20"/>
                <w:color w:val="auto"/>
              </w:rPr>
            </w:pPr>
            <w:r>
              <w:rPr>
                <w:rFonts w:ascii="Arial" w:cs="Arial" w:eastAsia="Arial" w:hAnsi="Arial"/>
                <w:sz w:val="18"/>
                <w:szCs w:val="18"/>
                <w:color w:val="auto"/>
              </w:rPr>
              <w:t>Basic (A/B)</w:t>
            </w: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4.28</w:t>
            </w:r>
          </w:p>
        </w:tc>
        <w:tc>
          <w:tcPr>
            <w:tcW w:w="3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3.47</w:t>
            </w:r>
          </w:p>
        </w:tc>
        <w:tc>
          <w:tcPr>
            <w:tcW w:w="4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13.19</w:t>
            </w:r>
          </w:p>
        </w:tc>
        <w:tc>
          <w:tcPr>
            <w:tcW w:w="4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(A/C)</w:t>
            </w: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4.27</w:t>
            </w: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3.46</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13.14</w:t>
            </w:r>
          </w:p>
        </w:tc>
        <w:tc>
          <w:tcPr>
            <w:tcW w:w="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39" w:lineRule="exact"/>
        <w:rPr>
          <w:sz w:val="20"/>
          <w:szCs w:val="20"/>
          <w:color w:val="auto"/>
        </w:rPr>
      </w:pPr>
    </w:p>
    <w:p>
      <w:pPr>
        <w:ind w:right="3740" w:firstLine="3687"/>
        <w:spacing w:after="0" w:line="440"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tbl>
      <w:tblPr>
        <w:tblLayout w:type="fixed"/>
        <w:tblInd w:w="0" w:type="dxa"/>
        <w:tblCellMar>
          <w:top w:w="0" w:type="dxa"/>
          <w:left w:w="0" w:type="dxa"/>
          <w:bottom w:w="0" w:type="dxa"/>
          <w:right w:w="0" w:type="dxa"/>
        </w:tblCellMar>
      </w:tblPr>
      <w:tr>
        <w:trPr>
          <w:trHeight w:val="149"/>
        </w:trPr>
        <w:tc>
          <w:tcPr>
            <w:tcW w:w="50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0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dividends income</w:t>
            </w:r>
          </w:p>
        </w:tc>
        <w:tc>
          <w:tcPr>
            <w:tcW w:w="136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730</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597</w:t>
            </w:r>
          </w:p>
        </w:tc>
        <w:tc>
          <w:tcPr>
            <w:tcW w:w="44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2,546</w:t>
            </w:r>
          </w:p>
        </w:tc>
        <w:tc>
          <w:tcPr>
            <w:tcW w:w="4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(778)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(2,212)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3"/>
        </w:trPr>
        <w:tc>
          <w:tcPr>
            <w:tcW w:w="5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(losses) on investments</w:t>
            </w:r>
          </w:p>
        </w:tc>
        <w:tc>
          <w:tcPr>
            <w:tcW w:w="9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1,652</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111</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1,419</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Net gains (losses) on derivatives</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124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1,740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5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gains (losses) on foreign currency remeasurements</w:t>
            </w:r>
          </w:p>
        </w:tc>
        <w:tc>
          <w:tcPr>
            <w:tcW w:w="9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(295)</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89</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(367)</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112</w:t>
            </w: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4,127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34"/>
        </w:trPr>
        <w:tc>
          <w:tcPr>
            <w:tcW w:w="50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942</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(623)</w:t>
            </w:r>
          </w:p>
        </w:tc>
        <w:tc>
          <w:tcPr>
            <w:tcW w:w="4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7,253</w:t>
            </w:r>
          </w:p>
        </w:tc>
        <w:tc>
          <w:tcPr>
            <w:tcW w:w="4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48"/>
        </w:trPr>
        <w:tc>
          <w:tcPr>
            <w:tcW w:w="5000" w:type="dxa"/>
            <w:vAlign w:val="bottom"/>
          </w:tcPr>
          <w:p>
            <w:pPr>
              <w:spacing w:after="0"/>
              <w:rPr>
                <w:sz w:val="4"/>
                <w:szCs w:val="4"/>
                <w:color w:val="auto"/>
              </w:rPr>
            </w:pPr>
          </w:p>
        </w:tc>
        <w:tc>
          <w:tcPr>
            <w:tcW w:w="980" w:type="dxa"/>
            <w:vAlign w:val="bottom"/>
            <w:vMerge w:val="restart"/>
          </w:tcPr>
          <w:p>
            <w:pPr>
              <w:jc w:val="right"/>
              <w:ind w:right="196"/>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50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50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1" w:name="page12"/>
    <w:bookmarkEnd w:id="1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income (expense), net included $19 million of net losses and $5.9 billion of net gains for the three and nine months ended March 31, 2026, respectively, and $768 million and $2.7 billion of net losses for the three and nine months ended March 31, 2025, respectively, from investments in OpenAI, primarily net recognized gains (losses) on our equity method investment reflected in Other, net. The net gains recorded for the nine months ended March 31, 2026 primarily relate to the dilution gain from the OpenAI Recapitalization.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Recognized Gains (Losses) on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debt investments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5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Realized gains from sales of available-for-sale securities</w:t>
            </w:r>
          </w:p>
        </w:tc>
        <w:tc>
          <w:tcPr>
            <w:tcW w:w="84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54</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8</w:t>
            </w:r>
          </w:p>
        </w:tc>
        <w:tc>
          <w:tcPr>
            <w:tcW w:w="48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89</w:t>
            </w:r>
          </w:p>
        </w:tc>
        <w:tc>
          <w:tcPr>
            <w:tcW w:w="4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Realized losses from sales of available-for-sale securities</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(37)</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and allowance for credit losses</w:t>
            </w:r>
          </w:p>
        </w:tc>
        <w:tc>
          <w:tcPr>
            <w:tcW w:w="4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5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Pr>
          <w:p>
            <w:pPr>
              <w:ind w:left="140"/>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09"/>
        </w:trPr>
        <w:tc>
          <w:tcPr>
            <w:tcW w:w="5520" w:type="dxa"/>
            <w:vAlign w:val="bottom"/>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4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5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6"/>
          </w:tcPr>
          <w:p>
            <w:pPr>
              <w:jc w:val="right"/>
              <w:ind w:right="14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5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Net realized gains on investments sold</w:t>
            </w:r>
          </w:p>
        </w:tc>
        <w:tc>
          <w:tcPr>
            <w:tcW w:w="84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32</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9</w:t>
            </w:r>
          </w:p>
        </w:tc>
        <w:tc>
          <w:tcPr>
            <w:tcW w:w="48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106</w:t>
            </w:r>
          </w:p>
        </w:tc>
        <w:tc>
          <w:tcPr>
            <w:tcW w:w="4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Net unrealized gains on investments still held</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1,621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1,371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of investments</w:t>
            </w:r>
          </w:p>
        </w:tc>
        <w:tc>
          <w:tcPr>
            <w:tcW w:w="4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(31)</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(87)</w:t>
            </w:r>
          </w:p>
        </w:tc>
        <w:tc>
          <w:tcPr>
            <w:tcW w:w="1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0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40"/>
        </w:trPr>
        <w:tc>
          <w:tcPr>
            <w:tcW w:w="5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Pr>
          <w:p>
            <w:pPr>
              <w:ind w:left="140"/>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1,622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1,390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613"/>
        </w:trPr>
        <w:tc>
          <w:tcPr>
            <w:tcW w:w="5520" w:type="dxa"/>
            <w:vAlign w:val="bottom"/>
          </w:tcPr>
          <w:p>
            <w:pPr>
              <w:spacing w:after="0"/>
              <w:rPr>
                <w:sz w:val="24"/>
                <w:szCs w:val="24"/>
                <w:color w:val="auto"/>
              </w:rPr>
            </w:pPr>
          </w:p>
        </w:tc>
        <w:tc>
          <w:tcPr>
            <w:tcW w:w="460" w:type="dxa"/>
            <w:vAlign w:val="bottom"/>
          </w:tcPr>
          <w:p>
            <w:pPr>
              <w:jc w:val="right"/>
              <w:ind w:right="194"/>
              <w:spacing w:after="0"/>
              <w:rPr>
                <w:sz w:val="20"/>
                <w:szCs w:val="20"/>
                <w:color w:val="auto"/>
              </w:rPr>
            </w:pPr>
            <w:r>
              <w:rPr>
                <w:rFonts w:ascii="Arial" w:cs="Arial" w:eastAsia="Arial" w:hAnsi="Arial"/>
                <w:sz w:val="14"/>
                <w:szCs w:val="14"/>
                <w:color w:val="auto"/>
              </w:rPr>
              <w:t>12</w:t>
            </w: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5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2" w:name="page13"/>
    <w:bookmarkEnd w:id="1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Recorded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Cash</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Short-term</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1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Value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and Cash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and Other</w:t>
            </w:r>
          </w:p>
        </w:tc>
        <w:tc>
          <w:tcPr>
            <w:tcW w:w="0" w:type="dxa"/>
            <w:vAlign w:val="bottom"/>
          </w:tcPr>
          <w:p>
            <w:pPr>
              <w:spacing w:after="0"/>
              <w:rPr>
                <w:sz w:val="1"/>
                <w:szCs w:val="1"/>
                <w:color w:val="auto"/>
              </w:rPr>
            </w:pPr>
          </w:p>
        </w:tc>
      </w:tr>
      <w:tr>
        <w:trPr>
          <w:trHeight w:val="197"/>
        </w:trPr>
        <w:tc>
          <w:tcPr>
            <w:tcW w:w="214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Basis</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Basis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Equivalents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212"/>
        </w:trPr>
        <w:tc>
          <w:tcPr>
            <w:tcW w:w="21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March 31, 2026</w:t>
            </w: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20"/>
                <w:szCs w:val="20"/>
                <w:color w:val="auto"/>
              </w:rPr>
            </w:pPr>
            <w:r>
              <w:rPr>
                <w:rFonts w:ascii="Arial" w:cs="Arial" w:eastAsia="Arial" w:hAnsi="Arial"/>
                <w:sz w:val="13"/>
                <w:szCs w:val="13"/>
                <w:b w:val="1"/>
                <w:bCs w:val="1"/>
                <w:color w:val="auto"/>
              </w:rPr>
              <w:t>Changes in Fair Value</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60"/>
              <w:spacing w:after="0"/>
              <w:rPr>
                <w:sz w:val="20"/>
                <w:szCs w:val="20"/>
                <w:color w:val="auto"/>
              </w:rPr>
            </w:pPr>
            <w:r>
              <w:rPr>
                <w:rFonts w:ascii="Arial" w:cs="Arial" w:eastAsia="Arial" w:hAnsi="Arial"/>
                <w:sz w:val="13"/>
                <w:szCs w:val="13"/>
                <w:b w:val="1"/>
                <w:bCs w:val="1"/>
                <w:color w:val="auto"/>
              </w:rPr>
              <w:t>Recorded in Other</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60"/>
              <w:spacing w:after="0"/>
              <w:rPr>
                <w:sz w:val="20"/>
                <w:szCs w:val="20"/>
                <w:color w:val="auto"/>
              </w:rPr>
            </w:pPr>
            <w:r>
              <w:rPr>
                <w:rFonts w:ascii="Arial" w:cs="Arial" w:eastAsia="Arial" w:hAnsi="Arial"/>
                <w:sz w:val="13"/>
                <w:szCs w:val="13"/>
                <w:b w:val="1"/>
                <w:bCs w:val="1"/>
                <w:color w:val="auto"/>
              </w:rPr>
              <w:t>Comprehensive Income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40" w:type="dxa"/>
            <w:vAlign w:val="bottom"/>
            <w:shd w:val="clear" w:color="auto" w:fill="E5E5E5"/>
          </w:tcPr>
          <w:p>
            <w:pPr>
              <w:spacing w:after="0"/>
              <w:rPr>
                <w:sz w:val="20"/>
                <w:szCs w:val="20"/>
                <w:color w:val="auto"/>
              </w:rPr>
            </w:pPr>
            <w:r>
              <w:rPr>
                <w:rFonts w:ascii="Arial" w:cs="Arial" w:eastAsia="Arial" w:hAnsi="Arial"/>
                <w:sz w:val="18"/>
                <w:szCs w:val="18"/>
                <w:color w:val="auto"/>
              </w:rPr>
              <w:t>Commercial paper</w:t>
            </w:r>
          </w:p>
        </w:tc>
        <w:tc>
          <w:tcPr>
            <w:tcW w:w="8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5,544</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0</w:t>
            </w:r>
          </w:p>
        </w:tc>
        <w:tc>
          <w:tcPr>
            <w:tcW w:w="2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5,544</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5,543</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1,394</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1,394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1,350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4"/>
        </w:trPr>
        <w:tc>
          <w:tcPr>
            <w:tcW w:w="214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U.S. government</w:t>
            </w:r>
          </w:p>
        </w:tc>
        <w:tc>
          <w:tcPr>
            <w:tcW w:w="8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40" w:type="dxa"/>
            <w:vAlign w:val="bottom"/>
            <w:shd w:val="clear" w:color="auto" w:fill="E5E5E5"/>
          </w:tcPr>
          <w:p>
            <w:pPr>
              <w:ind w:left="60"/>
              <w:spacing w:after="0"/>
              <w:rPr>
                <w:sz w:val="20"/>
                <w:szCs w:val="20"/>
                <w:color w:val="auto"/>
              </w:rPr>
            </w:pPr>
            <w:r>
              <w:rPr>
                <w:rFonts w:ascii="Arial" w:cs="Arial" w:eastAsia="Arial" w:hAnsi="Arial"/>
                <w:sz w:val="18"/>
                <w:szCs w:val="18"/>
                <w:color w:val="auto"/>
              </w:rPr>
              <w:t>securities</w:t>
            </w:r>
          </w:p>
        </w:tc>
        <w:tc>
          <w:tcPr>
            <w:tcW w:w="8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1</w:t>
            </w:r>
          </w:p>
        </w:tc>
        <w:tc>
          <w:tcPr>
            <w:tcW w:w="1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50,821</w:t>
            </w:r>
          </w:p>
        </w:tc>
        <w:tc>
          <w:tcPr>
            <w:tcW w:w="1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(1,078)</w:t>
            </w:r>
          </w:p>
        </w:tc>
        <w:tc>
          <w:tcPr>
            <w:tcW w:w="22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49,768</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8,923</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32,119</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8,726</w:t>
            </w:r>
          </w:p>
        </w:tc>
        <w:tc>
          <w:tcPr>
            <w:tcW w:w="0" w:type="dxa"/>
            <w:vAlign w:val="bottom"/>
          </w:tcPr>
          <w:p>
            <w:pPr>
              <w:spacing w:after="0"/>
              <w:rPr>
                <w:sz w:val="1"/>
                <w:szCs w:val="1"/>
                <w:color w:val="auto"/>
              </w:rPr>
            </w:pPr>
          </w:p>
        </w:tc>
      </w:tr>
      <w:tr>
        <w:trPr>
          <w:trHeight w:val="203"/>
        </w:trPr>
        <w:tc>
          <w:tcPr>
            <w:tcW w:w="2140" w:type="dxa"/>
            <w:vAlign w:val="bottom"/>
          </w:tcPr>
          <w:p>
            <w:pPr>
              <w:spacing w:after="0" w:line="202" w:lineRule="exact"/>
              <w:rPr>
                <w:sz w:val="20"/>
                <w:szCs w:val="20"/>
                <w:color w:val="auto"/>
              </w:rPr>
            </w:pPr>
            <w:r>
              <w:rPr>
                <w:rFonts w:ascii="Arial" w:cs="Arial" w:eastAsia="Arial" w:hAnsi="Arial"/>
                <w:sz w:val="18"/>
                <w:szCs w:val="18"/>
                <w:color w:val="auto"/>
              </w:rPr>
              <w:t>U.S. agency securities</w:t>
            </w:r>
          </w:p>
        </w:tc>
        <w:tc>
          <w:tcPr>
            <w:tcW w:w="88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3,215</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3,215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2,465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4"/>
        </w:trPr>
        <w:tc>
          <w:tcPr>
            <w:tcW w:w="214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Foreign government</w:t>
            </w:r>
          </w:p>
        </w:tc>
        <w:tc>
          <w:tcPr>
            <w:tcW w:w="8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40" w:type="dxa"/>
            <w:vAlign w:val="bottom"/>
            <w:shd w:val="clear" w:color="auto" w:fill="E5E5E5"/>
          </w:tcPr>
          <w:p>
            <w:pPr>
              <w:ind w:left="60"/>
              <w:spacing w:after="0"/>
              <w:rPr>
                <w:sz w:val="20"/>
                <w:szCs w:val="20"/>
                <w:color w:val="auto"/>
              </w:rPr>
            </w:pPr>
            <w:r>
              <w:rPr>
                <w:rFonts w:ascii="Arial" w:cs="Arial" w:eastAsia="Arial" w:hAnsi="Arial"/>
                <w:sz w:val="18"/>
                <w:szCs w:val="18"/>
                <w:color w:val="auto"/>
              </w:rPr>
              <w:t>bonds</w:t>
            </w:r>
          </w:p>
        </w:tc>
        <w:tc>
          <w:tcPr>
            <w:tcW w:w="8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1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225</w:t>
            </w:r>
          </w:p>
        </w:tc>
        <w:tc>
          <w:tcPr>
            <w:tcW w:w="1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(5)</w:t>
            </w:r>
          </w:p>
        </w:tc>
        <w:tc>
          <w:tcPr>
            <w:tcW w:w="22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233</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4"/>
        </w:trPr>
        <w:tc>
          <w:tcPr>
            <w:tcW w:w="2140" w:type="dxa"/>
            <w:vAlign w:val="bottom"/>
          </w:tcPr>
          <w:p>
            <w:pPr>
              <w:spacing w:after="0" w:line="183" w:lineRule="exact"/>
              <w:rPr>
                <w:sz w:val="20"/>
                <w:szCs w:val="20"/>
                <w:color w:val="auto"/>
              </w:rPr>
            </w:pPr>
            <w:r>
              <w:rPr>
                <w:rFonts w:ascii="Arial" w:cs="Arial" w:eastAsia="Arial" w:hAnsi="Arial"/>
                <w:sz w:val="18"/>
                <w:szCs w:val="18"/>
                <w:color w:val="auto"/>
              </w:rPr>
              <w:t>Mortgage- and asset-</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40" w:type="dxa"/>
            <w:vAlign w:val="bottom"/>
          </w:tcPr>
          <w:p>
            <w:pPr>
              <w:ind w:left="60"/>
              <w:spacing w:after="0"/>
              <w:rPr>
                <w:sz w:val="20"/>
                <w:szCs w:val="20"/>
                <w:color w:val="auto"/>
              </w:rPr>
            </w:pPr>
            <w:r>
              <w:rPr>
                <w:rFonts w:ascii="Arial" w:cs="Arial" w:eastAsia="Arial" w:hAnsi="Arial"/>
                <w:sz w:val="18"/>
                <w:szCs w:val="18"/>
                <w:color w:val="auto"/>
              </w:rPr>
              <w:t>backed securities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Level 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4"/>
        </w:trPr>
        <w:tc>
          <w:tcPr>
            <w:tcW w:w="214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Corporate notes and</w:t>
            </w:r>
          </w:p>
        </w:tc>
        <w:tc>
          <w:tcPr>
            <w:tcW w:w="8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40" w:type="dxa"/>
            <w:vAlign w:val="bottom"/>
            <w:shd w:val="clear" w:color="auto" w:fill="E5E5E5"/>
          </w:tcPr>
          <w:p>
            <w:pPr>
              <w:ind w:left="60"/>
              <w:spacing w:after="0"/>
              <w:rPr>
                <w:sz w:val="20"/>
                <w:szCs w:val="20"/>
                <w:color w:val="auto"/>
              </w:rPr>
            </w:pPr>
            <w:r>
              <w:rPr>
                <w:rFonts w:ascii="Arial" w:cs="Arial" w:eastAsia="Arial" w:hAnsi="Arial"/>
                <w:sz w:val="18"/>
                <w:szCs w:val="18"/>
                <w:color w:val="auto"/>
              </w:rPr>
              <w:t>bonds</w:t>
            </w:r>
          </w:p>
        </w:tc>
        <w:tc>
          <w:tcPr>
            <w:tcW w:w="8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2</w:t>
            </w:r>
          </w:p>
        </w:tc>
        <w:tc>
          <w:tcPr>
            <w:tcW w:w="18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10,652</w:t>
            </w:r>
          </w:p>
        </w:tc>
        <w:tc>
          <w:tcPr>
            <w:tcW w:w="16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E5E5E5"/>
          </w:tcPr>
          <w:p>
            <w:pPr>
              <w:spacing w:after="0"/>
              <w:rPr>
                <w:sz w:val="19"/>
                <w:szCs w:val="19"/>
                <w:color w:val="auto"/>
              </w:rPr>
            </w:pPr>
          </w:p>
        </w:tc>
        <w:tc>
          <w:tcPr>
            <w:tcW w:w="14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(73)</w:t>
            </w:r>
          </w:p>
        </w:tc>
        <w:tc>
          <w:tcPr>
            <w:tcW w:w="220" w:type="dxa"/>
            <w:vAlign w:val="bottom"/>
            <w:shd w:val="clear" w:color="auto" w:fill="E5E5E5"/>
          </w:tcPr>
          <w:p>
            <w:pPr>
              <w:spacing w:after="0"/>
              <w:rPr>
                <w:sz w:val="19"/>
                <w:szCs w:val="19"/>
                <w:color w:val="auto"/>
              </w:rPr>
            </w:pP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10,645</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10,645</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4"/>
        </w:trPr>
        <w:tc>
          <w:tcPr>
            <w:tcW w:w="2140" w:type="dxa"/>
            <w:vAlign w:val="bottom"/>
          </w:tcPr>
          <w:p>
            <w:pPr>
              <w:spacing w:after="0" w:line="183" w:lineRule="exact"/>
              <w:rPr>
                <w:sz w:val="20"/>
                <w:szCs w:val="20"/>
                <w:color w:val="auto"/>
              </w:rPr>
            </w:pPr>
            <w:r>
              <w:rPr>
                <w:rFonts w:ascii="Arial" w:cs="Arial" w:eastAsia="Arial" w:hAnsi="Arial"/>
                <w:sz w:val="18"/>
                <w:szCs w:val="18"/>
                <w:color w:val="auto"/>
              </w:rPr>
              <w:t>Corporate notes and</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40" w:type="dxa"/>
            <w:vAlign w:val="bottom"/>
          </w:tcPr>
          <w:p>
            <w:pPr>
              <w:ind w:left="60"/>
              <w:spacing w:after="0"/>
              <w:rPr>
                <w:sz w:val="20"/>
                <w:szCs w:val="20"/>
                <w:color w:val="auto"/>
              </w:rPr>
            </w:pPr>
            <w:r>
              <w:rPr>
                <w:rFonts w:ascii="Arial" w:cs="Arial" w:eastAsia="Arial" w:hAnsi="Arial"/>
                <w:sz w:val="18"/>
                <w:szCs w:val="18"/>
                <w:color w:val="auto"/>
              </w:rPr>
              <w:t>bonds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1,601</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1,620</w:t>
            </w:r>
          </w:p>
        </w:tc>
        <w:tc>
          <w:tcPr>
            <w:tcW w:w="0" w:type="dxa"/>
            <w:vAlign w:val="bottom"/>
          </w:tcPr>
          <w:p>
            <w:pPr>
              <w:spacing w:after="0"/>
              <w:rPr>
                <w:sz w:val="1"/>
                <w:szCs w:val="1"/>
                <w:color w:val="auto"/>
              </w:rPr>
            </w:pPr>
          </w:p>
        </w:tc>
      </w:tr>
      <w:tr>
        <w:trPr>
          <w:trHeight w:val="203"/>
        </w:trPr>
        <w:tc>
          <w:tcPr>
            <w:tcW w:w="2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88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152</w:t>
            </w: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Municipal securities</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4"/>
        </w:trPr>
        <w:tc>
          <w:tcPr>
            <w:tcW w:w="2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 debt investments</w:t>
            </w:r>
          </w:p>
        </w:tc>
        <w:tc>
          <w:tcPr>
            <w:tcW w:w="880" w:type="dxa"/>
            <w:vAlign w:val="bottom"/>
            <w:shd w:val="clear" w:color="auto" w:fill="E5E5E5"/>
          </w:tcPr>
          <w:p>
            <w:pPr>
              <w:spacing w:after="0"/>
              <w:rPr>
                <w:sz w:val="17"/>
                <w:szCs w:val="17"/>
                <w:color w:val="auto"/>
              </w:rPr>
            </w:pPr>
          </w:p>
        </w:tc>
        <w:tc>
          <w:tcPr>
            <w:tcW w:w="3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75,718</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231</w:t>
            </w:r>
          </w:p>
        </w:tc>
        <w:tc>
          <w:tcPr>
            <w:tcW w:w="2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(1,199)</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74,750</w:t>
            </w:r>
          </w:p>
        </w:tc>
        <w:tc>
          <w:tcPr>
            <w:tcW w:w="2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18,281</w:t>
            </w:r>
          </w:p>
        </w:tc>
        <w:tc>
          <w:tcPr>
            <w:tcW w:w="2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46,123</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10,346</w:t>
            </w:r>
          </w:p>
        </w:tc>
        <w:tc>
          <w:tcPr>
            <w:tcW w:w="0" w:type="dxa"/>
            <w:vAlign w:val="bottom"/>
          </w:tcPr>
          <w:p>
            <w:pPr>
              <w:spacing w:after="0"/>
              <w:rPr>
                <w:sz w:val="1"/>
                <w:szCs w:val="1"/>
                <w:color w:val="auto"/>
              </w:rPr>
            </w:pPr>
          </w:p>
        </w:tc>
      </w:tr>
      <w:tr>
        <w:trPr>
          <w:trHeight w:val="74"/>
        </w:trPr>
        <w:tc>
          <w:tcPr>
            <w:tcW w:w="214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w:t>
            </w: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1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60"/>
              <w:spacing w:after="0"/>
              <w:rPr>
                <w:sz w:val="20"/>
                <w:szCs w:val="20"/>
                <w:color w:val="auto"/>
              </w:rPr>
            </w:pPr>
            <w:r>
              <w:rPr>
                <w:rFonts w:ascii="Arial" w:cs="Arial" w:eastAsia="Arial" w:hAnsi="Arial"/>
                <w:sz w:val="13"/>
                <w:szCs w:val="13"/>
                <w:b w:val="1"/>
                <w:bCs w:val="1"/>
                <w:color w:val="auto"/>
              </w:rPr>
              <w:t>Recorded in Net Income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40" w:type="dxa"/>
            <w:vAlign w:val="bottom"/>
            <w:shd w:val="clear" w:color="auto" w:fill="E5E5E5"/>
          </w:tcPr>
          <w:p>
            <w:pPr>
              <w:spacing w:after="0"/>
              <w:rPr>
                <w:sz w:val="20"/>
                <w:szCs w:val="20"/>
                <w:color w:val="auto"/>
              </w:rPr>
            </w:pPr>
            <w:r>
              <w:rPr>
                <w:rFonts w:ascii="Arial" w:cs="Arial" w:eastAsia="Arial" w:hAnsi="Arial"/>
                <w:sz w:val="18"/>
                <w:szCs w:val="18"/>
                <w:color w:val="auto"/>
              </w:rPr>
              <w:t>Equity investments</w:t>
            </w:r>
          </w:p>
        </w:tc>
        <w:tc>
          <w:tcPr>
            <w:tcW w:w="8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Level 1</w:t>
            </w:r>
          </w:p>
        </w:tc>
        <w:tc>
          <w:tcPr>
            <w:tcW w:w="1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3,911</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1,093</w:t>
            </w:r>
          </w:p>
        </w:tc>
        <w:tc>
          <w:tcPr>
            <w:tcW w:w="2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2,818</w:t>
            </w: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Equity investments</w:t>
            </w: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Other</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20,519</w:t>
            </w:r>
          </w:p>
        </w:tc>
        <w:tc>
          <w:tcPr>
            <w:tcW w:w="0" w:type="dxa"/>
            <w:vAlign w:val="bottom"/>
          </w:tcPr>
          <w:p>
            <w:pPr>
              <w:spacing w:after="0"/>
              <w:rPr>
                <w:sz w:val="1"/>
                <w:szCs w:val="1"/>
                <w:color w:val="auto"/>
              </w:rPr>
            </w:pPr>
          </w:p>
        </w:tc>
      </w:tr>
      <w:tr>
        <w:trPr>
          <w:trHeight w:val="34"/>
        </w:trPr>
        <w:tc>
          <w:tcPr>
            <w:tcW w:w="2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4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 equity investments</w:t>
            </w:r>
          </w:p>
        </w:tc>
        <w:tc>
          <w:tcPr>
            <w:tcW w:w="8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24,430</w:t>
            </w:r>
          </w:p>
        </w:tc>
        <w:tc>
          <w:tcPr>
            <w:tcW w:w="2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1,093</w:t>
            </w:r>
          </w:p>
        </w:tc>
        <w:tc>
          <w:tcPr>
            <w:tcW w:w="2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23,337</w:t>
            </w:r>
          </w:p>
        </w:tc>
        <w:tc>
          <w:tcPr>
            <w:tcW w:w="0" w:type="dxa"/>
            <w:vAlign w:val="bottom"/>
          </w:tcPr>
          <w:p>
            <w:pPr>
              <w:spacing w:after="0"/>
              <w:rPr>
                <w:sz w:val="1"/>
                <w:szCs w:val="1"/>
                <w:color w:val="auto"/>
              </w:rPr>
            </w:pPr>
          </w:p>
        </w:tc>
      </w:tr>
      <w:tr>
        <w:trPr>
          <w:trHeight w:val="48"/>
        </w:trPr>
        <w:tc>
          <w:tcPr>
            <w:tcW w:w="2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8"/>
                <w:szCs w:val="18"/>
                <w:color w:val="auto"/>
              </w:rPr>
              <w:t>Cash</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12,731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12,731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140" w:type="dxa"/>
            <w:vAlign w:val="bottom"/>
            <w:shd w:val="clear" w:color="auto" w:fill="E5E5E5"/>
          </w:tcPr>
          <w:p>
            <w:pPr>
              <w:spacing w:after="0" w:line="202" w:lineRule="exact"/>
              <w:rPr>
                <w:sz w:val="20"/>
                <w:szCs w:val="20"/>
                <w:color w:val="auto"/>
              </w:rPr>
            </w:pPr>
            <w:r>
              <w:rPr>
                <w:rFonts w:ascii="Arial" w:cs="Arial" w:eastAsia="Arial" w:hAnsi="Arial"/>
                <w:sz w:val="17"/>
                <w:szCs w:val="17"/>
                <w:color w:val="auto"/>
              </w:rPr>
              <w:t xml:space="preserve">Derivatives, net </w:t>
            </w:r>
            <w:r>
              <w:rPr>
                <w:rFonts w:ascii="Arial" w:cs="Arial" w:eastAsia="Arial" w:hAnsi="Arial"/>
                <w:sz w:val="23"/>
                <w:szCs w:val="23"/>
                <w:color w:val="auto"/>
                <w:vertAlign w:val="superscript"/>
              </w:rPr>
              <w:t>(a)</w:t>
            </w:r>
          </w:p>
        </w:tc>
        <w:tc>
          <w:tcPr>
            <w:tcW w:w="8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40"/>
        </w:trPr>
        <w:tc>
          <w:tcPr>
            <w:tcW w:w="2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140" w:type="dxa"/>
            <w:vAlign w:val="bottom"/>
          </w:tcPr>
          <w:p>
            <w:pPr>
              <w:ind w:left="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111,955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46,167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33,683</w:t>
            </w:r>
          </w:p>
        </w:tc>
        <w:tc>
          <w:tcPr>
            <w:tcW w:w="0" w:type="dxa"/>
            <w:vAlign w:val="bottom"/>
          </w:tcPr>
          <w:p>
            <w:pPr>
              <w:spacing w:after="0"/>
              <w:rPr>
                <w:sz w:val="1"/>
                <w:szCs w:val="1"/>
                <w:color w:val="auto"/>
              </w:rPr>
            </w:pPr>
          </w:p>
        </w:tc>
      </w:tr>
      <w:tr>
        <w:trPr>
          <w:trHeight w:val="613"/>
        </w:trPr>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435"/>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3" w:name="page14"/>
    <w:bookmarkEnd w:id="1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1040" w:type="dxa"/>
            <w:vAlign w:val="bottom"/>
          </w:tcPr>
          <w:p>
            <w:pPr>
              <w:jc w:val="center"/>
              <w:ind w:right="155"/>
              <w:spacing w:after="0"/>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Adjusted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Recorded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Cash</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Short-term</w:t>
            </w:r>
          </w:p>
        </w:tc>
        <w:tc>
          <w:tcPr>
            <w:tcW w:w="1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1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jc w:val="center"/>
              <w:ind w:right="155"/>
              <w:spacing w:after="0"/>
              <w:rPr>
                <w:sz w:val="20"/>
                <w:szCs w:val="20"/>
                <w:color w:val="auto"/>
              </w:rPr>
            </w:pPr>
            <w:r>
              <w:rPr>
                <w:rFonts w:ascii="Arial" w:cs="Arial" w:eastAsia="Arial" w:hAnsi="Arial"/>
                <w:sz w:val="13"/>
                <w:szCs w:val="13"/>
                <w:b w:val="1"/>
                <w:bCs w:val="1"/>
                <w:color w:val="auto"/>
              </w:rPr>
              <w:t>Value</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and Cash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and Other</w:t>
            </w:r>
          </w:p>
        </w:tc>
        <w:tc>
          <w:tcPr>
            <w:tcW w:w="0" w:type="dxa"/>
            <w:vAlign w:val="bottom"/>
          </w:tcPr>
          <w:p>
            <w:pPr>
              <w:spacing w:after="0"/>
              <w:rPr>
                <w:sz w:val="1"/>
                <w:szCs w:val="1"/>
                <w:color w:val="auto"/>
              </w:rPr>
            </w:pPr>
          </w:p>
        </w:tc>
      </w:tr>
      <w:tr>
        <w:trPr>
          <w:trHeight w:val="197"/>
        </w:trPr>
        <w:tc>
          <w:tcPr>
            <w:tcW w:w="2120" w:type="dxa"/>
            <w:vAlign w:val="bottom"/>
            <w:vMerge w:val="continue"/>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Arial" w:cs="Arial" w:eastAsia="Arial" w:hAnsi="Arial"/>
                <w:sz w:val="13"/>
                <w:szCs w:val="13"/>
                <w:b w:val="1"/>
                <w:bCs w:val="1"/>
                <w:color w:val="auto"/>
              </w:rPr>
              <w:t>Level</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Basis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Basis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Equivalents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Investments</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212"/>
        </w:trPr>
        <w:tc>
          <w:tcPr>
            <w:tcW w:w="21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2025</w:t>
            </w: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120" w:type="dxa"/>
            <w:vAlign w:val="bottom"/>
          </w:tcPr>
          <w:p>
            <w:pPr>
              <w:spacing w:after="0"/>
              <w:rPr>
                <w:sz w:val="20"/>
                <w:szCs w:val="20"/>
                <w:color w:val="auto"/>
              </w:rPr>
            </w:pPr>
            <w:r>
              <w:rPr>
                <w:rFonts w:ascii="Arial" w:cs="Arial" w:eastAsia="Arial" w:hAnsi="Arial"/>
                <w:sz w:val="13"/>
                <w:szCs w:val="13"/>
                <w:b w:val="1"/>
                <w:bCs w:val="1"/>
                <w:color w:val="auto"/>
              </w:rPr>
              <w:t>Changes in Fair Value</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60"/>
              <w:spacing w:after="0"/>
              <w:rPr>
                <w:sz w:val="20"/>
                <w:szCs w:val="20"/>
                <w:color w:val="auto"/>
              </w:rPr>
            </w:pPr>
            <w:r>
              <w:rPr>
                <w:rFonts w:ascii="Arial" w:cs="Arial" w:eastAsia="Arial" w:hAnsi="Arial"/>
                <w:sz w:val="13"/>
                <w:szCs w:val="13"/>
                <w:b w:val="1"/>
                <w:bCs w:val="1"/>
                <w:color w:val="auto"/>
              </w:rPr>
              <w:t>Recorded in Other</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60"/>
              <w:spacing w:after="0"/>
              <w:rPr>
                <w:sz w:val="20"/>
                <w:szCs w:val="20"/>
                <w:color w:val="auto"/>
              </w:rPr>
            </w:pPr>
            <w:r>
              <w:rPr>
                <w:rFonts w:ascii="Arial" w:cs="Arial" w:eastAsia="Arial" w:hAnsi="Arial"/>
                <w:sz w:val="13"/>
                <w:szCs w:val="13"/>
                <w:b w:val="1"/>
                <w:bCs w:val="1"/>
                <w:color w:val="auto"/>
              </w:rPr>
              <w:t>Comprehensive Income</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E5E5E5"/>
          </w:tcPr>
          <w:p>
            <w:pPr>
              <w:spacing w:after="0"/>
              <w:rPr>
                <w:sz w:val="20"/>
                <w:szCs w:val="20"/>
                <w:color w:val="auto"/>
              </w:rPr>
            </w:pPr>
            <w:r>
              <w:rPr>
                <w:rFonts w:ascii="Arial" w:cs="Arial" w:eastAsia="Arial" w:hAnsi="Arial"/>
                <w:sz w:val="18"/>
                <w:szCs w:val="18"/>
                <w:color w:val="auto"/>
              </w:rPr>
              <w:t>Commercial paper</w:t>
            </w:r>
          </w:p>
        </w:tc>
        <w:tc>
          <w:tcPr>
            <w:tcW w:w="1040" w:type="dxa"/>
            <w:vAlign w:val="bottom"/>
            <w:shd w:val="clear" w:color="auto" w:fill="E5E5E5"/>
          </w:tcPr>
          <w:p>
            <w:pPr>
              <w:jc w:val="center"/>
              <w:ind w:right="135"/>
              <w:spacing w:after="0"/>
              <w:rPr>
                <w:sz w:val="20"/>
                <w:szCs w:val="20"/>
                <w:color w:val="auto"/>
              </w:rPr>
            </w:pPr>
            <w:r>
              <w:rPr>
                <w:rFonts w:ascii="Arial" w:cs="Arial" w:eastAsia="Arial" w:hAnsi="Arial"/>
                <w:sz w:val="18"/>
                <w:szCs w:val="18"/>
                <w:color w:val="auto"/>
                <w:w w:val="99"/>
              </w:rPr>
              <w:t>Level 2</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10,880</w:t>
            </w:r>
          </w:p>
        </w:tc>
        <w:tc>
          <w:tcPr>
            <w:tcW w:w="3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10,880</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9,939</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941</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1040" w:type="dxa"/>
            <w:vAlign w:val="bottom"/>
          </w:tcPr>
          <w:p>
            <w:pPr>
              <w:jc w:val="center"/>
              <w:ind w:right="135"/>
              <w:spacing w:after="0" w:line="202" w:lineRule="exact"/>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344</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212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U.S. government</w:t>
            </w:r>
          </w:p>
        </w:tc>
        <w:tc>
          <w:tcPr>
            <w:tcW w:w="104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20" w:type="dxa"/>
            <w:vAlign w:val="bottom"/>
            <w:shd w:val="clear" w:color="auto" w:fill="E5E5E5"/>
          </w:tcPr>
          <w:p>
            <w:pPr>
              <w:ind w:left="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E5E5E5"/>
          </w:tcPr>
          <w:p>
            <w:pPr>
              <w:jc w:val="center"/>
              <w:ind w:right="135"/>
              <w:spacing w:after="0"/>
              <w:rPr>
                <w:sz w:val="20"/>
                <w:szCs w:val="20"/>
                <w:color w:val="auto"/>
              </w:rPr>
            </w:pPr>
            <w:r>
              <w:rPr>
                <w:rFonts w:ascii="Arial" w:cs="Arial" w:eastAsia="Arial" w:hAnsi="Arial"/>
                <w:sz w:val="18"/>
                <w:szCs w:val="18"/>
                <w:color w:val="auto"/>
                <w:w w:val="99"/>
              </w:rPr>
              <w:t>Level 1</w:t>
            </w:r>
          </w:p>
        </w:tc>
        <w:tc>
          <w:tcPr>
            <w:tcW w:w="160" w:type="dxa"/>
            <w:vAlign w:val="bottom"/>
            <w:shd w:val="clear" w:color="auto" w:fill="E5E5E5"/>
          </w:tcPr>
          <w:p>
            <w:pPr>
              <w:spacing w:after="0"/>
              <w:rPr>
                <w:sz w:val="19"/>
                <w:szCs w:val="19"/>
                <w:color w:val="auto"/>
              </w:rPr>
            </w:pPr>
          </w:p>
        </w:tc>
        <w:tc>
          <w:tcPr>
            <w:tcW w:w="7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52,878</w:t>
            </w: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51,487</w:t>
            </w:r>
          </w:p>
        </w:tc>
        <w:tc>
          <w:tcPr>
            <w:tcW w:w="2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4,742</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46,745</w:t>
            </w: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U.S. agency securities</w:t>
            </w:r>
          </w:p>
        </w:tc>
        <w:tc>
          <w:tcPr>
            <w:tcW w:w="1040" w:type="dxa"/>
            <w:vAlign w:val="bottom"/>
          </w:tcPr>
          <w:p>
            <w:pPr>
              <w:jc w:val="center"/>
              <w:ind w:right="135"/>
              <w:spacing w:after="0" w:line="202" w:lineRule="exact"/>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2,190</w:t>
            </w: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212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Foreign government</w:t>
            </w:r>
          </w:p>
        </w:tc>
        <w:tc>
          <w:tcPr>
            <w:tcW w:w="104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20" w:type="dxa"/>
            <w:vAlign w:val="bottom"/>
            <w:shd w:val="clear" w:color="auto" w:fill="E5E5E5"/>
          </w:tcPr>
          <w:p>
            <w:pPr>
              <w:ind w:left="60"/>
              <w:spacing w:after="0"/>
              <w:rPr>
                <w:sz w:val="20"/>
                <w:szCs w:val="20"/>
                <w:color w:val="auto"/>
              </w:rPr>
            </w:pPr>
            <w:r>
              <w:rPr>
                <w:rFonts w:ascii="Arial" w:cs="Arial" w:eastAsia="Arial" w:hAnsi="Arial"/>
                <w:sz w:val="18"/>
                <w:szCs w:val="18"/>
                <w:color w:val="auto"/>
              </w:rPr>
              <w:t>bonds</w:t>
            </w:r>
          </w:p>
        </w:tc>
        <w:tc>
          <w:tcPr>
            <w:tcW w:w="1040" w:type="dxa"/>
            <w:vAlign w:val="bottom"/>
            <w:shd w:val="clear" w:color="auto" w:fill="E5E5E5"/>
          </w:tcPr>
          <w:p>
            <w:pPr>
              <w:jc w:val="center"/>
              <w:ind w:right="135"/>
              <w:spacing w:after="0"/>
              <w:rPr>
                <w:sz w:val="20"/>
                <w:szCs w:val="20"/>
                <w:color w:val="auto"/>
              </w:rPr>
            </w:pPr>
            <w:r>
              <w:rPr>
                <w:rFonts w:ascii="Arial" w:cs="Arial" w:eastAsia="Arial" w:hAnsi="Arial"/>
                <w:sz w:val="18"/>
                <w:szCs w:val="18"/>
                <w:color w:val="auto"/>
                <w:w w:val="99"/>
              </w:rPr>
              <w:t>Level 2</w:t>
            </w:r>
          </w:p>
        </w:tc>
        <w:tc>
          <w:tcPr>
            <w:tcW w:w="160" w:type="dxa"/>
            <w:vAlign w:val="bottom"/>
            <w:shd w:val="clear" w:color="auto" w:fill="E5E5E5"/>
          </w:tcPr>
          <w:p>
            <w:pPr>
              <w:spacing w:after="0"/>
              <w:rPr>
                <w:sz w:val="19"/>
                <w:szCs w:val="19"/>
                <w:color w:val="auto"/>
              </w:rPr>
            </w:pPr>
          </w:p>
        </w:tc>
        <w:tc>
          <w:tcPr>
            <w:tcW w:w="7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2120" w:type="dxa"/>
            <w:vAlign w:val="bottom"/>
          </w:tcPr>
          <w:p>
            <w:pPr>
              <w:spacing w:after="0" w:line="183" w:lineRule="exact"/>
              <w:rPr>
                <w:sz w:val="20"/>
                <w:szCs w:val="20"/>
                <w:color w:val="auto"/>
              </w:rPr>
            </w:pPr>
            <w:r>
              <w:rPr>
                <w:rFonts w:ascii="Arial" w:cs="Arial" w:eastAsia="Arial" w:hAnsi="Arial"/>
                <w:sz w:val="18"/>
                <w:szCs w:val="18"/>
                <w:color w:val="auto"/>
              </w:rPr>
              <w:t>Mortgage- and asset-</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20" w:type="dxa"/>
            <w:vAlign w:val="bottom"/>
          </w:tcPr>
          <w:p>
            <w:pPr>
              <w:ind w:left="60"/>
              <w:spacing w:after="0"/>
              <w:rPr>
                <w:sz w:val="20"/>
                <w:szCs w:val="20"/>
                <w:color w:val="auto"/>
              </w:rPr>
            </w:pPr>
            <w:r>
              <w:rPr>
                <w:rFonts w:ascii="Arial" w:cs="Arial" w:eastAsia="Arial" w:hAnsi="Arial"/>
                <w:sz w:val="18"/>
                <w:szCs w:val="18"/>
                <w:color w:val="auto"/>
              </w:rPr>
              <w:t>backed securities</w:t>
            </w:r>
          </w:p>
        </w:tc>
        <w:tc>
          <w:tcPr>
            <w:tcW w:w="1040" w:type="dxa"/>
            <w:vAlign w:val="bottom"/>
          </w:tcPr>
          <w:p>
            <w:pPr>
              <w:jc w:val="center"/>
              <w:ind w:right="135"/>
              <w:spacing w:after="0"/>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2,541</w:t>
            </w: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212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Corporate notes and</w:t>
            </w:r>
          </w:p>
        </w:tc>
        <w:tc>
          <w:tcPr>
            <w:tcW w:w="104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6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0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2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20" w:type="dxa"/>
            <w:vAlign w:val="bottom"/>
            <w:shd w:val="clear" w:color="auto" w:fill="E5E5E5"/>
          </w:tcPr>
          <w:p>
            <w:pPr>
              <w:ind w:left="60"/>
              <w:spacing w:after="0"/>
              <w:rPr>
                <w:sz w:val="20"/>
                <w:szCs w:val="20"/>
                <w:color w:val="auto"/>
              </w:rPr>
            </w:pPr>
            <w:r>
              <w:rPr>
                <w:rFonts w:ascii="Arial" w:cs="Arial" w:eastAsia="Arial" w:hAnsi="Arial"/>
                <w:sz w:val="18"/>
                <w:szCs w:val="18"/>
                <w:color w:val="auto"/>
              </w:rPr>
              <w:t>bonds</w:t>
            </w:r>
          </w:p>
        </w:tc>
        <w:tc>
          <w:tcPr>
            <w:tcW w:w="1040" w:type="dxa"/>
            <w:vAlign w:val="bottom"/>
            <w:shd w:val="clear" w:color="auto" w:fill="E5E5E5"/>
          </w:tcPr>
          <w:p>
            <w:pPr>
              <w:jc w:val="center"/>
              <w:ind w:right="135"/>
              <w:spacing w:after="0"/>
              <w:rPr>
                <w:sz w:val="20"/>
                <w:szCs w:val="20"/>
                <w:color w:val="auto"/>
              </w:rPr>
            </w:pPr>
            <w:r>
              <w:rPr>
                <w:rFonts w:ascii="Arial" w:cs="Arial" w:eastAsia="Arial" w:hAnsi="Arial"/>
                <w:sz w:val="18"/>
                <w:szCs w:val="18"/>
                <w:color w:val="auto"/>
                <w:w w:val="99"/>
              </w:rPr>
              <w:t>Level 2</w:t>
            </w:r>
          </w:p>
        </w:tc>
        <w:tc>
          <w:tcPr>
            <w:tcW w:w="160" w:type="dxa"/>
            <w:vAlign w:val="bottom"/>
            <w:shd w:val="clear" w:color="auto" w:fill="E5E5E5"/>
          </w:tcPr>
          <w:p>
            <w:pPr>
              <w:spacing w:after="0"/>
              <w:rPr>
                <w:sz w:val="19"/>
                <w:szCs w:val="19"/>
                <w:color w:val="auto"/>
              </w:rPr>
            </w:pPr>
          </w:p>
        </w:tc>
        <w:tc>
          <w:tcPr>
            <w:tcW w:w="7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10,763</w:t>
            </w: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E5E5E5"/>
          </w:tcPr>
          <w:p>
            <w:pPr>
              <w:spacing w:after="0"/>
              <w:rPr>
                <w:sz w:val="19"/>
                <w:szCs w:val="19"/>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10,786</w:t>
            </w:r>
          </w:p>
        </w:tc>
        <w:tc>
          <w:tcPr>
            <w:tcW w:w="2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0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10,786</w:t>
            </w:r>
          </w:p>
        </w:tc>
        <w:tc>
          <w:tcPr>
            <w:tcW w:w="1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2120" w:type="dxa"/>
            <w:vAlign w:val="bottom"/>
          </w:tcPr>
          <w:p>
            <w:pPr>
              <w:spacing w:after="0" w:line="183" w:lineRule="exact"/>
              <w:rPr>
                <w:sz w:val="20"/>
                <w:szCs w:val="20"/>
                <w:color w:val="auto"/>
              </w:rPr>
            </w:pPr>
            <w:r>
              <w:rPr>
                <w:rFonts w:ascii="Arial" w:cs="Arial" w:eastAsia="Arial" w:hAnsi="Arial"/>
                <w:sz w:val="18"/>
                <w:szCs w:val="18"/>
                <w:color w:val="auto"/>
              </w:rPr>
              <w:t>Corporate notes and</w:t>
            </w: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20" w:type="dxa"/>
            <w:vAlign w:val="bottom"/>
          </w:tcPr>
          <w:p>
            <w:pPr>
              <w:ind w:left="60"/>
              <w:spacing w:after="0"/>
              <w:rPr>
                <w:sz w:val="20"/>
                <w:szCs w:val="20"/>
                <w:color w:val="auto"/>
              </w:rPr>
            </w:pPr>
            <w:r>
              <w:rPr>
                <w:rFonts w:ascii="Arial" w:cs="Arial" w:eastAsia="Arial" w:hAnsi="Arial"/>
                <w:sz w:val="18"/>
                <w:szCs w:val="18"/>
                <w:color w:val="auto"/>
              </w:rPr>
              <w:t>bonds</w:t>
            </w:r>
          </w:p>
        </w:tc>
        <w:tc>
          <w:tcPr>
            <w:tcW w:w="1040" w:type="dxa"/>
            <w:vAlign w:val="bottom"/>
          </w:tcPr>
          <w:p>
            <w:pPr>
              <w:jc w:val="center"/>
              <w:ind w:right="135"/>
              <w:spacing w:after="0"/>
              <w:rPr>
                <w:sz w:val="20"/>
                <w:szCs w:val="20"/>
                <w:color w:val="auto"/>
              </w:rPr>
            </w:pPr>
            <w:r>
              <w:rPr>
                <w:rFonts w:ascii="Arial" w:cs="Arial" w:eastAsia="Arial" w:hAnsi="Arial"/>
                <w:sz w:val="18"/>
                <w:szCs w:val="18"/>
                <w:color w:val="auto"/>
                <w:w w:val="99"/>
              </w:rPr>
              <w:t>Level 3</w:t>
            </w: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03"/>
        </w:trPr>
        <w:tc>
          <w:tcPr>
            <w:tcW w:w="21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1040" w:type="dxa"/>
            <w:vAlign w:val="bottom"/>
            <w:shd w:val="clear" w:color="auto" w:fill="E5E5E5"/>
          </w:tcPr>
          <w:p>
            <w:pPr>
              <w:jc w:val="center"/>
              <w:ind w:right="135"/>
              <w:spacing w:after="0" w:line="202" w:lineRule="exact"/>
              <w:rPr>
                <w:sz w:val="20"/>
                <w:szCs w:val="20"/>
                <w:color w:val="auto"/>
              </w:rPr>
            </w:pPr>
            <w:r>
              <w:rPr>
                <w:rFonts w:ascii="Arial" w:cs="Arial" w:eastAsia="Arial" w:hAnsi="Arial"/>
                <w:sz w:val="18"/>
                <w:szCs w:val="18"/>
                <w:color w:val="auto"/>
                <w:w w:val="99"/>
              </w:rPr>
              <w:t>Level 2</w:t>
            </w:r>
          </w:p>
        </w:tc>
        <w:tc>
          <w:tcPr>
            <w:tcW w:w="1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207</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201</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201</w:t>
            </w:r>
          </w:p>
        </w:tc>
        <w:tc>
          <w:tcPr>
            <w:tcW w:w="1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1"/>
        </w:trPr>
        <w:tc>
          <w:tcPr>
            <w:tcW w:w="2120" w:type="dxa"/>
            <w:vAlign w:val="bottom"/>
          </w:tcPr>
          <w:p>
            <w:pPr>
              <w:spacing w:after="0"/>
              <w:rPr>
                <w:sz w:val="20"/>
                <w:szCs w:val="20"/>
                <w:color w:val="auto"/>
              </w:rPr>
            </w:pPr>
            <w:r>
              <w:rPr>
                <w:rFonts w:ascii="Arial" w:cs="Arial" w:eastAsia="Arial" w:hAnsi="Arial"/>
                <w:sz w:val="18"/>
                <w:szCs w:val="18"/>
                <w:color w:val="auto"/>
              </w:rPr>
              <w:t>Municipal securities</w:t>
            </w:r>
          </w:p>
        </w:tc>
        <w:tc>
          <w:tcPr>
            <w:tcW w:w="1040" w:type="dxa"/>
            <w:vAlign w:val="bottom"/>
          </w:tcPr>
          <w:p>
            <w:pPr>
              <w:jc w:val="center"/>
              <w:ind w:right="135"/>
              <w:spacing w:after="0"/>
              <w:rPr>
                <w:sz w:val="20"/>
                <w:szCs w:val="20"/>
                <w:color w:val="auto"/>
              </w:rPr>
            </w:pPr>
            <w:r>
              <w:rPr>
                <w:rFonts w:ascii="Arial" w:cs="Arial" w:eastAsia="Arial" w:hAnsi="Arial"/>
                <w:sz w:val="18"/>
                <w:szCs w:val="18"/>
                <w:color w:val="auto"/>
                <w:w w:val="99"/>
              </w:rPr>
              <w:t>Level 3</w:t>
            </w: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
        </w:trPr>
        <w:tc>
          <w:tcPr>
            <w:tcW w:w="21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 debt investments</w:t>
            </w:r>
          </w:p>
        </w:tc>
        <w:tc>
          <w:tcPr>
            <w:tcW w:w="1040" w:type="dxa"/>
            <w:vAlign w:val="bottom"/>
            <w:shd w:val="clear" w:color="auto" w:fill="E5E5E5"/>
          </w:tcPr>
          <w:p>
            <w:pPr>
              <w:spacing w:after="0"/>
              <w:rPr>
                <w:sz w:val="17"/>
                <w:szCs w:val="17"/>
                <w:color w:val="auto"/>
              </w:rPr>
            </w:pP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85,589</w:t>
            </w:r>
          </w:p>
        </w:tc>
        <w:tc>
          <w:tcPr>
            <w:tcW w:w="3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295</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(1,625)</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84,259</w:t>
            </w:r>
          </w:p>
        </w:tc>
        <w:tc>
          <w:tcPr>
            <w:tcW w:w="3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17,486</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64,313</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48"/>
        </w:trPr>
        <w:tc>
          <w:tcPr>
            <w:tcW w:w="212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w:t>
            </w:r>
          </w:p>
        </w:tc>
        <w:tc>
          <w:tcPr>
            <w:tcW w:w="10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1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60"/>
              <w:spacing w:after="0"/>
              <w:rPr>
                <w:sz w:val="20"/>
                <w:szCs w:val="20"/>
                <w:color w:val="auto"/>
              </w:rPr>
            </w:pPr>
            <w:r>
              <w:rPr>
                <w:rFonts w:ascii="Arial" w:cs="Arial" w:eastAsia="Arial" w:hAnsi="Arial"/>
                <w:sz w:val="13"/>
                <w:szCs w:val="13"/>
                <w:b w:val="1"/>
                <w:bCs w:val="1"/>
                <w:color w:val="auto"/>
              </w:rPr>
              <w:t>Recorded in Net Income</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E5E5E5"/>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shd w:val="clear" w:color="auto" w:fill="E5E5E5"/>
          </w:tcPr>
          <w:p>
            <w:pPr>
              <w:jc w:val="center"/>
              <w:ind w:right="135"/>
              <w:spacing w:after="0"/>
              <w:rPr>
                <w:sz w:val="20"/>
                <w:szCs w:val="20"/>
                <w:color w:val="auto"/>
              </w:rPr>
            </w:pPr>
            <w:r>
              <w:rPr>
                <w:rFonts w:ascii="Arial" w:cs="Arial" w:eastAsia="Arial" w:hAnsi="Arial"/>
                <w:sz w:val="18"/>
                <w:szCs w:val="18"/>
                <w:color w:val="auto"/>
                <w:w w:val="99"/>
              </w:rPr>
              <w:t>Level 1</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4,577</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1,045</w:t>
            </w:r>
          </w:p>
        </w:tc>
        <w:tc>
          <w:tcPr>
            <w:tcW w:w="28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41"/>
        </w:trPr>
        <w:tc>
          <w:tcPr>
            <w:tcW w:w="2120" w:type="dxa"/>
            <w:vAlign w:val="bottom"/>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Pr>
          <w:p>
            <w:pPr>
              <w:jc w:val="center"/>
              <w:ind w:right="135"/>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36"/>
        </w:trPr>
        <w:tc>
          <w:tcPr>
            <w:tcW w:w="21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 equity investments</w:t>
            </w:r>
          </w:p>
        </w:tc>
        <w:tc>
          <w:tcPr>
            <w:tcW w:w="10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13,718</w:t>
            </w:r>
          </w:p>
        </w:tc>
        <w:tc>
          <w:tcPr>
            <w:tcW w:w="3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1,045</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12,673</w:t>
            </w: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0"/>
                <w:szCs w:val="20"/>
                <w:color w:val="auto"/>
              </w:rPr>
            </w:pPr>
            <w:r>
              <w:rPr>
                <w:rFonts w:ascii="Arial" w:cs="Arial" w:eastAsia="Arial" w:hAnsi="Arial"/>
                <w:sz w:val="18"/>
                <w:szCs w:val="18"/>
                <w:color w:val="auto"/>
              </w:rPr>
              <w:t>Cash</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11,711</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11,711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120" w:type="dxa"/>
            <w:vAlign w:val="bottom"/>
            <w:shd w:val="clear" w:color="auto" w:fill="E5E5E5"/>
          </w:tcPr>
          <w:p>
            <w:pPr>
              <w:spacing w:after="0" w:line="202" w:lineRule="exact"/>
              <w:rPr>
                <w:sz w:val="20"/>
                <w:szCs w:val="20"/>
                <w:color w:val="auto"/>
              </w:rPr>
            </w:pPr>
            <w:r>
              <w:rPr>
                <w:rFonts w:ascii="Arial" w:cs="Arial" w:eastAsia="Arial" w:hAnsi="Arial"/>
                <w:sz w:val="17"/>
                <w:szCs w:val="17"/>
                <w:color w:val="auto"/>
              </w:rPr>
              <w:t xml:space="preserve">Derivatives, net </w:t>
            </w:r>
            <w:r>
              <w:rPr>
                <w:rFonts w:ascii="Arial" w:cs="Arial" w:eastAsia="Arial" w:hAnsi="Arial"/>
                <w:sz w:val="23"/>
                <w:szCs w:val="23"/>
                <w:color w:val="auto"/>
                <w:vertAlign w:val="superscript"/>
              </w:rPr>
              <w:t>(a)</w:t>
            </w:r>
          </w:p>
        </w:tc>
        <w:tc>
          <w:tcPr>
            <w:tcW w:w="104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282</w:t>
            </w: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40"/>
        </w:trPr>
        <w:tc>
          <w:tcPr>
            <w:tcW w:w="2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120" w:type="dxa"/>
            <w:vAlign w:val="bottom"/>
          </w:tcPr>
          <w:p>
            <w:pPr>
              <w:ind w:left="6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109,970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30,242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64,323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15,405</w:t>
            </w:r>
          </w:p>
        </w:tc>
        <w:tc>
          <w:tcPr>
            <w:tcW w:w="0" w:type="dxa"/>
            <w:vAlign w:val="bottom"/>
          </w:tcPr>
          <w:p>
            <w:pPr>
              <w:spacing w:after="0"/>
              <w:rPr>
                <w:sz w:val="1"/>
                <w:szCs w:val="1"/>
                <w:color w:val="auto"/>
              </w:rPr>
            </w:pPr>
          </w:p>
        </w:tc>
      </w:tr>
      <w:tr>
        <w:trPr>
          <w:trHeight w:val="30"/>
        </w:trPr>
        <w:tc>
          <w:tcPr>
            <w:tcW w:w="2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March 31, 2026 and June 30, 2025, equity investments without readily determinable fair values measured at cost with adjustments for observable changes in price or impairments were $9.3 billion and $2.9 billion, respectively, and equity investments measured using the equity method were $11.1 billion and $6.0 billion,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4" w:name="page15"/>
    <w:bookmarkEnd w:id="1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2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2"/>
                <w:szCs w:val="2"/>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6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21"/>
        </w:trPr>
        <w:tc>
          <w:tcPr>
            <w:tcW w:w="3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March 31, 2026</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6,800</w:t>
            </w:r>
          </w:p>
        </w:tc>
        <w:tc>
          <w:tcPr>
            <w:tcW w:w="4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(335)</w:t>
            </w:r>
          </w:p>
        </w:tc>
        <w:tc>
          <w:tcPr>
            <w:tcW w:w="28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23,042</w:t>
            </w:r>
          </w:p>
        </w:tc>
        <w:tc>
          <w:tcPr>
            <w:tcW w:w="80" w:type="dxa"/>
            <w:vAlign w:val="bottom"/>
            <w:shd w:val="clear" w:color="auto" w:fill="E5E5E5"/>
          </w:tcPr>
          <w:p>
            <w:pPr>
              <w:spacing w:after="0"/>
              <w:rPr>
                <w:sz w:val="18"/>
                <w:szCs w:val="18"/>
                <w:color w:val="auto"/>
              </w:rPr>
            </w:pP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(743)</w:t>
            </w:r>
          </w:p>
        </w:tc>
        <w:tc>
          <w:tcPr>
            <w:tcW w:w="260" w:type="dxa"/>
            <w:vAlign w:val="bottom"/>
            <w:tcBorders>
              <w:left w:val="single" w:sz="8" w:color="E5E5E5"/>
            </w:tcBorders>
            <w:shd w:val="clear" w:color="auto" w:fill="E5E5E5"/>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29,842</w:t>
            </w:r>
          </w:p>
        </w:tc>
        <w:tc>
          <w:tcPr>
            <w:tcW w:w="80" w:type="dxa"/>
            <w:vAlign w:val="bottom"/>
            <w:shd w:val="clear" w:color="auto" w:fill="E5E5E5"/>
          </w:tcPr>
          <w:p>
            <w:pPr>
              <w:spacing w:after="0"/>
              <w:rPr>
                <w:sz w:val="18"/>
                <w:szCs w:val="18"/>
                <w:color w:val="auto"/>
              </w:rPr>
            </w:pPr>
          </w:p>
        </w:tc>
        <w:tc>
          <w:tcPr>
            <w:tcW w:w="3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(1,078)</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3"/>
        </w:trPr>
        <w:tc>
          <w:tcPr>
            <w:tcW w:w="3960" w:type="dxa"/>
            <w:vAlign w:val="bottom"/>
            <w:tcBorders>
              <w:right w:val="single" w:sz="8" w:color="E5E5E5"/>
            </w:tcBorders>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581</w:t>
            </w:r>
          </w:p>
        </w:tc>
        <w:tc>
          <w:tcPr>
            <w:tcW w:w="2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150</w:t>
            </w:r>
          </w:p>
        </w:tc>
        <w:tc>
          <w:tcPr>
            <w:tcW w:w="80" w:type="dxa"/>
            <w:vAlign w:val="bottom"/>
            <w:shd w:val="clear" w:color="auto" w:fill="E5E5E5"/>
          </w:tcPr>
          <w:p>
            <w:pPr>
              <w:spacing w:after="0"/>
              <w:rPr>
                <w:sz w:val="17"/>
                <w:szCs w:val="17"/>
                <w:color w:val="auto"/>
              </w:rPr>
            </w:pPr>
          </w:p>
        </w:tc>
        <w:tc>
          <w:tcPr>
            <w:tcW w:w="140" w:type="dxa"/>
            <w:vAlign w:val="bottom"/>
            <w:tcBorders>
              <w:right w:val="single" w:sz="8" w:color="E5E5E5"/>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(20)</w:t>
            </w:r>
          </w:p>
        </w:tc>
        <w:tc>
          <w:tcPr>
            <w:tcW w:w="260" w:type="dxa"/>
            <w:vAlign w:val="bottom"/>
            <w:tcBorders>
              <w:left w:val="single" w:sz="8" w:color="E5E5E5"/>
            </w:tcBorders>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731</w:t>
            </w:r>
          </w:p>
        </w:tc>
        <w:tc>
          <w:tcPr>
            <w:tcW w:w="80" w:type="dxa"/>
            <w:vAlign w:val="bottom"/>
            <w:shd w:val="clear" w:color="auto" w:fill="E5E5E5"/>
          </w:tcPr>
          <w:p>
            <w:pPr>
              <w:spacing w:after="0"/>
              <w:rPr>
                <w:sz w:val="17"/>
                <w:szCs w:val="17"/>
                <w:color w:val="auto"/>
              </w:rPr>
            </w:pPr>
          </w:p>
        </w:tc>
        <w:tc>
          <w:tcPr>
            <w:tcW w:w="1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3,472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1,411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(44)</w:t>
            </w:r>
          </w:p>
        </w:tc>
        <w:tc>
          <w:tcPr>
            <w:tcW w:w="26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4,883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03"/>
        </w:trPr>
        <w:tc>
          <w:tcPr>
            <w:tcW w:w="3960" w:type="dxa"/>
            <w:vAlign w:val="bottom"/>
            <w:tcBorders>
              <w:right w:val="single" w:sz="8" w:color="E5E5E5"/>
            </w:tcBorders>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tcBorders>
              <w:left w:val="single" w:sz="8" w:color="E5E5E5"/>
            </w:tcBorders>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154</w:t>
            </w:r>
          </w:p>
        </w:tc>
        <w:tc>
          <w:tcPr>
            <w:tcW w:w="80" w:type="dxa"/>
            <w:vAlign w:val="bottom"/>
            <w:shd w:val="clear" w:color="auto" w:fill="E5E5E5"/>
          </w:tcPr>
          <w:p>
            <w:pPr>
              <w:spacing w:after="0"/>
              <w:rPr>
                <w:sz w:val="17"/>
                <w:szCs w:val="17"/>
                <w:color w:val="auto"/>
              </w:rPr>
            </w:pPr>
          </w:p>
        </w:tc>
        <w:tc>
          <w:tcPr>
            <w:tcW w:w="140" w:type="dxa"/>
            <w:vAlign w:val="bottom"/>
            <w:tcBorders>
              <w:right w:val="single" w:sz="8" w:color="E5E5E5"/>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(20)</w:t>
            </w:r>
          </w:p>
        </w:tc>
        <w:tc>
          <w:tcPr>
            <w:tcW w:w="260" w:type="dxa"/>
            <w:vAlign w:val="bottom"/>
            <w:tcBorders>
              <w:left w:val="single" w:sz="8" w:color="E5E5E5"/>
            </w:tcBorders>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154</w:t>
            </w:r>
          </w:p>
        </w:tc>
        <w:tc>
          <w:tcPr>
            <w:tcW w:w="80" w:type="dxa"/>
            <w:vAlign w:val="bottom"/>
            <w:shd w:val="clear" w:color="auto" w:fill="E5E5E5"/>
          </w:tcPr>
          <w:p>
            <w:pPr>
              <w:spacing w:after="0"/>
              <w:rPr>
                <w:sz w:val="17"/>
                <w:szCs w:val="17"/>
                <w:color w:val="auto"/>
              </w:rPr>
            </w:pPr>
          </w:p>
        </w:tc>
        <w:tc>
          <w:tcPr>
            <w:tcW w:w="1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1"/>
        </w:trPr>
        <w:tc>
          <w:tcPr>
            <w:tcW w:w="3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3960" w:type="dxa"/>
            <w:vAlign w:val="bottom"/>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10,944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(369)</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24,788</w:t>
            </w:r>
          </w:p>
        </w:tc>
        <w:tc>
          <w:tcPr>
            <w:tcW w:w="80" w:type="dxa"/>
            <w:vAlign w:val="bottom"/>
          </w:tcPr>
          <w:p>
            <w:pPr>
              <w:spacing w:after="0"/>
              <w:rPr>
                <w:sz w:val="23"/>
                <w:szCs w:val="2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(830)</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35,732</w:t>
            </w:r>
          </w:p>
        </w:tc>
        <w:tc>
          <w:tcPr>
            <w:tcW w:w="80" w:type="dxa"/>
            <w:vAlign w:val="bottom"/>
          </w:tcPr>
          <w:p>
            <w:pPr>
              <w:spacing w:after="0"/>
              <w:rPr>
                <w:sz w:val="23"/>
                <w:szCs w:val="2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(1,199)</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000" w:type="dxa"/>
            <w:vAlign w:val="bottom"/>
            <w:gridSpan w:val="2"/>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right w:val="single" w:sz="8" w:color="auto"/>
            </w:tcBorders>
            <w:gridSpan w:val="2"/>
          </w:tcPr>
          <w:p>
            <w:pPr>
              <w:spacing w:after="0"/>
              <w:rPr>
                <w:sz w:val="3"/>
                <w:szCs w:val="3"/>
                <w:color w:val="auto"/>
              </w:rPr>
            </w:pPr>
          </w:p>
        </w:tc>
        <w:tc>
          <w:tcPr>
            <w:tcW w:w="940" w:type="dxa"/>
            <w:vAlign w:val="bottom"/>
            <w:gridSpan w:val="2"/>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9"/>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Arial" w:cs="Arial" w:eastAsia="Arial" w:hAnsi="Arial"/>
                <w:sz w:val="13"/>
                <w:szCs w:val="13"/>
                <w:b w:val="1"/>
                <w:bCs w:val="1"/>
                <w:color w:val="auto"/>
              </w:rPr>
              <w:t>Less than 12 Months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3"/>
                <w:szCs w:val="13"/>
                <w:b w:val="1"/>
                <w:bCs w:val="1"/>
                <w:color w:val="auto"/>
              </w:rPr>
              <w:t>12 Months or Greater</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3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Unrealized</w:t>
            </w:r>
          </w:p>
        </w:tc>
        <w:tc>
          <w:tcPr>
            <w:tcW w:w="20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60" w:type="dxa"/>
            <w:vAlign w:val="bottom"/>
          </w:tcPr>
          <w:p>
            <w:pPr>
              <w:spacing w:after="0"/>
              <w:rPr>
                <w:sz w:val="2"/>
                <w:szCs w:val="2"/>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Fair Value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26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221"/>
        </w:trPr>
        <w:tc>
          <w:tcPr>
            <w:tcW w:w="39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June 30, 2025</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96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shd w:val="clear" w:color="auto" w:fill="E5E5E5"/>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2,569</w:t>
            </w:r>
          </w:p>
        </w:tc>
        <w:tc>
          <w:tcPr>
            <w:tcW w:w="4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(51)</w:t>
            </w:r>
          </w:p>
        </w:tc>
        <w:tc>
          <w:tcPr>
            <w:tcW w:w="2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34,608</w:t>
            </w:r>
          </w:p>
        </w:tc>
        <w:tc>
          <w:tcPr>
            <w:tcW w:w="32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(1,411)</w:t>
            </w:r>
          </w:p>
        </w:tc>
        <w:tc>
          <w:tcPr>
            <w:tcW w:w="260" w:type="dxa"/>
            <w:vAlign w:val="bottom"/>
            <w:tcBorders>
              <w:left w:val="single" w:sz="8" w:color="E5E5E5"/>
            </w:tcBorders>
            <w:shd w:val="clear" w:color="auto" w:fill="E5E5E5"/>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37,177</w:t>
            </w:r>
          </w:p>
        </w:tc>
        <w:tc>
          <w:tcPr>
            <w:tcW w:w="3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960" w:type="dxa"/>
            <w:vAlign w:val="bottom"/>
            <w:tcBorders>
              <w:right w:val="single" w:sz="8" w:color="E5E5E5"/>
            </w:tcBorders>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841</w:t>
            </w:r>
          </w:p>
        </w:tc>
        <w:tc>
          <w:tcPr>
            <w:tcW w:w="2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8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189</w:t>
            </w:r>
          </w:p>
        </w:tc>
        <w:tc>
          <w:tcPr>
            <w:tcW w:w="140" w:type="dxa"/>
            <w:vAlign w:val="bottom"/>
            <w:tcBorders>
              <w:right w:val="single" w:sz="8" w:color="E5E5E5"/>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260" w:type="dxa"/>
            <w:vAlign w:val="bottom"/>
            <w:tcBorders>
              <w:left w:val="single" w:sz="8" w:color="E5E5E5"/>
            </w:tcBorders>
            <w:shd w:val="clear" w:color="auto" w:fill="E5E5E5"/>
          </w:tcPr>
          <w:p>
            <w:pPr>
              <w:spacing w:after="0"/>
              <w:rPr>
                <w:sz w:val="17"/>
                <w:szCs w:val="17"/>
                <w:color w:val="auto"/>
              </w:rPr>
            </w:pPr>
          </w:p>
        </w:tc>
        <w:tc>
          <w:tcPr>
            <w:tcW w:w="88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1,030</w:t>
            </w:r>
          </w:p>
        </w:tc>
        <w:tc>
          <w:tcPr>
            <w:tcW w:w="1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1,107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3,105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w:t>
            </w:r>
          </w:p>
        </w:tc>
        <w:tc>
          <w:tcPr>
            <w:tcW w:w="260" w:type="dxa"/>
            <w:vAlign w:val="bottom"/>
          </w:tcPr>
          <w:p>
            <w:pPr>
              <w:spacing w:after="0"/>
              <w:rPr>
                <w:sz w:val="17"/>
                <w:szCs w:val="17"/>
                <w:color w:val="auto"/>
              </w:rPr>
            </w:pPr>
          </w:p>
        </w:tc>
        <w:tc>
          <w:tcPr>
            <w:tcW w:w="8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4,212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3"/>
        </w:trPr>
        <w:tc>
          <w:tcPr>
            <w:tcW w:w="3960" w:type="dxa"/>
            <w:vAlign w:val="bottom"/>
            <w:tcBorders>
              <w:right w:val="single" w:sz="8" w:color="E5E5E5"/>
            </w:tcBorders>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2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8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168</w:t>
            </w:r>
          </w:p>
        </w:tc>
        <w:tc>
          <w:tcPr>
            <w:tcW w:w="140" w:type="dxa"/>
            <w:vAlign w:val="bottom"/>
            <w:tcBorders>
              <w:right w:val="single" w:sz="8" w:color="E5E5E5"/>
            </w:tcBorders>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260" w:type="dxa"/>
            <w:vAlign w:val="bottom"/>
            <w:tcBorders>
              <w:left w:val="single" w:sz="8" w:color="E5E5E5"/>
            </w:tcBorders>
            <w:shd w:val="clear" w:color="auto" w:fill="E5E5E5"/>
          </w:tcPr>
          <w:p>
            <w:pPr>
              <w:spacing w:after="0"/>
              <w:rPr>
                <w:sz w:val="17"/>
                <w:szCs w:val="17"/>
                <w:color w:val="auto"/>
              </w:rPr>
            </w:pPr>
          </w:p>
        </w:tc>
        <w:tc>
          <w:tcPr>
            <w:tcW w:w="88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168</w:t>
            </w:r>
          </w:p>
        </w:tc>
        <w:tc>
          <w:tcPr>
            <w:tcW w:w="140" w:type="dxa"/>
            <w:vAlign w:val="bottom"/>
            <w:tcBorders>
              <w:right w:val="single" w:sz="8" w:color="E5E5E5"/>
            </w:tcBorders>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0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0"/>
        </w:trPr>
        <w:tc>
          <w:tcPr>
            <w:tcW w:w="3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3960" w:type="dxa"/>
            <w:vAlign w:val="bottom"/>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4,560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38,176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42,736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30"/>
        </w:trPr>
        <w:tc>
          <w:tcPr>
            <w:tcW w:w="3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debt investments as of March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40" w:type="dxa"/>
            <w:vAlign w:val="bottom"/>
          </w:tcPr>
          <w:p>
            <w:pPr>
              <w:spacing w:after="0"/>
              <w:rPr>
                <w:sz w:val="12"/>
                <w:szCs w:val="12"/>
                <w:color w:val="auto"/>
              </w:rPr>
            </w:pPr>
          </w:p>
        </w:tc>
        <w:tc>
          <w:tcPr>
            <w:tcW w:w="1100" w:type="dxa"/>
            <w:vAlign w:val="bottom"/>
            <w:gridSpan w:val="2"/>
          </w:tcPr>
          <w:p>
            <w:pPr>
              <w:ind w:left="34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4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21"/>
        </w:trPr>
        <w:tc>
          <w:tcPr>
            <w:tcW w:w="55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March 31, 2026</w:t>
            </w:r>
          </w:p>
        </w:tc>
        <w:tc>
          <w:tcPr>
            <w:tcW w:w="25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E5E5E5"/>
          </w:tcPr>
          <w:p>
            <w:pPr>
              <w:spacing w:after="0"/>
              <w:rPr>
                <w:sz w:val="20"/>
                <w:szCs w:val="20"/>
                <w:color w:val="auto"/>
              </w:rPr>
            </w:pPr>
            <w:r>
              <w:rPr>
                <w:rFonts w:ascii="Arial" w:cs="Arial" w:eastAsia="Arial" w:hAnsi="Arial"/>
                <w:sz w:val="18"/>
                <w:szCs w:val="18"/>
                <w:color w:val="auto"/>
              </w:rPr>
              <w:t>Due in one year or less</w:t>
            </w:r>
          </w:p>
        </w:tc>
        <w:tc>
          <w:tcPr>
            <w:tcW w:w="2960" w:type="dxa"/>
            <w:vAlign w:val="bottom"/>
            <w:gridSpan w:val="2"/>
            <w:shd w:val="clear" w:color="auto" w:fill="E5E5E5"/>
          </w:tcPr>
          <w:p>
            <w:pPr>
              <w:jc w:val="right"/>
              <w:ind w:right="3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31,578</w:t>
            </w:r>
          </w:p>
        </w:tc>
        <w:tc>
          <w:tcPr>
            <w:tcW w:w="440" w:type="dxa"/>
            <w:vAlign w:val="bottom"/>
            <w:shd w:val="clear" w:color="auto" w:fill="E5E5E5"/>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31,489</w:t>
            </w: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39,402</w:t>
            </w:r>
          </w:p>
        </w:tc>
        <w:tc>
          <w:tcPr>
            <w:tcW w:w="440" w:type="dxa"/>
            <w:vAlign w:val="bottom"/>
          </w:tcPr>
          <w:p>
            <w:pPr>
              <w:spacing w:after="0"/>
              <w:rPr>
                <w:sz w:val="17"/>
                <w:szCs w:val="17"/>
                <w:color w:val="auto"/>
              </w:rPr>
            </w:pP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38,528</w:t>
            </w:r>
          </w:p>
        </w:tc>
        <w:tc>
          <w:tcPr>
            <w:tcW w:w="0" w:type="dxa"/>
            <w:vAlign w:val="bottom"/>
          </w:tcPr>
          <w:p>
            <w:pPr>
              <w:spacing w:after="0"/>
              <w:rPr>
                <w:sz w:val="1"/>
                <w:szCs w:val="1"/>
                <w:color w:val="auto"/>
              </w:rPr>
            </w:pP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after five years through 10 years</w:t>
            </w:r>
          </w:p>
        </w:tc>
        <w:tc>
          <w:tcPr>
            <w:tcW w:w="25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3,481</w:t>
            </w:r>
          </w:p>
        </w:tc>
        <w:tc>
          <w:tcPr>
            <w:tcW w:w="4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3,559</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Due after 10 years</w:t>
            </w:r>
          </w:p>
        </w:tc>
        <w:tc>
          <w:tcPr>
            <w:tcW w:w="2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1,257</w:t>
            </w:r>
          </w:p>
        </w:tc>
        <w:tc>
          <w:tcPr>
            <w:tcW w:w="4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1,174</w:t>
            </w:r>
          </w:p>
        </w:tc>
        <w:tc>
          <w:tcPr>
            <w:tcW w:w="0" w:type="dxa"/>
            <w:vAlign w:val="bottom"/>
          </w:tcPr>
          <w:p>
            <w:pPr>
              <w:spacing w:after="0"/>
              <w:rPr>
                <w:sz w:val="1"/>
                <w:szCs w:val="1"/>
                <w:color w:val="auto"/>
              </w:rPr>
            </w:pPr>
          </w:p>
        </w:tc>
      </w:tr>
      <w:tr>
        <w:trPr>
          <w:trHeight w:val="34"/>
        </w:trPr>
        <w:tc>
          <w:tcPr>
            <w:tcW w:w="5500" w:type="dxa"/>
            <w:vAlign w:val="bottom"/>
            <w:tcBorders>
              <w:top w:val="single" w:sz="8" w:color="auto"/>
            </w:tcBorders>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75,718</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74,750</w:t>
            </w:r>
          </w:p>
        </w:tc>
        <w:tc>
          <w:tcPr>
            <w:tcW w:w="0" w:type="dxa"/>
            <w:vAlign w:val="bottom"/>
          </w:tcPr>
          <w:p>
            <w:pPr>
              <w:spacing w:after="0"/>
              <w:rPr>
                <w:sz w:val="1"/>
                <w:szCs w:val="1"/>
                <w:color w:val="auto"/>
              </w:rPr>
            </w:pPr>
          </w:p>
        </w:tc>
      </w:tr>
      <w:tr>
        <w:trPr>
          <w:trHeight w:val="47"/>
        </w:trPr>
        <w:tc>
          <w:tcPr>
            <w:tcW w:w="55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5" w:name="page16"/>
    <w:bookmarkEnd w:id="1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Foreign currency risks related to certain Euro-denominated debt are hedged using foreign exchange forward contracts that are designated as cash flow hedging instruments.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March 31, 2026, our long-term unsecured debt rating was AAA, and cash investments were in excess of $1.0 billion. As a result, no collateral was required to be posted.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160" w:type="dxa"/>
            <w:vAlign w:val="bottom"/>
          </w:tcPr>
          <w:p>
            <w:pPr>
              <w:spacing w:after="0"/>
              <w:rPr>
                <w:sz w:val="12"/>
                <w:szCs w:val="12"/>
                <w:color w:val="auto"/>
              </w:rPr>
            </w:pPr>
          </w:p>
        </w:tc>
        <w:tc>
          <w:tcPr>
            <w:tcW w:w="1080" w:type="dxa"/>
            <w:vAlign w:val="bottom"/>
          </w:tcPr>
          <w:p>
            <w:pPr>
              <w:jc w:val="right"/>
              <w:ind w:right="15"/>
              <w:spacing w:after="0"/>
              <w:rPr>
                <w:sz w:val="20"/>
                <w:szCs w:val="20"/>
                <w:color w:val="auto"/>
              </w:rPr>
            </w:pPr>
            <w:r>
              <w:rPr>
                <w:rFonts w:ascii="Arial" w:cs="Arial" w:eastAsia="Arial" w:hAnsi="Arial"/>
                <w:sz w:val="13"/>
                <w:szCs w:val="13"/>
                <w:b w:val="1"/>
                <w:bCs w:val="1"/>
                <w:color w:val="auto"/>
              </w:rPr>
              <w:t>March 31,</w:t>
            </w:r>
          </w:p>
        </w:tc>
        <w:tc>
          <w:tcPr>
            <w:tcW w:w="600" w:type="dxa"/>
            <w:vAlign w:val="bottom"/>
          </w:tcPr>
          <w:p>
            <w:pPr>
              <w:spacing w:after="0"/>
              <w:rPr>
                <w:sz w:val="12"/>
                <w:szCs w:val="12"/>
                <w:color w:val="auto"/>
              </w:rPr>
            </w:pPr>
          </w:p>
        </w:tc>
        <w:tc>
          <w:tcPr>
            <w:tcW w:w="1060" w:type="dxa"/>
            <w:vAlign w:val="bottom"/>
            <w:gridSpan w:val="2"/>
          </w:tcPr>
          <w:p>
            <w:pPr>
              <w:ind w:left="4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4340" w:type="dxa"/>
            <w:vAlign w:val="bottom"/>
            <w:vMerge w:val="continue"/>
          </w:tcPr>
          <w:p>
            <w:pPr>
              <w:spacing w:after="0"/>
              <w:rPr>
                <w:sz w:val="16"/>
                <w:szCs w:val="16"/>
                <w:color w:val="auto"/>
              </w:rPr>
            </w:pPr>
          </w:p>
        </w:tc>
        <w:tc>
          <w:tcPr>
            <w:tcW w:w="4160" w:type="dxa"/>
            <w:vAlign w:val="bottom"/>
          </w:tcPr>
          <w:p>
            <w:pPr>
              <w:spacing w:after="0"/>
              <w:rPr>
                <w:sz w:val="16"/>
                <w:szCs w:val="16"/>
                <w:color w:val="auto"/>
              </w:rPr>
            </w:pPr>
          </w:p>
        </w:tc>
        <w:tc>
          <w:tcPr>
            <w:tcW w:w="1080" w:type="dxa"/>
            <w:vAlign w:val="bottom"/>
          </w:tcPr>
          <w:p>
            <w:pPr>
              <w:jc w:val="right"/>
              <w:ind w:right="15"/>
              <w:spacing w:after="0"/>
              <w:rPr>
                <w:sz w:val="20"/>
                <w:szCs w:val="20"/>
                <w:color w:val="auto"/>
              </w:rPr>
            </w:pPr>
            <w:r>
              <w:rPr>
                <w:rFonts w:ascii="Arial" w:cs="Arial" w:eastAsia="Arial" w:hAnsi="Arial"/>
                <w:sz w:val="13"/>
                <w:szCs w:val="13"/>
                <w:b w:val="1"/>
                <w:bCs w:val="1"/>
                <w:color w:val="auto"/>
              </w:rPr>
              <w:t>2026</w:t>
            </w:r>
          </w:p>
        </w:tc>
        <w:tc>
          <w:tcPr>
            <w:tcW w:w="6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31"/>
        </w:trPr>
        <w:tc>
          <w:tcPr>
            <w:tcW w:w="43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 purchased</w:t>
            </w:r>
          </w:p>
        </w:tc>
        <w:tc>
          <w:tcPr>
            <w:tcW w:w="4160" w:type="dxa"/>
            <w:vAlign w:val="bottom"/>
            <w:shd w:val="clear" w:color="auto" w:fill="E5E5E5"/>
          </w:tcPr>
          <w:p>
            <w:pPr>
              <w:jc w:val="right"/>
              <w:ind w:right="279"/>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b w:val="1"/>
                <w:bCs w:val="1"/>
                <w:color w:val="auto"/>
              </w:rPr>
              <w:t>1,492</w:t>
            </w:r>
          </w:p>
        </w:tc>
        <w:tc>
          <w:tcPr>
            <w:tcW w:w="60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47"/>
        </w:trPr>
        <w:tc>
          <w:tcPr>
            <w:tcW w:w="4340" w:type="dxa"/>
            <w:vAlign w:val="bottom"/>
          </w:tcPr>
          <w:p>
            <w:pPr>
              <w:spacing w:after="0"/>
              <w:rPr>
                <w:sz w:val="20"/>
                <w:szCs w:val="20"/>
                <w:color w:val="auto"/>
              </w:rPr>
            </w:pPr>
            <w:r>
              <w:rPr>
                <w:rFonts w:ascii="Arial" w:cs="Arial" w:eastAsia="Arial" w:hAnsi="Arial"/>
                <w:sz w:val="18"/>
                <w:szCs w:val="18"/>
                <w:color w:val="auto"/>
              </w:rPr>
              <w:t>Interest rate contracts purchased</w:t>
            </w:r>
          </w:p>
        </w:tc>
        <w:tc>
          <w:tcPr>
            <w:tcW w:w="4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b w:val="1"/>
                <w:bCs w:val="1"/>
                <w:color w:val="auto"/>
              </w:rPr>
              <w:t>1,180</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 purchased</w:t>
            </w:r>
          </w:p>
        </w:tc>
        <w:tc>
          <w:tcPr>
            <w:tcW w:w="416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b w:val="1"/>
                <w:bCs w:val="1"/>
                <w:color w:val="auto"/>
              </w:rPr>
              <w:t>14,050</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Foreign exchange contracts sold</w:t>
            </w:r>
          </w:p>
        </w:tc>
        <w:tc>
          <w:tcPr>
            <w:tcW w:w="4160" w:type="dxa"/>
            <w:vAlign w:val="bottom"/>
          </w:tcPr>
          <w:p>
            <w:pPr>
              <w:spacing w:after="0"/>
              <w:rPr>
                <w:sz w:val="17"/>
                <w:szCs w:val="17"/>
                <w:color w:val="auto"/>
              </w:rPr>
            </w:pPr>
          </w:p>
        </w:tc>
        <w:tc>
          <w:tcPr>
            <w:tcW w:w="10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40,593</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43,307</w:t>
            </w: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contracts purchased</w:t>
            </w:r>
          </w:p>
        </w:tc>
        <w:tc>
          <w:tcPr>
            <w:tcW w:w="416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b w:val="1"/>
                <w:bCs w:val="1"/>
                <w:color w:val="auto"/>
              </w:rPr>
              <w:t>5,192</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Equity contracts sold</w:t>
            </w:r>
          </w:p>
        </w:tc>
        <w:tc>
          <w:tcPr>
            <w:tcW w:w="4160" w:type="dxa"/>
            <w:vAlign w:val="bottom"/>
          </w:tcPr>
          <w:p>
            <w:pPr>
              <w:spacing w:after="0"/>
              <w:rPr>
                <w:sz w:val="17"/>
                <w:szCs w:val="17"/>
                <w:color w:val="auto"/>
              </w:rPr>
            </w:pPr>
          </w:p>
        </w:tc>
        <w:tc>
          <w:tcPr>
            <w:tcW w:w="108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2,546</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 purchased</w:t>
            </w:r>
          </w:p>
        </w:tc>
        <w:tc>
          <w:tcPr>
            <w:tcW w:w="4160" w:type="dxa"/>
            <w:vAlign w:val="bottom"/>
            <w:shd w:val="clear" w:color="auto" w:fill="E5E5E5"/>
          </w:tcPr>
          <w:p>
            <w:pPr>
              <w:spacing w:after="0"/>
              <w:rPr>
                <w:sz w:val="17"/>
                <w:szCs w:val="17"/>
                <w:color w:val="auto"/>
              </w:rPr>
            </w:pPr>
          </w:p>
        </w:tc>
        <w:tc>
          <w:tcPr>
            <w:tcW w:w="1080" w:type="dxa"/>
            <w:vAlign w:val="bottom"/>
            <w:shd w:val="clear" w:color="auto" w:fill="E5E5E5"/>
          </w:tcPr>
          <w:p>
            <w:pPr>
              <w:jc w:val="right"/>
              <w:ind w:right="15"/>
              <w:spacing w:after="0" w:line="202" w:lineRule="exact"/>
              <w:rPr>
                <w:sz w:val="20"/>
                <w:szCs w:val="20"/>
                <w:color w:val="auto"/>
              </w:rPr>
            </w:pPr>
            <w:r>
              <w:rPr>
                <w:rFonts w:ascii="Arial" w:cs="Arial" w:eastAsia="Arial" w:hAnsi="Arial"/>
                <w:sz w:val="18"/>
                <w:szCs w:val="18"/>
                <w:b w:val="1"/>
                <w:bCs w:val="1"/>
                <w:color w:val="auto"/>
              </w:rPr>
              <w:t>2,872</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52"/>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4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b w:val="1"/>
                <w:bCs w:val="1"/>
                <w:color w:val="auto"/>
              </w:rPr>
              <w:t>864</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611"/>
        </w:trPr>
        <w:tc>
          <w:tcPr>
            <w:tcW w:w="4340" w:type="dxa"/>
            <w:vAlign w:val="bottom"/>
            <w:tcBorders>
              <w:top w:val="single" w:sz="8" w:color="auto"/>
            </w:tcBorders>
          </w:tcPr>
          <w:p>
            <w:pPr>
              <w:spacing w:after="0"/>
              <w:rPr>
                <w:sz w:val="24"/>
                <w:szCs w:val="24"/>
                <w:color w:val="auto"/>
              </w:rPr>
            </w:pPr>
          </w:p>
        </w:tc>
        <w:tc>
          <w:tcPr>
            <w:tcW w:w="4160" w:type="dxa"/>
            <w:vAlign w:val="bottom"/>
            <w:tcBorders>
              <w:top w:val="single" w:sz="8" w:color="auto"/>
            </w:tcBorders>
          </w:tcPr>
          <w:p>
            <w:pPr>
              <w:jc w:val="right"/>
              <w:ind w:right="2719"/>
              <w:spacing w:after="0"/>
              <w:rPr>
                <w:sz w:val="20"/>
                <w:szCs w:val="20"/>
                <w:color w:val="auto"/>
              </w:rPr>
            </w:pPr>
            <w:r>
              <w:rPr>
                <w:rFonts w:ascii="Arial" w:cs="Arial" w:eastAsia="Arial" w:hAnsi="Arial"/>
                <w:sz w:val="14"/>
                <w:szCs w:val="14"/>
                <w:color w:val="auto"/>
              </w:rPr>
              <w:t>16</w:t>
            </w:r>
          </w:p>
        </w:tc>
        <w:tc>
          <w:tcPr>
            <w:tcW w:w="10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43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6" w:name="page17"/>
    <w:bookmarkEnd w:id="1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5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2026</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56</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(66)</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89</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8"/>
        </w:trPr>
        <w:tc>
          <w:tcPr>
            <w:tcW w:w="52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974</w:t>
            </w: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(427)</w:t>
            </w:r>
          </w:p>
        </w:tc>
        <w:tc>
          <w:tcPr>
            <w:tcW w:w="280" w:type="dxa"/>
            <w:vAlign w:val="bottom"/>
            <w:shd w:val="clear" w:color="auto" w:fill="E5E5E5"/>
          </w:tcPr>
          <w:p>
            <w:pPr>
              <w:spacing w:after="0"/>
              <w:rPr>
                <w:sz w:val="18"/>
                <w:szCs w:val="18"/>
                <w:color w:val="auto"/>
              </w:rPr>
            </w:pP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E5E5E5"/>
          </w:tcPr>
          <w:p>
            <w:pPr>
              <w:spacing w:after="0"/>
              <w:rPr>
                <w:sz w:val="18"/>
                <w:szCs w:val="18"/>
                <w:color w:val="auto"/>
              </w:rPr>
            </w:pPr>
          </w:p>
        </w:tc>
        <w:tc>
          <w:tcPr>
            <w:tcW w:w="94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Equity contracts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(160)</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385</w:t>
            </w:r>
          </w:p>
        </w:tc>
        <w:tc>
          <w:tcPr>
            <w:tcW w:w="280" w:type="dxa"/>
            <w:vAlign w:val="bottom"/>
          </w:tcPr>
          <w:p>
            <w:pPr>
              <w:spacing w:after="0"/>
              <w:rPr>
                <w:sz w:val="17"/>
                <w:szCs w:val="17"/>
                <w:color w:val="auto"/>
              </w:rPr>
            </w:pPr>
          </w:p>
        </w:tc>
        <w:tc>
          <w:tcPr>
            <w:tcW w:w="9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03"/>
        </w:trPr>
        <w:tc>
          <w:tcPr>
            <w:tcW w:w="5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w:t>
            </w:r>
          </w:p>
        </w:tc>
        <w:tc>
          <w:tcPr>
            <w:tcW w:w="6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21</w:t>
            </w:r>
          </w:p>
        </w:tc>
        <w:tc>
          <w:tcPr>
            <w:tcW w:w="280" w:type="dxa"/>
            <w:vAlign w:val="bottom"/>
            <w:shd w:val="clear" w:color="auto" w:fill="E5E5E5"/>
          </w:tcPr>
          <w:p>
            <w:pPr>
              <w:spacing w:after="0"/>
              <w:rPr>
                <w:sz w:val="17"/>
                <w:szCs w:val="17"/>
                <w:color w:val="auto"/>
              </w:rPr>
            </w:pPr>
          </w:p>
        </w:tc>
        <w:tc>
          <w:tcPr>
            <w:tcW w:w="94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0"/>
        </w:trPr>
        <w:tc>
          <w:tcPr>
            <w:tcW w:w="5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Gross amounts of derivatives</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(671)</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2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03"/>
        </w:trPr>
        <w:tc>
          <w:tcPr>
            <w:tcW w:w="5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Gross amounts of derivatives offset in the balance sheets</w:t>
            </w:r>
          </w:p>
        </w:tc>
        <w:tc>
          <w:tcPr>
            <w:tcW w:w="6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(328)</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329</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(258)</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260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Cash collateral received</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(404)</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4"/>
        </w:trPr>
        <w:tc>
          <w:tcPr>
            <w:tcW w:w="52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28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Net amounts of derivatives</w:t>
            </w:r>
          </w:p>
        </w:tc>
        <w:tc>
          <w:tcPr>
            <w:tcW w:w="98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752</w:t>
            </w:r>
          </w:p>
        </w:tc>
        <w:tc>
          <w:tcPr>
            <w:tcW w:w="4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(746)</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500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48"/>
        </w:trPr>
        <w:tc>
          <w:tcPr>
            <w:tcW w:w="52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6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2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E5E5E5"/>
          </w:tcPr>
          <w:p>
            <w:pPr>
              <w:spacing w:after="0"/>
              <w:rPr>
                <w:sz w:val="20"/>
                <w:szCs w:val="20"/>
                <w:color w:val="auto"/>
              </w:rPr>
            </w:pPr>
            <w:r>
              <w:rPr>
                <w:rFonts w:ascii="Arial" w:cs="Arial" w:eastAsia="Arial" w:hAnsi="Arial"/>
                <w:sz w:val="18"/>
                <w:szCs w:val="18"/>
                <w:color w:val="auto"/>
              </w:rPr>
              <w:t>Short-term investments</w:t>
            </w:r>
          </w:p>
        </w:tc>
        <w:tc>
          <w:tcPr>
            <w:tcW w:w="98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44</w:t>
            </w:r>
          </w:p>
        </w:tc>
        <w:tc>
          <w:tcPr>
            <w:tcW w:w="4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704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201</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and other investments</w:t>
            </w:r>
          </w:p>
        </w:tc>
        <w:tc>
          <w:tcPr>
            <w:tcW w:w="6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272</w:t>
            </w: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Other long-term assets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E5E5E4"/>
          </w:tcPr>
          <w:p>
            <w:pPr>
              <w:spacing w:after="0" w:line="202" w:lineRule="exact"/>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980" w:type="dxa"/>
            <w:vAlign w:val="bottom"/>
            <w:gridSpan w:val="2"/>
            <w:shd w:val="clear" w:color="auto" w:fill="E5E5E4"/>
          </w:tcPr>
          <w:p>
            <w:pPr>
              <w:jc w:val="right"/>
              <w:ind w:right="14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4"/>
          </w:tcPr>
          <w:p>
            <w:pPr>
              <w:spacing w:after="0"/>
              <w:rPr>
                <w:sz w:val="17"/>
                <w:szCs w:val="17"/>
                <w:color w:val="auto"/>
              </w:rPr>
            </w:pPr>
          </w:p>
        </w:tc>
        <w:tc>
          <w:tcPr>
            <w:tcW w:w="300" w:type="dxa"/>
            <w:vAlign w:val="bottom"/>
            <w:shd w:val="clear" w:color="auto" w:fill="E5E5E4"/>
          </w:tcPr>
          <w:p>
            <w:pPr>
              <w:spacing w:after="0"/>
              <w:rPr>
                <w:sz w:val="17"/>
                <w:szCs w:val="17"/>
                <w:color w:val="auto"/>
              </w:rPr>
            </w:pPr>
          </w:p>
        </w:tc>
        <w:tc>
          <w:tcPr>
            <w:tcW w:w="1060" w:type="dxa"/>
            <w:vAlign w:val="bottom"/>
            <w:gridSpan w:val="2"/>
            <w:shd w:val="clear" w:color="auto" w:fill="E5E5E4"/>
          </w:tcPr>
          <w:p>
            <w:pPr>
              <w:jc w:val="right"/>
              <w:ind w:right="160"/>
              <w:spacing w:after="0" w:line="202" w:lineRule="exact"/>
              <w:rPr>
                <w:sz w:val="20"/>
                <w:szCs w:val="20"/>
                <w:color w:val="auto"/>
              </w:rPr>
            </w:pPr>
            <w:r>
              <w:rPr>
                <w:rFonts w:ascii="Arial" w:cs="Arial" w:eastAsia="Arial" w:hAnsi="Arial"/>
                <w:sz w:val="18"/>
                <w:szCs w:val="18"/>
                <w:b w:val="1"/>
                <w:bCs w:val="1"/>
                <w:color w:val="auto"/>
              </w:rPr>
              <w:t>(630)</w:t>
            </w:r>
          </w:p>
        </w:tc>
        <w:tc>
          <w:tcPr>
            <w:tcW w:w="280" w:type="dxa"/>
            <w:vAlign w:val="bottom"/>
            <w:shd w:val="clear" w:color="auto" w:fill="E5E5E4"/>
          </w:tcPr>
          <w:p>
            <w:pPr>
              <w:spacing w:after="0"/>
              <w:rPr>
                <w:sz w:val="17"/>
                <w:szCs w:val="17"/>
                <w:color w:val="auto"/>
              </w:rPr>
            </w:pP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4"/>
          </w:tcPr>
          <w:p>
            <w:pPr>
              <w:spacing w:after="0"/>
              <w:rPr>
                <w:sz w:val="17"/>
                <w:szCs w:val="17"/>
                <w:color w:val="auto"/>
              </w:rPr>
            </w:pPr>
          </w:p>
        </w:tc>
        <w:tc>
          <w:tcPr>
            <w:tcW w:w="940" w:type="dxa"/>
            <w:vAlign w:val="bottom"/>
            <w:gridSpan w:val="3"/>
            <w:shd w:val="clear" w:color="auto" w:fill="E5E5E4"/>
          </w:tcPr>
          <w:p>
            <w:pPr>
              <w:jc w:val="right"/>
              <w:ind w:right="40"/>
              <w:spacing w:after="0" w:line="202" w:lineRule="exact"/>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(116)</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4"/>
        </w:trPr>
        <w:tc>
          <w:tcPr>
            <w:tcW w:w="52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shd w:val="clear" w:color="auto" w:fill="E5E5E4"/>
          </w:tcPr>
          <w:p>
            <w:pPr>
              <w:ind w:left="140"/>
              <w:spacing w:after="0" w:line="202" w:lineRule="exact"/>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E5E5E4"/>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4"/>
          </w:tcPr>
          <w:p>
            <w:pPr>
              <w:jc w:val="right"/>
              <w:ind w:right="140"/>
              <w:spacing w:after="0" w:line="202" w:lineRule="exact"/>
              <w:rPr>
                <w:sz w:val="20"/>
                <w:szCs w:val="20"/>
                <w:color w:val="auto"/>
              </w:rPr>
            </w:pPr>
            <w:r>
              <w:rPr>
                <w:rFonts w:ascii="Arial" w:cs="Arial" w:eastAsia="Arial" w:hAnsi="Arial"/>
                <w:sz w:val="18"/>
                <w:szCs w:val="18"/>
                <w:b w:val="1"/>
                <w:bCs w:val="1"/>
                <w:color w:val="auto"/>
              </w:rPr>
              <w:t>752</w:t>
            </w:r>
          </w:p>
        </w:tc>
        <w:tc>
          <w:tcPr>
            <w:tcW w:w="400" w:type="dxa"/>
            <w:vAlign w:val="bottom"/>
            <w:gridSpan w:val="2"/>
            <w:shd w:val="clear" w:color="auto" w:fill="E5E5E4"/>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4"/>
          </w:tcPr>
          <w:p>
            <w:pPr>
              <w:jc w:val="right"/>
              <w:ind w:right="160"/>
              <w:spacing w:after="0" w:line="202" w:lineRule="exact"/>
              <w:rPr>
                <w:sz w:val="20"/>
                <w:szCs w:val="20"/>
                <w:color w:val="auto"/>
              </w:rPr>
            </w:pPr>
            <w:r>
              <w:rPr>
                <w:rFonts w:ascii="Arial" w:cs="Arial" w:eastAsia="Arial" w:hAnsi="Arial"/>
                <w:sz w:val="18"/>
                <w:szCs w:val="18"/>
                <w:b w:val="1"/>
                <w:bCs w:val="1"/>
                <w:color w:val="auto"/>
              </w:rPr>
              <w:t>(746)</w:t>
            </w:r>
          </w:p>
        </w:tc>
        <w:tc>
          <w:tcPr>
            <w:tcW w:w="280" w:type="dxa"/>
            <w:vAlign w:val="bottom"/>
            <w:shd w:val="clear" w:color="auto" w:fill="E5E5E4"/>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4"/>
          </w:tcPr>
          <w:p>
            <w:pPr>
              <w:jc w:val="right"/>
              <w:ind w:right="220"/>
              <w:spacing w:after="0" w:line="202" w:lineRule="exact"/>
              <w:rPr>
                <w:sz w:val="20"/>
                <w:szCs w:val="20"/>
                <w:color w:val="auto"/>
              </w:rPr>
            </w:pPr>
            <w:r>
              <w:rPr>
                <w:rFonts w:ascii="Arial" w:cs="Arial" w:eastAsia="Arial" w:hAnsi="Arial"/>
                <w:sz w:val="18"/>
                <w:szCs w:val="18"/>
                <w:color w:val="auto"/>
              </w:rPr>
              <w:t>500</w:t>
            </w:r>
          </w:p>
        </w:tc>
        <w:tc>
          <w:tcPr>
            <w:tcW w:w="280" w:type="dxa"/>
            <w:vAlign w:val="bottom"/>
            <w:shd w:val="clear" w:color="auto" w:fill="E5E5E4"/>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E5E5E4"/>
          </w:tcPr>
          <w:p>
            <w:pPr>
              <w:jc w:val="right"/>
              <w:ind w:right="40"/>
              <w:spacing w:after="0" w:line="202" w:lineRule="exact"/>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48"/>
        </w:trPr>
        <w:tc>
          <w:tcPr>
            <w:tcW w:w="5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$1.1 billion and $663 million, respectively, as of March 31, 2026, and $452 million and $1.8 billion, respectively, as of June 30, 2025.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4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1</w:t>
            </w:r>
          </w:p>
        </w:tc>
        <w:tc>
          <w:tcPr>
            <w:tcW w:w="46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7"/>
                <w:szCs w:val="17"/>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3</w:t>
            </w:r>
          </w:p>
        </w:tc>
        <w:tc>
          <w:tcPr>
            <w:tcW w:w="4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221"/>
        </w:trPr>
        <w:tc>
          <w:tcPr>
            <w:tcW w:w="3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March 31, 2026</w:t>
            </w:r>
          </w:p>
        </w:tc>
        <w:tc>
          <w:tcPr>
            <w:tcW w:w="28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3540" w:type="dxa"/>
            <w:vAlign w:val="bottom"/>
            <w:shd w:val="clear" w:color="auto" w:fill="E5E5E5"/>
          </w:tcPr>
          <w:p>
            <w:pPr>
              <w:spacing w:after="0"/>
              <w:rPr>
                <w:sz w:val="20"/>
                <w:szCs w:val="20"/>
                <w:color w:val="auto"/>
              </w:rPr>
            </w:pPr>
            <w:r>
              <w:rPr>
                <w:rFonts w:ascii="Arial" w:cs="Arial" w:eastAsia="Arial" w:hAnsi="Arial"/>
                <w:sz w:val="18"/>
                <w:szCs w:val="18"/>
                <w:color w:val="auto"/>
              </w:rPr>
              <w:t>Derivative assets</w:t>
            </w:r>
          </w:p>
        </w:tc>
        <w:tc>
          <w:tcPr>
            <w:tcW w:w="2840" w:type="dxa"/>
            <w:vAlign w:val="bottom"/>
            <w:shd w:val="clear" w:color="auto" w:fill="E5E5E5"/>
          </w:tcPr>
          <w:p>
            <w:pPr>
              <w:jc w:val="right"/>
              <w:ind w:right="199"/>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w:t>
            </w:r>
          </w:p>
        </w:tc>
        <w:tc>
          <w:tcPr>
            <w:tcW w:w="4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1,074</w:t>
            </w:r>
          </w:p>
        </w:tc>
        <w:tc>
          <w:tcPr>
            <w:tcW w:w="46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5</w:t>
            </w:r>
          </w:p>
        </w:tc>
        <w:tc>
          <w:tcPr>
            <w:tcW w:w="44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1,080</w:t>
            </w:r>
          </w:p>
        </w:tc>
      </w:t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40" w:type="dxa"/>
            <w:vAlign w:val="bottom"/>
          </w:tcPr>
          <w:p>
            <w:pPr>
              <w:spacing w:after="0"/>
              <w:rPr>
                <w:sz w:val="19"/>
                <w:szCs w:val="19"/>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(671)</w:t>
            </w:r>
          </w:p>
        </w:tc>
        <w:tc>
          <w:tcPr>
            <w:tcW w:w="46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b w:val="1"/>
                <w:bCs w:val="1"/>
                <w:color w:val="auto"/>
              </w:rPr>
              <w:t>0</w:t>
            </w: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(671)</w:t>
            </w:r>
          </w:p>
        </w:tc>
      </w:tr>
      <w:tr>
        <w:trPr>
          <w:trHeight w:val="195"/>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2025</w:t>
            </w:r>
          </w:p>
        </w:tc>
        <w:tc>
          <w:tcPr>
            <w:tcW w:w="2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3540" w:type="dxa"/>
            <w:vAlign w:val="bottom"/>
            <w:shd w:val="clear" w:color="auto" w:fill="E5E5E5"/>
          </w:tcPr>
          <w:p>
            <w:pPr>
              <w:spacing w:after="0"/>
              <w:rPr>
                <w:sz w:val="20"/>
                <w:szCs w:val="20"/>
                <w:color w:val="auto"/>
              </w:rPr>
            </w:pPr>
            <w:r>
              <w:rPr>
                <w:rFonts w:ascii="Arial" w:cs="Arial" w:eastAsia="Arial" w:hAnsi="Arial"/>
                <w:sz w:val="18"/>
                <w:szCs w:val="18"/>
                <w:color w:val="auto"/>
              </w:rPr>
              <w:t>Derivative assets</w:t>
            </w:r>
          </w:p>
        </w:tc>
        <w:tc>
          <w:tcPr>
            <w:tcW w:w="28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1</w:t>
            </w:r>
          </w:p>
        </w:tc>
        <w:tc>
          <w:tcPr>
            <w:tcW w:w="4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474</w:t>
            </w:r>
          </w:p>
        </w:tc>
        <w:tc>
          <w:tcPr>
            <w:tcW w:w="4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283</w:t>
            </w:r>
          </w:p>
        </w:tc>
        <w:tc>
          <w:tcPr>
            <w:tcW w:w="440" w:type="dxa"/>
            <w:vAlign w:val="bottom"/>
            <w:shd w:val="clear" w:color="auto" w:fill="E5E5E5"/>
          </w:tcPr>
          <w:p>
            <w:pPr>
              <w:spacing w:after="0"/>
              <w:rPr>
                <w:sz w:val="18"/>
                <w:szCs w:val="18"/>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758</w:t>
            </w:r>
          </w:p>
        </w:tc>
      </w:tr>
      <w:tr>
        <w:trPr>
          <w:trHeight w:val="241"/>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(1,832)</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(1,837)</w:t>
            </w:r>
          </w:p>
        </w:tc>
      </w:tr>
      <w:tr>
        <w:trPr>
          <w:trHeight w:val="609"/>
        </w:trPr>
        <w:tc>
          <w:tcPr>
            <w:tcW w:w="354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jc w:val="right"/>
              <w:ind w:right="599"/>
              <w:spacing w:after="0"/>
              <w:rPr>
                <w:sz w:val="20"/>
                <w:szCs w:val="20"/>
                <w:color w:val="auto"/>
              </w:rPr>
            </w:pPr>
            <w:r>
              <w:rPr>
                <w:rFonts w:ascii="Arial" w:cs="Arial" w:eastAsia="Arial" w:hAnsi="Arial"/>
                <w:sz w:val="14"/>
                <w:szCs w:val="14"/>
                <w:color w:val="auto"/>
              </w:rPr>
              <w:t>17</w:t>
            </w: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744"/>
        </w:trPr>
        <w:tc>
          <w:tcPr>
            <w:tcW w:w="35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7" w:name="page18"/>
    <w:bookmarkEnd w:id="1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720" w:type="dxa"/>
            <w:vAlign w:val="bottom"/>
          </w:tcPr>
          <w:p>
            <w:pPr>
              <w:spacing w:after="0"/>
              <w:rPr>
                <w:sz w:val="13"/>
                <w:szCs w:val="13"/>
                <w:color w:val="auto"/>
              </w:rPr>
            </w:pPr>
          </w:p>
        </w:tc>
        <w:tc>
          <w:tcPr>
            <w:tcW w:w="2180" w:type="dxa"/>
            <w:vAlign w:val="bottom"/>
            <w:gridSpan w:val="3"/>
          </w:tcPr>
          <w:p>
            <w:pPr>
              <w:jc w:val="right"/>
              <w:ind w:right="96"/>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56"/>
              <w:spacing w:after="0"/>
              <w:rPr>
                <w:sz w:val="20"/>
                <w:szCs w:val="20"/>
                <w:color w:val="auto"/>
              </w:rPr>
            </w:pPr>
            <w:r>
              <w:rPr>
                <w:rFonts w:ascii="Arial" w:cs="Arial" w:eastAsia="Arial" w:hAnsi="Arial"/>
                <w:sz w:val="13"/>
                <w:szCs w:val="13"/>
                <w:b w:val="1"/>
                <w:bCs w:val="1"/>
                <w:color w:val="auto"/>
              </w:rPr>
              <w:t>March 31,</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12"/>
        </w:trPr>
        <w:tc>
          <w:tcPr>
            <w:tcW w:w="56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2026</w:t>
            </w: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2026</w:t>
            </w: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2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Interest rate contracts</w:t>
            </w:r>
          </w:p>
        </w:tc>
        <w:tc>
          <w:tcPr>
            <w:tcW w:w="7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140"/>
              <w:spacing w:after="0" w:line="202" w:lineRule="exact"/>
              <w:rPr>
                <w:sz w:val="20"/>
                <w:szCs w:val="20"/>
                <w:color w:val="auto"/>
              </w:rPr>
            </w:pPr>
            <w:r>
              <w:rPr>
                <w:rFonts w:ascii="Arial" w:cs="Arial" w:eastAsia="Arial" w:hAnsi="Arial"/>
                <w:sz w:val="18"/>
                <w:szCs w:val="18"/>
                <w:color w:val="auto"/>
              </w:rPr>
              <w:t>Derivatives</w:t>
            </w:r>
          </w:p>
        </w:tc>
        <w:tc>
          <w:tcPr>
            <w:tcW w:w="72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460" w:type="dxa"/>
            <w:vAlign w:val="bottom"/>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Hedged items</w:t>
            </w:r>
          </w:p>
        </w:tc>
        <w:tc>
          <w:tcPr>
            <w:tcW w:w="7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42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w:t>
            </w:r>
          </w:p>
        </w:tc>
        <w:tc>
          <w:tcPr>
            <w:tcW w:w="4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(19)</w:t>
            </w:r>
          </w:p>
        </w:tc>
        <w:tc>
          <w:tcPr>
            <w:tcW w:w="4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1"/>
        </w:trPr>
        <w:tc>
          <w:tcPr>
            <w:tcW w:w="562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7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20" w:type="dxa"/>
            <w:vAlign w:val="bottom"/>
          </w:tcPr>
          <w:p>
            <w:pPr>
              <w:ind w:left="140"/>
              <w:spacing w:after="0"/>
              <w:rPr>
                <w:sz w:val="20"/>
                <w:szCs w:val="20"/>
                <w:color w:val="auto"/>
              </w:rPr>
            </w:pPr>
            <w:r>
              <w:rPr>
                <w:rFonts w:ascii="Arial" w:cs="Arial" w:eastAsia="Arial" w:hAnsi="Arial"/>
                <w:sz w:val="18"/>
                <w:szCs w:val="18"/>
                <w:color w:val="auto"/>
              </w:rPr>
              <w:t>Amount reclassified from accumulated other comprehensive loss</w:t>
            </w:r>
          </w:p>
        </w:tc>
        <w:tc>
          <w:tcPr>
            <w:tcW w:w="7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420" w:type="dxa"/>
            <w:vAlign w:val="bottom"/>
          </w:tcPr>
          <w:p>
            <w:pPr>
              <w:spacing w:after="0"/>
              <w:rPr>
                <w:sz w:val="19"/>
                <w:szCs w:val="19"/>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4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72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(372)</w:t>
            </w:r>
          </w:p>
        </w:tc>
        <w:tc>
          <w:tcPr>
            <w:tcW w:w="4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227</w:t>
            </w:r>
          </w:p>
        </w:tc>
        <w:tc>
          <w:tcPr>
            <w:tcW w:w="460" w:type="dxa"/>
            <w:vAlign w:val="bottom"/>
            <w:shd w:val="clear" w:color="auto" w:fill="E5E5E5"/>
          </w:tcPr>
          <w:p>
            <w:pPr>
              <w:spacing w:after="0"/>
              <w:rPr>
                <w:sz w:val="18"/>
                <w:szCs w:val="18"/>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Equity contracts</w:t>
            </w:r>
          </w:p>
        </w:tc>
        <w:tc>
          <w:tcPr>
            <w:tcW w:w="720" w:type="dxa"/>
            <w:vAlign w:val="bottom"/>
          </w:tcPr>
          <w:p>
            <w:pPr>
              <w:spacing w:after="0"/>
              <w:rPr>
                <w:sz w:val="17"/>
                <w:szCs w:val="17"/>
                <w:color w:val="auto"/>
              </w:rPr>
            </w:pPr>
          </w:p>
        </w:tc>
        <w:tc>
          <w:tcPr>
            <w:tcW w:w="780" w:type="dxa"/>
            <w:vAlign w:val="bottom"/>
          </w:tcPr>
          <w:p>
            <w:pPr>
              <w:jc w:val="right"/>
              <w:ind w:right="56"/>
              <w:spacing w:after="0" w:line="202" w:lineRule="exact"/>
              <w:rPr>
                <w:sz w:val="20"/>
                <w:szCs w:val="20"/>
                <w:color w:val="auto"/>
              </w:rPr>
            </w:pPr>
            <w:r>
              <w:rPr>
                <w:rFonts w:ascii="Arial" w:cs="Arial" w:eastAsia="Arial" w:hAnsi="Arial"/>
                <w:sz w:val="18"/>
                <w:szCs w:val="18"/>
                <w:b w:val="1"/>
                <w:bCs w:val="1"/>
                <w:color w:val="auto"/>
              </w:rPr>
              <w:t>133</w:t>
            </w:r>
          </w:p>
        </w:tc>
        <w:tc>
          <w:tcPr>
            <w:tcW w:w="420" w:type="dxa"/>
            <w:vAlign w:val="bottom"/>
          </w:tcPr>
          <w:p>
            <w:pPr>
              <w:spacing w:after="0"/>
              <w:rPr>
                <w:sz w:val="17"/>
                <w:szCs w:val="17"/>
                <w:color w:val="auto"/>
              </w:rPr>
            </w:pPr>
          </w:p>
        </w:tc>
        <w:tc>
          <w:tcPr>
            <w:tcW w:w="9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176</w:t>
            </w:r>
          </w:p>
        </w:tc>
        <w:tc>
          <w:tcPr>
            <w:tcW w:w="460" w:type="dxa"/>
            <w:vAlign w:val="bottom"/>
          </w:tcPr>
          <w:p>
            <w:pPr>
              <w:spacing w:after="0"/>
              <w:rPr>
                <w:sz w:val="17"/>
                <w:szCs w:val="17"/>
                <w:color w:val="auto"/>
              </w:rPr>
            </w:pP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1,743</w:t>
            </w:r>
          </w:p>
        </w:tc>
        <w:tc>
          <w:tcPr>
            <w:tcW w:w="46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3"/>
        </w:trPr>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w:t>
            </w:r>
          </w:p>
        </w:tc>
        <w:tc>
          <w:tcPr>
            <w:tcW w:w="72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420" w:type="dxa"/>
            <w:vAlign w:val="bottom"/>
            <w:shd w:val="clear" w:color="auto" w:fill="E5E5E5"/>
          </w:tcPr>
          <w:p>
            <w:pPr>
              <w:spacing w:after="0"/>
              <w:rPr>
                <w:sz w:val="17"/>
                <w:szCs w:val="17"/>
                <w:color w:val="auto"/>
              </w:rPr>
            </w:pPr>
          </w:p>
        </w:tc>
        <w:tc>
          <w:tcPr>
            <w:tcW w:w="980" w:type="dxa"/>
            <w:vAlign w:val="bottom"/>
            <w:shd w:val="clear" w:color="auto" w:fill="E5E5E5"/>
          </w:tcPr>
          <w:p>
            <w:pPr>
              <w:jc w:val="right"/>
              <w:ind w:right="56"/>
              <w:spacing w:after="0" w:line="202" w:lineRule="exact"/>
              <w:rPr>
                <w:sz w:val="20"/>
                <w:szCs w:val="20"/>
                <w:color w:val="auto"/>
              </w:rPr>
            </w:pPr>
            <w:r>
              <w:rPr>
                <w:rFonts w:ascii="Arial" w:cs="Arial" w:eastAsia="Arial" w:hAnsi="Arial"/>
                <w:sz w:val="18"/>
                <w:szCs w:val="18"/>
                <w:color w:val="auto"/>
              </w:rPr>
              <w:t>18</w:t>
            </w:r>
          </w:p>
        </w:tc>
        <w:tc>
          <w:tcPr>
            <w:tcW w:w="4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4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
        </w:trPr>
        <w:tc>
          <w:tcPr>
            <w:tcW w:w="56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Gains (losses), net of tax, on derivative instruments recognized in our consolidated comprehensive income statements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480" w:type="dxa"/>
            <w:vAlign w:val="bottom"/>
          </w:tcPr>
          <w:p>
            <w:pPr>
              <w:spacing w:after="0"/>
              <w:rPr>
                <w:sz w:val="13"/>
                <w:szCs w:val="13"/>
                <w:color w:val="auto"/>
              </w:rPr>
            </w:pPr>
          </w:p>
        </w:tc>
        <w:tc>
          <w:tcPr>
            <w:tcW w:w="2080" w:type="dxa"/>
            <w:vAlign w:val="bottom"/>
            <w:gridSpan w:val="5"/>
          </w:tcPr>
          <w:p>
            <w:pPr>
              <w:jc w:val="right"/>
              <w:ind w:right="3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388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12"/>
        </w:trPr>
        <w:tc>
          <w:tcPr>
            <w:tcW w:w="388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2026</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3"/>
                <w:szCs w:val="13"/>
                <w:b w:val="1"/>
                <w:bCs w:val="1"/>
                <w:color w:val="auto"/>
              </w:rPr>
              <w:t>2025</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8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24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40"/>
              <w:spacing w:after="0"/>
              <w:rPr>
                <w:sz w:val="20"/>
                <w:szCs w:val="20"/>
                <w:color w:val="auto"/>
              </w:rPr>
            </w:pPr>
            <w:r>
              <w:rPr>
                <w:rFonts w:ascii="Arial" w:cs="Arial" w:eastAsia="Arial" w:hAnsi="Arial"/>
                <w:sz w:val="18"/>
                <w:szCs w:val="18"/>
                <w:color w:val="auto"/>
              </w:rPr>
              <w:t>Included in effectiveness assessment</w:t>
            </w:r>
          </w:p>
        </w:tc>
        <w:tc>
          <w:tcPr>
            <w:tcW w:w="248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25"/>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(43)</w:t>
            </w:r>
          </w:p>
        </w:tc>
        <w:tc>
          <w:tcPr>
            <w:tcW w:w="44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3880" w:type="dxa"/>
            <w:vAlign w:val="bottom"/>
            <w:tcBorders>
              <w:top w:val="single" w:sz="8" w:color="auto"/>
            </w:tcBorders>
          </w:tcPr>
          <w:p>
            <w:pPr>
              <w:spacing w:after="0"/>
              <w:rPr>
                <w:sz w:val="24"/>
                <w:szCs w:val="24"/>
                <w:color w:val="auto"/>
              </w:rPr>
            </w:pPr>
          </w:p>
        </w:tc>
        <w:tc>
          <w:tcPr>
            <w:tcW w:w="3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NOTE 6 — PROPERTY AND EQUIPMENT</w:t>
            </w: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6360" w:type="dxa"/>
            <w:vAlign w:val="bottom"/>
            <w:gridSpan w:val="2"/>
          </w:tcPr>
          <w:p>
            <w:pPr>
              <w:spacing w:after="0"/>
              <w:rPr>
                <w:sz w:val="20"/>
                <w:szCs w:val="20"/>
                <w:color w:val="auto"/>
              </w:rPr>
            </w:pPr>
            <w:r>
              <w:rPr>
                <w:rFonts w:ascii="Arial" w:cs="Arial" w:eastAsia="Arial" w:hAnsi="Arial"/>
                <w:sz w:val="18"/>
                <w:szCs w:val="18"/>
                <w:color w:val="auto"/>
              </w:rPr>
              <w:t>The components of property and equipment were as follows: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2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11"/>
        </w:trPr>
        <w:tc>
          <w:tcPr>
            <w:tcW w:w="3880" w:type="dxa"/>
            <w:vAlign w:val="bottom"/>
            <w:shd w:val="clear" w:color="auto" w:fill="E5E5E5"/>
          </w:tcPr>
          <w:p>
            <w:pPr>
              <w:spacing w:after="0"/>
              <w:rPr>
                <w:sz w:val="20"/>
                <w:szCs w:val="20"/>
                <w:color w:val="auto"/>
              </w:rPr>
            </w:pPr>
            <w:r>
              <w:rPr>
                <w:rFonts w:ascii="Arial" w:cs="Arial" w:eastAsia="Arial" w:hAnsi="Arial"/>
                <w:sz w:val="18"/>
                <w:szCs w:val="18"/>
                <w:color w:val="auto"/>
              </w:rPr>
              <w:t>Land</w:t>
            </w:r>
          </w:p>
        </w:tc>
        <w:tc>
          <w:tcPr>
            <w:tcW w:w="24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00" w:type="dxa"/>
            <w:vAlign w:val="bottom"/>
            <w:gridSpan w:val="2"/>
            <w:shd w:val="clear" w:color="auto" w:fill="E5E5E5"/>
          </w:tcPr>
          <w:p>
            <w:pPr>
              <w:jc w:val="right"/>
              <w:ind w:right="25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9,813</w:t>
            </w:r>
          </w:p>
        </w:tc>
        <w:tc>
          <w:tcPr>
            <w:tcW w:w="200" w:type="dxa"/>
            <w:vAlign w:val="bottom"/>
            <w:shd w:val="clear" w:color="auto" w:fill="E5E5E5"/>
          </w:tcPr>
          <w:p>
            <w:pPr>
              <w:spacing w:after="0"/>
              <w:rPr>
                <w:sz w:val="18"/>
                <w:szCs w:val="18"/>
                <w:color w:val="auto"/>
              </w:rPr>
            </w:pP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E5E5E5"/>
          </w:tcPr>
          <w:p>
            <w:pPr>
              <w:spacing w:after="0"/>
              <w:rPr>
                <w:sz w:val="18"/>
                <w:szCs w:val="18"/>
                <w:color w:val="auto"/>
              </w:rPr>
            </w:pPr>
          </w:p>
        </w:tc>
        <w:tc>
          <w:tcPr>
            <w:tcW w:w="100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172,260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137,921</w:t>
            </w:r>
          </w:p>
        </w:tc>
        <w:tc>
          <w:tcPr>
            <w:tcW w:w="0" w:type="dxa"/>
            <w:vAlign w:val="bottom"/>
          </w:tcPr>
          <w:p>
            <w:pPr>
              <w:spacing w:after="0"/>
              <w:rPr>
                <w:sz w:val="1"/>
                <w:szCs w:val="1"/>
                <w:color w:val="auto"/>
              </w:rPr>
            </w:pPr>
          </w:p>
        </w:tc>
      </w:tr>
      <w:tr>
        <w:trPr>
          <w:trHeight w:val="203"/>
        </w:trPr>
        <w:tc>
          <w:tcPr>
            <w:tcW w:w="3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15,444</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0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12,117</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Servers, network equipment, and software</w:t>
            </w:r>
          </w:p>
        </w:tc>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190,883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132,836</w:t>
            </w:r>
          </w:p>
        </w:tc>
        <w:tc>
          <w:tcPr>
            <w:tcW w:w="0" w:type="dxa"/>
            <w:vAlign w:val="bottom"/>
          </w:tcPr>
          <w:p>
            <w:pPr>
              <w:spacing w:after="0"/>
              <w:rPr>
                <w:sz w:val="1"/>
                <w:szCs w:val="1"/>
                <w:color w:val="auto"/>
              </w:rPr>
            </w:pPr>
          </w:p>
        </w:tc>
      </w:tr>
      <w:tr>
        <w:trPr>
          <w:trHeight w:val="203"/>
        </w:trPr>
        <w:tc>
          <w:tcPr>
            <w:tcW w:w="3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Furniture and equipment</w:t>
            </w:r>
          </w:p>
        </w:tc>
        <w:tc>
          <w:tcPr>
            <w:tcW w:w="24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6,551</w:t>
            </w:r>
          </w:p>
        </w:tc>
        <w:tc>
          <w:tcPr>
            <w:tcW w:w="2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0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40"/>
        </w:trPr>
        <w:tc>
          <w:tcPr>
            <w:tcW w:w="38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Total, at cost</w:t>
            </w:r>
          </w:p>
        </w:tc>
        <w:tc>
          <w:tcPr>
            <w:tcW w:w="2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394,951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298,619</w:t>
            </w:r>
          </w:p>
        </w:tc>
        <w:tc>
          <w:tcPr>
            <w:tcW w:w="0" w:type="dxa"/>
            <w:vAlign w:val="bottom"/>
          </w:tcPr>
          <w:p>
            <w:pPr>
              <w:spacing w:after="0"/>
              <w:rPr>
                <w:sz w:val="1"/>
                <w:szCs w:val="1"/>
                <w:color w:val="auto"/>
              </w:rPr>
            </w:pPr>
          </w:p>
        </w:tc>
      </w:tr>
      <w:tr>
        <w:trPr>
          <w:trHeight w:val="203"/>
        </w:trPr>
        <w:tc>
          <w:tcPr>
            <w:tcW w:w="38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Accumulated depreciation</w:t>
            </w:r>
          </w:p>
        </w:tc>
        <w:tc>
          <w:tcPr>
            <w:tcW w:w="24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(111,723)</w:t>
            </w:r>
          </w:p>
        </w:tc>
        <w:tc>
          <w:tcPr>
            <w:tcW w:w="1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00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(93,653)</w:t>
            </w:r>
          </w:p>
        </w:tc>
        <w:tc>
          <w:tcPr>
            <w:tcW w:w="0" w:type="dxa"/>
            <w:vAlign w:val="bottom"/>
          </w:tcPr>
          <w:p>
            <w:pPr>
              <w:spacing w:after="0"/>
              <w:rPr>
                <w:sz w:val="1"/>
                <w:szCs w:val="1"/>
                <w:color w:val="auto"/>
              </w:rPr>
            </w:pPr>
          </w:p>
        </w:tc>
      </w:tr>
      <w:tr>
        <w:trPr>
          <w:trHeight w:val="40"/>
        </w:trPr>
        <w:tc>
          <w:tcPr>
            <w:tcW w:w="38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880" w:type="dxa"/>
            <w:vAlign w:val="bottom"/>
          </w:tcPr>
          <w:p>
            <w:pPr>
              <w:ind w:left="200"/>
              <w:spacing w:after="0"/>
              <w:rPr>
                <w:sz w:val="20"/>
                <w:szCs w:val="20"/>
                <w:color w:val="auto"/>
              </w:rPr>
            </w:pPr>
            <w:r>
              <w:rPr>
                <w:rFonts w:ascii="Arial" w:cs="Arial" w:eastAsia="Arial" w:hAnsi="Arial"/>
                <w:sz w:val="18"/>
                <w:szCs w:val="18"/>
                <w:color w:val="auto"/>
              </w:rPr>
              <w:t>Total, net</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283,228</w:t>
            </w:r>
          </w:p>
        </w:tc>
        <w:tc>
          <w:tcPr>
            <w:tcW w:w="2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204,966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Depreciation expense was $9.0 billion and $24.0 billion for the three and nine months ended March 31, 2026, respectively, and $5.8 billion and $15.7 billion for the three and nine months ended March 31, 2025, respectively.</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and June 30, 2025, purchases of property and equipment remaining in accounts payable were $22.6 billion and $6.9 billion,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8" w:name="page19"/>
    <w:bookmarkEnd w:id="1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7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3"/>
                <w:szCs w:val="13"/>
                <w:color w:val="auto"/>
              </w:rPr>
            </w:pPr>
          </w:p>
        </w:tc>
        <w:tc>
          <w:tcPr>
            <w:tcW w:w="1360" w:type="dxa"/>
            <w:vAlign w:val="bottom"/>
            <w:gridSpan w:val="2"/>
          </w:tcPr>
          <w:p>
            <w:pPr>
              <w:ind w:left="600"/>
              <w:spacing w:after="0"/>
              <w:rPr>
                <w:sz w:val="20"/>
                <w:szCs w:val="20"/>
                <w:color w:val="auto"/>
              </w:rPr>
            </w:pPr>
            <w:r>
              <w:rPr>
                <w:rFonts w:ascii="Arial" w:cs="Arial" w:eastAsia="Arial" w:hAnsi="Arial"/>
                <w:sz w:val="13"/>
                <w:szCs w:val="13"/>
                <w:b w:val="1"/>
                <w:bCs w:val="1"/>
                <w:color w:val="auto"/>
              </w:rPr>
              <w:t>June 30,</w:t>
            </w:r>
          </w:p>
        </w:tc>
        <w:tc>
          <w:tcPr>
            <w:tcW w:w="440" w:type="dxa"/>
            <w:vAlign w:val="bottom"/>
          </w:tcPr>
          <w:p>
            <w:pPr>
              <w:spacing w:after="0"/>
              <w:rPr>
                <w:sz w:val="13"/>
                <w:szCs w:val="13"/>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Acquisitions</w:t>
            </w:r>
          </w:p>
        </w:tc>
        <w:tc>
          <w:tcPr>
            <w:tcW w:w="660" w:type="dxa"/>
            <w:vAlign w:val="bottom"/>
          </w:tcPr>
          <w:p>
            <w:pPr>
              <w:spacing w:after="0"/>
              <w:rPr>
                <w:sz w:val="13"/>
                <w:szCs w:val="13"/>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Other</w:t>
            </w:r>
          </w:p>
        </w:tc>
        <w:tc>
          <w:tcPr>
            <w:tcW w:w="520" w:type="dxa"/>
            <w:vAlign w:val="bottom"/>
          </w:tcPr>
          <w:p>
            <w:pPr>
              <w:spacing w:after="0"/>
              <w:rPr>
                <w:sz w:val="13"/>
                <w:szCs w:val="13"/>
                <w:color w:val="auto"/>
              </w:rPr>
            </w:pPr>
          </w:p>
        </w:tc>
        <w:tc>
          <w:tcPr>
            <w:tcW w:w="1160" w:type="dxa"/>
            <w:vAlign w:val="bottom"/>
            <w:gridSpan w:val="2"/>
          </w:tcPr>
          <w:p>
            <w:pPr>
              <w:ind w:left="4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2026</w:t>
            </w:r>
          </w:p>
        </w:tc>
        <w:tc>
          <w:tcPr>
            <w:tcW w:w="0" w:type="dxa"/>
            <w:vAlign w:val="bottom"/>
          </w:tcPr>
          <w:p>
            <w:pPr>
              <w:spacing w:after="0"/>
              <w:rPr>
                <w:sz w:val="1"/>
                <w:szCs w:val="1"/>
                <w:color w:val="auto"/>
              </w:rPr>
            </w:pPr>
          </w:p>
        </w:tc>
      </w:tr>
      <w:tr>
        <w:trPr>
          <w:trHeight w:val="41"/>
        </w:trPr>
        <w:tc>
          <w:tcPr>
            <w:tcW w:w="408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56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31,457</w:t>
            </w:r>
          </w:p>
        </w:tc>
        <w:tc>
          <w:tcPr>
            <w:tcW w:w="220" w:type="dxa"/>
            <w:vAlign w:val="bottom"/>
            <w:shd w:val="clear" w:color="auto" w:fill="E5E5E5"/>
          </w:tcPr>
          <w:p>
            <w:pPr>
              <w:spacing w:after="0"/>
              <w:rPr>
                <w:sz w:val="17"/>
                <w:szCs w:val="17"/>
                <w:color w:val="auto"/>
              </w:rPr>
            </w:pP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67</w:t>
            </w:r>
          </w:p>
        </w:tc>
        <w:tc>
          <w:tcPr>
            <w:tcW w:w="660" w:type="dxa"/>
            <w:vAlign w:val="bottom"/>
            <w:shd w:val="clear" w:color="auto" w:fill="E5E5E5"/>
          </w:tcPr>
          <w:p>
            <w:pPr>
              <w:jc w:val="right"/>
              <w:ind w:right="470"/>
              <w:spacing w:after="0" w:line="202" w:lineRule="exact"/>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41</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31,565</w:t>
            </w:r>
          </w:p>
        </w:tc>
        <w:tc>
          <w:tcPr>
            <w:tcW w:w="0" w:type="dxa"/>
            <w:vAlign w:val="bottom"/>
          </w:tcPr>
          <w:p>
            <w:pPr>
              <w:spacing w:after="0"/>
              <w:rPr>
                <w:sz w:val="1"/>
                <w:szCs w:val="1"/>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5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25,689</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36</w:t>
            </w:r>
          </w:p>
        </w:tc>
        <w:tc>
          <w:tcPr>
            <w:tcW w:w="66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10</w:t>
            </w:r>
          </w:p>
        </w:tc>
        <w:tc>
          <w:tcPr>
            <w:tcW w:w="52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25,735</w:t>
            </w:r>
          </w:p>
        </w:tc>
        <w:tc>
          <w:tcPr>
            <w:tcW w:w="0" w:type="dxa"/>
            <w:vAlign w:val="bottom"/>
          </w:tcPr>
          <w:p>
            <w:pPr>
              <w:spacing w:after="0"/>
              <w:rPr>
                <w:sz w:val="1"/>
                <w:szCs w:val="1"/>
                <w:color w:val="auto"/>
              </w:rPr>
            </w:pPr>
          </w:p>
        </w:tc>
      </w:tr>
      <w:tr>
        <w:trPr>
          <w:trHeight w:val="203"/>
        </w:trPr>
        <w:tc>
          <w:tcPr>
            <w:tcW w:w="4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56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62,363</w:t>
            </w:r>
          </w:p>
        </w:tc>
        <w:tc>
          <w:tcPr>
            <w:tcW w:w="2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3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w:t>
            </w:r>
          </w:p>
        </w:tc>
        <w:tc>
          <w:tcPr>
            <w:tcW w:w="6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(7)</w:t>
            </w:r>
          </w:p>
        </w:tc>
        <w:tc>
          <w:tcPr>
            <w:tcW w:w="52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62,361</w:t>
            </w:r>
          </w:p>
        </w:tc>
        <w:tc>
          <w:tcPr>
            <w:tcW w:w="0" w:type="dxa"/>
            <w:vAlign w:val="bottom"/>
          </w:tcPr>
          <w:p>
            <w:pPr>
              <w:spacing w:after="0"/>
              <w:rPr>
                <w:sz w:val="1"/>
                <w:szCs w:val="1"/>
                <w:color w:val="auto"/>
              </w:rPr>
            </w:pPr>
          </w:p>
        </w:tc>
      </w:tr>
      <w:tr>
        <w:trPr>
          <w:trHeight w:val="40"/>
        </w:trPr>
        <w:tc>
          <w:tcPr>
            <w:tcW w:w="4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0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119,509</w:t>
            </w:r>
          </w:p>
        </w:tc>
        <w:tc>
          <w:tcPr>
            <w:tcW w:w="2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660" w:type="dxa"/>
            <w:vAlign w:val="bottom"/>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119,661</w:t>
            </w:r>
          </w:p>
        </w:tc>
        <w:tc>
          <w:tcPr>
            <w:tcW w:w="0" w:type="dxa"/>
            <w:vAlign w:val="bottom"/>
          </w:tcPr>
          <w:p>
            <w:pPr>
              <w:spacing w:after="0"/>
              <w:rPr>
                <w:sz w:val="1"/>
                <w:szCs w:val="1"/>
                <w:color w:val="auto"/>
              </w:rPr>
            </w:pPr>
          </w:p>
        </w:tc>
      </w:tr>
      <w:tr>
        <w:trPr>
          <w:trHeight w:val="34"/>
        </w:trPr>
        <w:tc>
          <w:tcPr>
            <w:tcW w:w="408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1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96" w:lineRule="exact"/>
        <w:rPr>
          <w:sz w:val="20"/>
          <w:szCs w:val="20"/>
          <w:color w:val="auto"/>
        </w:rPr>
      </w:pPr>
    </w:p>
    <w:p>
      <w:pPr>
        <w:ind w:left="4220"/>
        <w:spacing w:after="0"/>
        <w:rPr>
          <w:sz w:val="20"/>
          <w:szCs w:val="20"/>
          <w:color w:val="auto"/>
        </w:rPr>
      </w:pPr>
      <w:r>
        <w:rPr>
          <w:rFonts w:ascii="Arial" w:cs="Arial" w:eastAsia="Arial" w:hAnsi="Arial"/>
          <w:sz w:val="18"/>
          <w:szCs w:val="18"/>
          <w:u w:val="single" w:color="auto"/>
          <w:color w:val="auto"/>
        </w:rPr>
        <w:t>NOTE 8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3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3"/>
                <w:szCs w:val="13"/>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97"/>
        </w:trPr>
        <w:tc>
          <w:tcPr>
            <w:tcW w:w="20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60" w:type="dxa"/>
            <w:vAlign w:val="bottom"/>
            <w:shd w:val="clear" w:color="auto" w:fill="E5E5E5"/>
          </w:tcPr>
          <w:p>
            <w:pPr>
              <w:spacing w:after="0"/>
              <w:rPr>
                <w:sz w:val="20"/>
                <w:szCs w:val="20"/>
                <w:color w:val="auto"/>
              </w:rPr>
            </w:pPr>
            <w:r>
              <w:rPr>
                <w:rFonts w:ascii="Arial" w:cs="Arial" w:eastAsia="Arial" w:hAnsi="Arial"/>
                <w:sz w:val="18"/>
                <w:szCs w:val="18"/>
                <w:color w:val="auto"/>
              </w:rPr>
              <w:t>Marketing-related</w:t>
            </w:r>
          </w:p>
        </w:tc>
        <w:tc>
          <w:tcPr>
            <w:tcW w:w="96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16,495</w:t>
            </w:r>
          </w:p>
        </w:tc>
        <w:tc>
          <w:tcPr>
            <w:tcW w:w="3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(4,492)</w:t>
            </w:r>
          </w:p>
        </w:tc>
        <w:tc>
          <w:tcPr>
            <w:tcW w:w="340" w:type="dxa"/>
            <w:vAlign w:val="bottom"/>
            <w:shd w:val="clear" w:color="auto" w:fill="E5E5E5"/>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12,003</w:t>
            </w:r>
          </w:p>
        </w:tc>
        <w:tc>
          <w:tcPr>
            <w:tcW w:w="48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16,502</w:t>
            </w:r>
          </w:p>
        </w:tc>
        <w:tc>
          <w:tcPr>
            <w:tcW w:w="2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(3,901)</w:t>
            </w:r>
          </w:p>
        </w:tc>
        <w:tc>
          <w:tcPr>
            <w:tcW w:w="44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3"/>
        </w:trPr>
        <w:tc>
          <w:tcPr>
            <w:tcW w:w="2060" w:type="dxa"/>
            <w:vAlign w:val="bottom"/>
          </w:tcPr>
          <w:p>
            <w:pPr>
              <w:spacing w:after="0" w:line="202" w:lineRule="exact"/>
              <w:rPr>
                <w:sz w:val="20"/>
                <w:szCs w:val="20"/>
                <w:color w:val="auto"/>
              </w:rPr>
            </w:pPr>
            <w:r>
              <w:rPr>
                <w:rFonts w:ascii="Arial" w:cs="Arial" w:eastAsia="Arial" w:hAnsi="Arial"/>
                <w:sz w:val="18"/>
                <w:szCs w:val="18"/>
                <w:color w:val="auto"/>
              </w:rPr>
              <w:t>Technology-based</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22,757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(17,500)</w:t>
            </w:r>
          </w:p>
        </w:tc>
        <w:tc>
          <w:tcPr>
            <w:tcW w:w="34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5,257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22,560</w:t>
            </w:r>
          </w:p>
        </w:tc>
        <w:tc>
          <w:tcPr>
            <w:tcW w:w="24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(14,959)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02"/>
        </w:trPr>
        <w:tc>
          <w:tcPr>
            <w:tcW w:w="2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Customer-related</w:t>
            </w:r>
          </w:p>
        </w:tc>
        <w:tc>
          <w:tcPr>
            <w:tcW w:w="5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4,278</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(2,500)</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1,778</w:t>
            </w:r>
          </w:p>
        </w:tc>
        <w:tc>
          <w:tcPr>
            <w:tcW w:w="1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4,278</w:t>
            </w:r>
          </w:p>
        </w:tc>
        <w:tc>
          <w:tcPr>
            <w:tcW w:w="24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(2,050)</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18"/>
                <w:szCs w:val="18"/>
                <w:color w:val="auto"/>
              </w:rPr>
              <w:t>Contract-based</w:t>
            </w: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w:t>
            </w:r>
          </w:p>
        </w:tc>
        <w:tc>
          <w:tcPr>
            <w:tcW w:w="3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60" w:type="dxa"/>
            <w:vAlign w:val="bottom"/>
            <w:shd w:val="clear" w:color="auto" w:fill="E5E5E5"/>
          </w:tcPr>
          <w:p>
            <w:pPr>
              <w:ind w:left="60"/>
              <w:spacing w:after="0" w:line="202" w:lineRule="exact"/>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43,911</w:t>
            </w:r>
          </w:p>
        </w:tc>
        <w:tc>
          <w:tcPr>
            <w:tcW w:w="3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(24,586)</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19,325</w:t>
            </w:r>
          </w:p>
        </w:tc>
        <w:tc>
          <w:tcPr>
            <w:tcW w:w="4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43,557</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(20,953)</w:t>
            </w:r>
          </w:p>
        </w:tc>
        <w:tc>
          <w:tcPr>
            <w:tcW w:w="4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22,604</w:t>
            </w:r>
          </w:p>
        </w:tc>
        <w:tc>
          <w:tcPr>
            <w:tcW w:w="0" w:type="dxa"/>
            <w:vAlign w:val="bottom"/>
          </w:tcPr>
          <w:p>
            <w:pPr>
              <w:spacing w:after="0"/>
              <w:rPr>
                <w:sz w:val="1"/>
                <w:szCs w:val="1"/>
                <w:color w:val="auto"/>
              </w:rPr>
            </w:pPr>
          </w:p>
        </w:tc>
      </w:tr>
      <w:tr>
        <w:trPr>
          <w:trHeight w:val="48"/>
        </w:trPr>
        <w:tc>
          <w:tcPr>
            <w:tcW w:w="2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Intangible assets amortization expense was $1.1 billion and $3.7 billion for the three and nine months ended March 31, 2026, respectively, and $1.5 billion and $4.5 billion for the three and nine months ended March 31, 2025,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March 31, 2026:</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2026 (excluding the nine months ended March 31, 2026)</w:t>
            </w:r>
          </w:p>
        </w:tc>
        <w:tc>
          <w:tcPr>
            <w:tcW w:w="524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1,024</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3,032</w:t>
            </w: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2028</w:t>
            </w:r>
          </w:p>
        </w:tc>
        <w:tc>
          <w:tcPr>
            <w:tcW w:w="48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2,081</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4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1,890</w:t>
            </w:r>
          </w:p>
        </w:tc>
        <w:tc>
          <w:tcPr>
            <w:tcW w:w="0" w:type="dxa"/>
            <w:vAlign w:val="bottom"/>
          </w:tcPr>
          <w:p>
            <w:pPr>
              <w:spacing w:after="0"/>
              <w:rPr>
                <w:sz w:val="1"/>
                <w:szCs w:val="1"/>
                <w:color w:val="auto"/>
              </w:rPr>
            </w:pPr>
          </w:p>
        </w:tc>
      </w:tr>
      <w:tr>
        <w:trPr>
          <w:trHeight w:val="202"/>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2030</w:t>
            </w:r>
          </w:p>
        </w:tc>
        <w:tc>
          <w:tcPr>
            <w:tcW w:w="48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1,425</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9,873</w:t>
            </w:r>
          </w:p>
        </w:tc>
        <w:tc>
          <w:tcPr>
            <w:tcW w:w="0" w:type="dxa"/>
            <w:vAlign w:val="bottom"/>
          </w:tcPr>
          <w:p>
            <w:pPr>
              <w:spacing w:after="0"/>
              <w:rPr>
                <w:sz w:val="1"/>
                <w:szCs w:val="1"/>
                <w:color w:val="auto"/>
              </w:rPr>
            </w:pPr>
          </w:p>
        </w:tc>
      </w:tr>
      <w:tr>
        <w:trPr>
          <w:trHeight w:val="34"/>
        </w:trPr>
        <w:tc>
          <w:tcPr>
            <w:tcW w:w="5040" w:type="dxa"/>
            <w:vAlign w:val="bottom"/>
            <w:tcBorders>
              <w:top w:val="single" w:sz="8" w:color="auto"/>
            </w:tcBorders>
          </w:tcPr>
          <w:p>
            <w:pPr>
              <w:spacing w:after="0"/>
              <w:rPr>
                <w:sz w:val="2"/>
                <w:szCs w:val="2"/>
                <w:color w:val="auto"/>
              </w:rPr>
            </w:pPr>
          </w:p>
        </w:tc>
        <w:tc>
          <w:tcPr>
            <w:tcW w:w="48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52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19,325</w:t>
            </w:r>
          </w:p>
        </w:tc>
        <w:tc>
          <w:tcPr>
            <w:tcW w:w="0" w:type="dxa"/>
            <w:vAlign w:val="bottom"/>
          </w:tcPr>
          <w:p>
            <w:pPr>
              <w:spacing w:after="0"/>
              <w:rPr>
                <w:sz w:val="1"/>
                <w:szCs w:val="1"/>
                <w:color w:val="auto"/>
              </w:rPr>
            </w:pPr>
          </w:p>
        </w:tc>
      </w:tr>
      <w:tr>
        <w:trPr>
          <w:trHeight w:val="48"/>
        </w:trPr>
        <w:tc>
          <w:tcPr>
            <w:tcW w:w="5040" w:type="dxa"/>
            <w:vAlign w:val="bottom"/>
          </w:tcPr>
          <w:p>
            <w:pPr>
              <w:spacing w:after="0"/>
              <w:rPr>
                <w:sz w:val="4"/>
                <w:szCs w:val="4"/>
                <w:color w:val="auto"/>
              </w:rPr>
            </w:pPr>
          </w:p>
        </w:tc>
        <w:tc>
          <w:tcPr>
            <w:tcW w:w="4840" w:type="dxa"/>
            <w:vAlign w:val="bottom"/>
            <w:vMerge w:val="restart"/>
          </w:tcPr>
          <w:p>
            <w:pPr>
              <w:jc w:val="right"/>
              <w:ind w:right="4096"/>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50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50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19" w:name="page20"/>
    <w:bookmarkEnd w:id="1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9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780" w:type="dxa"/>
            <w:vAlign w:val="bottom"/>
          </w:tcPr>
          <w:p>
            <w:pPr>
              <w:jc w:val="right"/>
              <w:ind w:right="493"/>
              <w:spacing w:after="0"/>
              <w:rPr>
                <w:sz w:val="20"/>
                <w:szCs w:val="20"/>
                <w:color w:val="auto"/>
              </w:rPr>
            </w:pPr>
            <w:r>
              <w:rPr>
                <w:rFonts w:ascii="Arial" w:cs="Arial" w:eastAsia="Arial" w:hAnsi="Arial"/>
                <w:sz w:val="13"/>
                <w:szCs w:val="13"/>
                <w:b w:val="1"/>
                <w:bCs w:val="1"/>
                <w:color w:val="auto"/>
              </w:rPr>
              <w:t>Maturities</w:t>
            </w:r>
          </w:p>
        </w:tc>
        <w:tc>
          <w:tcPr>
            <w:tcW w:w="1860" w:type="dxa"/>
            <w:vAlign w:val="bottom"/>
          </w:tcPr>
          <w:p>
            <w:pPr>
              <w:jc w:val="right"/>
              <w:ind w:right="393"/>
              <w:spacing w:after="0"/>
              <w:rPr>
                <w:sz w:val="20"/>
                <w:szCs w:val="20"/>
                <w:color w:val="auto"/>
              </w:rPr>
            </w:pPr>
            <w:r>
              <w:rPr>
                <w:rFonts w:ascii="Arial" w:cs="Arial" w:eastAsia="Arial" w:hAnsi="Arial"/>
                <w:sz w:val="13"/>
                <w:szCs w:val="13"/>
                <w:b w:val="1"/>
                <w:bCs w:val="1"/>
                <w:color w:val="auto"/>
              </w:rPr>
              <w:t>Stated Interest</w:t>
            </w:r>
          </w:p>
        </w:tc>
        <w:tc>
          <w:tcPr>
            <w:tcW w:w="1920" w:type="dxa"/>
            <w:vAlign w:val="bottom"/>
          </w:tcPr>
          <w:p>
            <w:pPr>
              <w:jc w:val="right"/>
              <w:ind w:right="373"/>
              <w:spacing w:after="0"/>
              <w:rPr>
                <w:sz w:val="20"/>
                <w:szCs w:val="20"/>
                <w:color w:val="auto"/>
              </w:rPr>
            </w:pPr>
            <w:r>
              <w:rPr>
                <w:rFonts w:ascii="Arial" w:cs="Arial" w:eastAsia="Arial" w:hAnsi="Arial"/>
                <w:sz w:val="13"/>
                <w:szCs w:val="13"/>
                <w:b w:val="1"/>
                <w:bCs w:val="1"/>
                <w:color w:val="auto"/>
              </w:rPr>
              <w:t>Effective Interest</w:t>
            </w:r>
          </w:p>
        </w:tc>
        <w:tc>
          <w:tcPr>
            <w:tcW w:w="32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1780" w:type="dxa"/>
            <w:vAlign w:val="bottom"/>
          </w:tcPr>
          <w:p>
            <w:pPr>
              <w:jc w:val="right"/>
              <w:ind w:right="333"/>
              <w:spacing w:after="0"/>
              <w:rPr>
                <w:sz w:val="20"/>
                <w:szCs w:val="20"/>
                <w:color w:val="auto"/>
              </w:rPr>
            </w:pPr>
            <w:r>
              <w:rPr>
                <w:rFonts w:ascii="Arial" w:cs="Arial" w:eastAsia="Arial" w:hAnsi="Arial"/>
                <w:sz w:val="13"/>
                <w:szCs w:val="13"/>
                <w:b w:val="1"/>
                <w:bCs w:val="1"/>
                <w:color w:val="auto"/>
              </w:rPr>
              <w:t>(calendar year)</w:t>
            </w:r>
          </w:p>
        </w:tc>
        <w:tc>
          <w:tcPr>
            <w:tcW w:w="1860" w:type="dxa"/>
            <w:vAlign w:val="bottom"/>
          </w:tcPr>
          <w:p>
            <w:pPr>
              <w:jc w:val="right"/>
              <w:ind w:right="713"/>
              <w:spacing w:after="0"/>
              <w:rPr>
                <w:sz w:val="20"/>
                <w:szCs w:val="20"/>
                <w:color w:val="auto"/>
              </w:rPr>
            </w:pPr>
            <w:r>
              <w:rPr>
                <w:rFonts w:ascii="Arial" w:cs="Arial" w:eastAsia="Arial" w:hAnsi="Arial"/>
                <w:sz w:val="13"/>
                <w:szCs w:val="13"/>
                <w:b w:val="1"/>
                <w:bCs w:val="1"/>
                <w:color w:val="auto"/>
              </w:rPr>
              <w:t>Rate</w:t>
            </w:r>
          </w:p>
        </w:tc>
        <w:tc>
          <w:tcPr>
            <w:tcW w:w="1920" w:type="dxa"/>
            <w:vAlign w:val="bottom"/>
          </w:tcPr>
          <w:p>
            <w:pPr>
              <w:jc w:val="right"/>
              <w:ind w:right="773"/>
              <w:spacing w:after="0"/>
              <w:rPr>
                <w:sz w:val="20"/>
                <w:szCs w:val="20"/>
                <w:color w:val="auto"/>
              </w:rPr>
            </w:pPr>
            <w:r>
              <w:rPr>
                <w:rFonts w:ascii="Arial" w:cs="Arial" w:eastAsia="Arial" w:hAnsi="Arial"/>
                <w:sz w:val="13"/>
                <w:szCs w:val="13"/>
                <w:b w:val="1"/>
                <w:bCs w:val="1"/>
                <w:color w:val="auto"/>
              </w:rPr>
              <w:t>Rate</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40"/>
        </w:trPr>
        <w:tc>
          <w:tcPr>
            <w:tcW w:w="3260" w:type="dxa"/>
            <w:vAlign w:val="bottom"/>
            <w:tcBorders>
              <w:top w:val="single" w:sz="8" w:color="auto"/>
            </w:tcBorders>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186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 issuance of $3.8 billion</w:t>
            </w:r>
          </w:p>
        </w:tc>
        <w:tc>
          <w:tcPr>
            <w:tcW w:w="178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b w:val="1"/>
                <w:bCs w:val="1"/>
                <w:color w:val="auto"/>
              </w:rPr>
              <w:t>2039</w:t>
            </w:r>
          </w:p>
        </w:tc>
        <w:tc>
          <w:tcPr>
            <w:tcW w:w="186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5.20%</w:t>
            </w:r>
          </w:p>
        </w:tc>
        <w:tc>
          <w:tcPr>
            <w:tcW w:w="192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b w:val="1"/>
                <w:bCs w:val="1"/>
                <w:color w:val="auto"/>
              </w:rPr>
              <w:t>5.24%</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520</w:t>
            </w:r>
          </w:p>
        </w:tc>
        <w:tc>
          <w:tcPr>
            <w:tcW w:w="140" w:type="dxa"/>
            <w:vAlign w:val="bottom"/>
            <w:shd w:val="clear" w:color="auto" w:fill="E5E5E5"/>
          </w:tcPr>
          <w:p>
            <w:pPr>
              <w:spacing w:after="0"/>
              <w:rPr>
                <w:sz w:val="17"/>
                <w:szCs w:val="17"/>
                <w:color w:val="auto"/>
              </w:rPr>
            </w:pPr>
          </w:p>
        </w:tc>
        <w:tc>
          <w:tcPr>
            <w:tcW w:w="320" w:type="dxa"/>
            <w:vAlign w:val="bottom"/>
            <w:gridSpan w:val="2"/>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2010 issuance of $4.8 billion</w:t>
            </w:r>
          </w:p>
        </w:tc>
        <w:tc>
          <w:tcPr>
            <w:tcW w:w="178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2040</w:t>
            </w:r>
          </w:p>
        </w:tc>
        <w:tc>
          <w:tcPr>
            <w:tcW w:w="186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4.50%</w:t>
            </w:r>
          </w:p>
        </w:tc>
        <w:tc>
          <w:tcPr>
            <w:tcW w:w="1920" w:type="dxa"/>
            <w:vAlign w:val="bottom"/>
          </w:tcPr>
          <w:p>
            <w:pPr>
              <w:jc w:val="right"/>
              <w:ind w:right="353"/>
              <w:spacing w:after="0" w:line="202" w:lineRule="exact"/>
              <w:rPr>
                <w:sz w:val="20"/>
                <w:szCs w:val="20"/>
                <w:color w:val="auto"/>
              </w:rPr>
            </w:pPr>
            <w:r>
              <w:rPr>
                <w:rFonts w:ascii="Arial" w:cs="Arial" w:eastAsia="Arial" w:hAnsi="Arial"/>
                <w:sz w:val="18"/>
                <w:szCs w:val="18"/>
                <w:b w:val="1"/>
                <w:bCs w:val="1"/>
                <w:color w:val="auto"/>
              </w:rPr>
              <w:t>4.57%</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2011 issuance of $2.3 billion</w:t>
            </w:r>
          </w:p>
        </w:tc>
        <w:tc>
          <w:tcPr>
            <w:tcW w:w="178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b w:val="1"/>
                <w:bCs w:val="1"/>
                <w:color w:val="auto"/>
              </w:rPr>
              <w:t>2041</w:t>
            </w:r>
          </w:p>
        </w:tc>
        <w:tc>
          <w:tcPr>
            <w:tcW w:w="186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5.30%</w:t>
            </w:r>
          </w:p>
        </w:tc>
        <w:tc>
          <w:tcPr>
            <w:tcW w:w="192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b w:val="1"/>
                <w:bCs w:val="1"/>
                <w:color w:val="auto"/>
              </w:rPr>
              <w:t>5.36%</w:t>
            </w: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718</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2012 issuance of $2.3 billion</w:t>
            </w:r>
          </w:p>
        </w:tc>
        <w:tc>
          <w:tcPr>
            <w:tcW w:w="178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2042</w:t>
            </w:r>
          </w:p>
        </w:tc>
        <w:tc>
          <w:tcPr>
            <w:tcW w:w="186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3.50%</w:t>
            </w:r>
          </w:p>
        </w:tc>
        <w:tc>
          <w:tcPr>
            <w:tcW w:w="1920" w:type="dxa"/>
            <w:vAlign w:val="bottom"/>
          </w:tcPr>
          <w:p>
            <w:pPr>
              <w:jc w:val="right"/>
              <w:ind w:right="353"/>
              <w:spacing w:after="0" w:line="202" w:lineRule="exact"/>
              <w:rPr>
                <w:sz w:val="20"/>
                <w:szCs w:val="20"/>
                <w:color w:val="auto"/>
              </w:rPr>
            </w:pPr>
            <w:r>
              <w:rPr>
                <w:rFonts w:ascii="Arial" w:cs="Arial" w:eastAsia="Arial" w:hAnsi="Arial"/>
                <w:sz w:val="18"/>
                <w:szCs w:val="18"/>
                <w:b w:val="1"/>
                <w:bCs w:val="1"/>
                <w:color w:val="auto"/>
              </w:rPr>
              <w:t>3.57%</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2013 issuance of $5.2 billion</w:t>
            </w:r>
          </w:p>
        </w:tc>
        <w:tc>
          <w:tcPr>
            <w:tcW w:w="178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b w:val="1"/>
                <w:bCs w:val="1"/>
                <w:color w:val="auto"/>
              </w:rPr>
              <w:t>2043</w:t>
            </w:r>
          </w:p>
        </w:tc>
        <w:tc>
          <w:tcPr>
            <w:tcW w:w="186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3.75%–4.88%</w:t>
            </w:r>
          </w:p>
        </w:tc>
        <w:tc>
          <w:tcPr>
            <w:tcW w:w="192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b w:val="1"/>
                <w:bCs w:val="1"/>
                <w:color w:val="auto"/>
              </w:rPr>
              <w:t>3.83%–4.92%</w:t>
            </w: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314</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2013 issuance of €4.1 billion</w:t>
            </w:r>
          </w:p>
        </w:tc>
        <w:tc>
          <w:tcPr>
            <w:tcW w:w="178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2028–2033</w:t>
            </w:r>
          </w:p>
        </w:tc>
        <w:tc>
          <w:tcPr>
            <w:tcW w:w="186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2.63%–3.13%</w:t>
            </w:r>
          </w:p>
        </w:tc>
        <w:tc>
          <w:tcPr>
            <w:tcW w:w="1920" w:type="dxa"/>
            <w:vAlign w:val="bottom"/>
          </w:tcPr>
          <w:p>
            <w:pPr>
              <w:jc w:val="right"/>
              <w:ind w:right="353"/>
              <w:spacing w:after="0" w:line="202" w:lineRule="exact"/>
              <w:rPr>
                <w:sz w:val="20"/>
                <w:szCs w:val="20"/>
                <w:color w:val="auto"/>
              </w:rPr>
            </w:pPr>
            <w:r>
              <w:rPr>
                <w:rFonts w:ascii="Arial" w:cs="Arial" w:eastAsia="Arial" w:hAnsi="Arial"/>
                <w:sz w:val="18"/>
                <w:szCs w:val="18"/>
                <w:b w:val="1"/>
                <w:bCs w:val="1"/>
                <w:color w:val="auto"/>
              </w:rPr>
              <w:t>2.69%–3.22%</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2015 issuance of $23.8 billion</w:t>
            </w:r>
          </w:p>
        </w:tc>
        <w:tc>
          <w:tcPr>
            <w:tcW w:w="178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b w:val="1"/>
                <w:bCs w:val="1"/>
                <w:color w:val="auto"/>
              </w:rPr>
              <w:t>2035–2055</w:t>
            </w:r>
          </w:p>
        </w:tc>
        <w:tc>
          <w:tcPr>
            <w:tcW w:w="186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3.50%–4.75%</w:t>
            </w:r>
          </w:p>
        </w:tc>
        <w:tc>
          <w:tcPr>
            <w:tcW w:w="192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b w:val="1"/>
                <w:bCs w:val="1"/>
                <w:color w:val="auto"/>
              </w:rPr>
              <w:t>3.60%–4.78%</w:t>
            </w: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4,555</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2016 issuance of $19.8 billion</w:t>
            </w:r>
          </w:p>
        </w:tc>
        <w:tc>
          <w:tcPr>
            <w:tcW w:w="178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2026–2056</w:t>
            </w:r>
          </w:p>
        </w:tc>
        <w:tc>
          <w:tcPr>
            <w:tcW w:w="186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2.40%–3.95%</w:t>
            </w:r>
          </w:p>
        </w:tc>
        <w:tc>
          <w:tcPr>
            <w:tcW w:w="1920" w:type="dxa"/>
            <w:vAlign w:val="bottom"/>
          </w:tcPr>
          <w:p>
            <w:pPr>
              <w:jc w:val="right"/>
              <w:ind w:right="353"/>
              <w:spacing w:after="0" w:line="202" w:lineRule="exact"/>
              <w:rPr>
                <w:sz w:val="20"/>
                <w:szCs w:val="20"/>
                <w:color w:val="auto"/>
              </w:rPr>
            </w:pPr>
            <w:r>
              <w:rPr>
                <w:rFonts w:ascii="Arial" w:cs="Arial" w:eastAsia="Arial" w:hAnsi="Arial"/>
                <w:sz w:val="18"/>
                <w:szCs w:val="18"/>
                <w:b w:val="1"/>
                <w:bCs w:val="1"/>
                <w:color w:val="auto"/>
              </w:rPr>
              <w:t>2.46%–4.03%</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7,930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2017 issuance of $17.1 billion</w:t>
            </w:r>
          </w:p>
        </w:tc>
        <w:tc>
          <w:tcPr>
            <w:tcW w:w="178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b w:val="1"/>
                <w:bCs w:val="1"/>
                <w:color w:val="auto"/>
              </w:rPr>
              <w:t>2026–2057</w:t>
            </w:r>
          </w:p>
        </w:tc>
        <w:tc>
          <w:tcPr>
            <w:tcW w:w="186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3.30%–4.50%</w:t>
            </w:r>
          </w:p>
        </w:tc>
        <w:tc>
          <w:tcPr>
            <w:tcW w:w="192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b w:val="1"/>
                <w:bCs w:val="1"/>
                <w:color w:val="auto"/>
              </w:rPr>
              <w:t>3.38%–5.49%</w:t>
            </w: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6,833</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6,833</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2020 issuance of $10.1 billion</w:t>
            </w:r>
          </w:p>
        </w:tc>
        <w:tc>
          <w:tcPr>
            <w:tcW w:w="178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2030–2060</w:t>
            </w:r>
          </w:p>
        </w:tc>
        <w:tc>
          <w:tcPr>
            <w:tcW w:w="186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1.35%–2.68%</w:t>
            </w:r>
          </w:p>
        </w:tc>
        <w:tc>
          <w:tcPr>
            <w:tcW w:w="1920" w:type="dxa"/>
            <w:vAlign w:val="bottom"/>
          </w:tcPr>
          <w:p>
            <w:pPr>
              <w:jc w:val="right"/>
              <w:ind w:right="353"/>
              <w:spacing w:after="0" w:line="202" w:lineRule="exact"/>
              <w:rPr>
                <w:sz w:val="20"/>
                <w:szCs w:val="20"/>
                <w:color w:val="auto"/>
              </w:rPr>
            </w:pPr>
            <w:r>
              <w:rPr>
                <w:rFonts w:ascii="Arial" w:cs="Arial" w:eastAsia="Arial" w:hAnsi="Arial"/>
                <w:sz w:val="18"/>
                <w:szCs w:val="18"/>
                <w:b w:val="1"/>
                <w:bCs w:val="1"/>
                <w:color w:val="auto"/>
              </w:rPr>
              <w:t>2.53%–5.43%</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2021 issuance of $8.2 billion</w:t>
            </w:r>
          </w:p>
        </w:tc>
        <w:tc>
          <w:tcPr>
            <w:tcW w:w="178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b w:val="1"/>
                <w:bCs w:val="1"/>
                <w:color w:val="auto"/>
              </w:rPr>
              <w:t>2052–2062</w:t>
            </w:r>
          </w:p>
        </w:tc>
        <w:tc>
          <w:tcPr>
            <w:tcW w:w="186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2.92%–3.04%</w:t>
            </w:r>
          </w:p>
        </w:tc>
        <w:tc>
          <w:tcPr>
            <w:tcW w:w="192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b w:val="1"/>
                <w:bCs w:val="1"/>
                <w:color w:val="auto"/>
              </w:rPr>
              <w:t>2.92%–3.04%</w:t>
            </w: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8,185</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2023 issuance of $0.1 billion</w:t>
            </w:r>
          </w:p>
        </w:tc>
        <w:tc>
          <w:tcPr>
            <w:tcW w:w="1780" w:type="dxa"/>
            <w:vAlign w:val="bottom"/>
          </w:tcPr>
          <w:p>
            <w:pPr>
              <w:jc w:val="right"/>
              <w:ind w:right="313"/>
              <w:spacing w:after="0" w:line="202" w:lineRule="exact"/>
              <w:rPr>
                <w:sz w:val="20"/>
                <w:szCs w:val="20"/>
                <w:color w:val="auto"/>
              </w:rPr>
            </w:pPr>
            <w:r>
              <w:rPr>
                <w:rFonts w:ascii="Arial" w:cs="Arial" w:eastAsia="Arial" w:hAnsi="Arial"/>
                <w:sz w:val="18"/>
                <w:szCs w:val="18"/>
                <w:b w:val="1"/>
                <w:bCs w:val="1"/>
                <w:color w:val="auto"/>
              </w:rPr>
              <w:t>2026–2050</w:t>
            </w:r>
          </w:p>
        </w:tc>
        <w:tc>
          <w:tcPr>
            <w:tcW w:w="186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1.35%–4.50%</w:t>
            </w:r>
          </w:p>
        </w:tc>
        <w:tc>
          <w:tcPr>
            <w:tcW w:w="1920" w:type="dxa"/>
            <w:vAlign w:val="bottom"/>
          </w:tcPr>
          <w:p>
            <w:pPr>
              <w:jc w:val="right"/>
              <w:ind w:right="353"/>
              <w:spacing w:after="0" w:line="202" w:lineRule="exact"/>
              <w:rPr>
                <w:sz w:val="20"/>
                <w:szCs w:val="20"/>
                <w:color w:val="auto"/>
              </w:rPr>
            </w:pPr>
            <w:r>
              <w:rPr>
                <w:rFonts w:ascii="Arial" w:cs="Arial" w:eastAsia="Arial" w:hAnsi="Arial"/>
                <w:sz w:val="18"/>
                <w:szCs w:val="18"/>
                <w:b w:val="1"/>
                <w:bCs w:val="1"/>
                <w:color w:val="auto"/>
              </w:rPr>
              <w:t>5.16%–5.49%</w:t>
            </w: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2024 issuance of $3.3 billion</w:t>
            </w:r>
          </w:p>
        </w:tc>
        <w:tc>
          <w:tcPr>
            <w:tcW w:w="1780" w:type="dxa"/>
            <w:vAlign w:val="bottom"/>
            <w:shd w:val="clear" w:color="auto" w:fill="E5E5E5"/>
          </w:tcPr>
          <w:p>
            <w:pPr>
              <w:jc w:val="right"/>
              <w:ind w:right="313"/>
              <w:spacing w:after="0" w:line="202" w:lineRule="exact"/>
              <w:rPr>
                <w:sz w:val="20"/>
                <w:szCs w:val="20"/>
                <w:color w:val="auto"/>
              </w:rPr>
            </w:pPr>
            <w:r>
              <w:rPr>
                <w:rFonts w:ascii="Arial" w:cs="Arial" w:eastAsia="Arial" w:hAnsi="Arial"/>
                <w:sz w:val="18"/>
                <w:szCs w:val="18"/>
                <w:b w:val="1"/>
                <w:bCs w:val="1"/>
                <w:color w:val="auto"/>
              </w:rPr>
              <w:t>2026–2050</w:t>
            </w:r>
          </w:p>
        </w:tc>
        <w:tc>
          <w:tcPr>
            <w:tcW w:w="186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1.35%–4.50%</w:t>
            </w:r>
          </w:p>
        </w:tc>
        <w:tc>
          <w:tcPr>
            <w:tcW w:w="1920" w:type="dxa"/>
            <w:vAlign w:val="bottom"/>
            <w:shd w:val="clear" w:color="auto" w:fill="E5E5E5"/>
          </w:tcPr>
          <w:p>
            <w:pPr>
              <w:jc w:val="right"/>
              <w:ind w:right="353"/>
              <w:spacing w:after="0" w:line="202" w:lineRule="exact"/>
              <w:rPr>
                <w:sz w:val="20"/>
                <w:szCs w:val="20"/>
                <w:color w:val="auto"/>
              </w:rPr>
            </w:pPr>
            <w:r>
              <w:rPr>
                <w:rFonts w:ascii="Arial" w:cs="Arial" w:eastAsia="Arial" w:hAnsi="Arial"/>
                <w:sz w:val="18"/>
                <w:szCs w:val="18"/>
                <w:b w:val="1"/>
                <w:bCs w:val="1"/>
                <w:color w:val="auto"/>
              </w:rPr>
              <w:t>5.16%–5.49%</w:t>
            </w:r>
          </w:p>
        </w:tc>
        <w:tc>
          <w:tcPr>
            <w:tcW w:w="3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3,344</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41"/>
        </w:trPr>
        <w:tc>
          <w:tcPr>
            <w:tcW w:w="3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80"/>
              <w:spacing w:after="0"/>
              <w:rPr>
                <w:sz w:val="20"/>
                <w:szCs w:val="20"/>
                <w:color w:val="auto"/>
              </w:rPr>
            </w:pPr>
            <w:r>
              <w:rPr>
                <w:rFonts w:ascii="Arial" w:cs="Arial" w:eastAsia="Arial" w:hAnsi="Arial"/>
                <w:sz w:val="18"/>
                <w:szCs w:val="18"/>
                <w:color w:val="auto"/>
              </w:rPr>
              <w:t>Total face value</w:t>
            </w:r>
          </w:p>
        </w:tc>
        <w:tc>
          <w:tcPr>
            <w:tcW w:w="1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46,156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49,206</w:t>
            </w:r>
          </w:p>
        </w:tc>
        <w:tc>
          <w:tcPr>
            <w:tcW w:w="0" w:type="dxa"/>
            <w:vAlign w:val="bottom"/>
          </w:tcPr>
          <w:p>
            <w:pPr>
              <w:spacing w:after="0"/>
              <w:rPr>
                <w:sz w:val="1"/>
                <w:szCs w:val="1"/>
                <w:color w:val="auto"/>
              </w:rPr>
            </w:pPr>
          </w:p>
        </w:tc>
      </w:tr>
      <w:tr>
        <w:trPr>
          <w:trHeight w:val="184"/>
        </w:trPr>
        <w:tc>
          <w:tcPr>
            <w:tcW w:w="326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Unamortized discount and issuance</w:t>
            </w:r>
          </w:p>
        </w:tc>
        <w:tc>
          <w:tcPr>
            <w:tcW w:w="1780" w:type="dxa"/>
            <w:vAlign w:val="bottom"/>
            <w:shd w:val="clear" w:color="auto" w:fill="E5E5E5"/>
          </w:tcPr>
          <w:p>
            <w:pPr>
              <w:spacing w:after="0"/>
              <w:rPr>
                <w:sz w:val="15"/>
                <w:szCs w:val="15"/>
                <w:color w:val="auto"/>
              </w:rPr>
            </w:pPr>
          </w:p>
        </w:tc>
        <w:tc>
          <w:tcPr>
            <w:tcW w:w="1860" w:type="dxa"/>
            <w:vAlign w:val="bottom"/>
            <w:shd w:val="clear" w:color="auto" w:fill="E5E5E5"/>
          </w:tcPr>
          <w:p>
            <w:pPr>
              <w:spacing w:after="0"/>
              <w:rPr>
                <w:sz w:val="15"/>
                <w:szCs w:val="15"/>
                <w:color w:val="auto"/>
              </w:rPr>
            </w:pPr>
          </w:p>
        </w:tc>
        <w:tc>
          <w:tcPr>
            <w:tcW w:w="19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6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shd w:val="clear" w:color="auto" w:fill="E5E5E5"/>
          </w:tcPr>
          <w:p>
            <w:pPr>
              <w:ind w:left="80"/>
              <w:spacing w:after="0"/>
              <w:rPr>
                <w:sz w:val="20"/>
                <w:szCs w:val="20"/>
                <w:color w:val="auto"/>
              </w:rPr>
            </w:pPr>
            <w:r>
              <w:rPr>
                <w:rFonts w:ascii="Arial" w:cs="Arial" w:eastAsia="Arial" w:hAnsi="Arial"/>
                <w:sz w:val="18"/>
                <w:szCs w:val="18"/>
                <w:color w:val="auto"/>
              </w:rPr>
              <w:t>costs</w:t>
            </w:r>
          </w:p>
        </w:tc>
        <w:tc>
          <w:tcPr>
            <w:tcW w:w="1780" w:type="dxa"/>
            <w:vAlign w:val="bottom"/>
            <w:shd w:val="clear" w:color="auto" w:fill="E5E5E5"/>
          </w:tcPr>
          <w:p>
            <w:pPr>
              <w:spacing w:after="0"/>
              <w:rPr>
                <w:sz w:val="19"/>
                <w:szCs w:val="19"/>
                <w:color w:val="auto"/>
              </w:rPr>
            </w:pPr>
          </w:p>
        </w:tc>
        <w:tc>
          <w:tcPr>
            <w:tcW w:w="1860" w:type="dxa"/>
            <w:vAlign w:val="bottom"/>
            <w:shd w:val="clear" w:color="auto" w:fill="E5E5E5"/>
          </w:tcPr>
          <w:p>
            <w:pPr>
              <w:spacing w:after="0"/>
              <w:rPr>
                <w:sz w:val="19"/>
                <w:szCs w:val="19"/>
                <w:color w:val="auto"/>
              </w:rPr>
            </w:pPr>
          </w:p>
        </w:tc>
        <w:tc>
          <w:tcPr>
            <w:tcW w:w="1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(1,098)</w:t>
            </w:r>
          </w:p>
        </w:tc>
        <w:tc>
          <w:tcPr>
            <w:tcW w:w="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7"/>
                <w:szCs w:val="17"/>
                <w:color w:val="auto"/>
              </w:rPr>
              <w:t xml:space="preserve">Hedge fair value adjustments </w:t>
            </w:r>
            <w:r>
              <w:rPr>
                <w:rFonts w:ascii="Arial" w:cs="Arial" w:eastAsia="Arial" w:hAnsi="Arial"/>
                <w:sz w:val="23"/>
                <w:szCs w:val="23"/>
                <w:color w:val="auto"/>
                <w:vertAlign w:val="superscript"/>
              </w:rPr>
              <w:t>(a)</w:t>
            </w:r>
          </w:p>
        </w:tc>
        <w:tc>
          <w:tcPr>
            <w:tcW w:w="17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Premium on debt exchange</w:t>
            </w:r>
          </w:p>
        </w:tc>
        <w:tc>
          <w:tcPr>
            <w:tcW w:w="1780" w:type="dxa"/>
            <w:vAlign w:val="bottom"/>
            <w:shd w:val="clear" w:color="auto" w:fill="E5E5E5"/>
          </w:tcPr>
          <w:p>
            <w:pPr>
              <w:spacing w:after="0"/>
              <w:rPr>
                <w:sz w:val="17"/>
                <w:szCs w:val="17"/>
                <w:color w:val="auto"/>
              </w:rPr>
            </w:pPr>
          </w:p>
        </w:tc>
        <w:tc>
          <w:tcPr>
            <w:tcW w:w="1860" w:type="dxa"/>
            <w:vAlign w:val="bottom"/>
            <w:shd w:val="clear" w:color="auto" w:fill="E5E5E5"/>
          </w:tcPr>
          <w:p>
            <w:pPr>
              <w:spacing w:after="0"/>
              <w:rPr>
                <w:sz w:val="17"/>
                <w:szCs w:val="17"/>
                <w:color w:val="auto"/>
              </w:rPr>
            </w:pPr>
          </w:p>
        </w:tc>
        <w:tc>
          <w:tcPr>
            <w:tcW w:w="19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(4,779)</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40"/>
        </w:trPr>
        <w:tc>
          <w:tcPr>
            <w:tcW w:w="3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60" w:type="dxa"/>
            <w:vAlign w:val="bottom"/>
          </w:tcPr>
          <w:p>
            <w:pPr>
              <w:ind w:left="80"/>
              <w:spacing w:after="0"/>
              <w:rPr>
                <w:sz w:val="20"/>
                <w:szCs w:val="20"/>
                <w:color w:val="auto"/>
              </w:rPr>
            </w:pPr>
            <w:r>
              <w:rPr>
                <w:rFonts w:ascii="Arial" w:cs="Arial" w:eastAsia="Arial" w:hAnsi="Arial"/>
                <w:sz w:val="18"/>
                <w:szCs w:val="18"/>
                <w:color w:val="auto"/>
              </w:rPr>
              <w:t>Total debt</w:t>
            </w:r>
          </w:p>
        </w:tc>
        <w:tc>
          <w:tcPr>
            <w:tcW w:w="1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40,262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43,151</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780" w:type="dxa"/>
            <w:vAlign w:val="bottom"/>
            <w:shd w:val="clear" w:color="auto" w:fill="E5E5E5"/>
          </w:tcPr>
          <w:p>
            <w:pPr>
              <w:spacing w:after="0"/>
              <w:rPr>
                <w:sz w:val="17"/>
                <w:szCs w:val="17"/>
                <w:color w:val="auto"/>
              </w:rPr>
            </w:pPr>
          </w:p>
        </w:tc>
        <w:tc>
          <w:tcPr>
            <w:tcW w:w="1860" w:type="dxa"/>
            <w:vAlign w:val="bottom"/>
            <w:shd w:val="clear" w:color="auto" w:fill="E5E5E5"/>
          </w:tcPr>
          <w:p>
            <w:pPr>
              <w:spacing w:after="0"/>
              <w:rPr>
                <w:sz w:val="17"/>
                <w:szCs w:val="17"/>
                <w:color w:val="auto"/>
              </w:rPr>
            </w:pPr>
          </w:p>
        </w:tc>
        <w:tc>
          <w:tcPr>
            <w:tcW w:w="19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(8,839)</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40"/>
        </w:trPr>
        <w:tc>
          <w:tcPr>
            <w:tcW w:w="3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26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March 31, 2026 and June 30, 2025, the estimated fair value of long-term debt, including the current portion, was $36.6 billion and $40.4 billion, respectively. The estimated fair values are based on Level 2 inputs.</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March 31, 2026:</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2026 (excluding the nine months ended March 31, 2026)</w:t>
            </w:r>
          </w:p>
        </w:tc>
        <w:tc>
          <w:tcPr>
            <w:tcW w:w="53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9,250</w:t>
            </w: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2028</w:t>
            </w:r>
          </w:p>
        </w:tc>
        <w:tc>
          <w:tcPr>
            <w:tcW w:w="49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4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3"/>
        </w:trPr>
        <w:tc>
          <w:tcPr>
            <w:tcW w:w="5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2030</w:t>
            </w:r>
          </w:p>
        </w:tc>
        <w:tc>
          <w:tcPr>
            <w:tcW w:w="49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4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34,890</w:t>
            </w:r>
          </w:p>
        </w:tc>
        <w:tc>
          <w:tcPr>
            <w:tcW w:w="0" w:type="dxa"/>
            <w:vAlign w:val="bottom"/>
          </w:tcPr>
          <w:p>
            <w:pPr>
              <w:spacing w:after="0"/>
              <w:rPr>
                <w:sz w:val="1"/>
                <w:szCs w:val="1"/>
                <w:color w:val="auto"/>
              </w:rPr>
            </w:pPr>
          </w:p>
        </w:tc>
      </w:tr>
      <w:tr>
        <w:trPr>
          <w:trHeight w:val="34"/>
        </w:trPr>
        <w:tc>
          <w:tcPr>
            <w:tcW w:w="5040" w:type="dxa"/>
            <w:vAlign w:val="bottom"/>
            <w:tcBorders>
              <w:top w:val="single" w:sz="8" w:color="auto"/>
            </w:tcBorders>
          </w:tcPr>
          <w:p>
            <w:pPr>
              <w:spacing w:after="0"/>
              <w:rPr>
                <w:sz w:val="2"/>
                <w:szCs w:val="2"/>
                <w:color w:val="auto"/>
              </w:rPr>
            </w:pPr>
          </w:p>
        </w:tc>
        <w:tc>
          <w:tcPr>
            <w:tcW w:w="49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E5E5E5"/>
          </w:tcPr>
          <w:p>
            <w:pPr>
              <w:ind w:left="240"/>
              <w:spacing w:after="0" w:line="202" w:lineRule="exact"/>
              <w:rPr>
                <w:sz w:val="20"/>
                <w:szCs w:val="20"/>
                <w:color w:val="auto"/>
              </w:rPr>
            </w:pPr>
            <w:r>
              <w:rPr>
                <w:rFonts w:ascii="Arial" w:cs="Arial" w:eastAsia="Arial" w:hAnsi="Arial"/>
                <w:sz w:val="18"/>
                <w:szCs w:val="18"/>
                <w:color w:val="auto"/>
              </w:rPr>
              <w:t>Total</w:t>
            </w:r>
          </w:p>
        </w:tc>
        <w:tc>
          <w:tcPr>
            <w:tcW w:w="53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46,156</w:t>
            </w:r>
          </w:p>
        </w:tc>
        <w:tc>
          <w:tcPr>
            <w:tcW w:w="0" w:type="dxa"/>
            <w:vAlign w:val="bottom"/>
          </w:tcPr>
          <w:p>
            <w:pPr>
              <w:spacing w:after="0"/>
              <w:rPr>
                <w:sz w:val="1"/>
                <w:szCs w:val="1"/>
                <w:color w:val="auto"/>
              </w:rPr>
            </w:pPr>
          </w:p>
        </w:tc>
      </w:tr>
      <w:tr>
        <w:trPr>
          <w:trHeight w:val="48"/>
        </w:trPr>
        <w:tc>
          <w:tcPr>
            <w:tcW w:w="5040" w:type="dxa"/>
            <w:vAlign w:val="bottom"/>
          </w:tcPr>
          <w:p>
            <w:pPr>
              <w:spacing w:after="0"/>
              <w:rPr>
                <w:sz w:val="4"/>
                <w:szCs w:val="4"/>
                <w:color w:val="auto"/>
              </w:rPr>
            </w:pPr>
          </w:p>
        </w:tc>
        <w:tc>
          <w:tcPr>
            <w:tcW w:w="4980" w:type="dxa"/>
            <w:vAlign w:val="bottom"/>
            <w:vMerge w:val="restart"/>
          </w:tcPr>
          <w:p>
            <w:pPr>
              <w:jc w:val="right"/>
              <w:ind w:right="4236"/>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504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50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0" w:name="page21"/>
    <w:bookmarkEnd w:id="2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effective tax rate was 19% and 18% for the three months ended March 31, 2026 and 2025, respectively, and 20% and 18% for the nine months ended March 31, 2026 and 2025, respectively. The increase in our effective tax rate for the three months ended March 31, 2026 compared to the prior year was primarily due to changes in the mix of our earnings and tax expenses between the U.S. and foreign countries. The increase in our effective tax rate for the nine months ended March 31, 2026 compared to the prior year was primarily due to changes in the mix of our earnings and tax expenses between the U.S. and foreign countries and deferred tax expense attributable to the dilution gain from the OpenAI Recapitalization.</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and nine months ended March 31, 2026, primarily due to earnings taxed at lower rates in foreign jurisdictions resulting from producing and distributing our products and services through our foreign regional operations center in Ireland.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and June 30, 2025, unrecognized tax benefits and other income tax liabilities were $29.3 billion and $27.4 billion, respectively, and are included in long-term income taxes in our consolidated balance sheets.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March 31, 2026,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2021 and thereafter.</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NOTE 11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2"/>
          </w:tcPr>
          <w:p>
            <w:pPr>
              <w:ind w:left="360"/>
              <w:spacing w:after="0"/>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r>
      <w:tr>
        <w:trPr>
          <w:trHeight w:val="195"/>
        </w:trPr>
        <w:tc>
          <w:tcPr>
            <w:tcW w:w="4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r>
      <w:tr>
        <w:trPr>
          <w:trHeight w:val="211"/>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Productivity and Business Processes</w:t>
            </w:r>
          </w:p>
        </w:tc>
        <w:tc>
          <w:tcPr>
            <w:tcW w:w="3820" w:type="dxa"/>
            <w:vAlign w:val="bottom"/>
            <w:gridSpan w:val="2"/>
            <w:shd w:val="clear" w:color="auto" w:fill="E5E5E5"/>
          </w:tcPr>
          <w:p>
            <w:pPr>
              <w:jc w:val="right"/>
              <w:ind w:right="3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39,904</w:t>
            </w:r>
          </w:p>
        </w:tc>
        <w:tc>
          <w:tcPr>
            <w:tcW w:w="52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50,567</w:t>
            </w:r>
          </w:p>
        </w:tc>
      </w:tr>
      <w:tr>
        <w:trPr>
          <w:trHeight w:val="202"/>
        </w:trPr>
        <w:tc>
          <w:tcPr>
            <w:tcW w:w="466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10,892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14,022</w:t>
            </w:r>
          </w:p>
        </w:tc>
      </w:tr>
      <w:tr>
        <w:trPr>
          <w:trHeight w:val="203"/>
        </w:trPr>
        <w:tc>
          <w:tcPr>
            <w:tcW w:w="4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33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2,881</w:t>
            </w: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2,676</w:t>
            </w:r>
          </w:p>
        </w:tc>
      </w:tr>
      <w:tr>
        <w:trPr>
          <w:trHeight w:val="41"/>
        </w:trPr>
        <w:tc>
          <w:tcPr>
            <w:tcW w:w="466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4660" w:type="dxa"/>
            <w:vAlign w:val="bottom"/>
          </w:tcPr>
          <w:p>
            <w:pPr>
              <w:ind w:left="200"/>
              <w:spacing w:after="0"/>
              <w:rPr>
                <w:sz w:val="20"/>
                <w:szCs w:val="20"/>
                <w:color w:val="auto"/>
              </w:rPr>
            </w:pPr>
            <w:r>
              <w:rPr>
                <w:rFonts w:ascii="Arial" w:cs="Arial" w:eastAsia="Arial" w:hAnsi="Arial"/>
                <w:sz w:val="18"/>
                <w:szCs w:val="18"/>
                <w:color w:val="auto"/>
              </w:rPr>
              <w:t>Total</w:t>
            </w:r>
          </w:p>
        </w:tc>
        <w:tc>
          <w:tcPr>
            <w:tcW w:w="38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53,677</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67,265</w:t>
            </w:r>
          </w:p>
        </w:tc>
      </w:tr>
      <w:tr>
        <w:trPr>
          <w:trHeight w:val="409"/>
        </w:trPr>
        <w:tc>
          <w:tcPr>
            <w:tcW w:w="4660" w:type="dxa"/>
            <w:vAlign w:val="bottom"/>
          </w:tcPr>
          <w:p>
            <w:pPr>
              <w:spacing w:after="0"/>
              <w:rPr>
                <w:sz w:val="20"/>
                <w:szCs w:val="20"/>
                <w:color w:val="auto"/>
              </w:rPr>
            </w:pPr>
            <w:r>
              <w:rPr>
                <w:rFonts w:ascii="Arial" w:cs="Arial" w:eastAsia="Arial" w:hAnsi="Arial"/>
                <w:sz w:val="18"/>
                <w:szCs w:val="18"/>
                <w:color w:val="auto"/>
              </w:rPr>
              <w:t>Changes in unearned revenue were as follows:</w:t>
            </w:r>
          </w:p>
        </w:tc>
        <w:tc>
          <w:tcPr>
            <w:tcW w:w="33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54"/>
        </w:trPr>
        <w:tc>
          <w:tcPr>
            <w:tcW w:w="4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3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4660" w:type="dxa"/>
            <w:vAlign w:val="bottom"/>
          </w:tcPr>
          <w:p>
            <w:pPr>
              <w:spacing w:after="0"/>
              <w:rPr>
                <w:sz w:val="20"/>
                <w:szCs w:val="20"/>
                <w:color w:val="auto"/>
              </w:rPr>
            </w:pPr>
            <w:r>
              <w:rPr>
                <w:rFonts w:ascii="Arial" w:cs="Arial" w:eastAsia="Arial" w:hAnsi="Arial"/>
                <w:sz w:val="13"/>
                <w:szCs w:val="13"/>
                <w:b w:val="1"/>
                <w:bCs w:val="1"/>
                <w:color w:val="auto"/>
              </w:rPr>
              <w:t>Nine Months Ended March 31, 2026</w:t>
            </w:r>
          </w:p>
        </w:tc>
        <w:tc>
          <w:tcPr>
            <w:tcW w:w="3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66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33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520" w:type="dxa"/>
            <w:vAlign w:val="bottom"/>
            <w:gridSpan w:val="2"/>
            <w:shd w:val="clear" w:color="auto" w:fill="E5E5E5"/>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67,265</w:t>
            </w: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Deferral of revenue</w:t>
            </w:r>
          </w:p>
        </w:tc>
        <w:tc>
          <w:tcPr>
            <w:tcW w:w="3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143,442</w:t>
            </w:r>
          </w:p>
        </w:tc>
      </w:tr>
      <w:tr>
        <w:trPr>
          <w:trHeight w:val="203"/>
        </w:trPr>
        <w:tc>
          <w:tcPr>
            <w:tcW w:w="4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Recognition of unearned revenue</w:t>
            </w:r>
          </w:p>
        </w:tc>
        <w:tc>
          <w:tcPr>
            <w:tcW w:w="33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(157,030)</w:t>
            </w:r>
          </w:p>
        </w:tc>
      </w:tr>
      <w:tr>
        <w:trPr>
          <w:trHeight w:val="40"/>
        </w:trPr>
        <w:tc>
          <w:tcPr>
            <w:tcW w:w="466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46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53,677</w:t>
            </w:r>
          </w:p>
        </w:tc>
      </w:tr>
      <w:tr>
        <w:trPr>
          <w:trHeight w:val="613"/>
        </w:trPr>
        <w:tc>
          <w:tcPr>
            <w:tcW w:w="4660" w:type="dxa"/>
            <w:vAlign w:val="bottom"/>
          </w:tcPr>
          <w:p>
            <w:pPr>
              <w:spacing w:after="0"/>
              <w:rPr>
                <w:sz w:val="24"/>
                <w:szCs w:val="24"/>
                <w:color w:val="auto"/>
              </w:rPr>
            </w:pPr>
          </w:p>
        </w:tc>
        <w:tc>
          <w:tcPr>
            <w:tcW w:w="3340" w:type="dxa"/>
            <w:vAlign w:val="bottom"/>
          </w:tcPr>
          <w:p>
            <w:pPr>
              <w:jc w:val="right"/>
              <w:ind w:right="2216"/>
              <w:spacing w:after="0"/>
              <w:rPr>
                <w:sz w:val="20"/>
                <w:szCs w:val="20"/>
                <w:color w:val="auto"/>
              </w:rPr>
            </w:pPr>
            <w:r>
              <w:rPr>
                <w:rFonts w:ascii="Arial" w:cs="Arial" w:eastAsia="Arial" w:hAnsi="Arial"/>
                <w:sz w:val="14"/>
                <w:szCs w:val="14"/>
                <w:color w:val="auto"/>
              </w:rPr>
              <w:t>21</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46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1" w:name="page22"/>
    <w:bookmarkEnd w:id="2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allocated to remaining performance obligations, which includes unearned revenue and amounts expected to be invoiced and recognized as revenue in future periods, was $633 billion as of March 31, 2026. Estimating revenue that will be allocated to remaining performance obligations can involve significant judgments, including identifying and assessing variable consideration and potential renegotiation of commitments. We consider factors such as the nature of the terms and duration of the contract across our portfolio of contracts. Revenue allocated to remaining performance obligations related to the commercial portion of revenue was $627 billion as of March 31, 2026, with a weighted average duration of approximately 2.5 years. We expect to recognize approximately 30% of our total company remaining performance obligation revenue and 25% of our commercial remaining performance obligation revenue over the next 12 months and the remainder thereafter.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and certain equipment. Our leases have remaining lease terms of less than 1 year to 19 years, some of which include options to extend the leases for up to 5 years, and some of which include options to terminate the leases within 1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Three Months Ended</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ind w:left="1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0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8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 cost</w:t>
            </w:r>
          </w:p>
        </w:tc>
        <w:tc>
          <w:tcPr>
            <w:tcW w:w="520" w:type="dxa"/>
            <w:vAlign w:val="bottom"/>
            <w:shd w:val="clear" w:color="auto" w:fill="E5E5E5"/>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1,775</w:t>
            </w:r>
          </w:p>
        </w:tc>
        <w:tc>
          <w:tcPr>
            <w:tcW w:w="540" w:type="dxa"/>
            <w:vAlign w:val="bottom"/>
            <w:gridSpan w:val="2"/>
            <w:shd w:val="clear" w:color="auto" w:fill="E5E5E5"/>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1,476</w:t>
            </w:r>
          </w:p>
        </w:tc>
        <w:tc>
          <w:tcPr>
            <w:tcW w:w="50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5,172</w:t>
            </w:r>
          </w:p>
        </w:tc>
        <w:tc>
          <w:tcPr>
            <w:tcW w:w="500" w:type="dxa"/>
            <w:vAlign w:val="bottom"/>
            <w:gridSpan w:val="2"/>
            <w:shd w:val="clear" w:color="auto" w:fill="E5E5E5"/>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3,929</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508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0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Amortization of right-of-use assets</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1,406</w:t>
            </w:r>
          </w:p>
        </w:tc>
        <w:tc>
          <w:tcPr>
            <w:tcW w:w="5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5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3,856</w:t>
            </w:r>
          </w:p>
        </w:tc>
        <w:tc>
          <w:tcPr>
            <w:tcW w:w="500" w:type="dxa"/>
            <w:vAlign w:val="bottom"/>
            <w:gridSpan w:val="2"/>
            <w:shd w:val="clear" w:color="auto" w:fill="E5E5E5"/>
          </w:tcPr>
          <w:p>
            <w:pPr>
              <w:ind w:lef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2,426</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5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5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0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finance lease cost</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2,074</w:t>
            </w:r>
          </w:p>
        </w:tc>
        <w:tc>
          <w:tcPr>
            <w:tcW w:w="5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1,274</w:t>
            </w:r>
          </w:p>
        </w:tc>
        <w:tc>
          <w:tcPr>
            <w:tcW w:w="5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5,685</w:t>
            </w:r>
          </w:p>
        </w:tc>
        <w:tc>
          <w:tcPr>
            <w:tcW w:w="500" w:type="dxa"/>
            <w:vAlign w:val="bottom"/>
            <w:gridSpan w:val="2"/>
            <w:shd w:val="clear" w:color="auto" w:fill="E5E5E5"/>
          </w:tcPr>
          <w:p>
            <w:pPr>
              <w:ind w:lef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3,412</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0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60" w:type="dxa"/>
            <w:vAlign w:val="bottom"/>
            <w:gridSpan w:val="3"/>
          </w:tcPr>
          <w:p>
            <w:pPr>
              <w:ind w:left="1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4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gridSpan w:val="2"/>
          </w:tcPr>
          <w:p>
            <w:pPr>
              <w:ind w:left="3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49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2026</w:t>
            </w: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2025</w:t>
            </w: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2026</w:t>
            </w: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980" w:type="dxa"/>
            <w:vAlign w:val="bottom"/>
            <w:shd w:val="clear" w:color="auto" w:fill="E5E5E5"/>
          </w:tcPr>
          <w:p>
            <w:pPr>
              <w:spacing w:after="0" w:line="193" w:lineRule="exact"/>
              <w:rPr>
                <w:sz w:val="20"/>
                <w:szCs w:val="20"/>
                <w:color w:val="auto"/>
              </w:rPr>
            </w:pPr>
            <w:r>
              <w:rPr>
                <w:rFonts w:ascii="Arial" w:cs="Arial" w:eastAsia="Arial" w:hAnsi="Arial"/>
                <w:sz w:val="18"/>
                <w:szCs w:val="18"/>
                <w:color w:val="auto"/>
              </w:rPr>
              <w:t>Cash paid for amounts included in the measurement of lease</w:t>
            </w:r>
          </w:p>
        </w:tc>
        <w:tc>
          <w:tcPr>
            <w:tcW w:w="38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100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9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4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1,532</w:t>
            </w:r>
          </w:p>
        </w:tc>
        <w:tc>
          <w:tcPr>
            <w:tcW w:w="54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955</w:t>
            </w:r>
          </w:p>
        </w:tc>
        <w:tc>
          <w:tcPr>
            <w:tcW w:w="54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4,693</w:t>
            </w:r>
          </w:p>
        </w:tc>
        <w:tc>
          <w:tcPr>
            <w:tcW w:w="52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03"/>
        </w:trPr>
        <w:tc>
          <w:tcPr>
            <w:tcW w:w="498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Operating cash flows from finance leases</w:t>
            </w:r>
          </w:p>
        </w:tc>
        <w:tc>
          <w:tcPr>
            <w:tcW w:w="380" w:type="dxa"/>
            <w:vAlign w:val="bottom"/>
            <w:shd w:val="clear" w:color="auto" w:fill="E5E5E5"/>
          </w:tcPr>
          <w:p>
            <w:pPr>
              <w:spacing w:after="0"/>
              <w:rPr>
                <w:sz w:val="17"/>
                <w:szCs w:val="17"/>
                <w:color w:val="auto"/>
              </w:rPr>
            </w:pPr>
          </w:p>
        </w:tc>
        <w:tc>
          <w:tcPr>
            <w:tcW w:w="120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b w:val="1"/>
                <w:bCs w:val="1"/>
                <w:color w:val="auto"/>
              </w:rPr>
              <w:t>668</w:t>
            </w:r>
          </w:p>
        </w:tc>
        <w:tc>
          <w:tcPr>
            <w:tcW w:w="5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344</w:t>
            </w:r>
          </w:p>
        </w:tc>
        <w:tc>
          <w:tcPr>
            <w:tcW w:w="54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b w:val="1"/>
                <w:bCs w:val="1"/>
                <w:color w:val="auto"/>
              </w:rPr>
              <w:t>1,829</w:t>
            </w:r>
          </w:p>
        </w:tc>
        <w:tc>
          <w:tcPr>
            <w:tcW w:w="52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938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tcPr>
          <w:p>
            <w:pPr>
              <w:ind w:left="120"/>
              <w:spacing w:after="0" w:line="202" w:lineRule="exact"/>
              <w:rPr>
                <w:sz w:val="20"/>
                <w:szCs w:val="20"/>
                <w:color w:val="auto"/>
              </w:rPr>
            </w:pPr>
            <w:r>
              <w:rPr>
                <w:rFonts w:ascii="Arial" w:cs="Arial" w:eastAsia="Arial" w:hAnsi="Arial"/>
                <w:sz w:val="18"/>
                <w:szCs w:val="18"/>
                <w:color w:val="auto"/>
              </w:rPr>
              <w:t>Financing cash flows from finance leases</w:t>
            </w:r>
          </w:p>
        </w:tc>
        <w:tc>
          <w:tcPr>
            <w:tcW w:w="380" w:type="dxa"/>
            <w:vAlign w:val="bottom"/>
          </w:tcPr>
          <w:p>
            <w:pPr>
              <w:spacing w:after="0"/>
              <w:rPr>
                <w:sz w:val="17"/>
                <w:szCs w:val="17"/>
                <w:color w:val="auto"/>
              </w:rPr>
            </w:pPr>
          </w:p>
        </w:tc>
        <w:tc>
          <w:tcPr>
            <w:tcW w:w="12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839</w:t>
            </w:r>
          </w:p>
        </w:tc>
        <w:tc>
          <w:tcPr>
            <w:tcW w:w="540" w:type="dxa"/>
            <w:vAlign w:val="bottom"/>
          </w:tcPr>
          <w:p>
            <w:pPr>
              <w:spacing w:after="0"/>
              <w:rPr>
                <w:sz w:val="17"/>
                <w:szCs w:val="17"/>
                <w:color w:val="auto"/>
              </w:rPr>
            </w:pPr>
          </w:p>
        </w:tc>
        <w:tc>
          <w:tcPr>
            <w:tcW w:w="10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352</w:t>
            </w:r>
          </w:p>
        </w:tc>
        <w:tc>
          <w:tcPr>
            <w:tcW w:w="54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2,179</w:t>
            </w: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184"/>
        </w:trPr>
        <w:tc>
          <w:tcPr>
            <w:tcW w:w="498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Right-of-use assets obtained in exchange for lease</w:t>
            </w:r>
          </w:p>
        </w:tc>
        <w:tc>
          <w:tcPr>
            <w:tcW w:w="380" w:type="dxa"/>
            <w:vAlign w:val="bottom"/>
            <w:shd w:val="clear" w:color="auto" w:fill="E5E5E5"/>
          </w:tcPr>
          <w:p>
            <w:pPr>
              <w:spacing w:after="0"/>
              <w:rPr>
                <w:sz w:val="15"/>
                <w:szCs w:val="15"/>
                <w:color w:val="auto"/>
              </w:rPr>
            </w:pPr>
          </w:p>
        </w:tc>
        <w:tc>
          <w:tcPr>
            <w:tcW w:w="12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obligations:</w:t>
            </w:r>
          </w:p>
        </w:tc>
        <w:tc>
          <w:tcPr>
            <w:tcW w:w="380" w:type="dxa"/>
            <w:vAlign w:val="bottom"/>
            <w:shd w:val="clear" w:color="auto" w:fill="E5E5E5"/>
          </w:tcPr>
          <w:p>
            <w:pPr>
              <w:spacing w:after="0"/>
              <w:rPr>
                <w:sz w:val="19"/>
                <w:szCs w:val="19"/>
                <w:color w:val="auto"/>
              </w:rPr>
            </w:pPr>
          </w:p>
        </w:tc>
        <w:tc>
          <w:tcPr>
            <w:tcW w:w="12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94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17"/>
                <w:szCs w:val="17"/>
                <w:color w:val="auto"/>
              </w:rPr>
            </w:pPr>
          </w:p>
        </w:tc>
        <w:tc>
          <w:tcPr>
            <w:tcW w:w="120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792</w:t>
            </w:r>
          </w:p>
        </w:tc>
        <w:tc>
          <w:tcPr>
            <w:tcW w:w="540" w:type="dxa"/>
            <w:vAlign w:val="bottom"/>
          </w:tcPr>
          <w:p>
            <w:pPr>
              <w:spacing w:after="0"/>
              <w:rPr>
                <w:sz w:val="17"/>
                <w:szCs w:val="17"/>
                <w:color w:val="auto"/>
              </w:rPr>
            </w:pPr>
          </w:p>
        </w:tc>
        <w:tc>
          <w:tcPr>
            <w:tcW w:w="10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1,918</w:t>
            </w:r>
          </w:p>
        </w:tc>
        <w:tc>
          <w:tcPr>
            <w:tcW w:w="540" w:type="dxa"/>
            <w:vAlign w:val="bottom"/>
          </w:tcPr>
          <w:p>
            <w:pPr>
              <w:spacing w:after="0"/>
              <w:rPr>
                <w:sz w:val="17"/>
                <w:szCs w:val="17"/>
                <w:color w:val="auto"/>
              </w:rPr>
            </w:pPr>
          </w:p>
        </w:tc>
        <w:tc>
          <w:tcPr>
            <w:tcW w:w="1000" w:type="dxa"/>
            <w:vAlign w:val="bottom"/>
          </w:tcPr>
          <w:p>
            <w:pPr>
              <w:jc w:val="right"/>
              <w:ind w:right="14"/>
              <w:spacing w:after="0" w:line="202" w:lineRule="exact"/>
              <w:rPr>
                <w:sz w:val="20"/>
                <w:szCs w:val="20"/>
                <w:color w:val="auto"/>
              </w:rPr>
            </w:pPr>
            <w:r>
              <w:rPr>
                <w:rFonts w:ascii="Arial" w:cs="Arial" w:eastAsia="Arial" w:hAnsi="Arial"/>
                <w:sz w:val="18"/>
                <w:szCs w:val="18"/>
                <w:b w:val="1"/>
                <w:bCs w:val="1"/>
                <w:color w:val="auto"/>
              </w:rPr>
              <w:t>3,686</w:t>
            </w:r>
          </w:p>
        </w:tc>
        <w:tc>
          <w:tcPr>
            <w:tcW w:w="5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03"/>
        </w:trPr>
        <w:tc>
          <w:tcPr>
            <w:tcW w:w="4980" w:type="dxa"/>
            <w:vAlign w:val="bottom"/>
            <w:shd w:val="clear" w:color="auto" w:fill="E5E5E5"/>
          </w:tcPr>
          <w:p>
            <w:pPr>
              <w:ind w:left="120"/>
              <w:spacing w:after="0" w:line="202" w:lineRule="exact"/>
              <w:rPr>
                <w:sz w:val="20"/>
                <w:szCs w:val="20"/>
                <w:color w:val="auto"/>
              </w:rPr>
            </w:pPr>
            <w:r>
              <w:rPr>
                <w:rFonts w:ascii="Arial" w:cs="Arial" w:eastAsia="Arial" w:hAnsi="Arial"/>
                <w:sz w:val="18"/>
                <w:szCs w:val="18"/>
                <w:color w:val="auto"/>
              </w:rPr>
              <w:t>Finance leases</w:t>
            </w:r>
          </w:p>
        </w:tc>
        <w:tc>
          <w:tcPr>
            <w:tcW w:w="380" w:type="dxa"/>
            <w:vAlign w:val="bottom"/>
            <w:shd w:val="clear" w:color="auto" w:fill="E5E5E5"/>
          </w:tcPr>
          <w:p>
            <w:pPr>
              <w:spacing w:after="0"/>
              <w:rPr>
                <w:sz w:val="17"/>
                <w:szCs w:val="17"/>
                <w:color w:val="auto"/>
              </w:rPr>
            </w:pPr>
          </w:p>
        </w:tc>
        <w:tc>
          <w:tcPr>
            <w:tcW w:w="120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b w:val="1"/>
                <w:bCs w:val="1"/>
                <w:color w:val="auto"/>
              </w:rPr>
              <w:t>4,009</w:t>
            </w:r>
          </w:p>
        </w:tc>
        <w:tc>
          <w:tcPr>
            <w:tcW w:w="5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36"/>
              <w:spacing w:after="0" w:line="202" w:lineRule="exact"/>
              <w:rPr>
                <w:sz w:val="20"/>
                <w:szCs w:val="20"/>
                <w:color w:val="auto"/>
              </w:rPr>
            </w:pPr>
            <w:r>
              <w:rPr>
                <w:rFonts w:ascii="Arial" w:cs="Arial" w:eastAsia="Arial" w:hAnsi="Arial"/>
                <w:sz w:val="18"/>
                <w:szCs w:val="18"/>
                <w:color w:val="auto"/>
              </w:rPr>
              <w:t>3,241</w:t>
            </w:r>
          </w:p>
        </w:tc>
        <w:tc>
          <w:tcPr>
            <w:tcW w:w="54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b w:val="1"/>
                <w:bCs w:val="1"/>
                <w:color w:val="auto"/>
              </w:rPr>
              <w:t>19,486</w:t>
            </w:r>
          </w:p>
        </w:tc>
        <w:tc>
          <w:tcPr>
            <w:tcW w:w="52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14,008</w:t>
            </w:r>
          </w:p>
        </w:tc>
        <w:tc>
          <w:tcPr>
            <w:tcW w:w="0" w:type="dxa"/>
            <w:vAlign w:val="bottom"/>
          </w:tcPr>
          <w:p>
            <w:pPr>
              <w:spacing w:after="0"/>
              <w:rPr>
                <w:sz w:val="1"/>
                <w:szCs w:val="1"/>
                <w:color w:val="auto"/>
              </w:rPr>
            </w:pPr>
          </w:p>
        </w:tc>
      </w:tr>
      <w:tr>
        <w:trPr>
          <w:trHeight w:val="41"/>
        </w:trPr>
        <w:tc>
          <w:tcPr>
            <w:tcW w:w="4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6"/>
        </w:trPr>
        <w:tc>
          <w:tcPr>
            <w:tcW w:w="4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776"/>
              <w:spacing w:after="0"/>
              <w:rPr>
                <w:sz w:val="20"/>
                <w:szCs w:val="20"/>
                <w:color w:val="auto"/>
              </w:rPr>
            </w:pPr>
            <w:r>
              <w:rPr>
                <w:rFonts w:ascii="Arial" w:cs="Arial" w:eastAsia="Arial" w:hAnsi="Arial"/>
                <w:sz w:val="14"/>
                <w:szCs w:val="14"/>
                <w:color w:val="auto"/>
              </w:rPr>
              <w:t>22</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4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2" w:name="page23"/>
    <w:bookmarkEnd w:id="2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548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r>
      <w:tr>
        <w:trPr>
          <w:trHeight w:val="186"/>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r>
      <w:tr>
        <w:trPr>
          <w:trHeight w:val="198"/>
        </w:trPr>
        <w:tc>
          <w:tcPr>
            <w:tcW w:w="800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24,403</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24,823</w:t>
            </w:r>
          </w:p>
        </w:tc>
      </w:tr>
      <w:tr>
        <w:trPr>
          <w:trHeight w:val="48"/>
        </w:trPr>
        <w:tc>
          <w:tcPr>
            <w:tcW w:w="80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5,535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5,424</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16,703</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3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17,437</w:t>
            </w:r>
          </w:p>
        </w:tc>
      </w:tr>
      <w:tr>
        <w:trPr>
          <w:trHeight w:val="41"/>
        </w:trPr>
        <w:tc>
          <w:tcPr>
            <w:tcW w:w="8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8000" w:type="dxa"/>
            <w:vAlign w:val="bottom"/>
          </w:tcPr>
          <w:p>
            <w:pPr>
              <w:ind w:left="20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22,238</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22,861</w:t>
            </w:r>
          </w:p>
        </w:tc>
      </w:tr>
      <w:tr>
        <w:trPr>
          <w:trHeight w:val="221"/>
        </w:trPr>
        <w:tc>
          <w:tcPr>
            <w:tcW w:w="8000" w:type="dxa"/>
            <w:vAlign w:val="bottom"/>
          </w:tcPr>
          <w:p>
            <w:pPr>
              <w:spacing w:after="0"/>
              <w:rPr>
                <w:sz w:val="20"/>
                <w:szCs w:val="20"/>
                <w:color w:val="auto"/>
              </w:rPr>
            </w:pPr>
            <w:r>
              <w:rPr>
                <w:rFonts w:ascii="Arial" w:cs="Arial" w:eastAsia="Arial" w:hAnsi="Arial"/>
                <w:sz w:val="13"/>
                <w:szCs w:val="13"/>
                <w:b w:val="1"/>
                <w:bCs w:val="1"/>
                <w:color w:val="auto"/>
              </w:rPr>
              <w:t>Finance Leases</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at cost</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77,633</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53,876</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(13,916)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(9,861)</w:t>
            </w:r>
          </w:p>
        </w:tc>
      </w:tr>
      <w:tr>
        <w:trPr>
          <w:trHeight w:val="75"/>
        </w:trPr>
        <w:tc>
          <w:tcPr>
            <w:tcW w:w="80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63,717</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44,015</w:t>
            </w:r>
          </w:p>
        </w:tc>
      </w:tr>
      <w:tr>
        <w:trPr>
          <w:trHeight w:val="48"/>
        </w:trPr>
        <w:tc>
          <w:tcPr>
            <w:tcW w:w="80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4,063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3,172</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58,869</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3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43,000</w:t>
            </w:r>
          </w:p>
        </w:tc>
      </w:tr>
      <w:tr>
        <w:trPr>
          <w:trHeight w:val="41"/>
        </w:trPr>
        <w:tc>
          <w:tcPr>
            <w:tcW w:w="8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8000" w:type="dxa"/>
            <w:vAlign w:val="bottom"/>
          </w:tcPr>
          <w:p>
            <w:pPr>
              <w:ind w:left="200"/>
              <w:spacing w:after="0"/>
              <w:rPr>
                <w:sz w:val="20"/>
                <w:szCs w:val="20"/>
                <w:color w:val="auto"/>
              </w:rPr>
            </w:pPr>
            <w:r>
              <w:rPr>
                <w:rFonts w:ascii="Arial" w:cs="Arial" w:eastAsia="Arial" w:hAnsi="Arial"/>
                <w:sz w:val="18"/>
                <w:szCs w:val="18"/>
                <w:color w:val="auto"/>
              </w:rPr>
              <w:t>Total finance lease liabilities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62,932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46,172</w:t>
            </w:r>
          </w:p>
        </w:tc>
      </w:tr>
      <w:tr>
        <w:trPr>
          <w:trHeight w:val="221"/>
        </w:trPr>
        <w:tc>
          <w:tcPr>
            <w:tcW w:w="8000" w:type="dxa"/>
            <w:vAlign w:val="bottom"/>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E5E5E5"/>
          </w:tcPr>
          <w:p>
            <w:pPr>
              <w:spacing w:after="0"/>
              <w:rPr>
                <w:sz w:val="18"/>
                <w:szCs w:val="18"/>
                <w:color w:val="auto"/>
              </w:rPr>
            </w:pPr>
          </w:p>
        </w:tc>
        <w:tc>
          <w:tcPr>
            <w:tcW w:w="13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6 years</w:t>
            </w:r>
          </w:p>
        </w:tc>
        <w:tc>
          <w:tcPr>
            <w:tcW w:w="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3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6 years</w:t>
            </w:r>
          </w:p>
        </w:tc>
      </w:tr>
      <w:tr>
        <w:trPr>
          <w:trHeight w:val="228"/>
        </w:trPr>
        <w:tc>
          <w:tcPr>
            <w:tcW w:w="8000" w:type="dxa"/>
            <w:vAlign w:val="bottom"/>
          </w:tcPr>
          <w:p>
            <w:pPr>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 years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 years</w:t>
            </w:r>
          </w:p>
        </w:tc>
      </w:tr>
      <w:tr>
        <w:trPr>
          <w:trHeight w:val="195"/>
        </w:trPr>
        <w:tc>
          <w:tcPr>
            <w:tcW w:w="800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E5E5E5"/>
          </w:tcPr>
          <w:p>
            <w:pPr>
              <w:spacing w:after="0"/>
              <w:rPr>
                <w:sz w:val="18"/>
                <w:szCs w:val="18"/>
                <w:color w:val="auto"/>
              </w:rPr>
            </w:pPr>
          </w:p>
        </w:tc>
        <w:tc>
          <w:tcPr>
            <w:tcW w:w="13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3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3.5%</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r>
      <w:tr>
        <w:trPr>
          <w:trHeight w:val="403"/>
        </w:trPr>
        <w:tc>
          <w:tcPr>
            <w:tcW w:w="8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outlines maturities of our lease liabilities as of March 31, 2026:</w:t>
            </w: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54"/>
        </w:trPr>
        <w:tc>
          <w:tcPr>
            <w:tcW w:w="8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1"/>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Finance Leases</w:t>
            </w:r>
          </w:p>
        </w:tc>
      </w:tr>
      <w:tr>
        <w:trPr>
          <w:trHeight w:val="211"/>
        </w:trPr>
        <w:tc>
          <w:tcPr>
            <w:tcW w:w="8000" w:type="dxa"/>
            <w:vAlign w:val="bottom"/>
            <w:shd w:val="clear" w:color="auto" w:fill="E5E5E5"/>
          </w:tcPr>
          <w:p>
            <w:pPr>
              <w:spacing w:after="0"/>
              <w:rPr>
                <w:sz w:val="20"/>
                <w:szCs w:val="20"/>
                <w:color w:val="auto"/>
              </w:rPr>
            </w:pPr>
            <w:r>
              <w:rPr>
                <w:rFonts w:ascii="Arial" w:cs="Arial" w:eastAsia="Arial" w:hAnsi="Arial"/>
                <w:sz w:val="18"/>
                <w:szCs w:val="18"/>
                <w:color w:val="auto"/>
              </w:rPr>
              <w:t>2026 (excluding the nine months ended March 31, 2026)</w:t>
            </w:r>
          </w:p>
        </w:tc>
        <w:tc>
          <w:tcPr>
            <w:tcW w:w="2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1,735</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1,633</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00" w:type="dxa"/>
            <w:vAlign w:val="bottom"/>
          </w:tcPr>
          <w:p>
            <w:pPr>
              <w:spacing w:after="0"/>
              <w:rPr>
                <w:sz w:val="17"/>
                <w:szCs w:val="17"/>
                <w:color w:val="auto"/>
              </w:rPr>
            </w:pP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5,910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6,786</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2028</w:t>
            </w:r>
          </w:p>
        </w:tc>
        <w:tc>
          <w:tcPr>
            <w:tcW w:w="20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4,207</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3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6,864</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200" w:type="dxa"/>
            <w:vAlign w:val="bottom"/>
          </w:tcPr>
          <w:p>
            <w:pPr>
              <w:spacing w:after="0"/>
              <w:rPr>
                <w:sz w:val="17"/>
                <w:szCs w:val="17"/>
                <w:color w:val="auto"/>
              </w:rPr>
            </w:pP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3,011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6,232</w:t>
            </w: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2030</w:t>
            </w:r>
          </w:p>
        </w:tc>
        <w:tc>
          <w:tcPr>
            <w:tcW w:w="20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2,476</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3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6,126</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56,961</w:t>
            </w:r>
          </w:p>
        </w:tc>
      </w:tr>
      <w:tr>
        <w:trPr>
          <w:trHeight w:val="34"/>
        </w:trPr>
        <w:tc>
          <w:tcPr>
            <w:tcW w:w="80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24,855</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3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84,602</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(21,670)</w:t>
            </w:r>
          </w:p>
        </w:tc>
      </w:tr>
      <w:tr>
        <w:trPr>
          <w:trHeight w:val="34"/>
        </w:trPr>
        <w:tc>
          <w:tcPr>
            <w:tcW w:w="80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000" w:type="dxa"/>
            <w:vAlign w:val="bottom"/>
            <w:shd w:val="clear" w:color="auto" w:fill="E5E5E5"/>
          </w:tcPr>
          <w:p>
            <w:pPr>
              <w:ind w:left="200"/>
              <w:spacing w:after="0" w:line="202"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22,238</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62,932</w:t>
            </w:r>
          </w:p>
        </w:tc>
      </w:tr>
      <w:tr>
        <w:trPr>
          <w:trHeight w:val="48"/>
        </w:trPr>
        <w:tc>
          <w:tcPr>
            <w:tcW w:w="80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bl>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2026, we had additional leases, primarily for datacenters, that had not yet commenced of $196.6 billion. These leases will commence between fiscal year 2026 and fiscal year 2031 with lease terms of 1 year to 21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Data Protection Commission Matter</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October 2024, the IDPC provided LinkedIn with a final decision alleging GDPR violations and assessing a fine. In November 2024, LinkedIn appealed the final decision to the Irish courts. A preliminary hearing was held in December 2025.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3" w:name="page24"/>
    <w:bookmarkEnd w:id="2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March 31, 2026, we accrued aggregate legal liabilities of $647 million. While we intend to defend these matters vigorously, adverse outcomes that we estimate could reach approximately $400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share repurchase program commenced in November 2021 and was completed in April 2025.</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September 16, 2024, our Board of Directors approved a share repurchase program authorizing up to $60.0 billion in share repurchases. This share repurchase program commenced in April 2025, following completion of the program approved on September 14, 2021, has no expiration date, and may be terminated at any time. As of March 31, 2026, $44.0 billion remained of this $60.0 billion share repurchase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00" w:type="dxa"/>
            <w:vAlign w:val="bottom"/>
            <w:gridSpan w:val="2"/>
          </w:tcPr>
          <w:p>
            <w:pPr>
              <w:ind w:left="54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7"/>
                <w:szCs w:val="17"/>
                <w:color w:val="auto"/>
              </w:rPr>
            </w:pP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r>
      <w:tr>
        <w:trPr>
          <w:trHeight w:val="221"/>
        </w:trPr>
        <w:tc>
          <w:tcPr>
            <w:tcW w:w="64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2026</w:t>
            </w: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9"/>
                <w:szCs w:val="19"/>
                <w:color w:val="auto"/>
              </w:rPr>
            </w:pPr>
          </w:p>
        </w:tc>
      </w:tr>
      <w:tr>
        <w:trPr>
          <w:trHeight w:val="211"/>
        </w:trPr>
        <w:tc>
          <w:tcPr>
            <w:tcW w:w="6440" w:type="dxa"/>
            <w:vAlign w:val="bottom"/>
            <w:shd w:val="clear" w:color="auto" w:fill="E5E5E5"/>
          </w:tcPr>
          <w:p>
            <w:pPr>
              <w:spacing w:after="0"/>
              <w:rPr>
                <w:sz w:val="20"/>
                <w:szCs w:val="20"/>
                <w:color w:val="auto"/>
              </w:rPr>
            </w:pPr>
            <w:r>
              <w:rPr>
                <w:rFonts w:ascii="Arial" w:cs="Arial" w:eastAsia="Arial" w:hAnsi="Arial"/>
                <w:sz w:val="18"/>
                <w:szCs w:val="18"/>
                <w:color w:val="auto"/>
              </w:rPr>
              <w:t>First Quarter</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b w:val="1"/>
                <w:bCs w:val="1"/>
                <w:color w:val="auto"/>
              </w:rPr>
              <w:t>3,955</w:t>
            </w:r>
          </w:p>
        </w:tc>
        <w:tc>
          <w:tcPr>
            <w:tcW w:w="122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E5E5E5"/>
          </w:tcPr>
          <w:p>
            <w:pPr>
              <w:spacing w:after="0"/>
              <w:rPr>
                <w:sz w:val="18"/>
                <w:szCs w:val="18"/>
                <w:color w:val="auto"/>
              </w:rPr>
            </w:pPr>
          </w:p>
        </w:tc>
      </w:tr>
      <w:tr>
        <w:trPr>
          <w:trHeight w:val="202"/>
        </w:trPr>
        <w:tc>
          <w:tcPr>
            <w:tcW w:w="644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5,964</w:t>
            </w: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3,500</w:t>
            </w:r>
          </w:p>
        </w:tc>
        <w:tc>
          <w:tcPr>
            <w:tcW w:w="120" w:type="dxa"/>
            <w:vAlign w:val="bottom"/>
          </w:tcPr>
          <w:p>
            <w:pPr>
              <w:spacing w:after="0"/>
              <w:rPr>
                <w:sz w:val="17"/>
                <w:szCs w:val="17"/>
                <w:color w:val="auto"/>
              </w:rPr>
            </w:pPr>
          </w:p>
        </w:tc>
      </w:tr>
      <w:tr>
        <w:trPr>
          <w:trHeight w:val="203"/>
        </w:trPr>
        <w:tc>
          <w:tcPr>
            <w:tcW w:w="64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Third Quarter</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3,400</w:t>
            </w:r>
          </w:p>
        </w:tc>
        <w:tc>
          <w:tcPr>
            <w:tcW w:w="12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8</w:t>
            </w: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3,500</w:t>
            </w:r>
          </w:p>
        </w:tc>
        <w:tc>
          <w:tcPr>
            <w:tcW w:w="120" w:type="dxa"/>
            <w:vAlign w:val="bottom"/>
            <w:shd w:val="clear" w:color="auto" w:fill="E5E5E5"/>
          </w:tcPr>
          <w:p>
            <w:pPr>
              <w:spacing w:after="0"/>
              <w:rPr>
                <w:sz w:val="17"/>
                <w:szCs w:val="17"/>
                <w:color w:val="auto"/>
              </w:rPr>
            </w:pPr>
          </w:p>
        </w:tc>
      </w:tr>
      <w:tr>
        <w:trPr>
          <w:trHeight w:val="41"/>
        </w:trPr>
        <w:tc>
          <w:tcPr>
            <w:tcW w:w="6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69"/>
        </w:trPr>
        <w:tc>
          <w:tcPr>
            <w:tcW w:w="6440" w:type="dxa"/>
            <w:vAlign w:val="bottom"/>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13,319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23"/>
                <w:szCs w:val="23"/>
                <w:color w:val="auto"/>
              </w:rPr>
            </w:pPr>
          </w:p>
        </w:tc>
      </w:tr>
      <w:tr>
        <w:trPr>
          <w:trHeight w:val="35"/>
        </w:trPr>
        <w:tc>
          <w:tcPr>
            <w:tcW w:w="644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r>
    </w:tbl>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All repurchases were made using cash resources. Shares repurchased during fiscal year 2026 were under the share repurchase program approved on September 16, 2024. Shares repurchased during fiscal year 2025 were under the share repurchase program approved on September 14, 2021. The above table excludes shares repurchased to settle employee tax withholding related to the vesting of stock awards of $1.2 billion and $4.4 billion for the three and nine months ended March 31, 2026, respectively, and $1.3 billion and $4.1 billion for the three and nine months ended March 31, 2025,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4" w:name="page25"/>
    <w:bookmarkEnd w:id="2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94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Record Date</w:t>
            </w:r>
          </w:p>
        </w:tc>
        <w:tc>
          <w:tcPr>
            <w:tcW w:w="288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Payment Date</w:t>
            </w:r>
          </w:p>
        </w:tc>
        <w:tc>
          <w:tcPr>
            <w:tcW w:w="3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Dividend</w:t>
            </w:r>
          </w:p>
        </w:tc>
        <w:tc>
          <w:tcPr>
            <w:tcW w:w="300" w:type="dxa"/>
            <w:vAlign w:val="bottom"/>
          </w:tcPr>
          <w:p>
            <w:pPr>
              <w:spacing w:after="0"/>
              <w:rPr>
                <w:sz w:val="13"/>
                <w:szCs w:val="13"/>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560" w:type="dxa"/>
            <w:vAlign w:val="bottom"/>
            <w:tcBorders>
              <w:bottom w:val="single" w:sz="8" w:color="auto"/>
            </w:tcBorders>
            <w:vMerge w:val="continue"/>
          </w:tcPr>
          <w:p>
            <w:pPr>
              <w:spacing w:after="0"/>
              <w:rPr>
                <w:sz w:val="17"/>
                <w:szCs w:val="17"/>
                <w:color w:val="auto"/>
              </w:rPr>
            </w:pPr>
          </w:p>
        </w:tc>
        <w:tc>
          <w:tcPr>
            <w:tcW w:w="2940" w:type="dxa"/>
            <w:vAlign w:val="bottom"/>
            <w:tcBorders>
              <w:bottom w:val="single" w:sz="8" w:color="auto"/>
            </w:tcBorders>
            <w:vMerge w:val="continue"/>
          </w:tcPr>
          <w:p>
            <w:pPr>
              <w:spacing w:after="0"/>
              <w:rPr>
                <w:sz w:val="17"/>
                <w:szCs w:val="17"/>
                <w:color w:val="auto"/>
              </w:rPr>
            </w:pPr>
          </w:p>
        </w:tc>
        <w:tc>
          <w:tcPr>
            <w:tcW w:w="2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Per Share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560" w:type="dxa"/>
            <w:vAlign w:val="bottom"/>
          </w:tcPr>
          <w:p>
            <w:pPr>
              <w:spacing w:after="0"/>
              <w:rPr>
                <w:sz w:val="20"/>
                <w:szCs w:val="20"/>
                <w:color w:val="auto"/>
              </w:rPr>
            </w:pPr>
            <w:r>
              <w:rPr>
                <w:rFonts w:ascii="Arial" w:cs="Arial" w:eastAsia="Arial" w:hAnsi="Arial"/>
                <w:sz w:val="13"/>
                <w:szCs w:val="13"/>
                <w:b w:val="1"/>
                <w:bCs w:val="1"/>
                <w:color w:val="auto"/>
              </w:rPr>
              <w:t>Fiscal Year 2026</w:t>
            </w:r>
          </w:p>
        </w:tc>
        <w:tc>
          <w:tcPr>
            <w:tcW w:w="294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2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September 15, 2025</w:t>
            </w:r>
          </w:p>
        </w:tc>
        <w:tc>
          <w:tcPr>
            <w:tcW w:w="2940" w:type="dxa"/>
            <w:vAlign w:val="bottom"/>
            <w:shd w:val="clear" w:color="auto" w:fill="E5E5E5"/>
          </w:tcPr>
          <w:p>
            <w:pPr>
              <w:ind w:left="880"/>
              <w:spacing w:after="0"/>
              <w:rPr>
                <w:sz w:val="20"/>
                <w:szCs w:val="20"/>
                <w:color w:val="auto"/>
              </w:rPr>
            </w:pPr>
            <w:r>
              <w:rPr>
                <w:rFonts w:ascii="Arial" w:cs="Arial" w:eastAsia="Arial" w:hAnsi="Arial"/>
                <w:sz w:val="18"/>
                <w:szCs w:val="18"/>
                <w:b w:val="1"/>
                <w:bCs w:val="1"/>
                <w:color w:val="auto"/>
              </w:rPr>
              <w:t>November 20, 2025</w:t>
            </w:r>
          </w:p>
        </w:tc>
        <w:tc>
          <w:tcPr>
            <w:tcW w:w="2880" w:type="dxa"/>
            <w:vAlign w:val="bottom"/>
            <w:shd w:val="clear" w:color="auto" w:fill="E5E5E5"/>
          </w:tcPr>
          <w:p>
            <w:pPr>
              <w:ind w:left="440"/>
              <w:spacing w:after="0"/>
              <w:rPr>
                <w:sz w:val="20"/>
                <w:szCs w:val="20"/>
                <w:color w:val="auto"/>
              </w:rPr>
            </w:pPr>
            <w:r>
              <w:rPr>
                <w:rFonts w:ascii="Arial" w:cs="Arial" w:eastAsia="Arial" w:hAnsi="Arial"/>
                <w:sz w:val="18"/>
                <w:szCs w:val="18"/>
                <w:b w:val="1"/>
                <w:bCs w:val="1"/>
                <w:color w:val="auto"/>
              </w:rPr>
              <w:t>December 11, 2025</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0.91</w:t>
            </w: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6,762</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b w:val="1"/>
                <w:bCs w:val="1"/>
                <w:color w:val="auto"/>
              </w:rPr>
              <w:t>December 2, 2025</w:t>
            </w:r>
          </w:p>
        </w:tc>
        <w:tc>
          <w:tcPr>
            <w:tcW w:w="2940" w:type="dxa"/>
            <w:vAlign w:val="bottom"/>
          </w:tcPr>
          <w:p>
            <w:pPr>
              <w:ind w:left="880"/>
              <w:spacing w:after="0" w:line="202" w:lineRule="exact"/>
              <w:rPr>
                <w:sz w:val="20"/>
                <w:szCs w:val="20"/>
                <w:color w:val="auto"/>
              </w:rPr>
            </w:pPr>
            <w:r>
              <w:rPr>
                <w:rFonts w:ascii="Arial" w:cs="Arial" w:eastAsia="Arial" w:hAnsi="Arial"/>
                <w:sz w:val="18"/>
                <w:szCs w:val="18"/>
                <w:b w:val="1"/>
                <w:bCs w:val="1"/>
                <w:color w:val="auto"/>
              </w:rPr>
              <w:t>February 19, 2026</w:t>
            </w:r>
          </w:p>
        </w:tc>
        <w:tc>
          <w:tcPr>
            <w:tcW w:w="2880" w:type="dxa"/>
            <w:vAlign w:val="bottom"/>
          </w:tcPr>
          <w:p>
            <w:pPr>
              <w:ind w:left="440"/>
              <w:spacing w:after="0" w:line="202" w:lineRule="exact"/>
              <w:rPr>
                <w:sz w:val="20"/>
                <w:szCs w:val="20"/>
                <w:color w:val="auto"/>
              </w:rPr>
            </w:pPr>
            <w:r>
              <w:rPr>
                <w:rFonts w:ascii="Arial" w:cs="Arial" w:eastAsia="Arial" w:hAnsi="Arial"/>
                <w:sz w:val="18"/>
                <w:szCs w:val="18"/>
                <w:b w:val="1"/>
                <w:bCs w:val="1"/>
                <w:color w:val="auto"/>
              </w:rPr>
              <w:t>March 12, 2026</w:t>
            </w: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0.91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6,756</w:t>
            </w:r>
          </w:p>
        </w:tc>
        <w:tc>
          <w:tcPr>
            <w:tcW w:w="0" w:type="dxa"/>
            <w:vAlign w:val="bottom"/>
          </w:tcPr>
          <w:p>
            <w:pPr>
              <w:spacing w:after="0"/>
              <w:rPr>
                <w:sz w:val="1"/>
                <w:szCs w:val="1"/>
                <w:color w:val="auto"/>
              </w:rPr>
            </w:pPr>
          </w:p>
        </w:tc>
      </w:tr>
      <w:tr>
        <w:trPr>
          <w:trHeight w:val="203"/>
        </w:trPr>
        <w:tc>
          <w:tcPr>
            <w:tcW w:w="25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March 10, 2026</w:t>
            </w:r>
          </w:p>
        </w:tc>
        <w:tc>
          <w:tcPr>
            <w:tcW w:w="2940" w:type="dxa"/>
            <w:vAlign w:val="bottom"/>
            <w:shd w:val="clear" w:color="auto" w:fill="E5E5E5"/>
          </w:tcPr>
          <w:p>
            <w:pPr>
              <w:ind w:left="880"/>
              <w:spacing w:after="0" w:line="202" w:lineRule="exact"/>
              <w:rPr>
                <w:sz w:val="20"/>
                <w:szCs w:val="20"/>
                <w:color w:val="auto"/>
              </w:rPr>
            </w:pPr>
            <w:r>
              <w:rPr>
                <w:rFonts w:ascii="Arial" w:cs="Arial" w:eastAsia="Arial" w:hAnsi="Arial"/>
                <w:sz w:val="18"/>
                <w:szCs w:val="18"/>
                <w:b w:val="1"/>
                <w:bCs w:val="1"/>
                <w:color w:val="auto"/>
              </w:rPr>
              <w:t>May 21, 2026</w:t>
            </w:r>
          </w:p>
        </w:tc>
        <w:tc>
          <w:tcPr>
            <w:tcW w:w="28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b w:val="1"/>
                <w:bCs w:val="1"/>
                <w:color w:val="auto"/>
              </w:rPr>
              <w:t>June 11, 2026</w:t>
            </w: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0.91</w:t>
            </w: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8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6,760</w:t>
            </w:r>
          </w:p>
        </w:tc>
        <w:tc>
          <w:tcPr>
            <w:tcW w:w="0" w:type="dxa"/>
            <w:vAlign w:val="bottom"/>
          </w:tcPr>
          <w:p>
            <w:pPr>
              <w:spacing w:after="0"/>
              <w:rPr>
                <w:sz w:val="1"/>
                <w:szCs w:val="1"/>
                <w:color w:val="auto"/>
              </w:rPr>
            </w:pPr>
          </w:p>
        </w:tc>
      </w:tr>
      <w:tr>
        <w:trPr>
          <w:trHeight w:val="40"/>
        </w:trPr>
        <w:tc>
          <w:tcPr>
            <w:tcW w:w="25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56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9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2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20,278</w:t>
            </w:r>
          </w:p>
        </w:tc>
        <w:tc>
          <w:tcPr>
            <w:tcW w:w="0" w:type="dxa"/>
            <w:vAlign w:val="bottom"/>
          </w:tcPr>
          <w:p>
            <w:pPr>
              <w:spacing w:after="0"/>
              <w:rPr>
                <w:sz w:val="1"/>
                <w:szCs w:val="1"/>
                <w:color w:val="auto"/>
              </w:rPr>
            </w:pPr>
          </w:p>
        </w:tc>
      </w:tr>
      <w:tr>
        <w:trPr>
          <w:trHeight w:val="221"/>
        </w:trPr>
        <w:tc>
          <w:tcPr>
            <w:tcW w:w="2560" w:type="dxa"/>
            <w:vAlign w:val="bottom"/>
          </w:tcPr>
          <w:p>
            <w:pPr>
              <w:spacing w:after="0"/>
              <w:rPr>
                <w:sz w:val="20"/>
                <w:szCs w:val="20"/>
                <w:color w:val="auto"/>
              </w:rPr>
            </w:pPr>
            <w:r>
              <w:rPr>
                <w:rFonts w:ascii="Arial" w:cs="Arial" w:eastAsia="Arial" w:hAnsi="Arial"/>
                <w:sz w:val="13"/>
                <w:szCs w:val="13"/>
                <w:b w:val="1"/>
                <w:bCs w:val="1"/>
                <w:color w:val="auto"/>
              </w:rPr>
              <w:t>Fiscal Year 2025</w:t>
            </w:r>
          </w:p>
        </w:tc>
        <w:tc>
          <w:tcPr>
            <w:tcW w:w="29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60" w:type="dxa"/>
            <w:vAlign w:val="bottom"/>
            <w:shd w:val="clear" w:color="auto" w:fill="E5E5E5"/>
          </w:tcPr>
          <w:p>
            <w:pPr>
              <w:spacing w:after="0"/>
              <w:rPr>
                <w:sz w:val="20"/>
                <w:szCs w:val="20"/>
                <w:color w:val="auto"/>
              </w:rPr>
            </w:pPr>
            <w:r>
              <w:rPr>
                <w:rFonts w:ascii="Arial" w:cs="Arial" w:eastAsia="Arial" w:hAnsi="Arial"/>
                <w:sz w:val="18"/>
                <w:szCs w:val="18"/>
                <w:color w:val="auto"/>
              </w:rPr>
              <w:t>September 16, 2024</w:t>
            </w:r>
          </w:p>
        </w:tc>
        <w:tc>
          <w:tcPr>
            <w:tcW w:w="2940" w:type="dxa"/>
            <w:vAlign w:val="bottom"/>
            <w:shd w:val="clear" w:color="auto" w:fill="E5E5E5"/>
          </w:tcPr>
          <w:p>
            <w:pPr>
              <w:ind w:left="880"/>
              <w:spacing w:after="0"/>
              <w:rPr>
                <w:sz w:val="20"/>
                <w:szCs w:val="20"/>
                <w:color w:val="auto"/>
              </w:rPr>
            </w:pPr>
            <w:r>
              <w:rPr>
                <w:rFonts w:ascii="Arial" w:cs="Arial" w:eastAsia="Arial" w:hAnsi="Arial"/>
                <w:sz w:val="18"/>
                <w:szCs w:val="18"/>
                <w:color w:val="auto"/>
              </w:rPr>
              <w:t>November 21, 2024</w:t>
            </w:r>
          </w:p>
        </w:tc>
        <w:tc>
          <w:tcPr>
            <w:tcW w:w="28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December 12, 2024</w:t>
            </w:r>
          </w:p>
        </w:tc>
        <w:tc>
          <w:tcPr>
            <w:tcW w:w="36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0.83</w:t>
            </w:r>
          </w:p>
        </w:tc>
        <w:tc>
          <w:tcPr>
            <w:tcW w:w="2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December 3, 2024</w:t>
            </w:r>
          </w:p>
        </w:tc>
        <w:tc>
          <w:tcPr>
            <w:tcW w:w="2940" w:type="dxa"/>
            <w:vAlign w:val="bottom"/>
          </w:tcPr>
          <w:p>
            <w:pPr>
              <w:ind w:left="880"/>
              <w:spacing w:after="0" w:line="202" w:lineRule="exact"/>
              <w:rPr>
                <w:sz w:val="20"/>
                <w:szCs w:val="20"/>
                <w:color w:val="auto"/>
              </w:rPr>
            </w:pPr>
            <w:r>
              <w:rPr>
                <w:rFonts w:ascii="Arial" w:cs="Arial" w:eastAsia="Arial" w:hAnsi="Arial"/>
                <w:sz w:val="18"/>
                <w:szCs w:val="18"/>
                <w:color w:val="auto"/>
              </w:rPr>
              <w:t>February 20, 2025</w:t>
            </w:r>
          </w:p>
        </w:tc>
        <w:tc>
          <w:tcPr>
            <w:tcW w:w="2880" w:type="dxa"/>
            <w:vAlign w:val="bottom"/>
          </w:tcPr>
          <w:p>
            <w:pPr>
              <w:ind w:left="440"/>
              <w:spacing w:after="0" w:line="202" w:lineRule="exact"/>
              <w:rPr>
                <w:sz w:val="20"/>
                <w:szCs w:val="20"/>
                <w:color w:val="auto"/>
              </w:rPr>
            </w:pPr>
            <w:r>
              <w:rPr>
                <w:rFonts w:ascii="Arial" w:cs="Arial" w:eastAsia="Arial" w:hAnsi="Arial"/>
                <w:sz w:val="18"/>
                <w:szCs w:val="18"/>
                <w:color w:val="auto"/>
              </w:rPr>
              <w:t>March 13, 2025</w:t>
            </w: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0.83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03"/>
        </w:trPr>
        <w:tc>
          <w:tcPr>
            <w:tcW w:w="2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March 11, 2025</w:t>
            </w:r>
          </w:p>
        </w:tc>
        <w:tc>
          <w:tcPr>
            <w:tcW w:w="2940" w:type="dxa"/>
            <w:vAlign w:val="bottom"/>
            <w:shd w:val="clear" w:color="auto" w:fill="E5E5E5"/>
          </w:tcPr>
          <w:p>
            <w:pPr>
              <w:ind w:left="880"/>
              <w:spacing w:after="0" w:line="202" w:lineRule="exact"/>
              <w:rPr>
                <w:sz w:val="20"/>
                <w:szCs w:val="20"/>
                <w:color w:val="auto"/>
              </w:rPr>
            </w:pPr>
            <w:r>
              <w:rPr>
                <w:rFonts w:ascii="Arial" w:cs="Arial" w:eastAsia="Arial" w:hAnsi="Arial"/>
                <w:sz w:val="18"/>
                <w:szCs w:val="18"/>
                <w:color w:val="auto"/>
              </w:rPr>
              <w:t>May 15, 2025</w:t>
            </w:r>
          </w:p>
        </w:tc>
        <w:tc>
          <w:tcPr>
            <w:tcW w:w="28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June 12, 2025</w:t>
            </w: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0.83</w:t>
            </w: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08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41"/>
        </w:trPr>
        <w:tc>
          <w:tcPr>
            <w:tcW w:w="25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560" w:type="dxa"/>
            <w:vAlign w:val="bottom"/>
          </w:tcPr>
          <w:p>
            <w:pPr>
              <w:ind w:left="80"/>
              <w:spacing w:after="0"/>
              <w:rPr>
                <w:sz w:val="20"/>
                <w:szCs w:val="20"/>
                <w:color w:val="auto"/>
              </w:rPr>
            </w:pPr>
            <w:r>
              <w:rPr>
                <w:rFonts w:ascii="Arial" w:cs="Arial" w:eastAsia="Arial" w:hAnsi="Arial"/>
                <w:sz w:val="18"/>
                <w:szCs w:val="18"/>
                <w:color w:val="auto"/>
              </w:rPr>
              <w:t>Total</w:t>
            </w:r>
          </w:p>
        </w:tc>
        <w:tc>
          <w:tcPr>
            <w:tcW w:w="29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18,508</w:t>
            </w:r>
          </w:p>
        </w:tc>
        <w:tc>
          <w:tcPr>
            <w:tcW w:w="0" w:type="dxa"/>
            <w:vAlign w:val="bottom"/>
          </w:tcPr>
          <w:p>
            <w:pPr>
              <w:spacing w:after="0"/>
              <w:rPr>
                <w:sz w:val="1"/>
                <w:szCs w:val="1"/>
                <w:color w:val="auto"/>
              </w:rPr>
            </w:pPr>
          </w:p>
        </w:tc>
      </w:tr>
      <w:tr>
        <w:trPr>
          <w:trHeight w:val="30"/>
        </w:trPr>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March 10, 2026 was included in other current liabilities as of March 31, 2026.</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5" w:name="page26"/>
    <w:bookmarkEnd w:id="2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13"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15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3"/>
                <w:szCs w:val="13"/>
                <w:color w:val="auto"/>
              </w:rPr>
            </w:pPr>
          </w:p>
        </w:tc>
        <w:tc>
          <w:tcPr>
            <w:tcW w:w="218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12"/>
        </w:trPr>
        <w:tc>
          <w:tcPr>
            <w:tcW w:w="6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73"/>
              <w:spacing w:after="0"/>
              <w:rPr>
                <w:sz w:val="20"/>
                <w:szCs w:val="20"/>
                <w:color w:val="auto"/>
              </w:rPr>
            </w:pPr>
            <w:r>
              <w:rPr>
                <w:rFonts w:ascii="Arial" w:cs="Arial" w:eastAsia="Arial" w:hAnsi="Arial"/>
                <w:sz w:val="13"/>
                <w:szCs w:val="13"/>
                <w:b w:val="1"/>
                <w:bCs w:val="1"/>
                <w:color w:val="auto"/>
              </w:rPr>
              <w:t>2026</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(14)</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(8)</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$(7),</w:t>
            </w:r>
            <w:r>
              <w:rPr>
                <w:rFonts w:ascii="Arial" w:cs="Arial" w:eastAsia="Arial" w:hAnsi="Arial"/>
                <w:sz w:val="18"/>
                <w:szCs w:val="18"/>
                <w:color w:val="auto"/>
              </w:rPr>
              <w:t xml:space="preserve"> $5, </w:t>
            </w:r>
            <w:r>
              <w:rPr>
                <w:rFonts w:ascii="Arial" w:cs="Arial" w:eastAsia="Arial" w:hAnsi="Arial"/>
                <w:sz w:val="18"/>
                <w:szCs w:val="18"/>
                <w:b w:val="1"/>
                <w:bCs w:val="1"/>
                <w:color w:val="auto"/>
              </w:rPr>
              <w:t>$(11),</w:t>
            </w:r>
            <w:r>
              <w:rPr>
                <w:rFonts w:ascii="Arial" w:cs="Arial" w:eastAsia="Arial" w:hAnsi="Arial"/>
                <w:sz w:val="18"/>
                <w:szCs w:val="18"/>
                <w:color w:val="auto"/>
              </w:rPr>
              <w:t xml:space="preserve"> and $(1)</w:t>
            </w:r>
          </w:p>
        </w:tc>
        <w:tc>
          <w:tcPr>
            <w:tcW w:w="3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w:t>
            </w:r>
          </w:p>
        </w:tc>
        <w:tc>
          <w:tcPr>
            <w:tcW w:w="320" w:type="dxa"/>
            <w:vAlign w:val="bottom"/>
          </w:tcPr>
          <w:p>
            <w:pPr>
              <w:spacing w:after="0"/>
              <w:rPr>
                <w:sz w:val="17"/>
                <w:szCs w:val="17"/>
                <w:color w:val="auto"/>
              </w:rPr>
            </w:pPr>
          </w:p>
        </w:tc>
        <w:tc>
          <w:tcPr>
            <w:tcW w:w="980" w:type="dxa"/>
            <w:vAlign w:val="bottom"/>
            <w:gridSpan w:val="2"/>
          </w:tcPr>
          <w:p>
            <w:pPr>
              <w:jc w:val="right"/>
              <w:ind w:right="113"/>
              <w:spacing w:after="0" w:line="202" w:lineRule="exact"/>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17"/>
                <w:szCs w:val="17"/>
                <w:color w:val="auto"/>
              </w:rPr>
            </w:pP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628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Reclassification adjustments for (gains) losses included in other income</w:t>
            </w:r>
          </w:p>
        </w:tc>
        <w:tc>
          <w:tcPr>
            <w:tcW w:w="30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80" w:type="dxa"/>
            <w:vAlign w:val="bottom"/>
            <w:shd w:val="clear" w:color="auto" w:fill="E5E5E5"/>
          </w:tcPr>
          <w:p>
            <w:pPr>
              <w:ind w:left="140"/>
              <w:spacing w:after="0"/>
              <w:rPr>
                <w:sz w:val="20"/>
                <w:szCs w:val="20"/>
                <w:color w:val="auto"/>
              </w:rPr>
            </w:pPr>
            <w:r>
              <w:rPr>
                <w:rFonts w:ascii="Arial" w:cs="Arial" w:eastAsia="Arial" w:hAnsi="Arial"/>
                <w:sz w:val="18"/>
                <w:szCs w:val="18"/>
                <w:color w:val="auto"/>
              </w:rPr>
              <w:t>(expense), net</w:t>
            </w:r>
          </w:p>
        </w:tc>
        <w:tc>
          <w:tcPr>
            <w:tcW w:w="30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34</w:t>
            </w:r>
          </w:p>
        </w:tc>
        <w:tc>
          <w:tcPr>
            <w:tcW w:w="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46</w:t>
            </w:r>
          </w:p>
        </w:tc>
        <w:tc>
          <w:tcPr>
            <w:tcW w:w="26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3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4"/>
        </w:trPr>
        <w:tc>
          <w:tcPr>
            <w:tcW w:w="62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27</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73"/>
              <w:spacing w:after="0" w:line="202" w:lineRule="exact"/>
              <w:rPr>
                <w:sz w:val="20"/>
                <w:szCs w:val="20"/>
                <w:color w:val="auto"/>
              </w:rPr>
            </w:pPr>
            <w:r>
              <w:rPr>
                <w:rFonts w:ascii="Arial" w:cs="Arial" w:eastAsia="Arial" w:hAnsi="Arial"/>
                <w:sz w:val="18"/>
                <w:szCs w:val="18"/>
                <w:b w:val="1"/>
                <w:bCs w:val="1"/>
                <w:color w:val="auto"/>
              </w:rPr>
              <w:t>37</w:t>
            </w:r>
          </w:p>
        </w:tc>
        <w:tc>
          <w:tcPr>
            <w:tcW w:w="2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28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$(5), </w:t>
            </w:r>
            <w:r>
              <w:rPr>
                <w:rFonts w:ascii="Arial" w:cs="Arial" w:eastAsia="Arial" w:hAnsi="Arial"/>
                <w:sz w:val="18"/>
                <w:szCs w:val="18"/>
                <w:b w:val="1"/>
                <w:bCs w:val="1"/>
                <w:color w:val="auto"/>
              </w:rPr>
              <w:t>$(2)</w:t>
            </w:r>
            <w:r>
              <w:rPr>
                <w:rFonts w:ascii="Arial" w:cs="Arial" w:eastAsia="Arial" w:hAnsi="Arial"/>
                <w:sz w:val="18"/>
                <w:szCs w:val="18"/>
                <w:color w:val="auto"/>
              </w:rPr>
              <w:t>, and $1</w:t>
            </w:r>
          </w:p>
        </w:tc>
        <w:tc>
          <w:tcPr>
            <w:tcW w:w="30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3"/>
                <w:szCs w:val="23"/>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62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(14)</w:t>
            </w:r>
          </w:p>
        </w:tc>
        <w:tc>
          <w:tcPr>
            <w:tcW w:w="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28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(525)</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(1,945)</w:t>
            </w:r>
          </w:p>
        </w:tc>
        <w:tc>
          <w:tcPr>
            <w:tcW w:w="3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(1,051)</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$(58),</w:t>
            </w:r>
            <w:r>
              <w:rPr>
                <w:rFonts w:ascii="Arial" w:cs="Arial" w:eastAsia="Arial" w:hAnsi="Arial"/>
                <w:sz w:val="18"/>
                <w:szCs w:val="18"/>
                <w:color w:val="auto"/>
              </w:rPr>
              <w:t xml:space="preserve"> $118, </w:t>
            </w:r>
            <w:r>
              <w:rPr>
                <w:rFonts w:ascii="Arial" w:cs="Arial" w:eastAsia="Arial" w:hAnsi="Arial"/>
                <w:sz w:val="18"/>
                <w:szCs w:val="18"/>
                <w:b w:val="1"/>
                <w:bCs w:val="1"/>
                <w:color w:val="auto"/>
              </w:rPr>
              <w:t>$82</w:t>
            </w:r>
            <w:r>
              <w:rPr>
                <w:rFonts w:ascii="Arial" w:cs="Arial" w:eastAsia="Arial" w:hAnsi="Arial"/>
                <w:sz w:val="18"/>
                <w:szCs w:val="18"/>
                <w:color w:val="auto"/>
              </w:rPr>
              <w:t>, and $294</w:t>
            </w:r>
          </w:p>
        </w:tc>
        <w:tc>
          <w:tcPr>
            <w:tcW w:w="3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445</w:t>
            </w:r>
          </w:p>
        </w:tc>
        <w:tc>
          <w:tcPr>
            <w:tcW w:w="320" w:type="dxa"/>
            <w:vAlign w:val="bottom"/>
          </w:tcPr>
          <w:p>
            <w:pPr>
              <w:spacing w:after="0"/>
              <w:rPr>
                <w:sz w:val="17"/>
                <w:szCs w:val="17"/>
                <w:color w:val="auto"/>
              </w:rPr>
            </w:pPr>
          </w:p>
        </w:tc>
        <w:tc>
          <w:tcPr>
            <w:tcW w:w="980" w:type="dxa"/>
            <w:vAlign w:val="bottom"/>
            <w:gridSpan w:val="2"/>
          </w:tcPr>
          <w:p>
            <w:pPr>
              <w:jc w:val="right"/>
              <w:ind w:right="173"/>
              <w:spacing w:after="0" w:line="202" w:lineRule="exact"/>
              <w:rPr>
                <w:sz w:val="20"/>
                <w:szCs w:val="20"/>
                <w:color w:val="auto"/>
              </w:rPr>
            </w:pPr>
            <w:r>
              <w:rPr>
                <w:rFonts w:ascii="Arial" w:cs="Arial" w:eastAsia="Arial" w:hAnsi="Arial"/>
                <w:sz w:val="18"/>
                <w:szCs w:val="18"/>
                <w:b w:val="1"/>
                <w:bCs w:val="1"/>
                <w:color w:val="auto"/>
              </w:rPr>
              <w:t>310</w:t>
            </w:r>
          </w:p>
        </w:tc>
        <w:tc>
          <w:tcPr>
            <w:tcW w:w="26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8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Reclassification adjustments for (gains) losses included in other income</w:t>
            </w:r>
          </w:p>
        </w:tc>
        <w:tc>
          <w:tcPr>
            <w:tcW w:w="30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80" w:type="dxa"/>
            <w:vAlign w:val="bottom"/>
            <w:shd w:val="clear" w:color="auto" w:fill="E5E5E5"/>
          </w:tcPr>
          <w:p>
            <w:pPr>
              <w:ind w:left="140"/>
              <w:spacing w:after="0"/>
              <w:rPr>
                <w:sz w:val="20"/>
                <w:szCs w:val="20"/>
                <w:color w:val="auto"/>
              </w:rPr>
            </w:pPr>
            <w:r>
              <w:rPr>
                <w:rFonts w:ascii="Arial" w:cs="Arial" w:eastAsia="Arial" w:hAnsi="Arial"/>
                <w:sz w:val="18"/>
                <w:szCs w:val="18"/>
                <w:color w:val="auto"/>
              </w:rPr>
              <w:t>(expense), net</w:t>
            </w:r>
          </w:p>
        </w:tc>
        <w:tc>
          <w:tcPr>
            <w:tcW w:w="30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(29)</w:t>
            </w:r>
          </w:p>
        </w:tc>
        <w:tc>
          <w:tcPr>
            <w:tcW w:w="260" w:type="dxa"/>
            <w:vAlign w:val="bottom"/>
            <w:shd w:val="clear" w:color="auto" w:fill="E5E5E5"/>
          </w:tcPr>
          <w:p>
            <w:pPr>
              <w:spacing w:after="0"/>
              <w:rPr>
                <w:sz w:val="19"/>
                <w:szCs w:val="19"/>
                <w:color w:val="auto"/>
              </w:rPr>
            </w:pPr>
          </w:p>
        </w:tc>
        <w:tc>
          <w:tcPr>
            <w:tcW w:w="80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3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9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
        </w:trPr>
        <w:tc>
          <w:tcPr>
            <w:tcW w:w="62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shd w:val="clear" w:color="auto" w:fill="E5E5E5"/>
          </w:tcPr>
          <w:p>
            <w:pPr>
              <w:ind w:left="16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32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6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$(64),</w:t>
            </w:r>
            <w:r>
              <w:rPr>
                <w:rFonts w:ascii="Arial" w:cs="Arial" w:eastAsia="Arial" w:hAnsi="Arial"/>
                <w:sz w:val="18"/>
                <w:szCs w:val="18"/>
                <w:color w:val="auto"/>
              </w:rPr>
              <w:t xml:space="preserve"> $119, </w:t>
            </w:r>
            <w:r>
              <w:rPr>
                <w:rFonts w:ascii="Arial" w:cs="Arial" w:eastAsia="Arial" w:hAnsi="Arial"/>
                <w:sz w:val="18"/>
                <w:szCs w:val="18"/>
                <w:b w:val="1"/>
                <w:bCs w:val="1"/>
                <w:color w:val="auto"/>
              </w:rPr>
              <w:t>$76</w:t>
            </w:r>
            <w:r>
              <w:rPr>
                <w:rFonts w:ascii="Arial" w:cs="Arial" w:eastAsia="Arial" w:hAnsi="Arial"/>
                <w:sz w:val="18"/>
                <w:szCs w:val="18"/>
                <w:color w:val="auto"/>
              </w:rPr>
              <w:t>, and $299</w:t>
            </w:r>
          </w:p>
        </w:tc>
        <w:tc>
          <w:tcPr>
            <w:tcW w:w="3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23"/>
                <w:szCs w:val="23"/>
                <w:color w:val="auto"/>
              </w:rPr>
            </w:pPr>
          </w:p>
        </w:tc>
        <w:tc>
          <w:tcPr>
            <w:tcW w:w="980" w:type="dxa"/>
            <w:vAlign w:val="bottom"/>
            <w:gridSpan w:val="2"/>
          </w:tcPr>
          <w:p>
            <w:pPr>
              <w:jc w:val="right"/>
              <w:ind w:right="173"/>
              <w:spacing w:after="0"/>
              <w:rPr>
                <w:sz w:val="20"/>
                <w:szCs w:val="20"/>
                <w:color w:val="auto"/>
              </w:rPr>
            </w:pPr>
            <w:r>
              <w:rPr>
                <w:rFonts w:ascii="Arial" w:cs="Arial" w:eastAsia="Arial" w:hAnsi="Arial"/>
                <w:sz w:val="18"/>
                <w:szCs w:val="18"/>
                <w:b w:val="1"/>
                <w:bCs w:val="1"/>
                <w:color w:val="auto"/>
              </w:rPr>
              <w:t>287</w:t>
            </w:r>
          </w:p>
        </w:tc>
        <w:tc>
          <w:tcPr>
            <w:tcW w:w="26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628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(764)</w:t>
            </w:r>
          </w:p>
        </w:tc>
        <w:tc>
          <w:tcPr>
            <w:tcW w:w="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(1,495)</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(764)</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40"/>
        </w:trPr>
        <w:tc>
          <w:tcPr>
            <w:tcW w:w="6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28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shd w:val="clear" w:color="auto" w:fill="E5E5E5"/>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(2,163)</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(3,692)</w:t>
            </w:r>
          </w:p>
        </w:tc>
        <w:tc>
          <w:tcPr>
            <w:tcW w:w="3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(2,288)</w:t>
            </w:r>
          </w:p>
        </w:tc>
        <w:tc>
          <w:tcPr>
            <w:tcW w:w="260" w:type="dxa"/>
            <w:vAlign w:val="bottom"/>
            <w:shd w:val="clear" w:color="auto" w:fill="E5E5E5"/>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$0, </w:t>
            </w:r>
            <w:r>
              <w:rPr>
                <w:rFonts w:ascii="Arial" w:cs="Arial" w:eastAsia="Arial" w:hAnsi="Arial"/>
                <w:sz w:val="18"/>
                <w:szCs w:val="18"/>
                <w:b w:val="1"/>
                <w:bCs w:val="1"/>
                <w:color w:val="auto"/>
              </w:rPr>
              <w:t>$0</w:t>
            </w:r>
            <w:r>
              <w:rPr>
                <w:rFonts w:ascii="Arial" w:cs="Arial" w:eastAsia="Arial" w:hAnsi="Arial"/>
                <w:sz w:val="18"/>
                <w:szCs w:val="18"/>
                <w:color w:val="auto"/>
              </w:rPr>
              <w:t>, and $0</w:t>
            </w:r>
          </w:p>
        </w:tc>
        <w:tc>
          <w:tcPr>
            <w:tcW w:w="3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21"/>
                <w:szCs w:val="21"/>
                <w:color w:val="auto"/>
              </w:rPr>
            </w:pPr>
          </w:p>
        </w:tc>
        <w:tc>
          <w:tcPr>
            <w:tcW w:w="980" w:type="dxa"/>
            <w:vAlign w:val="bottom"/>
            <w:gridSpan w:val="2"/>
          </w:tcPr>
          <w:p>
            <w:pPr>
              <w:jc w:val="right"/>
              <w:ind w:right="113"/>
              <w:spacing w:after="0"/>
              <w:rPr>
                <w:sz w:val="20"/>
                <w:szCs w:val="20"/>
                <w:color w:val="auto"/>
              </w:rPr>
            </w:pPr>
            <w:r>
              <w:rPr>
                <w:rFonts w:ascii="Arial" w:cs="Arial" w:eastAsia="Arial" w:hAnsi="Arial"/>
                <w:sz w:val="18"/>
                <w:szCs w:val="18"/>
                <w:b w:val="1"/>
                <w:bCs w:val="1"/>
                <w:color w:val="auto"/>
              </w:rPr>
              <w:t>(162)</w:t>
            </w:r>
          </w:p>
        </w:tc>
        <w:tc>
          <w:tcPr>
            <w:tcW w:w="260" w:type="dxa"/>
            <w:vAlign w:val="bottom"/>
          </w:tcPr>
          <w:p>
            <w:pPr>
              <w:spacing w:after="0"/>
              <w:rPr>
                <w:sz w:val="21"/>
                <w:szCs w:val="21"/>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34"/>
        </w:trPr>
        <w:tc>
          <w:tcPr>
            <w:tcW w:w="62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(2,450)</w:t>
            </w:r>
          </w:p>
        </w:tc>
        <w:tc>
          <w:tcPr>
            <w:tcW w:w="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(3,339)</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E5E5E5"/>
          </w:tcPr>
          <w:p>
            <w:pPr>
              <w:jc w:val="right"/>
              <w:ind w:right="113"/>
              <w:spacing w:after="0" w:line="202" w:lineRule="exact"/>
              <w:rPr>
                <w:sz w:val="20"/>
                <w:szCs w:val="20"/>
                <w:color w:val="auto"/>
              </w:rPr>
            </w:pPr>
            <w:r>
              <w:rPr>
                <w:rFonts w:ascii="Arial" w:cs="Arial" w:eastAsia="Arial" w:hAnsi="Arial"/>
                <w:sz w:val="18"/>
                <w:szCs w:val="18"/>
                <w:b w:val="1"/>
                <w:bCs w:val="1"/>
                <w:color w:val="auto"/>
              </w:rPr>
              <w:t>(2,450)</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40"/>
        </w:trPr>
        <w:tc>
          <w:tcPr>
            <w:tcW w:w="6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280" w:type="dxa"/>
            <w:vAlign w:val="bottom"/>
          </w:tcPr>
          <w:p>
            <w:pPr>
              <w:spacing w:after="0"/>
              <w:rPr>
                <w:sz w:val="20"/>
                <w:szCs w:val="20"/>
                <w:color w:val="auto"/>
              </w:rPr>
            </w:pPr>
            <w:r>
              <w:rPr>
                <w:rFonts w:ascii="Arial" w:cs="Arial" w:eastAsia="Arial" w:hAnsi="Arial"/>
                <w:sz w:val="18"/>
                <w:szCs w:val="18"/>
                <w:color w:val="auto"/>
              </w:rPr>
              <w:t>Accumulated other comprehensive loss,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(3,228)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(4,833)</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13"/>
              <w:spacing w:after="0"/>
              <w:rPr>
                <w:sz w:val="20"/>
                <w:szCs w:val="20"/>
                <w:color w:val="auto"/>
              </w:rPr>
            </w:pPr>
            <w:r>
              <w:rPr>
                <w:rFonts w:ascii="Arial" w:cs="Arial" w:eastAsia="Arial" w:hAnsi="Arial"/>
                <w:sz w:val="18"/>
                <w:szCs w:val="18"/>
                <w:b w:val="1"/>
                <w:bCs w:val="1"/>
                <w:color w:val="auto"/>
              </w:rPr>
              <w:t>(3,228)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35"/>
        </w:trPr>
        <w:tc>
          <w:tcPr>
            <w:tcW w:w="628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16 — SEGMENT INFORMATION AND GEOGRAPHIC DATA</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its operation of the business, management, including our chief operating decision maker (“CODM”), who is also our Chief Executive Officer, reviews certain financial information, including segmented internal profit and loss statements. The primary profitability measure used by the CODM to review segment operating results is operating income. The CODM uses operating income to allocate resources during our annual planning process and throughout the year, as well as to assess the performance of our segments, primarily by monitoring actual results compared to prior periods and expected results. During the periods presented, we reported our financial performance based on the following segments: Productivity and Business Processes, Intelligent Cloud, and More Personal Computing.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6" w:name="page27"/>
    <w:bookmarkEnd w:id="2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19" w:lineRule="exact"/>
        <w:rPr>
          <w:sz w:val="20"/>
          <w:szCs w:val="20"/>
          <w:color w:val="auto"/>
        </w:rPr>
      </w:pPr>
    </w:p>
    <w:p>
      <w:pPr>
        <w:jc w:val="both"/>
        <w:ind w:left="1020" w:hanging="368"/>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and Microsoft 365 Copilot; and Microsoft 365 Commercial products, comprising Windows Commercial on-premises and Office licensed on-premises.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including Microsoft 365 Consumer subscriptions, Office licensed on-premises, and other consumer services.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including Dynamics 365, comprising a set of intelligent, cloud-based applications across ERP, CRM, Power Apps, and Power Automate; and on-premises ERP and CRM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power modern business and developers. This segment primarily comprises:</w:t>
      </w:r>
    </w:p>
    <w:p>
      <w:pPr>
        <w:spacing w:after="0" w:line="19" w:lineRule="exact"/>
        <w:rPr>
          <w:sz w:val="20"/>
          <w:szCs w:val="20"/>
          <w:color w:val="auto"/>
        </w:rPr>
      </w:pPr>
    </w:p>
    <w:p>
      <w:pPr>
        <w:jc w:val="both"/>
        <w:ind w:left="1020" w:hanging="368"/>
        <w:spacing w:after="0" w:line="246"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including Azure and other cloud services, comprising cloud and AI consumption-based services, GitHub cloud services, Nuance Healthcare cloud services, virtual desktop offerings, and other cloud services; and Server products, comprising SQL Server, Windows Server, Visual Studio, System Center, related Client Access Licenses, and other on-premises offerings.</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including Enterprise Support Services, Industry Solutions, Nuance professional services, Microsoft Partner Network, and Learning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9" w:lineRule="exact"/>
        <w:rPr>
          <w:sz w:val="20"/>
          <w:szCs w:val="20"/>
          <w:color w:val="auto"/>
        </w:rPr>
      </w:pPr>
    </w:p>
    <w:p>
      <w:pPr>
        <w:ind w:left="1020" w:hanging="368"/>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including Windows OEM licensing (Windows Pro and non-Pro licenses sold through the OEM channel) and Devices, comprising Surface and PC accessories.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advertising, and other cloud services.</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Search advertising (formerly Search and news advertising), comprising Bing, Copilot, Microsoft News, Microsoft Edge, and third-party affiliates.</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our investments in AI infrastructure and training, as well as marketing of products and services, from which multiple segments benefit and are generally allocated based on relative gross margin.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7" w:name="page28"/>
    <w:bookmarkEnd w:id="2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cost of revenue, operating expenses, and operating income were as follows during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gridSpan w:val="4"/>
          </w:tcPr>
          <w:p>
            <w:pPr>
              <w:ind w:left="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5"/>
          </w:tcPr>
          <w:p>
            <w:pPr>
              <w:ind w:left="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3"/>
          </w:tcPr>
          <w:p>
            <w:pPr>
              <w:ind w:left="2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12"/>
        </w:trPr>
        <w:tc>
          <w:tcPr>
            <w:tcW w:w="5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tcPr>
          <w:p>
            <w:pPr>
              <w:spacing w:after="0"/>
              <w:rPr>
                <w:sz w:val="20"/>
                <w:szCs w:val="20"/>
                <w:color w:val="auto"/>
              </w:rPr>
            </w:pPr>
            <w:r>
              <w:rPr>
                <w:rFonts w:ascii="Arial" w:cs="Arial" w:eastAsia="Arial" w:hAnsi="Arial"/>
                <w:sz w:val="13"/>
                <w:szCs w:val="13"/>
                <w:b w:val="1"/>
                <w:bCs w:val="1"/>
                <w:color w:val="auto"/>
              </w:rPr>
              <w:t>Productivity and Business Processes</w:t>
            </w: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35,013</w:t>
            </w:r>
          </w:p>
        </w:tc>
        <w:tc>
          <w:tcPr>
            <w:tcW w:w="560" w:type="dxa"/>
            <w:vAlign w:val="bottom"/>
            <w:gridSpan w:val="2"/>
            <w:shd w:val="clear" w:color="auto" w:fill="E5E5E5"/>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29,944</w:t>
            </w:r>
          </w:p>
        </w:tc>
        <w:tc>
          <w:tcPr>
            <w:tcW w:w="4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102,149</w:t>
            </w:r>
          </w:p>
        </w:tc>
        <w:tc>
          <w:tcPr>
            <w:tcW w:w="4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87,698</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6,197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5,517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18,028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7,843</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7,048</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22,142</w:t>
            </w:r>
          </w:p>
        </w:tc>
        <w:tc>
          <w:tcPr>
            <w:tcW w:w="1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20,538</w:t>
            </w:r>
          </w:p>
        </w:tc>
        <w:tc>
          <w:tcPr>
            <w:tcW w:w="0" w:type="dxa"/>
            <w:vAlign w:val="bottom"/>
          </w:tcPr>
          <w:p>
            <w:pPr>
              <w:spacing w:after="0"/>
              <w:rPr>
                <w:sz w:val="1"/>
                <w:szCs w:val="1"/>
                <w:color w:val="auto"/>
              </w:rPr>
            </w:pPr>
          </w:p>
        </w:tc>
      </w:tr>
      <w:tr>
        <w:trPr>
          <w:trHeight w:val="41"/>
        </w:trPr>
        <w:tc>
          <w:tcPr>
            <w:tcW w:w="55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20,973</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17,379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61,979</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50,780</w:t>
            </w:r>
          </w:p>
        </w:tc>
        <w:tc>
          <w:tcPr>
            <w:tcW w:w="0" w:type="dxa"/>
            <w:vAlign w:val="bottom"/>
          </w:tcPr>
          <w:p>
            <w:pPr>
              <w:spacing w:after="0"/>
              <w:rPr>
                <w:sz w:val="1"/>
                <w:szCs w:val="1"/>
                <w:color w:val="auto"/>
              </w:rPr>
            </w:pPr>
          </w:p>
        </w:tc>
      </w:tr>
      <w:tr>
        <w:trPr>
          <w:trHeight w:val="221"/>
        </w:trPr>
        <w:tc>
          <w:tcPr>
            <w:tcW w:w="5520" w:type="dxa"/>
            <w:vAlign w:val="bottom"/>
          </w:tcPr>
          <w:p>
            <w:pPr>
              <w:spacing w:after="0"/>
              <w:rPr>
                <w:sz w:val="20"/>
                <w:szCs w:val="20"/>
                <w:color w:val="auto"/>
              </w:rPr>
            </w:pPr>
            <w:r>
              <w:rPr>
                <w:rFonts w:ascii="Arial" w:cs="Arial" w:eastAsia="Arial" w:hAnsi="Arial"/>
                <w:sz w:val="13"/>
                <w:szCs w:val="13"/>
                <w:b w:val="1"/>
                <w:bCs w:val="1"/>
                <w:color w:val="auto"/>
              </w:rPr>
              <w:t>Intelligent Cloud</w:t>
            </w: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34,681</w:t>
            </w:r>
          </w:p>
        </w:tc>
        <w:tc>
          <w:tcPr>
            <w:tcW w:w="560" w:type="dxa"/>
            <w:vAlign w:val="bottom"/>
            <w:gridSpan w:val="2"/>
            <w:shd w:val="clear" w:color="auto" w:fill="E5E5E5"/>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26,751</w:t>
            </w:r>
          </w:p>
        </w:tc>
        <w:tc>
          <w:tcPr>
            <w:tcW w:w="4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98,485</w:t>
            </w:r>
          </w:p>
        </w:tc>
        <w:tc>
          <w:tcPr>
            <w:tcW w:w="4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76,387</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15,120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10,307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41,000</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28,326</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5,808</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5,349</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16,468</w:t>
            </w:r>
          </w:p>
        </w:tc>
        <w:tc>
          <w:tcPr>
            <w:tcW w:w="1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15,612</w:t>
            </w:r>
          </w:p>
        </w:tc>
        <w:tc>
          <w:tcPr>
            <w:tcW w:w="0" w:type="dxa"/>
            <w:vAlign w:val="bottom"/>
          </w:tcPr>
          <w:p>
            <w:pPr>
              <w:spacing w:after="0"/>
              <w:rPr>
                <w:sz w:val="1"/>
                <w:szCs w:val="1"/>
                <w:color w:val="auto"/>
              </w:rPr>
            </w:pPr>
          </w:p>
        </w:tc>
      </w:tr>
      <w:tr>
        <w:trPr>
          <w:trHeight w:val="41"/>
        </w:trPr>
        <w:tc>
          <w:tcPr>
            <w:tcW w:w="55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13,753</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11,095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41,017</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32,449</w:t>
            </w:r>
          </w:p>
        </w:tc>
        <w:tc>
          <w:tcPr>
            <w:tcW w:w="0" w:type="dxa"/>
            <w:vAlign w:val="bottom"/>
          </w:tcPr>
          <w:p>
            <w:pPr>
              <w:spacing w:after="0"/>
              <w:rPr>
                <w:sz w:val="1"/>
                <w:szCs w:val="1"/>
                <w:color w:val="auto"/>
              </w:rPr>
            </w:pPr>
          </w:p>
        </w:tc>
      </w:tr>
      <w:tr>
        <w:trPr>
          <w:trHeight w:val="221"/>
        </w:trPr>
        <w:tc>
          <w:tcPr>
            <w:tcW w:w="5520" w:type="dxa"/>
            <w:vAlign w:val="bottom"/>
          </w:tcPr>
          <w:p>
            <w:pPr>
              <w:spacing w:after="0"/>
              <w:rPr>
                <w:sz w:val="20"/>
                <w:szCs w:val="20"/>
                <w:color w:val="auto"/>
              </w:rPr>
            </w:pPr>
            <w:r>
              <w:rPr>
                <w:rFonts w:ascii="Arial" w:cs="Arial" w:eastAsia="Arial" w:hAnsi="Arial"/>
                <w:sz w:val="13"/>
                <w:szCs w:val="13"/>
                <w:b w:val="1"/>
                <w:bCs w:val="1"/>
                <w:color w:val="auto"/>
              </w:rPr>
              <w:t>More Personal Computing</w:t>
            </w: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13,192</w:t>
            </w:r>
          </w:p>
        </w:tc>
        <w:tc>
          <w:tcPr>
            <w:tcW w:w="560" w:type="dxa"/>
            <w:vAlign w:val="bottom"/>
            <w:gridSpan w:val="2"/>
            <w:shd w:val="clear" w:color="auto" w:fill="E5E5E5"/>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13,371</w:t>
            </w:r>
          </w:p>
        </w:tc>
        <w:tc>
          <w:tcPr>
            <w:tcW w:w="4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41,198</w:t>
            </w:r>
          </w:p>
        </w:tc>
        <w:tc>
          <w:tcPr>
            <w:tcW w:w="4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5E5E5"/>
          </w:tcPr>
          <w:p>
            <w:pPr>
              <w:jc w:val="right"/>
              <w:ind w:right="160"/>
              <w:spacing w:after="0"/>
              <w:rPr>
                <w:sz w:val="20"/>
                <w:szCs w:val="20"/>
                <w:color w:val="auto"/>
              </w:rPr>
            </w:pPr>
            <w:r>
              <w:rPr>
                <w:rFonts w:ascii="Arial" w:cs="Arial" w:eastAsia="Arial" w:hAnsi="Arial"/>
                <w:sz w:val="18"/>
                <w:szCs w:val="18"/>
                <w:color w:val="auto"/>
              </w:rPr>
              <w:t>41,198</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5,511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17,821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19,111</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4,009</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3,750</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11,739</w:t>
            </w:r>
          </w:p>
        </w:tc>
        <w:tc>
          <w:tcPr>
            <w:tcW w:w="1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40"/>
        </w:trPr>
        <w:tc>
          <w:tcPr>
            <w:tcW w:w="55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3,672</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11,638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10,976</w:t>
            </w:r>
          </w:p>
        </w:tc>
        <w:tc>
          <w:tcPr>
            <w:tcW w:w="0" w:type="dxa"/>
            <w:vAlign w:val="bottom"/>
          </w:tcPr>
          <w:p>
            <w:pPr>
              <w:spacing w:after="0"/>
              <w:rPr>
                <w:sz w:val="1"/>
                <w:szCs w:val="1"/>
                <w:color w:val="auto"/>
              </w:rPr>
            </w:pPr>
          </w:p>
        </w:tc>
      </w:tr>
      <w:tr>
        <w:trPr>
          <w:trHeight w:val="221"/>
        </w:trPr>
        <w:tc>
          <w:tcPr>
            <w:tcW w:w="55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82,886</w:t>
            </w:r>
          </w:p>
        </w:tc>
        <w:tc>
          <w:tcPr>
            <w:tcW w:w="560" w:type="dxa"/>
            <w:vAlign w:val="bottom"/>
            <w:gridSpan w:val="2"/>
            <w:shd w:val="clear" w:color="auto" w:fill="E5E5E5"/>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70,066</w:t>
            </w:r>
          </w:p>
        </w:tc>
        <w:tc>
          <w:tcPr>
            <w:tcW w:w="4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241,832</w:t>
            </w:r>
          </w:p>
        </w:tc>
        <w:tc>
          <w:tcPr>
            <w:tcW w:w="4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205,283</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26,828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21,919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76,849</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63,817</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17,660</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16,147</w:t>
            </w: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50,349</w:t>
            </w:r>
          </w:p>
        </w:tc>
        <w:tc>
          <w:tcPr>
            <w:tcW w:w="1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47,261</w:t>
            </w:r>
          </w:p>
        </w:tc>
        <w:tc>
          <w:tcPr>
            <w:tcW w:w="0" w:type="dxa"/>
            <w:vAlign w:val="bottom"/>
          </w:tcPr>
          <w:p>
            <w:pPr>
              <w:spacing w:after="0"/>
              <w:rPr>
                <w:sz w:val="1"/>
                <w:szCs w:val="1"/>
                <w:color w:val="auto"/>
              </w:rPr>
            </w:pPr>
          </w:p>
        </w:tc>
      </w:tr>
      <w:tr>
        <w:trPr>
          <w:trHeight w:val="40"/>
        </w:trPr>
        <w:tc>
          <w:tcPr>
            <w:tcW w:w="55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55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38,398</w:t>
            </w:r>
          </w:p>
        </w:tc>
        <w:tc>
          <w:tcPr>
            <w:tcW w:w="2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3"/>
                <w:szCs w:val="2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114,634</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94,205</w:t>
            </w:r>
          </w:p>
        </w:tc>
        <w:tc>
          <w:tcPr>
            <w:tcW w:w="0" w:type="dxa"/>
            <w:vAlign w:val="bottom"/>
          </w:tcPr>
          <w:p>
            <w:pPr>
              <w:spacing w:after="0"/>
              <w:rPr>
                <w:sz w:val="1"/>
                <w:szCs w:val="1"/>
                <w:color w:val="auto"/>
              </w:rPr>
            </w:pPr>
          </w:p>
        </w:tc>
      </w:tr>
      <w:tr>
        <w:trPr>
          <w:trHeight w:val="35"/>
        </w:trPr>
        <w:tc>
          <w:tcPr>
            <w:tcW w:w="552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nine months ended March 31, 2026 or 2025. Revenue, classified by the major geographic areas in which our customers were located,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ind w:left="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tcPr>
          <w:p>
            <w:pPr>
              <w:ind w:left="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ind w:left="28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5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2026</w:t>
            </w: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2026</w:t>
            </w: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spacing w:after="0" w:line="211"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4"/>
                <w:szCs w:val="24"/>
                <w:color w:val="auto"/>
                <w:vertAlign w:val="superscript"/>
              </w:rPr>
              <w:t>(a)</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42,336</w:t>
            </w:r>
          </w:p>
        </w:tc>
        <w:tc>
          <w:tcPr>
            <w:tcW w:w="54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36,084</w:t>
            </w:r>
          </w:p>
        </w:tc>
        <w:tc>
          <w:tcPr>
            <w:tcW w:w="4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123,823</w:t>
            </w:r>
          </w:p>
        </w:tc>
        <w:tc>
          <w:tcPr>
            <w:tcW w:w="48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105,534</w:t>
            </w:r>
          </w:p>
        </w:tc>
        <w:tc>
          <w:tcPr>
            <w:tcW w:w="1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Other countries</w:t>
            </w:r>
          </w:p>
        </w:tc>
        <w:tc>
          <w:tcPr>
            <w:tcW w:w="3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40,550</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118,009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99,749</w:t>
            </w:r>
          </w:p>
        </w:tc>
        <w:tc>
          <w:tcPr>
            <w:tcW w:w="0" w:type="dxa"/>
            <w:vAlign w:val="bottom"/>
          </w:tcPr>
          <w:p>
            <w:pPr>
              <w:spacing w:after="0"/>
              <w:rPr>
                <w:sz w:val="1"/>
                <w:szCs w:val="1"/>
                <w:color w:val="auto"/>
              </w:rPr>
            </w:pPr>
          </w:p>
        </w:tc>
      </w:tr>
      <w:tr>
        <w:trPr>
          <w:trHeight w:val="34"/>
        </w:trPr>
        <w:tc>
          <w:tcPr>
            <w:tcW w:w="55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Total</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82,886</w:t>
            </w:r>
          </w:p>
        </w:tc>
        <w:tc>
          <w:tcPr>
            <w:tcW w:w="54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70,066</w:t>
            </w:r>
          </w:p>
        </w:tc>
        <w:tc>
          <w:tcPr>
            <w:tcW w:w="4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241,832</w:t>
            </w:r>
          </w:p>
        </w:tc>
        <w:tc>
          <w:tcPr>
            <w:tcW w:w="4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205,283</w:t>
            </w: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5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hanging="512"/>
        <w:spacing w:after="0" w:line="269"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8" w:name="page29"/>
    <w:bookmarkEnd w:id="2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5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20" w:type="dxa"/>
            <w:vAlign w:val="bottom"/>
            <w:shd w:val="clear" w:color="auto" w:fill="E5E5E5"/>
          </w:tcPr>
          <w:p>
            <w:pPr>
              <w:spacing w:after="0"/>
              <w:rPr>
                <w:sz w:val="20"/>
                <w:szCs w:val="20"/>
                <w:color w:val="auto"/>
              </w:rPr>
            </w:pPr>
            <w:r>
              <w:rPr>
                <w:rFonts w:ascii="Arial" w:cs="Arial" w:eastAsia="Arial" w:hAnsi="Arial"/>
                <w:sz w:val="18"/>
                <w:szCs w:val="18"/>
                <w:color w:val="auto"/>
              </w:rPr>
              <w:t>Server products and cloud services</w:t>
            </w:r>
          </w:p>
        </w:tc>
        <w:tc>
          <w:tcPr>
            <w:tcW w:w="380" w:type="dxa"/>
            <w:vAlign w:val="bottom"/>
            <w:shd w:val="clear" w:color="auto" w:fill="E5E5E5"/>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32,592</w:t>
            </w:r>
          </w:p>
        </w:tc>
        <w:tc>
          <w:tcPr>
            <w:tcW w:w="5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24,761</w:t>
            </w:r>
          </w:p>
        </w:tc>
        <w:tc>
          <w:tcPr>
            <w:tcW w:w="56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92,329</w:t>
            </w:r>
          </w:p>
        </w:tc>
        <w:tc>
          <w:tcPr>
            <w:tcW w:w="54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70,557</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Microsoft 365 Commercial products and cloud services</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25,593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21,883</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74,083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63,449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Gaming</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5,341</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5,721</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16,807</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17,923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LinkedIn</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4,832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4,311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14,628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13,190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Windows and Devices</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4,041</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4,144</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13,071</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12,985</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Search advertising</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3,808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3,504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11,317</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Microsoft 365 Consumer products and cloud services</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2,297</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1,821</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6,806</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5,369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Dynamics products and cloud services</w:t>
            </w: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2,292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1,929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6,632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Enterprise and partner services</w:t>
            </w: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2,087</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1,946</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6,147</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5,766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5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Total</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82,886</w:t>
            </w:r>
          </w:p>
        </w:tc>
        <w:tc>
          <w:tcPr>
            <w:tcW w:w="5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70,066</w:t>
            </w:r>
          </w:p>
        </w:tc>
        <w:tc>
          <w:tcPr>
            <w:tcW w:w="5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241,832</w:t>
            </w:r>
          </w:p>
        </w:tc>
        <w:tc>
          <w:tcPr>
            <w:tcW w:w="5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205,283</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55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Microsoft Cloud revenue, which includes Microsoft 365 Commercial cloud, Azure and other cloud services, the commercial portion of LinkedIn, and Dynamics 365, was $54.5 billion and $155.1 billion for the three and nine months ended March 31, 2026, respectively, and $42.4 billion and $122.2 billion for the three and nine months ended March 31, 2025, respectively. These amounts are included in Server products and cloud services, Microsoft 365 Commercial products and cloud services, LinkedIn, and Dynamics products and cloud services in the table above.</w:t>
      </w:r>
    </w:p>
    <w:p>
      <w:pPr>
        <w:spacing w:after="0" w:line="12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29" w:name="page30"/>
    <w:bookmarkEnd w:id="29"/>
    <w:p>
      <w:pPr>
        <w:ind w:left="52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Item 1</w:t>
      </w:r>
    </w:p>
    <w:p>
      <w:pPr>
        <w:spacing w:after="0" w:line="170" w:lineRule="exact"/>
        <w:rPr>
          <w:sz w:val="20"/>
          <w:szCs w:val="20"/>
          <w:color w:val="auto"/>
        </w:rPr>
      </w:pPr>
    </w:p>
    <w:p>
      <w:pPr>
        <w:ind w:right="4600"/>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Microsoft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March 31, 2026, the related consolidated statements of income, comprehensive income, cash flows, and stockholders’ equity for the three-month and nine-month periods ended March 31,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2025, and the related consolidated statements of income, comprehensive income, cash flows, and stockholders’ equity for the year then ended (not presented herein); and in our report dated July 30, 2025, we expressed an unqualified opinion on those consolidated financial statements. In our opinion, the information set forth in the accompanying consolidated balance sheet as of June 30, 2025, is fairly stated, in all material respects, in relation to the consolidated balance sheet from which it has been derived.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473710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20" w:top="775" w:right="679" w:bottom="1440" w:gutter="0" w:footer="0" w:header="0"/>
        </w:sectPr>
      </w:pPr>
    </w:p>
    <w:bookmarkStart w:id="30" w:name="page31"/>
    <w:bookmarkEnd w:id="3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160"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2025, and our consolidated financial statements and the accompanying Notes to Financial Statements (Part I, Item 1 of this Form 10-Q).</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third quarter of fiscal year 2026 compared with the third quarter of fiscal year 2025 included:</w:t>
      </w:r>
    </w:p>
    <w:p>
      <w:pPr>
        <w:spacing w:after="0" w:line="77" w:lineRule="exact"/>
        <w:rPr>
          <w:sz w:val="20"/>
          <w:szCs w:val="20"/>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revenue increased 29% to $54.5 billion.</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remaining performance obligation increased 99% to $627 billion.</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cloud revenue increased 19%.</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cloud revenue increased 33%.</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12%.</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Dynamics 365 revenue increased 22%.</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Azure and other cloud services revenue increased 40%.</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Windows OEM and Devices revenue decreased 2%.</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Xbox content and services revenue decreased 5%.</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Search advertising (formerly Search and news advertising) revenue excluding traffic acquisition costs increased 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1" w:name="page32"/>
    <w:bookmarkEnd w:id="3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Opportunities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 long-term strategic partnership with OpenAI which was originally established in 2019. In October 2025 and April 2026, we extended this partnership and continue to build on our shared vision to advance artificial intelligence responsibly and make its benefits broadly accessible. Microsoft is a major investor in OpenAI and will continue to receive revenue-sharing payments. We hold rights to OpenAI’s intellectual property, including models and infrastructure, for integration into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increased reported revenue and expenses from our international operations for the three and nine months ended March 31, 2026.</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global, regional, and local economic developments and changes in global trade policies such as restrictions on international trade, including tariffs and other controls on imports or exports, could result in increased supply chain challenges, cost volatility, and consumer and economic uncertainty which may adversely affect our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revenue fluctuates quarterly and is generally higher in the fourth quarter of our fiscal year. Fourth quarter revenue is driven by a higher volume of multi-year contracts executed during the period.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2" w:name="page33"/>
    <w:bookmarkEnd w:id="3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reportable segments is contained in Note 16 – Segment Information and Geographic Data of the Notes to Financial Statements (Part I, Item 1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2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first quarter of fiscal year 2026, we made updates to our metrics to align with how we manage and monitor certain businesses. As part of these updates, Microsoft 365 Consumer subscribers was removed as a metric.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commercial business primarily consists of Server products and cloud services, Microsoft 365 Commercial products and cloud services, the commercial portion of LinkedIn, Dynamics products and cloud services, and Enterprise and partner services. Our commercial metrics allow management and investors to assess the overall health of our commercial business and include leading indicators of future performance.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ind w:left="80"/>
              <w:spacing w:after="0"/>
              <w:rPr>
                <w:sz w:val="20"/>
                <w:szCs w:val="20"/>
                <w:color w:val="auto"/>
              </w:rPr>
            </w:pPr>
            <w:r>
              <w:rPr>
                <w:rFonts w:ascii="Arial" w:cs="Arial" w:eastAsia="Arial" w:hAnsi="Arial"/>
                <w:sz w:val="18"/>
                <w:szCs w:val="18"/>
                <w:color w:val="auto"/>
              </w:rPr>
              <w:t>Commercial remaining performance obligation</w:t>
            </w:r>
          </w:p>
        </w:tc>
        <w:tc>
          <w:tcPr>
            <w:tcW w:w="7100" w:type="dxa"/>
            <w:vAlign w:val="bottom"/>
          </w:tcPr>
          <w:p>
            <w:pPr>
              <w:ind w:left="36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40" w:type="dxa"/>
            <w:vAlign w:val="bottom"/>
          </w:tcPr>
          <w:p>
            <w:pPr>
              <w:spacing w:after="0"/>
              <w:rPr>
                <w:sz w:val="17"/>
                <w:szCs w:val="17"/>
                <w:color w:val="auto"/>
              </w:rPr>
            </w:pPr>
          </w:p>
        </w:tc>
        <w:tc>
          <w:tcPr>
            <w:tcW w:w="7100" w:type="dxa"/>
            <w:vAlign w:val="bottom"/>
          </w:tcPr>
          <w:p>
            <w:pPr>
              <w:ind w:left="36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39"/>
        </w:trPr>
        <w:tc>
          <w:tcPr>
            <w:tcW w:w="414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as revenue in future periods</w:t>
            </w:r>
          </w:p>
        </w:tc>
      </w:tr>
      <w:tr>
        <w:trPr>
          <w:trHeight w:val="207"/>
        </w:trPr>
        <w:tc>
          <w:tcPr>
            <w:tcW w:w="4140" w:type="dxa"/>
            <w:vAlign w:val="bottom"/>
          </w:tcPr>
          <w:p>
            <w:pPr>
              <w:ind w:left="80"/>
              <w:spacing w:after="0"/>
              <w:rPr>
                <w:sz w:val="20"/>
                <w:szCs w:val="20"/>
                <w:color w:val="auto"/>
              </w:rPr>
            </w:pPr>
            <w:r>
              <w:rPr>
                <w:rFonts w:ascii="Arial" w:cs="Arial" w:eastAsia="Arial" w:hAnsi="Arial"/>
                <w:sz w:val="18"/>
                <w:szCs w:val="18"/>
                <w:color w:val="auto"/>
              </w:rPr>
              <w:t>Microsoft Cloud revenue and revenue growth</w:t>
            </w:r>
          </w:p>
        </w:tc>
        <w:tc>
          <w:tcPr>
            <w:tcW w:w="7100" w:type="dxa"/>
            <w:vAlign w:val="bottom"/>
          </w:tcPr>
          <w:p>
            <w:pPr>
              <w:ind w:left="360"/>
              <w:spacing w:after="0"/>
              <w:rPr>
                <w:sz w:val="20"/>
                <w:szCs w:val="20"/>
                <w:color w:val="auto"/>
              </w:rPr>
            </w:pPr>
            <w:r>
              <w:rPr>
                <w:rFonts w:ascii="Arial" w:cs="Arial" w:eastAsia="Arial" w:hAnsi="Arial"/>
                <w:sz w:val="18"/>
                <w:szCs w:val="18"/>
                <w:color w:val="auto"/>
              </w:rPr>
              <w:t>Revenue from Microsoft 365 Commercial cloud, Azure and other cloud services, the</w:t>
            </w:r>
          </w:p>
        </w:tc>
      </w:tr>
      <w:tr>
        <w:trPr>
          <w:trHeight w:val="239"/>
        </w:trPr>
        <w:tc>
          <w:tcPr>
            <w:tcW w:w="414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commercial portion of LinkedIn, and Dynamics 365</w:t>
            </w:r>
          </w:p>
        </w:tc>
      </w:tr>
      <w:tr>
        <w:trPr>
          <w:trHeight w:val="243"/>
        </w:trPr>
        <w:tc>
          <w:tcPr>
            <w:tcW w:w="4140" w:type="dxa"/>
            <w:vAlign w:val="bottom"/>
          </w:tcPr>
          <w:p>
            <w:pPr>
              <w:ind w:left="80"/>
              <w:spacing w:after="0"/>
              <w:rPr>
                <w:sz w:val="20"/>
                <w:szCs w:val="20"/>
                <w:color w:val="auto"/>
              </w:rPr>
            </w:pPr>
            <w:r>
              <w:rPr>
                <w:rFonts w:ascii="Arial" w:cs="Arial" w:eastAsia="Arial" w:hAnsi="Arial"/>
                <w:sz w:val="18"/>
                <w:szCs w:val="18"/>
                <w:color w:val="auto"/>
              </w:rPr>
              <w:t>Microsoft Cloud gross margin percentage</w:t>
            </w:r>
          </w:p>
        </w:tc>
        <w:tc>
          <w:tcPr>
            <w:tcW w:w="7100" w:type="dxa"/>
            <w:vAlign w:val="bottom"/>
          </w:tcPr>
          <w:p>
            <w:pPr>
              <w:ind w:left="360"/>
              <w:spacing w:after="0"/>
              <w:rPr>
                <w:sz w:val="20"/>
                <w:szCs w:val="20"/>
                <w:color w:val="auto"/>
              </w:rPr>
            </w:pPr>
            <w:r>
              <w:rPr>
                <w:rFonts w:ascii="Arial" w:cs="Arial" w:eastAsia="Arial" w:hAnsi="Arial"/>
                <w:sz w:val="18"/>
                <w:szCs w:val="18"/>
                <w:color w:val="auto"/>
              </w:rPr>
              <w:t>Gross margin percentage for our Microsoft Cloud business</w:t>
            </w:r>
          </w:p>
        </w:tc>
      </w:tr>
      <w:tr>
        <w:trPr>
          <w:trHeight w:val="595"/>
        </w:trPr>
        <w:tc>
          <w:tcPr>
            <w:tcW w:w="4140" w:type="dxa"/>
            <w:vAlign w:val="bottom"/>
          </w:tcPr>
          <w:p>
            <w:pPr>
              <w:spacing w:after="0"/>
              <w:rPr>
                <w:sz w:val="24"/>
                <w:szCs w:val="24"/>
                <w:color w:val="auto"/>
              </w:rPr>
            </w:pPr>
          </w:p>
        </w:tc>
        <w:tc>
          <w:tcPr>
            <w:tcW w:w="7100" w:type="dxa"/>
            <w:vAlign w:val="bottom"/>
          </w:tcPr>
          <w:p>
            <w:pPr>
              <w:ind w:left="1400"/>
              <w:spacing w:after="0"/>
              <w:rPr>
                <w:sz w:val="20"/>
                <w:szCs w:val="20"/>
                <w:color w:val="auto"/>
              </w:rPr>
            </w:pPr>
            <w:r>
              <w:rPr>
                <w:rFonts w:ascii="Arial" w:cs="Arial" w:eastAsia="Arial" w:hAnsi="Arial"/>
                <w:sz w:val="14"/>
                <w:szCs w:val="14"/>
                <w:color w:val="auto"/>
              </w:rPr>
              <w:t>33</w:t>
            </w:r>
          </w:p>
        </w:tc>
      </w:tr>
      <w:tr>
        <w:trPr>
          <w:trHeight w:val="744"/>
        </w:trPr>
        <w:tc>
          <w:tcPr>
            <w:tcW w:w="41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3" w:name="page34"/>
    <w:bookmarkEnd w:id="3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primarily reflect growth across our cloud services.</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w w:val="99"/>
              </w:rPr>
              <w:t>Microsoft 365</w:t>
            </w:r>
          </w:p>
        </w:tc>
        <w:tc>
          <w:tcPr>
            <w:tcW w:w="3040" w:type="dxa"/>
            <w:vAlign w:val="bottom"/>
          </w:tcPr>
          <w:p>
            <w:pPr>
              <w:ind w:left="40"/>
              <w:spacing w:after="0"/>
              <w:rPr>
                <w:sz w:val="20"/>
                <w:szCs w:val="20"/>
                <w:color w:val="auto"/>
              </w:rPr>
            </w:pPr>
            <w:r>
              <w:rPr>
                <w:rFonts w:ascii="Arial" w:cs="Arial" w:eastAsia="Arial" w:hAnsi="Arial"/>
                <w:sz w:val="18"/>
                <w:szCs w:val="18"/>
                <w:color w:val="auto"/>
              </w:rPr>
              <w:t>Commercial cloud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Microsoft 365 Commercial subscriptions, comprising Microsoft 365</w:t>
            </w:r>
          </w:p>
        </w:tc>
      </w:tr>
      <w:tr>
        <w:trPr>
          <w:trHeight w:val="203"/>
        </w:trPr>
        <w:tc>
          <w:tcPr>
            <w:tcW w:w="1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rPr>
              <w:t>Commercial,  Enterprise  Mobility  +  Security,  the  cloud  portion  of  Windows</w:t>
            </w:r>
          </w:p>
        </w:tc>
      </w:tr>
      <w:tr>
        <w:trPr>
          <w:trHeight w:val="203"/>
        </w:trPr>
        <w:tc>
          <w:tcPr>
            <w:tcW w:w="1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rPr>
              <w:t>Commercial, the per-user portion of Power BI, Exchange, SharePoint, Microsoft</w:t>
            </w:r>
          </w:p>
        </w:tc>
      </w:tr>
      <w:tr>
        <w:trPr>
          <w:trHeight w:val="239"/>
        </w:trPr>
        <w:tc>
          <w:tcPr>
            <w:tcW w:w="1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Teams, Microsoft 365 Security and Compliance, and Microsoft 365 Copilot</w:t>
            </w:r>
          </w:p>
        </w:tc>
      </w:tr>
      <w:tr>
        <w:trPr>
          <w:trHeight w:val="207"/>
        </w:trPr>
        <w:tc>
          <w:tcPr>
            <w:tcW w:w="1100" w:type="dxa"/>
            <w:vAlign w:val="bottom"/>
          </w:tcPr>
          <w:p>
            <w:pPr>
              <w:spacing w:after="0"/>
              <w:rPr>
                <w:sz w:val="20"/>
                <w:szCs w:val="20"/>
                <w:color w:val="auto"/>
              </w:rPr>
            </w:pPr>
            <w:r>
              <w:rPr>
                <w:rFonts w:ascii="Arial" w:cs="Arial" w:eastAsia="Arial" w:hAnsi="Arial"/>
                <w:sz w:val="18"/>
                <w:szCs w:val="18"/>
                <w:color w:val="auto"/>
                <w:w w:val="99"/>
              </w:rPr>
              <w:t>Microsoft 365</w:t>
            </w:r>
          </w:p>
        </w:tc>
        <w:tc>
          <w:tcPr>
            <w:tcW w:w="3040" w:type="dxa"/>
            <w:vAlign w:val="bottom"/>
          </w:tcPr>
          <w:p>
            <w:pPr>
              <w:ind w:left="40"/>
              <w:spacing w:after="0"/>
              <w:rPr>
                <w:sz w:val="20"/>
                <w:szCs w:val="20"/>
                <w:color w:val="auto"/>
              </w:rPr>
            </w:pPr>
            <w:r>
              <w:rPr>
                <w:rFonts w:ascii="Arial" w:cs="Arial" w:eastAsia="Arial" w:hAnsi="Arial"/>
                <w:sz w:val="18"/>
                <w:szCs w:val="18"/>
                <w:color w:val="auto"/>
              </w:rPr>
              <w:t>Commercial seat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The number of Microsoft 365 Commercial seats at end of period where seats are</w:t>
            </w:r>
          </w:p>
        </w:tc>
      </w:tr>
      <w:tr>
        <w:trPr>
          <w:trHeight w:val="239"/>
        </w:trPr>
        <w:tc>
          <w:tcPr>
            <w:tcW w:w="1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paid users covered by a Microsoft 365 Commercial subscription</w:t>
            </w:r>
          </w:p>
        </w:tc>
      </w:tr>
      <w:tr>
        <w:trPr>
          <w:trHeight w:val="243"/>
        </w:trPr>
        <w:tc>
          <w:tcPr>
            <w:tcW w:w="1100" w:type="dxa"/>
            <w:vAlign w:val="bottom"/>
          </w:tcPr>
          <w:p>
            <w:pPr>
              <w:spacing w:after="0"/>
              <w:rPr>
                <w:sz w:val="20"/>
                <w:szCs w:val="20"/>
                <w:color w:val="auto"/>
              </w:rPr>
            </w:pPr>
            <w:r>
              <w:rPr>
                <w:rFonts w:ascii="Arial" w:cs="Arial" w:eastAsia="Arial" w:hAnsi="Arial"/>
                <w:sz w:val="18"/>
                <w:szCs w:val="18"/>
                <w:color w:val="auto"/>
                <w:w w:val="99"/>
              </w:rPr>
              <w:t>Microsoft 365</w:t>
            </w:r>
          </w:p>
        </w:tc>
        <w:tc>
          <w:tcPr>
            <w:tcW w:w="3040" w:type="dxa"/>
            <w:vAlign w:val="bottom"/>
          </w:tcPr>
          <w:p>
            <w:pPr>
              <w:ind w:left="40"/>
              <w:spacing w:after="0"/>
              <w:rPr>
                <w:sz w:val="20"/>
                <w:szCs w:val="20"/>
                <w:color w:val="auto"/>
              </w:rPr>
            </w:pPr>
            <w:r>
              <w:rPr>
                <w:rFonts w:ascii="Arial" w:cs="Arial" w:eastAsia="Arial" w:hAnsi="Arial"/>
                <w:sz w:val="18"/>
                <w:szCs w:val="18"/>
                <w:color w:val="auto"/>
              </w:rPr>
              <w:t>Consumer cloud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Microsoft 365 Consumer subscriptions and other consumer services</w:t>
            </w:r>
          </w:p>
        </w:tc>
      </w:tr>
      <w:tr>
        <w:trPr>
          <w:trHeight w:val="207"/>
        </w:trPr>
        <w:tc>
          <w:tcPr>
            <w:tcW w:w="4140" w:type="dxa"/>
            <w:vAlign w:val="bottom"/>
            <w:gridSpan w:val="2"/>
          </w:tcPr>
          <w:p>
            <w:pPr>
              <w:spacing w:after="0"/>
              <w:rPr>
                <w:sz w:val="20"/>
                <w:szCs w:val="20"/>
                <w:color w:val="auto"/>
              </w:rPr>
            </w:pPr>
            <w:r>
              <w:rPr>
                <w:rFonts w:ascii="Arial" w:cs="Arial" w:eastAsia="Arial" w:hAnsi="Arial"/>
                <w:sz w:val="18"/>
                <w:szCs w:val="18"/>
                <w:color w:val="auto"/>
              </w:rPr>
              <w:t>LinkedIn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LinkedIn, including Talent Solutions, Marketing Solutions, Premium</w:t>
            </w:r>
          </w:p>
        </w:tc>
      </w:tr>
      <w:tr>
        <w:trPr>
          <w:trHeight w:val="239"/>
        </w:trPr>
        <w:tc>
          <w:tcPr>
            <w:tcW w:w="1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Subscriptions, and Sales Solutions</w:t>
            </w:r>
          </w:p>
        </w:tc>
      </w:tr>
      <w:tr>
        <w:trPr>
          <w:trHeight w:val="207"/>
        </w:trPr>
        <w:tc>
          <w:tcPr>
            <w:tcW w:w="4140" w:type="dxa"/>
            <w:vAlign w:val="bottom"/>
            <w:gridSpan w:val="2"/>
          </w:tcPr>
          <w:p>
            <w:pPr>
              <w:spacing w:after="0"/>
              <w:rPr>
                <w:sz w:val="20"/>
                <w:szCs w:val="20"/>
                <w:color w:val="auto"/>
              </w:rPr>
            </w:pPr>
            <w:r>
              <w:rPr>
                <w:rFonts w:ascii="Arial" w:cs="Arial" w:eastAsia="Arial" w:hAnsi="Arial"/>
                <w:sz w:val="18"/>
                <w:szCs w:val="18"/>
                <w:color w:val="auto"/>
              </w:rPr>
              <w:t>Dynamics 365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Dynamics 365, including a set of intelligent, cloud-based applications</w:t>
            </w:r>
          </w:p>
        </w:tc>
      </w:tr>
      <w:tr>
        <w:trPr>
          <w:trHeight w:val="239"/>
        </w:trPr>
        <w:tc>
          <w:tcPr>
            <w:tcW w:w="1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across ERP, CRM, Power Apps, and Power Automate</w:t>
            </w:r>
          </w:p>
        </w:tc>
      </w:tr>
      <w:tr>
        <w:trPr>
          <w:trHeight w:val="207"/>
        </w:trPr>
        <w:tc>
          <w:tcPr>
            <w:tcW w:w="4140" w:type="dxa"/>
            <w:vAlign w:val="bottom"/>
            <w:gridSpan w:val="2"/>
          </w:tcPr>
          <w:p>
            <w:pPr>
              <w:spacing w:after="0"/>
              <w:rPr>
                <w:sz w:val="20"/>
                <w:szCs w:val="20"/>
                <w:color w:val="auto"/>
              </w:rPr>
            </w:pPr>
            <w:r>
              <w:rPr>
                <w:rFonts w:ascii="Arial" w:cs="Arial" w:eastAsia="Arial" w:hAnsi="Arial"/>
                <w:sz w:val="18"/>
                <w:szCs w:val="18"/>
                <w:color w:val="auto"/>
              </w:rPr>
              <w:t>Azure and other cloud services revenue growth</w:t>
            </w:r>
          </w:p>
        </w:tc>
        <w:tc>
          <w:tcPr>
            <w:tcW w:w="7020" w:type="dxa"/>
            <w:vAlign w:val="bottom"/>
          </w:tcPr>
          <w:p>
            <w:pPr>
              <w:ind w:left="280"/>
              <w:spacing w:after="0"/>
              <w:rPr>
                <w:sz w:val="20"/>
                <w:szCs w:val="20"/>
                <w:color w:val="auto"/>
              </w:rPr>
            </w:pPr>
            <w:r>
              <w:rPr>
                <w:rFonts w:ascii="Arial" w:cs="Arial" w:eastAsia="Arial" w:hAnsi="Arial"/>
                <w:sz w:val="18"/>
                <w:szCs w:val="18"/>
                <w:color w:val="auto"/>
              </w:rPr>
              <w:t>Revenue from Azure and other cloud services, including cloud and AI consumption-</w:t>
            </w:r>
          </w:p>
        </w:tc>
      </w:tr>
      <w:tr>
        <w:trPr>
          <w:trHeight w:val="203"/>
        </w:trPr>
        <w:tc>
          <w:tcPr>
            <w:tcW w:w="1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rPr>
              <w:t>based services, GitHub cloud services, Nuance Healthcare cloud services, virtual</w:t>
            </w:r>
          </w:p>
        </w:tc>
      </w:tr>
      <w:tr>
        <w:trPr>
          <w:trHeight w:val="239"/>
        </w:trPr>
        <w:tc>
          <w:tcPr>
            <w:tcW w:w="11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desktop offerings, and other cloud services</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Metrics related to our More Personal Computing segment assess the performance of our key consumer businesses.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ind w:left="80"/>
              <w:spacing w:after="0"/>
              <w:rPr>
                <w:sz w:val="20"/>
                <w:szCs w:val="20"/>
                <w:color w:val="auto"/>
              </w:rPr>
            </w:pPr>
            <w:r>
              <w:rPr>
                <w:rFonts w:ascii="Arial" w:cs="Arial" w:eastAsia="Arial" w:hAnsi="Arial"/>
                <w:sz w:val="18"/>
                <w:szCs w:val="18"/>
                <w:color w:val="auto"/>
              </w:rPr>
              <w:t>Windows OEM and Devices revenue growth</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40" w:type="dxa"/>
            <w:vAlign w:val="bottom"/>
            <w:gridSpan w:val="11"/>
          </w:tcPr>
          <w:p>
            <w:pPr>
              <w:ind w:left="300"/>
              <w:spacing w:after="0"/>
              <w:rPr>
                <w:sz w:val="20"/>
                <w:szCs w:val="20"/>
                <w:color w:val="auto"/>
              </w:rPr>
            </w:pPr>
            <w:r>
              <w:rPr>
                <w:rFonts w:ascii="Arial" w:cs="Arial" w:eastAsia="Arial" w:hAnsi="Arial"/>
                <w:sz w:val="18"/>
                <w:szCs w:val="18"/>
                <w:color w:val="auto"/>
              </w:rPr>
              <w:t>Revenue from sales of Windows Pro and non-Pro licenses sold through the OEM</w:t>
            </w: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40" w:type="dxa"/>
            <w:vAlign w:val="bottom"/>
            <w:gridSpan w:val="11"/>
          </w:tcPr>
          <w:p>
            <w:pPr>
              <w:ind w:left="300"/>
              <w:spacing w:after="0"/>
              <w:rPr>
                <w:sz w:val="20"/>
                <w:szCs w:val="20"/>
                <w:color w:val="auto"/>
              </w:rPr>
            </w:pPr>
            <w:r>
              <w:rPr>
                <w:rFonts w:ascii="Arial" w:cs="Arial" w:eastAsia="Arial" w:hAnsi="Arial"/>
                <w:sz w:val="18"/>
                <w:szCs w:val="18"/>
                <w:color w:val="auto"/>
              </w:rPr>
              <w:t>channel and sales of first-party Devices, including Surface and PC accessories</w:t>
            </w:r>
          </w:p>
        </w:tc>
        <w:tc>
          <w:tcPr>
            <w:tcW w:w="0" w:type="dxa"/>
            <w:vAlign w:val="bottom"/>
          </w:tcPr>
          <w:p>
            <w:pPr>
              <w:spacing w:after="0"/>
              <w:rPr>
                <w:sz w:val="1"/>
                <w:szCs w:val="1"/>
                <w:color w:val="auto"/>
              </w:rPr>
            </w:pPr>
          </w:p>
        </w:tc>
      </w:tr>
      <w:tr>
        <w:trPr>
          <w:trHeight w:val="234"/>
        </w:trPr>
        <w:tc>
          <w:tcPr>
            <w:tcW w:w="3780" w:type="dxa"/>
            <w:vAlign w:val="bottom"/>
          </w:tcPr>
          <w:p>
            <w:pPr>
              <w:ind w:left="80"/>
              <w:spacing w:after="0"/>
              <w:rPr>
                <w:sz w:val="20"/>
                <w:szCs w:val="20"/>
                <w:color w:val="auto"/>
              </w:rPr>
            </w:pPr>
            <w:r>
              <w:rPr>
                <w:rFonts w:ascii="Arial" w:cs="Arial" w:eastAsia="Arial" w:hAnsi="Arial"/>
                <w:sz w:val="18"/>
                <w:szCs w:val="18"/>
                <w:color w:val="auto"/>
              </w:rPr>
              <w:t>Xbox content and services revenue growth</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40" w:type="dxa"/>
            <w:vAlign w:val="bottom"/>
            <w:gridSpan w:val="11"/>
          </w:tcPr>
          <w:p>
            <w:pPr>
              <w:ind w:left="300"/>
              <w:spacing w:after="0"/>
              <w:rPr>
                <w:sz w:val="20"/>
                <w:szCs w:val="20"/>
                <w:color w:val="auto"/>
              </w:rPr>
            </w:pPr>
            <w:r>
              <w:rPr>
                <w:rFonts w:ascii="Arial" w:cs="Arial" w:eastAsia="Arial" w:hAnsi="Arial"/>
                <w:sz w:val="18"/>
                <w:szCs w:val="18"/>
                <w:color w:val="auto"/>
              </w:rPr>
              <w:t>Revenue from Xbox content and services, comprising first- and third-party content</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40" w:type="dxa"/>
            <w:vAlign w:val="bottom"/>
            <w:gridSpan w:val="11"/>
          </w:tcPr>
          <w:p>
            <w:pPr>
              <w:ind w:left="300"/>
              <w:spacing w:after="0" w:line="202" w:lineRule="exact"/>
              <w:rPr>
                <w:sz w:val="20"/>
                <w:szCs w:val="20"/>
                <w:color w:val="auto"/>
              </w:rPr>
            </w:pPr>
            <w:r>
              <w:rPr>
                <w:rFonts w:ascii="Arial" w:cs="Arial" w:eastAsia="Arial" w:hAnsi="Arial"/>
                <w:sz w:val="18"/>
                <w:szCs w:val="18"/>
                <w:color w:val="auto"/>
              </w:rPr>
              <w:t>(including games and in-game content), Xbox Game Pass and other subscriptions,</w:t>
            </w: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80" w:type="dxa"/>
            <w:vAlign w:val="bottom"/>
            <w:gridSpan w:val="8"/>
          </w:tcPr>
          <w:p>
            <w:pPr>
              <w:ind w:left="300"/>
              <w:spacing w:after="0"/>
              <w:rPr>
                <w:sz w:val="20"/>
                <w:szCs w:val="20"/>
                <w:color w:val="auto"/>
              </w:rPr>
            </w:pPr>
            <w:r>
              <w:rPr>
                <w:rFonts w:ascii="Arial" w:cs="Arial" w:eastAsia="Arial" w:hAnsi="Arial"/>
                <w:sz w:val="18"/>
                <w:szCs w:val="18"/>
                <w:color w:val="auto"/>
              </w:rPr>
              <w:t>Xbox Cloud Gaming, advertising, and other cloud services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80"/>
              <w:spacing w:after="0"/>
              <w:rPr>
                <w:sz w:val="20"/>
                <w:szCs w:val="20"/>
                <w:color w:val="auto"/>
              </w:rPr>
            </w:pPr>
            <w:r>
              <w:rPr>
                <w:rFonts w:ascii="Arial" w:cs="Arial" w:eastAsia="Arial" w:hAnsi="Arial"/>
                <w:sz w:val="18"/>
                <w:szCs w:val="18"/>
                <w:color w:val="auto"/>
              </w:rPr>
              <w:t>Search advertising revenue (ex TAC) growth</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40" w:type="dxa"/>
            <w:vAlign w:val="bottom"/>
            <w:gridSpan w:val="11"/>
          </w:tcPr>
          <w:p>
            <w:pPr>
              <w:ind w:left="300"/>
              <w:spacing w:after="0"/>
              <w:rPr>
                <w:sz w:val="20"/>
                <w:szCs w:val="20"/>
                <w:color w:val="auto"/>
              </w:rPr>
            </w:pPr>
            <w:r>
              <w:rPr>
                <w:rFonts w:ascii="Arial" w:cs="Arial" w:eastAsia="Arial" w:hAnsi="Arial"/>
                <w:sz w:val="18"/>
                <w:szCs w:val="18"/>
                <w:color w:val="auto"/>
              </w:rPr>
              <w:t>Revenue from search advertising excluding traffic acquisition costs (“TAC”) paid to</w:t>
            </w:r>
          </w:p>
        </w:tc>
        <w:tc>
          <w:tcPr>
            <w:tcW w:w="0" w:type="dxa"/>
            <w:vAlign w:val="bottom"/>
          </w:tcPr>
          <w:p>
            <w:pPr>
              <w:spacing w:after="0"/>
              <w:rPr>
                <w:sz w:val="1"/>
                <w:szCs w:val="1"/>
                <w:color w:val="auto"/>
              </w:rPr>
            </w:pPr>
          </w:p>
        </w:tc>
      </w:tr>
      <w:tr>
        <w:trPr>
          <w:trHeight w:val="239"/>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0" w:type="dxa"/>
            <w:vAlign w:val="bottom"/>
            <w:gridSpan w:val="7"/>
          </w:tcPr>
          <w:p>
            <w:pPr>
              <w:ind w:left="300"/>
              <w:spacing w:after="0"/>
              <w:rPr>
                <w:sz w:val="20"/>
                <w:szCs w:val="20"/>
                <w:color w:val="auto"/>
              </w:rPr>
            </w:pPr>
            <w:r>
              <w:rPr>
                <w:rFonts w:ascii="Arial" w:cs="Arial" w:eastAsia="Arial" w:hAnsi="Arial"/>
                <w:sz w:val="18"/>
                <w:szCs w:val="18"/>
                <w:color w:val="auto"/>
              </w:rPr>
              <w:t>Bing Ads network publishers and content partners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3780" w:type="dxa"/>
            <w:vAlign w:val="bottom"/>
          </w:tcPr>
          <w:p>
            <w:pPr>
              <w:spacing w:after="0"/>
              <w:rPr>
                <w:sz w:val="24"/>
                <w:szCs w:val="24"/>
                <w:color w:val="auto"/>
              </w:rPr>
            </w:pPr>
          </w:p>
        </w:tc>
        <w:tc>
          <w:tcPr>
            <w:tcW w:w="3760" w:type="dxa"/>
            <w:vAlign w:val="bottom"/>
            <w:gridSpan w:val="7"/>
          </w:tcPr>
          <w:p>
            <w:pPr>
              <w:jc w:val="right"/>
              <w:ind w:right="260"/>
              <w:spacing w:after="0"/>
              <w:rPr>
                <w:sz w:val="20"/>
                <w:szCs w:val="20"/>
                <w:color w:val="auto"/>
              </w:rPr>
            </w:pPr>
            <w:r>
              <w:rPr>
                <w:rFonts w:ascii="Arial" w:cs="Arial" w:eastAsia="Arial" w:hAnsi="Arial"/>
                <w:sz w:val="18"/>
                <w:szCs w:val="18"/>
                <w:color w:val="auto"/>
              </w:rPr>
              <w:t>SUMMARY RESULTS OF OPERATIONS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3"/>
          </w:tcPr>
          <w:p>
            <w:pPr>
              <w:jc w:val="right"/>
              <w:ind w:right="176"/>
              <w:spacing w:after="0"/>
              <w:rPr>
                <w:sz w:val="20"/>
                <w:szCs w:val="20"/>
                <w:color w:val="auto"/>
              </w:rPr>
            </w:pPr>
            <w:r>
              <w:rPr>
                <w:rFonts w:ascii="Arial" w:cs="Arial" w:eastAsia="Arial" w:hAnsi="Arial"/>
                <w:sz w:val="13"/>
                <w:szCs w:val="13"/>
                <w:b w:val="1"/>
                <w:bCs w:val="1"/>
                <w:color w:val="auto"/>
              </w:rPr>
              <w:t>Three Months Ended</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Percentage</w:t>
            </w:r>
          </w:p>
        </w:tc>
        <w:tc>
          <w:tcPr>
            <w:tcW w:w="360" w:type="dxa"/>
            <w:vAlign w:val="bottom"/>
          </w:tcPr>
          <w:p>
            <w:pPr>
              <w:spacing w:after="0"/>
              <w:rPr>
                <w:sz w:val="24"/>
                <w:szCs w:val="24"/>
                <w:color w:val="auto"/>
              </w:rPr>
            </w:pPr>
          </w:p>
        </w:tc>
        <w:tc>
          <w:tcPr>
            <w:tcW w:w="2220" w:type="dxa"/>
            <w:vAlign w:val="bottom"/>
            <w:gridSpan w:val="3"/>
          </w:tcPr>
          <w:p>
            <w:pPr>
              <w:jc w:val="right"/>
              <w:ind w:right="175"/>
              <w:spacing w:after="0"/>
              <w:rPr>
                <w:sz w:val="20"/>
                <w:szCs w:val="20"/>
                <w:color w:val="auto"/>
              </w:rPr>
            </w:pPr>
            <w:r>
              <w:rPr>
                <w:rFonts w:ascii="Arial" w:cs="Arial" w:eastAsia="Arial" w:hAnsi="Arial"/>
                <w:sz w:val="13"/>
                <w:szCs w:val="13"/>
                <w:b w:val="1"/>
                <w:bCs w:val="1"/>
                <w:color w:val="auto"/>
              </w:rPr>
              <w:t>Nine Months Ended</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76"/>
              <w:spacing w:after="0"/>
              <w:rPr>
                <w:sz w:val="20"/>
                <w:szCs w:val="20"/>
                <w:color w:val="auto"/>
              </w:rPr>
            </w:pPr>
            <w:r>
              <w:rPr>
                <w:rFonts w:ascii="Arial" w:cs="Arial" w:eastAsia="Arial" w:hAnsi="Arial"/>
                <w:sz w:val="13"/>
                <w:szCs w:val="13"/>
                <w:b w:val="1"/>
                <w:bCs w:val="1"/>
                <w:color w:val="auto"/>
              </w:rPr>
              <w:t>March 31,</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175"/>
              <w:spacing w:after="0"/>
              <w:rPr>
                <w:sz w:val="20"/>
                <w:szCs w:val="20"/>
                <w:color w:val="auto"/>
              </w:rPr>
            </w:pPr>
            <w:r>
              <w:rPr>
                <w:rFonts w:ascii="Arial" w:cs="Arial" w:eastAsia="Arial" w:hAnsi="Arial"/>
                <w:sz w:val="13"/>
                <w:szCs w:val="13"/>
                <w:b w:val="1"/>
                <w:bCs w:val="1"/>
                <w:color w:val="auto"/>
              </w:rPr>
              <w:t>March 31,</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37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2026</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2025</w:t>
            </w: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2026</w:t>
            </w: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2025</w:t>
            </w: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82,886</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70,066</w:t>
            </w: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241,832</w:t>
            </w:r>
          </w:p>
        </w:tc>
        <w:tc>
          <w:tcPr>
            <w:tcW w:w="38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205,283</w:t>
            </w:r>
          </w:p>
        </w:tc>
        <w:tc>
          <w:tcPr>
            <w:tcW w:w="11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56,058</w:t>
            </w:r>
          </w:p>
        </w:tc>
        <w:tc>
          <w:tcPr>
            <w:tcW w:w="340" w:type="dxa"/>
            <w:vAlign w:val="bottom"/>
          </w:tcPr>
          <w:p>
            <w:pPr>
              <w:spacing w:after="0"/>
              <w:rPr>
                <w:sz w:val="17"/>
                <w:szCs w:val="17"/>
                <w:color w:val="auto"/>
              </w:rPr>
            </w:pPr>
          </w:p>
        </w:tc>
        <w:tc>
          <w:tcPr>
            <w:tcW w:w="10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48,147</w:t>
            </w: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w:t>
            </w:r>
          </w:p>
        </w:tc>
        <w:tc>
          <w:tcPr>
            <w:tcW w:w="360" w:type="dxa"/>
            <w:vAlign w:val="bottom"/>
          </w:tcPr>
          <w:p>
            <w:pPr>
              <w:spacing w:after="0"/>
              <w:rPr>
                <w:sz w:val="17"/>
                <w:szCs w:val="17"/>
                <w:color w:val="auto"/>
              </w:rPr>
            </w:pP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164,983</w:t>
            </w:r>
          </w:p>
        </w:tc>
        <w:tc>
          <w:tcPr>
            <w:tcW w:w="380" w:type="dxa"/>
            <w:vAlign w:val="bottom"/>
          </w:tcPr>
          <w:p>
            <w:pPr>
              <w:spacing w:after="0"/>
              <w:rPr>
                <w:sz w:val="17"/>
                <w:szCs w:val="17"/>
                <w:color w:val="auto"/>
              </w:rPr>
            </w:pPr>
          </w:p>
        </w:tc>
        <w:tc>
          <w:tcPr>
            <w:tcW w:w="94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141,466</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3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b w:val="1"/>
                <w:bCs w:val="1"/>
                <w:color w:val="auto"/>
              </w:rPr>
              <w:t>38,398</w:t>
            </w:r>
          </w:p>
        </w:tc>
        <w:tc>
          <w:tcPr>
            <w:tcW w:w="3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176"/>
              <w:spacing w:after="0" w:line="202" w:lineRule="exact"/>
              <w:rPr>
                <w:sz w:val="20"/>
                <w:szCs w:val="20"/>
                <w:color w:val="auto"/>
              </w:rPr>
            </w:pPr>
            <w:r>
              <w:rPr>
                <w:rFonts w:ascii="Arial" w:cs="Arial" w:eastAsia="Arial" w:hAnsi="Arial"/>
                <w:sz w:val="18"/>
                <w:szCs w:val="18"/>
                <w:color w:val="auto"/>
              </w:rPr>
              <w:t>32,000</w:t>
            </w:r>
          </w:p>
        </w:tc>
        <w:tc>
          <w:tcPr>
            <w:tcW w:w="11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20%</w:t>
            </w: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b w:val="1"/>
                <w:bCs w:val="1"/>
                <w:color w:val="auto"/>
              </w:rPr>
              <w:t>114,634</w:t>
            </w:r>
          </w:p>
        </w:tc>
        <w:tc>
          <w:tcPr>
            <w:tcW w:w="380" w:type="dxa"/>
            <w:vAlign w:val="bottom"/>
            <w:shd w:val="clear" w:color="auto" w:fill="E5E5E5"/>
          </w:tcPr>
          <w:p>
            <w:pPr>
              <w:spacing w:after="0"/>
              <w:rPr>
                <w:sz w:val="17"/>
                <w:szCs w:val="17"/>
                <w:color w:val="auto"/>
              </w:rPr>
            </w:pPr>
          </w:p>
        </w:tc>
        <w:tc>
          <w:tcPr>
            <w:tcW w:w="940" w:type="dxa"/>
            <w:vAlign w:val="bottom"/>
            <w:shd w:val="clear" w:color="auto" w:fill="E5E5E5"/>
          </w:tcPr>
          <w:p>
            <w:pPr>
              <w:jc w:val="right"/>
              <w:ind w:right="175"/>
              <w:spacing w:after="0" w:line="202" w:lineRule="exact"/>
              <w:rPr>
                <w:sz w:val="20"/>
                <w:szCs w:val="20"/>
                <w:color w:val="auto"/>
              </w:rPr>
            </w:pPr>
            <w:r>
              <w:rPr>
                <w:rFonts w:ascii="Arial" w:cs="Arial" w:eastAsia="Arial" w:hAnsi="Arial"/>
                <w:sz w:val="18"/>
                <w:szCs w:val="18"/>
                <w:color w:val="auto"/>
              </w:rPr>
              <w:t>94,205</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31,778</w:t>
            </w:r>
          </w:p>
        </w:tc>
        <w:tc>
          <w:tcPr>
            <w:tcW w:w="340" w:type="dxa"/>
            <w:vAlign w:val="bottom"/>
          </w:tcPr>
          <w:p>
            <w:pPr>
              <w:spacing w:after="0"/>
              <w:rPr>
                <w:sz w:val="18"/>
                <w:szCs w:val="18"/>
                <w:color w:val="auto"/>
              </w:rPr>
            </w:pPr>
          </w:p>
        </w:tc>
        <w:tc>
          <w:tcPr>
            <w:tcW w:w="1040" w:type="dxa"/>
            <w:vAlign w:val="bottom"/>
          </w:tcPr>
          <w:p>
            <w:pPr>
              <w:jc w:val="right"/>
              <w:ind w:right="176"/>
              <w:spacing w:after="0"/>
              <w:rPr>
                <w:sz w:val="20"/>
                <w:szCs w:val="20"/>
                <w:color w:val="auto"/>
              </w:rPr>
            </w:pPr>
            <w:r>
              <w:rPr>
                <w:rFonts w:ascii="Arial" w:cs="Arial" w:eastAsia="Arial" w:hAnsi="Arial"/>
                <w:sz w:val="18"/>
                <w:szCs w:val="18"/>
                <w:color w:val="auto"/>
              </w:rPr>
              <w:t>25,824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b w:val="1"/>
                <w:bCs w:val="1"/>
                <w:color w:val="auto"/>
              </w:rPr>
              <w:t>97,983</w:t>
            </w:r>
          </w:p>
        </w:tc>
        <w:tc>
          <w:tcPr>
            <w:tcW w:w="380" w:type="dxa"/>
            <w:vAlign w:val="bottom"/>
          </w:tcPr>
          <w:p>
            <w:pPr>
              <w:spacing w:after="0"/>
              <w:rPr>
                <w:sz w:val="18"/>
                <w:szCs w:val="18"/>
                <w:color w:val="auto"/>
              </w:rPr>
            </w:pP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74,599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4.27</w:t>
            </w:r>
          </w:p>
        </w:tc>
        <w:tc>
          <w:tcPr>
            <w:tcW w:w="34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3.46</w:t>
            </w: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23%</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13.14</w:t>
            </w:r>
          </w:p>
        </w:tc>
        <w:tc>
          <w:tcPr>
            <w:tcW w:w="38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9.99</w:t>
            </w:r>
          </w:p>
        </w:tc>
        <w:tc>
          <w:tcPr>
            <w:tcW w:w="11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0"/>
                <w:szCs w:val="20"/>
                <w:color w:val="auto"/>
              </w:rPr>
            </w:pPr>
            <w:r>
              <w:rPr>
                <w:rFonts w:ascii="Arial" w:cs="Arial" w:eastAsia="Arial" w:hAnsi="Arial"/>
                <w:sz w:val="18"/>
                <w:szCs w:val="18"/>
                <w:color w:val="auto"/>
              </w:rPr>
              <w:t>Adjusted net income (non-GAAP)</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31,792</w:t>
            </w:r>
          </w:p>
        </w:tc>
        <w:tc>
          <w:tcPr>
            <w:tcW w:w="340" w:type="dxa"/>
            <w:vAlign w:val="bottom"/>
          </w:tcPr>
          <w:p>
            <w:pPr>
              <w:spacing w:after="0"/>
              <w:rPr>
                <w:sz w:val="23"/>
                <w:szCs w:val="23"/>
                <w:color w:val="auto"/>
              </w:rPr>
            </w:pPr>
          </w:p>
        </w:tc>
        <w:tc>
          <w:tcPr>
            <w:tcW w:w="1040" w:type="dxa"/>
            <w:vAlign w:val="bottom"/>
          </w:tcPr>
          <w:p>
            <w:pPr>
              <w:jc w:val="right"/>
              <w:ind w:right="176"/>
              <w:spacing w:after="0"/>
              <w:rPr>
                <w:sz w:val="20"/>
                <w:szCs w:val="20"/>
                <w:color w:val="auto"/>
              </w:rPr>
            </w:pPr>
            <w:r>
              <w:rPr>
                <w:rFonts w:ascii="Arial" w:cs="Arial" w:eastAsia="Arial" w:hAnsi="Arial"/>
                <w:sz w:val="18"/>
                <w:szCs w:val="18"/>
                <w:color w:val="auto"/>
              </w:rPr>
              <w:t>26,407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3"/>
                <w:szCs w:val="23"/>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b w:val="1"/>
                <w:bCs w:val="1"/>
                <w:color w:val="auto"/>
              </w:rPr>
              <w:t>93,500</w:t>
            </w:r>
          </w:p>
        </w:tc>
        <w:tc>
          <w:tcPr>
            <w:tcW w:w="380" w:type="dxa"/>
            <w:vAlign w:val="bottom"/>
          </w:tcPr>
          <w:p>
            <w:pPr>
              <w:spacing w:after="0"/>
              <w:rPr>
                <w:sz w:val="23"/>
                <w:szCs w:val="23"/>
                <w:color w:val="auto"/>
              </w:rPr>
            </w:pPr>
          </w:p>
        </w:tc>
        <w:tc>
          <w:tcPr>
            <w:tcW w:w="940" w:type="dxa"/>
            <w:vAlign w:val="bottom"/>
          </w:tcPr>
          <w:p>
            <w:pPr>
              <w:jc w:val="right"/>
              <w:ind w:right="175"/>
              <w:spacing w:after="0"/>
              <w:rPr>
                <w:sz w:val="20"/>
                <w:szCs w:val="20"/>
                <w:color w:val="auto"/>
              </w:rPr>
            </w:pPr>
            <w:r>
              <w:rPr>
                <w:rFonts w:ascii="Arial" w:cs="Arial" w:eastAsia="Arial" w:hAnsi="Arial"/>
                <w:sz w:val="18"/>
                <w:szCs w:val="18"/>
                <w:color w:val="auto"/>
              </w:rPr>
              <w:t>76,644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4"/>
        </w:trPr>
        <w:tc>
          <w:tcPr>
            <w:tcW w:w="378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Adjusted diluted earnings per share (non-</w:t>
            </w:r>
          </w:p>
        </w:tc>
        <w:tc>
          <w:tcPr>
            <w:tcW w:w="1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86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36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0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80" w:type="dxa"/>
            <w:vAlign w:val="bottom"/>
            <w:shd w:val="clear" w:color="auto" w:fill="E5E5E5"/>
          </w:tcPr>
          <w:p>
            <w:pPr>
              <w:ind w:left="100"/>
              <w:spacing w:after="0"/>
              <w:rPr>
                <w:sz w:val="20"/>
                <w:szCs w:val="20"/>
                <w:color w:val="auto"/>
              </w:rPr>
            </w:pPr>
            <w:r>
              <w:rPr>
                <w:rFonts w:ascii="Arial" w:cs="Arial" w:eastAsia="Arial" w:hAnsi="Arial"/>
                <w:sz w:val="18"/>
                <w:szCs w:val="18"/>
                <w:color w:val="auto"/>
              </w:rPr>
              <w:t>GAAP)</w:t>
            </w:r>
          </w:p>
        </w:tc>
        <w:tc>
          <w:tcPr>
            <w:tcW w:w="1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4.27</w:t>
            </w:r>
          </w:p>
        </w:tc>
        <w:tc>
          <w:tcPr>
            <w:tcW w:w="34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3.54</w:t>
            </w:r>
          </w:p>
        </w:tc>
        <w:tc>
          <w:tcPr>
            <w:tcW w:w="11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35"/>
              <w:spacing w:after="0"/>
              <w:rPr>
                <w:sz w:val="20"/>
                <w:szCs w:val="20"/>
                <w:color w:val="auto"/>
              </w:rPr>
            </w:pPr>
            <w:r>
              <w:rPr>
                <w:rFonts w:ascii="Arial" w:cs="Arial" w:eastAsia="Arial" w:hAnsi="Arial"/>
                <w:sz w:val="18"/>
                <w:szCs w:val="18"/>
                <w:b w:val="1"/>
                <w:bCs w:val="1"/>
                <w:color w:val="auto"/>
              </w:rPr>
              <w:t>12.54</w:t>
            </w:r>
          </w:p>
        </w:tc>
        <w:tc>
          <w:tcPr>
            <w:tcW w:w="380" w:type="dxa"/>
            <w:vAlign w:val="bottom"/>
            <w:shd w:val="clear" w:color="auto" w:fill="E5E5E5"/>
          </w:tcPr>
          <w:p>
            <w:pPr>
              <w:spacing w:after="0"/>
              <w:rPr>
                <w:sz w:val="19"/>
                <w:szCs w:val="19"/>
                <w:color w:val="auto"/>
              </w:rPr>
            </w:pPr>
          </w:p>
        </w:tc>
        <w:tc>
          <w:tcPr>
            <w:tcW w:w="9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10.27</w:t>
            </w:r>
          </w:p>
        </w:tc>
        <w:tc>
          <w:tcPr>
            <w:tcW w:w="112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
        </w:trPr>
        <w:tc>
          <w:tcPr>
            <w:tcW w:w="3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06"/>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636"/>
              <w:spacing w:after="0"/>
              <w:rPr>
                <w:sz w:val="20"/>
                <w:szCs w:val="20"/>
                <w:color w:val="auto"/>
              </w:rPr>
            </w:pPr>
            <w:r>
              <w:rPr>
                <w:rFonts w:ascii="Arial" w:cs="Arial" w:eastAsia="Arial" w:hAnsi="Arial"/>
                <w:sz w:val="14"/>
                <w:szCs w:val="14"/>
                <w:color w:val="auto"/>
              </w:rPr>
              <w:t>34</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3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4" w:name="page35"/>
    <w:bookmarkEnd w:id="3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net income and adjusted diluted earnings per share (“EPS”) are non-GAAP financial measures. These non-GAAP financial measures exclude net gains and losses from investments in OpenAI. Refer to the Non-GAAP Financial Measures section below for a reconciliation of our financial results reported in accordance with GAAP to non-GAAP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with Three Months Ended March 31, 2025</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$12.8 billion or 18% driven by growth in Microsoft Cloud. Intelligent Cloud revenue increased driven by Azure. Productivity and Business Processes revenue increased driven by Microsoft 365 Commercial cloud. More Personal Computing revenue decreased with lower hardware sales across Devices and Gaming, offset in part by growth in Search advertising.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$4.9 billion or 22% driven by growth in Microsoft Cloud.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$7.9 billion or 16% with growth across each of our segments.</w:t>
      </w:r>
    </w:p>
    <w:p>
      <w:pPr>
        <w:spacing w:after="0" w:line="77" w:lineRule="exact"/>
        <w:rPr>
          <w:sz w:val="20"/>
          <w:szCs w:val="20"/>
          <w:color w:val="auto"/>
        </w:rPr>
      </w:pPr>
    </w:p>
    <w:p>
      <w:pPr>
        <w:ind w:left="10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decreased driven by continued investments in AI infrastructure and growing AI product usage, offset in part by efficiency gains across the Microsoft Cloud.</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decreased to 66% driven by continued investments in AI infrastructure and growing AI product usage, offset in part by efficiency gains in Azure and Microsoft 365 Commercial cloud.</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expenses increased $1.5 billion or 9% primarily driven by continued investments in research and development compute capacity, AI talent, and data to support product development across the portfolio. Total company headcount declined year-over-year.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$6.4 billion or 20% driven by growth in Productivity and Business Processes and Intelligent Cloud.</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Revenue, gross margin, and operating income included a favorable foreign currency impact of 3%, 3%, and 4%, respectively. Cost of revenue included an unfavorable foreign currency impact of 2%.</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 year net income and diluted EPS were negatively impacted by net losses from investments in OpenAI, which resulted in a decrease in net income of $ 14 million. Prior year net income and diluted EPS were negatively impacted by net losses from investments in OpenAI, which resulted in a decrease in net income and diluted EPS of $583 million and $0.08,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2026 Compared with Nine Months Ended March 31, 2025</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increased $36.5 billion or 18% driven by growth in Microsoft Cloud. Intelligent Cloud revenue increased driven by Azure. Productivity and Business Processes revenue increased driven by Microsoft 365 Commercial cloud. More Personal Computing revenue was relatively unchanged with growth in Search advertising offset by a decline in Gaming.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$13.0 billion or 20% driven by growth in Microsoft Cloud.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$23.5 billion or 17% with growth across each of our segments.</w:t>
      </w:r>
    </w:p>
    <w:p>
      <w:pPr>
        <w:spacing w:after="0" w:line="77" w:lineRule="exact"/>
        <w:rPr>
          <w:sz w:val="20"/>
          <w:szCs w:val="20"/>
          <w:color w:val="auto"/>
        </w:rPr>
      </w:pPr>
    </w:p>
    <w:p>
      <w:pPr>
        <w:ind w:left="10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decreased slightly primarily driven by continued investments in AI infrastructure and growing AI product usage, offset in part by efficiency gains across the Microsoft Cloud.</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decreased to 67% driven by continued investments in AI infrastructure and growing AI product usage, offset in part by efficiency gains in Azure and Microsoft 365 Commercial cloud.</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increased $3.1 billion or 7% driven by continued investments in research and development compute capacity, AI talent, and data to support product development across the portfolio, impairment and other related expenses in our Gaming business, and higher Copilot advertising expenses. Total company headcount declined year-over-year.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$20.4 billion or 22% driven by growth in Productivity and Business Processes and Intelligent Cloud.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5" w:name="page36"/>
    <w:bookmarkEnd w:id="3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gross margin, and operating income included a favorable foreign currency impact of 2%, 3%, and 3%, respectively. Operating expenses included an unfavorable foreign currency impact of 2%.</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 year net income and diluted EPS were positively impacted by net gains from investments in OpenAI, which resulted in an increase in net income and diluted EPS of $4.5 billion and $0.60, respectively. Prior year net income and diluted EPS were negatively impacted by net losses from investments in OpenAI, which resulted in a decrease in net income and diluted EPS of $2.0 billion and $0.28,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80" w:type="dxa"/>
            <w:vAlign w:val="bottom"/>
          </w:tcPr>
          <w:p>
            <w:pPr>
              <w:spacing w:after="0"/>
              <w:rPr>
                <w:sz w:val="13"/>
                <w:szCs w:val="13"/>
                <w:color w:val="auto"/>
              </w:rPr>
            </w:pPr>
          </w:p>
        </w:tc>
        <w:tc>
          <w:tcPr>
            <w:tcW w:w="226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Percentage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Nine Months Ended</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March 31,</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12"/>
        </w:trPr>
        <w:tc>
          <w:tcPr>
            <w:tcW w:w="4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2025</w:t>
            </w: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2026</w:t>
            </w: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2025</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20"/>
                <w:szCs w:val="20"/>
                <w:color w:val="auto"/>
              </w:rPr>
            </w:pPr>
            <w:r>
              <w:rPr>
                <w:rFonts w:ascii="Arial" w:cs="Arial" w:eastAsia="Arial" w:hAnsi="Arial"/>
                <w:sz w:val="13"/>
                <w:szCs w:val="13"/>
                <w:b w:val="1"/>
                <w:bCs w:val="1"/>
                <w:color w:val="auto"/>
              </w:rPr>
              <w:t>Productivity and Business Processes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35,013</w:t>
            </w:r>
          </w:p>
        </w:tc>
        <w:tc>
          <w:tcPr>
            <w:tcW w:w="500" w:type="dxa"/>
            <w:vAlign w:val="bottom"/>
            <w:gridSpan w:val="2"/>
            <w:shd w:val="clear" w:color="auto" w:fill="E5E5E5"/>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29,944</w:t>
            </w:r>
          </w:p>
        </w:tc>
        <w:tc>
          <w:tcPr>
            <w:tcW w:w="11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102,149</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87,698</w:t>
            </w: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6,197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5,517</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18,028</w:t>
            </w:r>
          </w:p>
        </w:tc>
        <w:tc>
          <w:tcPr>
            <w:tcW w:w="2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16,380</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7,843</w:t>
            </w:r>
          </w:p>
        </w:tc>
        <w:tc>
          <w:tcPr>
            <w:tcW w:w="2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7,048</w:t>
            </w:r>
          </w:p>
        </w:tc>
        <w:tc>
          <w:tcPr>
            <w:tcW w:w="110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22,142</w:t>
            </w:r>
          </w:p>
        </w:tc>
        <w:tc>
          <w:tcPr>
            <w:tcW w:w="2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20,538</w:t>
            </w: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
        </w:trPr>
        <w:tc>
          <w:tcPr>
            <w:tcW w:w="4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2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20,973</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17,379</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61,979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50,780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20"/>
                <w:szCs w:val="20"/>
                <w:color w:val="auto"/>
              </w:rPr>
            </w:pPr>
            <w:r>
              <w:rPr>
                <w:rFonts w:ascii="Arial" w:cs="Arial" w:eastAsia="Arial" w:hAnsi="Arial"/>
                <w:sz w:val="13"/>
                <w:szCs w:val="13"/>
                <w:b w:val="1"/>
                <w:bCs w:val="1"/>
                <w:color w:val="auto"/>
              </w:rPr>
              <w:t>Intelligent Cloud</w:t>
            </w: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34,681</w:t>
            </w:r>
          </w:p>
        </w:tc>
        <w:tc>
          <w:tcPr>
            <w:tcW w:w="500" w:type="dxa"/>
            <w:vAlign w:val="bottom"/>
            <w:gridSpan w:val="2"/>
            <w:shd w:val="clear" w:color="auto" w:fill="E5E5E5"/>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26,751</w:t>
            </w:r>
          </w:p>
        </w:tc>
        <w:tc>
          <w:tcPr>
            <w:tcW w:w="11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30%</w:t>
            </w:r>
          </w:p>
        </w:tc>
        <w:tc>
          <w:tcPr>
            <w:tcW w:w="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98,485</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76,387</w:t>
            </w: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15,120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10,307</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41,000</w:t>
            </w:r>
          </w:p>
        </w:tc>
        <w:tc>
          <w:tcPr>
            <w:tcW w:w="2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28,326</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4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5,808</w:t>
            </w:r>
          </w:p>
        </w:tc>
        <w:tc>
          <w:tcPr>
            <w:tcW w:w="2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5,349</w:t>
            </w:r>
          </w:p>
        </w:tc>
        <w:tc>
          <w:tcPr>
            <w:tcW w:w="110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16,468</w:t>
            </w:r>
          </w:p>
        </w:tc>
        <w:tc>
          <w:tcPr>
            <w:tcW w:w="2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15,612</w:t>
            </w: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
        </w:trPr>
        <w:tc>
          <w:tcPr>
            <w:tcW w:w="4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2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13,753</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11,095</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32,449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20"/>
                <w:szCs w:val="20"/>
                <w:color w:val="auto"/>
              </w:rPr>
            </w:pPr>
            <w:r>
              <w:rPr>
                <w:rFonts w:ascii="Arial" w:cs="Arial" w:eastAsia="Arial" w:hAnsi="Arial"/>
                <w:sz w:val="13"/>
                <w:szCs w:val="13"/>
                <w:b w:val="1"/>
                <w:bCs w:val="1"/>
                <w:color w:val="auto"/>
              </w:rPr>
              <w:t>More Personal Computing</w:t>
            </w: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13,192</w:t>
            </w:r>
          </w:p>
        </w:tc>
        <w:tc>
          <w:tcPr>
            <w:tcW w:w="500" w:type="dxa"/>
            <w:vAlign w:val="bottom"/>
            <w:gridSpan w:val="2"/>
            <w:shd w:val="clear" w:color="auto" w:fill="E5E5E5"/>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13,371</w:t>
            </w:r>
          </w:p>
        </w:tc>
        <w:tc>
          <w:tcPr>
            <w:tcW w:w="11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41,198</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41,198</w:t>
            </w: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5,511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6,095</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17,821</w:t>
            </w:r>
          </w:p>
        </w:tc>
        <w:tc>
          <w:tcPr>
            <w:tcW w:w="2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19,111</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4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4,009</w:t>
            </w:r>
          </w:p>
        </w:tc>
        <w:tc>
          <w:tcPr>
            <w:tcW w:w="2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3,750</w:t>
            </w:r>
          </w:p>
        </w:tc>
        <w:tc>
          <w:tcPr>
            <w:tcW w:w="110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11,739</w:t>
            </w:r>
          </w:p>
        </w:tc>
        <w:tc>
          <w:tcPr>
            <w:tcW w:w="2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11,111</w:t>
            </w: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
        </w:trPr>
        <w:tc>
          <w:tcPr>
            <w:tcW w:w="4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2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3,672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3,526</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10,976</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1"/>
        </w:trPr>
        <w:tc>
          <w:tcPr>
            <w:tcW w:w="40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82,886</w:t>
            </w:r>
          </w:p>
        </w:tc>
        <w:tc>
          <w:tcPr>
            <w:tcW w:w="500" w:type="dxa"/>
            <w:vAlign w:val="bottom"/>
            <w:gridSpan w:val="2"/>
            <w:shd w:val="clear" w:color="auto" w:fill="E5E5E5"/>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70,066</w:t>
            </w:r>
          </w:p>
        </w:tc>
        <w:tc>
          <w:tcPr>
            <w:tcW w:w="110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18%</w:t>
            </w:r>
          </w:p>
        </w:tc>
        <w:tc>
          <w:tcPr>
            <w:tcW w:w="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241,832</w:t>
            </w:r>
          </w:p>
        </w:tc>
        <w:tc>
          <w:tcPr>
            <w:tcW w:w="22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205,283</w:t>
            </w:r>
          </w:p>
        </w:tc>
        <w:tc>
          <w:tcPr>
            <w:tcW w:w="10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26,828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21,919</w:t>
            </w:r>
          </w:p>
        </w:tc>
        <w:tc>
          <w:tcPr>
            <w:tcW w:w="11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76,849</w:t>
            </w:r>
          </w:p>
        </w:tc>
        <w:tc>
          <w:tcPr>
            <w:tcW w:w="2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63,817</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17,660</w:t>
            </w:r>
          </w:p>
        </w:tc>
        <w:tc>
          <w:tcPr>
            <w:tcW w:w="24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color w:val="auto"/>
              </w:rPr>
              <w:t>16,147</w:t>
            </w:r>
          </w:p>
        </w:tc>
        <w:tc>
          <w:tcPr>
            <w:tcW w:w="110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50,349</w:t>
            </w:r>
          </w:p>
        </w:tc>
        <w:tc>
          <w:tcPr>
            <w:tcW w:w="2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47,261</w:t>
            </w: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
        </w:trPr>
        <w:tc>
          <w:tcPr>
            <w:tcW w:w="4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020" w:type="dxa"/>
            <w:vAlign w:val="bottom"/>
          </w:tcPr>
          <w:p>
            <w:pPr>
              <w:ind w:left="10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38,398</w:t>
            </w:r>
          </w:p>
        </w:tc>
        <w:tc>
          <w:tcPr>
            <w:tcW w:w="24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32,000</w:t>
            </w:r>
          </w:p>
        </w:tc>
        <w:tc>
          <w:tcPr>
            <w:tcW w:w="2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114,634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94,205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
        </w:trPr>
        <w:tc>
          <w:tcPr>
            <w:tcW w:w="4020" w:type="dxa"/>
            <w:vAlign w:val="bottom"/>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with Three Months Ended March 31,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$5.1 billion or 17%.</w:t>
      </w:r>
    </w:p>
    <w:p>
      <w:pPr>
        <w:spacing w:after="0" w:line="77" w:lineRule="exact"/>
        <w:rPr>
          <w:sz w:val="20"/>
          <w:szCs w:val="20"/>
          <w:color w:val="auto"/>
        </w:rPr>
      </w:pPr>
    </w:p>
    <w:p>
      <w:pPr>
        <w:jc w:val="both"/>
        <w:ind w:left="1020" w:hanging="368"/>
        <w:spacing w:after="0" w:line="24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$3.7 billion or 17%. Microsoft 365 Commercial cloud revenue grew 19% with growth in revenue per user driven by Microsoft 365 E5 and Microsoft 365 Copilot. Microsoft 365 Commercial seats grew 6% driven by small and medium businesses and frontline worker offerings. Microsoft 365 Commercial products revenue grew 1%.</w:t>
      </w:r>
    </w:p>
    <w:p>
      <w:pPr>
        <w:spacing w:after="0" w:line="41"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$476 million or 26%. Microsoft 365 Consumer cloud revenue grew 33% driven by growth in revenue per user and Microsoft 365 Consumer subscriber growth of 7%.</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$521 million or 12% with growth across all lines of business.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$363 million or 19% driven by growth in Dynamics 365. Dynamics 365 revenue grew 22% with growth across all workloads.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6" w:name="page37"/>
    <w:bookmarkEnd w:id="3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$3.6 billion or 21%.</w:t>
      </w:r>
    </w:p>
    <w:p>
      <w:pPr>
        <w:spacing w:after="0" w:line="77" w:lineRule="exact"/>
        <w:rPr>
          <w:sz w:val="20"/>
          <w:szCs w:val="20"/>
          <w:color w:val="auto"/>
        </w:rPr>
      </w:pPr>
    </w:p>
    <w:p>
      <w:pPr>
        <w:ind w:left="1020" w:hanging="368"/>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increased $680 million or 12% driven by investments in AI infrastructure to support Microsoft 365 Copilot seat and usage growth.</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$4.4 billion or 18% driven by growth in Microsoft 365 Commercial cloud. Gross margin percentage increased slightly driven by efficiency gains in Microsoft 365 Commercial cloud even with continued investments in AI infrastructure and growing AI product usage.</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$795 million or 11% driven by continued investments in research and development compute capacity, AI talent, and data to support product development that benefits the entire portfolio, as well as higher Copilot advertising expenses.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gross margin, and operating income included a favorable foreign currency impact of 4%, 5%, and 7%, respectively. Operating expenses included an unfavorable foreign currency impact of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$7.9 billion or 30%.</w:t>
      </w:r>
    </w:p>
    <w:p>
      <w:pPr>
        <w:spacing w:after="0" w:line="77" w:lineRule="exact"/>
        <w:rPr>
          <w:sz w:val="20"/>
          <w:szCs w:val="20"/>
          <w:color w:val="auto"/>
        </w:rPr>
      </w:pPr>
    </w:p>
    <w:p>
      <w:pPr>
        <w:jc w:val="both"/>
        <w:ind w:left="1020" w:hanging="368"/>
        <w:spacing w:after="0" w:line="243"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$7.8 billion or 32% driven by Azure and other cloud services. Azure and other cloud services revenue grew 40% driven by demand for services across the platform with continued growth across all workloads. Server products revenue increased slightly, primarily driven by higher purchases of licenses running in multi-cloud environments, offset in part by renewals with lower in-period revenue recognition from the mix of contracts and continued customer shift to cloud.</w:t>
      </w:r>
    </w:p>
    <w:p>
      <w:pPr>
        <w:spacing w:after="0" w:line="4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revenue increased $141 million or 7% driven by growth in Enterprise Support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$2.7 billion or 24%.</w:t>
      </w:r>
    </w:p>
    <w:p>
      <w:pPr>
        <w:spacing w:after="0" w:line="77" w:lineRule="exact"/>
        <w:rPr>
          <w:sz w:val="20"/>
          <w:szCs w:val="20"/>
          <w:color w:val="auto"/>
        </w:rPr>
      </w:pPr>
    </w:p>
    <w:p>
      <w:pPr>
        <w:ind w:left="1020" w:hanging="368"/>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increased $4.8 billion or 47% driven by investments in AI infrastructure to support growing customer demand and increased GitHub Copilot usage.</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$3.1 billion or 19% driven by growth in Azure. Gross margin percentage decreased driven by the continued investments in AI infrastructure, offset in part by efficiency gains in Azure.</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$459 million or 9% primarily driven by continued investments in research and development compute capacity, AI talent, and data to support product development that benefits the entire portfolio.</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included a favorable foreign currency impact of 2%. Cost of revenue and operating expenses included an unfavorable foreign currency impact of 3% and 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$179 million or 1%.</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revenue decreased $103 million or 2%. Windows OEM and Devices revenue decreased 2% driven by a decline in Devices, offset in part by growth in Windows OEM as OEM partners continue to build inventory due to increasing memory pricing.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7" w:name="page38"/>
    <w:bookmarkEnd w:id="3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51" w:lineRule="exact"/>
        <w:rPr>
          <w:sz w:val="20"/>
          <w:szCs w:val="20"/>
          <w:color w:val="auto"/>
        </w:rPr>
      </w:pPr>
    </w:p>
    <w:p>
      <w:pPr>
        <w:jc w:val="both"/>
        <w:ind w:left="1020" w:hanging="368"/>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decreased $380 million or 7% driven by declines in Xbox content and services and Xbox hardware. Xbox content and services revenue decreased 5% on a prior year comparable that benefited from strong first-party content performance. Xbox hardware revenue decreased 33% driven by lower volume of consoles sold.</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Search advertising revenue increased $304 million or 9%. Search advertising revenue excluding traffic acquisition costs increased 12% driven by higher search volume and revenue per search, as well as continued benefit from third-party partnerships.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$146 million or 4%.</w:t>
      </w:r>
    </w:p>
    <w:p>
      <w:pPr>
        <w:spacing w:after="0" w:line="77" w:lineRule="exact"/>
        <w:rPr>
          <w:sz w:val="20"/>
          <w:szCs w:val="20"/>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decreased $584 million or 10% primarily driven by lower hardware sales.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$405 million or 6% driven by growth in Search advertising and Gaming. Gross margin percentage increased driven by sales mix shift to higher margin businesses.</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$259 million or 7% driven by impairment and other related expenses in our Gaming business and continued investments in research and development compute capacity, AI talent, and data to support product development that benefits the entire portfolio.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2%, 2%, and 3%,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2026 Compared with Nine Months Ended March 31, 2025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$14.5 billion or 16%.</w:t>
      </w:r>
    </w:p>
    <w:p>
      <w:pPr>
        <w:spacing w:after="0" w:line="77" w:lineRule="exact"/>
        <w:rPr>
          <w:sz w:val="20"/>
          <w:szCs w:val="20"/>
          <w:color w:val="auto"/>
        </w:rPr>
      </w:pPr>
    </w:p>
    <w:p>
      <w:pPr>
        <w:jc w:val="both"/>
        <w:ind w:left="1020" w:hanging="368"/>
        <w:spacing w:after="0" w:line="243"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Commercial products and cloud services revenue increased $10.6 billion or 17%. Microsoft 365 Commercial cloud revenue grew 18% with growth in revenue per user driven by Microsoft 365 E5 and Microsoft 365 Copilot, and continued Microsoft 365 Commercial seat growth. Microsoft 365 Commercial products revenue grew 10% driven by an increase in Office 2024 transactional purchasing, as well as growth in the Windows Commercial on-premises components of Microsoft 365 suite sales.</w:t>
      </w:r>
    </w:p>
    <w:p>
      <w:pPr>
        <w:spacing w:after="0" w:line="44"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365 Consumer products and cloud services revenue increased $1.4 billion or 27%. Microsoft 365 Consumer cloud revenue grew 29% driven by growth in revenue per user and continued growth in Microsoft 365 Consumer subscribers.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$1.4 billion or 11% with growth across all lines of business.</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$941 million or 17% driven by growth in Dynamics 365. Dynamics 365 revenue grew 20% with growth across all workloads.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$11.2 billion or 22%.</w:t>
      </w:r>
    </w:p>
    <w:p>
      <w:pPr>
        <w:spacing w:after="0" w:line="77" w:lineRule="exact"/>
        <w:rPr>
          <w:sz w:val="20"/>
          <w:szCs w:val="20"/>
          <w:color w:val="auto"/>
        </w:rPr>
      </w:pPr>
    </w:p>
    <w:p>
      <w:pPr>
        <w:ind w:left="1020" w:hanging="368"/>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increased $1.6 billion or 10% driven by investments in AI infrastructure to support Microsoft 365 Copilot seat and usage growth.</w:t>
      </w:r>
    </w:p>
    <w:p>
      <w:pPr>
        <w:spacing w:after="0" w:line="5" w:lineRule="exact"/>
        <w:rPr>
          <w:rFonts w:ascii="Times New Roman" w:cs="Times New Roman" w:eastAsia="Times New Roman" w:hAnsi="Times New Roman"/>
          <w:sz w:val="18"/>
          <w:szCs w:val="18"/>
          <w:color w:val="auto"/>
        </w:rPr>
      </w:pPr>
    </w:p>
    <w:p>
      <w:pPr>
        <w:jc w:val="both"/>
        <w:ind w:left="1020" w:right="20" w:hanging="368"/>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$12.8 billion or 18% driven by growth in Microsoft 365 Commercial cloud. Gross margin percentage increased driven by efficiency gains in Microsoft 365 Commercial cloud even with continued investments in AI infrastructure and growing AI product usage.</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$1.6 billion or 8% driven by continued investments in research and development compute capacity, AI talent, and data to support product development that benefits the entire portfolio, as well as higher Copilot advertising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Revenue, gross margin, and operating income included a favorable foreign currency impact of 2%, 3%, and 4%,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8" w:name="page39"/>
    <w:bookmarkEnd w:id="38"/>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$22.1 billion or 29%.</w:t>
      </w:r>
    </w:p>
    <w:p>
      <w:pPr>
        <w:spacing w:after="0" w:line="77" w:lineRule="exact"/>
        <w:rPr>
          <w:sz w:val="20"/>
          <w:szCs w:val="20"/>
          <w:color w:val="auto"/>
        </w:rPr>
      </w:pPr>
    </w:p>
    <w:p>
      <w:pPr>
        <w:jc w:val="both"/>
        <w:ind w:left="1020" w:hanging="368"/>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$21.8 billion or 31% driven by Azure and other cloud services. Azure and other cloud services revenue grew 40% driven by demand for services across the platform with continued growth across all workloads. Server products revenue increased 1% primarily driven by higher purchases of licenses running in multi-cloud environments.</w:t>
      </w:r>
    </w:p>
    <w:p>
      <w:pPr>
        <w:spacing w:after="0" w:line="4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and partner services revenue increased $381 million or 7% driven by growth in Enterprise Support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$8.6 billion or 26%.</w:t>
      </w:r>
    </w:p>
    <w:p>
      <w:pPr>
        <w:spacing w:after="0" w:line="77" w:lineRule="exact"/>
        <w:rPr>
          <w:sz w:val="20"/>
          <w:szCs w:val="20"/>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increased $12.7 billion or 45% driven by investments in AI infrastructure to support growing customer demand.</w:t>
      </w:r>
    </w:p>
    <w:p>
      <w:pPr>
        <w:spacing w:after="0" w:line="8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$9.4 billion or 20% driven by growth in Azure. Gross margin percentage decreased driven by the continued investments in AI infrastructure, offset in part by efficiency gains in Azure.</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$856 million or 5% driven by continued investments in research and development compute capacity, AI talent, and data to support product development that benefits the entire portfolio.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included an unfavorable foreign currency impact of 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was relatively unchanged.</w:t>
      </w:r>
    </w:p>
    <w:p>
      <w:pPr>
        <w:spacing w:after="0" w:line="77" w:lineRule="exact"/>
        <w:rPr>
          <w:sz w:val="20"/>
          <w:szCs w:val="20"/>
          <w:color w:val="auto"/>
        </w:rPr>
      </w:pPr>
    </w:p>
    <w:p>
      <w:pPr>
        <w:ind w:left="1020" w:hanging="368"/>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Windows and Devices revenue increased slightly. Windows OEM and Devices revenue increased 2% driven by Windows OEM growth of 8% with inventory levels that remained elevated, offset in part by a decline in Devices.</w:t>
      </w:r>
    </w:p>
    <w:p>
      <w:pPr>
        <w:spacing w:after="0" w:line="5"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decreased $1.1 billion or 6% driven by declines in Xbox hardware and Xbox content and services. Xbox hardware revenue decreased 31% driven by lower volume of consoles sold. Xbox content and services revenue decreased 3% on a prior year comparable that benefited from strong first-party content performance, offset in part by growth in Xbox Game Pass.</w:t>
      </w:r>
    </w:p>
    <w:p>
      <w:pPr>
        <w:spacing w:after="0" w:line="41"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Search advertising revenue increased $1.0 billion or 10%. Search advertising revenue excluding traffic acquisition costs increased 13% driven by higher search volume and revenue per search, as well as continued benefit from third-party partnerships.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$662 million or 6%.</w:t>
      </w:r>
    </w:p>
    <w:p>
      <w:pPr>
        <w:spacing w:after="0" w:line="77" w:lineRule="exact"/>
        <w:rPr>
          <w:sz w:val="20"/>
          <w:szCs w:val="20"/>
          <w:color w:val="auto"/>
        </w:rPr>
      </w:pPr>
    </w:p>
    <w:p>
      <w:pPr>
        <w:ind w:left="1020" w:hanging="368"/>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Cost of revenue decreased $1.3 billion or 7% driven by lower hardware sales, offset in part by growth in Search advertising.</w:t>
      </w:r>
    </w:p>
    <w:p>
      <w:pPr>
        <w:spacing w:after="0" w:line="8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$1.3 billion or 6% driven by growth in Search advertising and Windows OEM. Gross margin percentage increased driven by sales mix shift to higher margin businesses.</w:t>
      </w:r>
    </w:p>
    <w:p>
      <w:pPr>
        <w:spacing w:after="0" w:line="19"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$628 million or 6% driven by impairment and other related expenses in our Gaming business and continued investments in research and development compute capacity, AI talent, and data to support product development that benefits the entire portfolio.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included a favorable foreign currency impact of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9" w:name="page40"/>
    <w:bookmarkEnd w:id="39"/>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200" w:type="dxa"/>
            <w:vAlign w:val="bottom"/>
          </w:tcPr>
          <w:p>
            <w:pPr>
              <w:spacing w:after="0"/>
              <w:rPr>
                <w:sz w:val="13"/>
                <w:szCs w:val="13"/>
                <w:color w:val="auto"/>
              </w:rPr>
            </w:pPr>
          </w:p>
        </w:tc>
        <w:tc>
          <w:tcPr>
            <w:tcW w:w="218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jc w:val="right"/>
              <w:ind w:right="21"/>
              <w:spacing w:after="0"/>
              <w:rPr>
                <w:sz w:val="20"/>
                <w:szCs w:val="20"/>
                <w:color w:val="auto"/>
              </w:rPr>
            </w:pPr>
            <w:r>
              <w:rPr>
                <w:rFonts w:ascii="Arial" w:cs="Arial" w:eastAsia="Arial" w:hAnsi="Arial"/>
                <w:sz w:val="13"/>
                <w:szCs w:val="13"/>
                <w:b w:val="1"/>
                <w:bCs w:val="1"/>
                <w:color w:val="auto"/>
              </w:rPr>
              <w:t>Percentage</w:t>
            </w:r>
          </w:p>
        </w:tc>
        <w:tc>
          <w:tcPr>
            <w:tcW w:w="420" w:type="dxa"/>
            <w:vAlign w:val="bottom"/>
          </w:tcPr>
          <w:p>
            <w:pPr>
              <w:spacing w:after="0"/>
              <w:rPr>
                <w:sz w:val="13"/>
                <w:szCs w:val="13"/>
                <w:color w:val="auto"/>
              </w:rPr>
            </w:pPr>
          </w:p>
        </w:tc>
        <w:tc>
          <w:tcPr>
            <w:tcW w:w="2200" w:type="dxa"/>
            <w:vAlign w:val="bottom"/>
            <w:gridSpan w:val="3"/>
          </w:tcPr>
          <w:p>
            <w:pPr>
              <w:jc w:val="right"/>
              <w:ind w:right="161"/>
              <w:spacing w:after="0"/>
              <w:rPr>
                <w:sz w:val="20"/>
                <w:szCs w:val="20"/>
                <w:color w:val="auto"/>
              </w:rPr>
            </w:pPr>
            <w:r>
              <w:rPr>
                <w:rFonts w:ascii="Arial" w:cs="Arial" w:eastAsia="Arial" w:hAnsi="Arial"/>
                <w:sz w:val="13"/>
                <w:szCs w:val="13"/>
                <w:b w:val="1"/>
                <w:bCs w:val="1"/>
                <w:color w:val="auto"/>
              </w:rPr>
              <w:t>Nine Months Ended</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81"/>
              <w:spacing w:after="0"/>
              <w:rPr>
                <w:sz w:val="20"/>
                <w:szCs w:val="20"/>
                <w:color w:val="auto"/>
              </w:rPr>
            </w:pPr>
            <w:r>
              <w:rPr>
                <w:rFonts w:ascii="Arial" w:cs="Arial" w:eastAsia="Arial" w:hAnsi="Arial"/>
                <w:sz w:val="13"/>
                <w:szCs w:val="13"/>
                <w:b w:val="1"/>
                <w:bCs w:val="1"/>
                <w:color w:val="auto"/>
              </w:rPr>
              <w:t>March 31,</w:t>
            </w:r>
          </w:p>
        </w:tc>
        <w:tc>
          <w:tcPr>
            <w:tcW w:w="1080" w:type="dxa"/>
            <w:vAlign w:val="bottom"/>
          </w:tcPr>
          <w:p>
            <w:pPr>
              <w:jc w:val="right"/>
              <w:ind w:right="21"/>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161"/>
              <w:spacing w:after="0"/>
              <w:rPr>
                <w:sz w:val="20"/>
                <w:szCs w:val="20"/>
                <w:color w:val="auto"/>
              </w:rPr>
            </w:pPr>
            <w:r>
              <w:rPr>
                <w:rFonts w:ascii="Arial" w:cs="Arial" w:eastAsia="Arial" w:hAnsi="Arial"/>
                <w:sz w:val="13"/>
                <w:szCs w:val="13"/>
                <w:b w:val="1"/>
                <w:bCs w:val="1"/>
                <w:color w:val="auto"/>
              </w:rPr>
              <w:t>March 31,</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30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2026</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2025</w:t>
            </w:r>
          </w:p>
        </w:tc>
        <w:tc>
          <w:tcPr>
            <w:tcW w:w="10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3"/>
                <w:szCs w:val="13"/>
                <w:b w:val="1"/>
                <w:bCs w:val="1"/>
                <w:color w:val="auto"/>
              </w:rPr>
              <w:t>2026</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2025</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80" w:type="dxa"/>
            <w:vAlign w:val="bottom"/>
            <w:shd w:val="clear" w:color="auto" w:fill="E5E5E5"/>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61"/>
              <w:spacing w:after="0"/>
              <w:rPr>
                <w:sz w:val="20"/>
                <w:szCs w:val="20"/>
                <w:color w:val="auto"/>
              </w:rPr>
            </w:pPr>
            <w:r>
              <w:rPr>
                <w:rFonts w:ascii="Arial" w:cs="Arial" w:eastAsia="Arial" w:hAnsi="Arial"/>
                <w:sz w:val="18"/>
                <w:szCs w:val="18"/>
                <w:b w:val="1"/>
                <w:bCs w:val="1"/>
                <w:color w:val="auto"/>
              </w:rPr>
              <w:t>8,915</w:t>
            </w:r>
          </w:p>
        </w:tc>
        <w:tc>
          <w:tcPr>
            <w:tcW w:w="36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8,198</w:t>
            </w:r>
          </w:p>
        </w:tc>
        <w:tc>
          <w:tcPr>
            <w:tcW w:w="1080" w:type="dxa"/>
            <w:vAlign w:val="bottom"/>
            <w:shd w:val="clear" w:color="auto" w:fill="E5E5E5"/>
          </w:tcPr>
          <w:p>
            <w:pPr>
              <w:jc w:val="right"/>
              <w:ind w:right="21"/>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E5E5E5"/>
          </w:tcPr>
          <w:p>
            <w:pPr>
              <w:jc w:val="right"/>
              <w:ind w:right="21"/>
              <w:spacing w:after="0"/>
              <w:rPr>
                <w:sz w:val="20"/>
                <w:szCs w:val="20"/>
                <w:color w:val="auto"/>
              </w:rPr>
            </w:pPr>
            <w:r>
              <w:rPr>
                <w:rFonts w:ascii="Arial" w:cs="Arial" w:eastAsia="Arial" w:hAnsi="Arial"/>
                <w:sz w:val="18"/>
                <w:szCs w:val="18"/>
                <w:b w:val="1"/>
                <w:bCs w:val="1"/>
                <w:color w:val="auto"/>
              </w:rPr>
              <w:t>25,565</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23,659</w:t>
            </w:r>
          </w:p>
        </w:tc>
        <w:tc>
          <w:tcPr>
            <w:tcW w:w="108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11%</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color w:val="auto"/>
              </w:rPr>
              <w:t>12%</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(1)ppt</w:t>
            </w:r>
          </w:p>
        </w:tc>
        <w:tc>
          <w:tcPr>
            <w:tcW w:w="4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11%</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color w:val="auto"/>
              </w:rPr>
              <w:t>12%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technology development costs, including AI training and other infrastructure costs, third-party development and programming costs, and the amortization of purchased software code and services content.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with Three Months Ended March 31, 2025</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expenses increased $717 million or 9% driven by continued investments in compute capacity, AI talent, and data to support product development across the portfolio, with headcount declining year-over-year.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2026 Compared with Nine Months Ended March 31, 2025</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expenses increased $1.9 billion or 8% driven by continued investments in compute capacity, AI talent, and data to support product development across the portfolio, as well as impairment and other related expenses in our Gaming business, with headcount declining year-over-year.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240" w:type="dxa"/>
            <w:vAlign w:val="bottom"/>
          </w:tcPr>
          <w:p>
            <w:pPr>
              <w:spacing w:after="0"/>
              <w:rPr>
                <w:sz w:val="12"/>
                <w:szCs w:val="12"/>
                <w:color w:val="auto"/>
              </w:rPr>
            </w:pPr>
          </w:p>
        </w:tc>
        <w:tc>
          <w:tcPr>
            <w:tcW w:w="2160" w:type="dxa"/>
            <w:vAlign w:val="bottom"/>
            <w:gridSpan w:val="3"/>
          </w:tcPr>
          <w:p>
            <w:pPr>
              <w:jc w:val="right"/>
              <w:ind w:right="16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420" w:type="dxa"/>
            <w:vAlign w:val="bottom"/>
          </w:tcPr>
          <w:p>
            <w:pPr>
              <w:spacing w:after="0"/>
              <w:rPr>
                <w:sz w:val="12"/>
                <w:szCs w:val="12"/>
                <w:color w:val="auto"/>
              </w:rPr>
            </w:pPr>
          </w:p>
        </w:tc>
        <w:tc>
          <w:tcPr>
            <w:tcW w:w="2200" w:type="dxa"/>
            <w:vAlign w:val="bottom"/>
            <w:gridSpan w:val="3"/>
          </w:tcPr>
          <w:p>
            <w:pPr>
              <w:jc w:val="right"/>
              <w:ind w:right="141"/>
              <w:spacing w:after="0"/>
              <w:rPr>
                <w:sz w:val="20"/>
                <w:szCs w:val="20"/>
                <w:color w:val="auto"/>
              </w:rPr>
            </w:pPr>
            <w:r>
              <w:rPr>
                <w:rFonts w:ascii="Arial" w:cs="Arial" w:eastAsia="Arial" w:hAnsi="Arial"/>
                <w:sz w:val="13"/>
                <w:szCs w:val="13"/>
                <w:b w:val="1"/>
                <w:bCs w:val="1"/>
                <w:color w:val="auto"/>
              </w:rPr>
              <w:t>Nine Months Ended</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30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61"/>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141"/>
              <w:spacing w:after="0"/>
              <w:rPr>
                <w:sz w:val="20"/>
                <w:szCs w:val="20"/>
                <w:color w:val="auto"/>
              </w:rPr>
            </w:pPr>
            <w:r>
              <w:rPr>
                <w:rFonts w:ascii="Arial" w:cs="Arial" w:eastAsia="Arial" w:hAnsi="Arial"/>
                <w:sz w:val="13"/>
                <w:szCs w:val="13"/>
                <w:b w:val="1"/>
                <w:bCs w:val="1"/>
                <w:color w:val="auto"/>
              </w:rPr>
              <w:t>March 31,</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30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2026</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2025</w:t>
            </w:r>
          </w:p>
        </w:tc>
        <w:tc>
          <w:tcPr>
            <w:tcW w:w="1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2026</w:t>
            </w: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2025</w:t>
            </w: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Sales and marketing</w:t>
            </w:r>
          </w:p>
        </w:tc>
        <w:tc>
          <w:tcPr>
            <w:tcW w:w="124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6,814</w:t>
            </w:r>
          </w:p>
        </w:tc>
        <w:tc>
          <w:tcPr>
            <w:tcW w:w="3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161"/>
              <w:spacing w:after="0"/>
              <w:rPr>
                <w:sz w:val="20"/>
                <w:szCs w:val="20"/>
                <w:color w:val="auto"/>
              </w:rPr>
            </w:pPr>
            <w:r>
              <w:rPr>
                <w:rFonts w:ascii="Arial" w:cs="Arial" w:eastAsia="Arial" w:hAnsi="Arial"/>
                <w:sz w:val="18"/>
                <w:szCs w:val="18"/>
                <w:color w:val="auto"/>
              </w:rPr>
              <w:t>6,212</w:t>
            </w:r>
          </w:p>
        </w:tc>
        <w:tc>
          <w:tcPr>
            <w:tcW w:w="110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10%</w:t>
            </w:r>
          </w:p>
        </w:tc>
        <w:tc>
          <w:tcPr>
            <w:tcW w:w="4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19,115</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41"/>
              <w:spacing w:after="0"/>
              <w:rPr>
                <w:sz w:val="20"/>
                <w:szCs w:val="20"/>
                <w:color w:val="auto"/>
              </w:rPr>
            </w:pPr>
            <w:r>
              <w:rPr>
                <w:rFonts w:ascii="Arial" w:cs="Arial" w:eastAsia="Arial" w:hAnsi="Arial"/>
                <w:sz w:val="18"/>
                <w:szCs w:val="18"/>
                <w:color w:val="auto"/>
              </w:rPr>
              <w:t>18,369</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a percent of revenue</w:t>
            </w:r>
          </w:p>
        </w:tc>
        <w:tc>
          <w:tcPr>
            <w:tcW w:w="1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8%</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(1)ppt</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8%</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(1)ppt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with Three Months Ended March 31, 2025</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Sales and marketing expenses increased $602 million or 10% primarily driven by higher Copilot advertising expenses, with headcount declining year-over-year. Sales and marketing included an unfavorable foreign currency impact of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2026 Compared with Nine Months Ended March 31, 2025</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Sales and marketing expenses increased $ 746 million or 4% driven by higher Copilot advertising expenses, with headcount declining year-over-year. Sales and marketing included an unfavorable foreign currency impact of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220" w:type="dxa"/>
            <w:vAlign w:val="bottom"/>
          </w:tcPr>
          <w:p>
            <w:pPr>
              <w:spacing w:after="0"/>
              <w:rPr>
                <w:sz w:val="12"/>
                <w:szCs w:val="12"/>
                <w:color w:val="auto"/>
              </w:rPr>
            </w:pPr>
          </w:p>
        </w:tc>
        <w:tc>
          <w:tcPr>
            <w:tcW w:w="2220" w:type="dxa"/>
            <w:vAlign w:val="bottom"/>
            <w:gridSpan w:val="3"/>
          </w:tcPr>
          <w:p>
            <w:pPr>
              <w:jc w:val="right"/>
              <w:ind w:right="183"/>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460" w:type="dxa"/>
            <w:vAlign w:val="bottom"/>
          </w:tcPr>
          <w:p>
            <w:pPr>
              <w:spacing w:after="0"/>
              <w:rPr>
                <w:sz w:val="12"/>
                <w:szCs w:val="12"/>
                <w:color w:val="auto"/>
              </w:rPr>
            </w:pPr>
          </w:p>
        </w:tc>
        <w:tc>
          <w:tcPr>
            <w:tcW w:w="2120" w:type="dxa"/>
            <w:vAlign w:val="bottom"/>
            <w:gridSpan w:val="3"/>
          </w:tcPr>
          <w:p>
            <w:pPr>
              <w:jc w:val="right"/>
              <w:ind w:right="121"/>
              <w:spacing w:after="0"/>
              <w:rPr>
                <w:sz w:val="20"/>
                <w:szCs w:val="20"/>
                <w:color w:val="auto"/>
              </w:rPr>
            </w:pPr>
            <w:r>
              <w:rPr>
                <w:rFonts w:ascii="Arial" w:cs="Arial" w:eastAsia="Arial" w:hAnsi="Arial"/>
                <w:sz w:val="13"/>
                <w:szCs w:val="13"/>
                <w:b w:val="1"/>
                <w:bCs w:val="1"/>
                <w:color w:val="auto"/>
              </w:rPr>
              <w:t>Nine Months Ended</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306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183"/>
              <w:spacing w:after="0"/>
              <w:rPr>
                <w:sz w:val="20"/>
                <w:szCs w:val="20"/>
                <w:color w:val="auto"/>
              </w:rPr>
            </w:pPr>
            <w:r>
              <w:rPr>
                <w:rFonts w:ascii="Arial" w:cs="Arial" w:eastAsia="Arial" w:hAnsi="Arial"/>
                <w:sz w:val="13"/>
                <w:szCs w:val="13"/>
                <w:b w:val="1"/>
                <w:bCs w:val="1"/>
                <w:color w:val="auto"/>
              </w:rPr>
              <w:t>March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Arial" w:cs="Arial" w:eastAsia="Arial" w:hAnsi="Arial"/>
                <w:sz w:val="13"/>
                <w:szCs w:val="13"/>
                <w:b w:val="1"/>
                <w:bCs w:val="1"/>
                <w:color w:val="auto"/>
              </w:rPr>
              <w:t>March 31,</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30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2026</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2025</w:t>
            </w: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2026</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2025</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60" w:type="dxa"/>
            <w:vAlign w:val="bottom"/>
            <w:shd w:val="clear" w:color="auto" w:fill="E5E5E5"/>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1,931</w:t>
            </w:r>
          </w:p>
        </w:tc>
        <w:tc>
          <w:tcPr>
            <w:tcW w:w="340" w:type="dxa"/>
            <w:vAlign w:val="bottom"/>
            <w:shd w:val="clear" w:color="auto" w:fill="E5E5E5"/>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1,737</w:t>
            </w:r>
          </w:p>
        </w:tc>
        <w:tc>
          <w:tcPr>
            <w:tcW w:w="1100" w:type="dxa"/>
            <w:vAlign w:val="bottom"/>
            <w:shd w:val="clear" w:color="auto" w:fill="E5E5E5"/>
          </w:tcPr>
          <w:p>
            <w:pPr>
              <w:jc w:val="right"/>
              <w:ind w:right="41"/>
              <w:spacing w:after="0"/>
              <w:rPr>
                <w:sz w:val="20"/>
                <w:szCs w:val="20"/>
                <w:color w:val="auto"/>
              </w:rPr>
            </w:pPr>
            <w:r>
              <w:rPr>
                <w:rFonts w:ascii="Arial" w:cs="Arial" w:eastAsia="Arial" w:hAnsi="Arial"/>
                <w:sz w:val="18"/>
                <w:szCs w:val="18"/>
                <w:color w:val="auto"/>
              </w:rPr>
              <w:t>11%</w:t>
            </w:r>
          </w:p>
        </w:tc>
        <w:tc>
          <w:tcPr>
            <w:tcW w:w="4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5E5E5"/>
          </w:tcPr>
          <w:p>
            <w:pPr>
              <w:jc w:val="right"/>
              <w:ind w:right="41"/>
              <w:spacing w:after="0"/>
              <w:rPr>
                <w:sz w:val="20"/>
                <w:szCs w:val="20"/>
                <w:color w:val="auto"/>
              </w:rPr>
            </w:pPr>
            <w:r>
              <w:rPr>
                <w:rFonts w:ascii="Arial" w:cs="Arial" w:eastAsia="Arial" w:hAnsi="Arial"/>
                <w:sz w:val="18"/>
                <w:szCs w:val="18"/>
                <w:b w:val="1"/>
                <w:bCs w:val="1"/>
                <w:color w:val="auto"/>
              </w:rPr>
              <w:t>5,669</w:t>
            </w:r>
          </w:p>
        </w:tc>
        <w:tc>
          <w:tcPr>
            <w:tcW w:w="340" w:type="dxa"/>
            <w:vAlign w:val="bottom"/>
            <w:shd w:val="clear" w:color="auto" w:fill="E5E5E5"/>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5,233</w:t>
            </w:r>
          </w:p>
        </w:tc>
        <w:tc>
          <w:tcPr>
            <w:tcW w:w="10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2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1"/>
                <w:szCs w:val="21"/>
                <w:color w:val="auto"/>
              </w:rPr>
            </w:pPr>
          </w:p>
        </w:tc>
        <w:tc>
          <w:tcPr>
            <w:tcW w:w="1060" w:type="dxa"/>
            <w:vAlign w:val="bottom"/>
          </w:tcPr>
          <w:p>
            <w:pPr>
              <w:jc w:val="right"/>
              <w:ind w:right="183"/>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0ppt</w:t>
            </w:r>
          </w:p>
        </w:tc>
        <w:tc>
          <w:tcPr>
            <w:tcW w:w="46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1"/>
                <w:szCs w:val="21"/>
                <w:color w:val="auto"/>
              </w:rPr>
            </w:pPr>
          </w:p>
        </w:tc>
        <w:tc>
          <w:tcPr>
            <w:tcW w:w="960" w:type="dxa"/>
            <w:vAlign w:val="bottom"/>
          </w:tcPr>
          <w:p>
            <w:pPr>
              <w:jc w:val="right"/>
              <w:ind w:right="121"/>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(1)ppt</w:t>
            </w:r>
          </w:p>
        </w:tc>
        <w:tc>
          <w:tcPr>
            <w:tcW w:w="0" w:type="dxa"/>
            <w:vAlign w:val="bottom"/>
          </w:tcPr>
          <w:p>
            <w:pPr>
              <w:spacing w:after="0"/>
              <w:rPr>
                <w:sz w:val="1"/>
                <w:szCs w:val="1"/>
                <w:color w:val="auto"/>
              </w:rPr>
            </w:pPr>
          </w:p>
        </w:tc>
      </w:tr>
      <w:tr>
        <w:trPr>
          <w:trHeight w:val="606"/>
        </w:trPr>
        <w:tc>
          <w:tcPr>
            <w:tcW w:w="30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723"/>
              <w:spacing w:after="0"/>
              <w:rPr>
                <w:sz w:val="20"/>
                <w:szCs w:val="20"/>
                <w:color w:val="auto"/>
              </w:rPr>
            </w:pPr>
            <w:r>
              <w:rPr>
                <w:rFonts w:ascii="Arial" w:cs="Arial" w:eastAsia="Arial" w:hAnsi="Arial"/>
                <w:sz w:val="14"/>
                <w:szCs w:val="14"/>
                <w:color w:val="auto"/>
              </w:rPr>
              <w:t>40</w:t>
            </w:r>
          </w:p>
        </w:tc>
        <w:tc>
          <w:tcPr>
            <w:tcW w:w="1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3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0" w:name="page41"/>
    <w:bookmarkEnd w:id="40"/>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with Three Months Ended March 31, 2025</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 and administrative expenses increased $194 million or 11% primarily driven by higher legal expenses, with headcount declining year-over-year.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2026 Compared with Nine Months Ended March 31, 2025</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 and administrative expenses increased $436 million or 8% driven by higher legal expenses, with headcount declining year-over-year.</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ind w:left="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1"/>
        </w:trPr>
        <w:tc>
          <w:tcPr>
            <w:tcW w:w="56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2026</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dividends income</w:t>
            </w:r>
          </w:p>
        </w:tc>
        <w:tc>
          <w:tcPr>
            <w:tcW w:w="46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730</w:t>
            </w:r>
          </w:p>
        </w:tc>
        <w:tc>
          <w:tcPr>
            <w:tcW w:w="50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597</w:t>
            </w:r>
          </w:p>
        </w:tc>
        <w:tc>
          <w:tcPr>
            <w:tcW w:w="46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2,546</w:t>
            </w:r>
          </w:p>
        </w:tc>
        <w:tc>
          <w:tcPr>
            <w:tcW w:w="440" w:type="dxa"/>
            <w:vAlign w:val="bottom"/>
            <w:gridSpan w:val="2"/>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(778)</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(2,212)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3"/>
        </w:trPr>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(losses) on investments</w:t>
            </w:r>
          </w:p>
        </w:tc>
        <w:tc>
          <w:tcPr>
            <w:tcW w:w="4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1,652</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111</w:t>
            </w:r>
          </w:p>
        </w:tc>
        <w:tc>
          <w:tcPr>
            <w:tcW w:w="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1,419</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Net gains (losses) on derivatives</w:t>
            </w:r>
          </w:p>
        </w:tc>
        <w:tc>
          <w:tcPr>
            <w:tcW w:w="46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124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1,740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5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gains (losses) on foreign currency remeasurements</w:t>
            </w:r>
          </w:p>
        </w:tc>
        <w:tc>
          <w:tcPr>
            <w:tcW w:w="4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(295)</w:t>
            </w:r>
          </w:p>
        </w:tc>
        <w:tc>
          <w:tcPr>
            <w:tcW w:w="16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89</w:t>
            </w:r>
          </w:p>
        </w:tc>
        <w:tc>
          <w:tcPr>
            <w:tcW w:w="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(367)</w:t>
            </w:r>
          </w:p>
        </w:tc>
        <w:tc>
          <w:tcPr>
            <w:tcW w:w="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Other, net</w:t>
            </w:r>
          </w:p>
        </w:tc>
        <w:tc>
          <w:tcPr>
            <w:tcW w:w="46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(491)</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34"/>
        </w:trPr>
        <w:tc>
          <w:tcPr>
            <w:tcW w:w="56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shd w:val="clear" w:color="auto" w:fill="E5E5E5"/>
          </w:tcPr>
          <w:p>
            <w:pPr>
              <w:ind w:left="140"/>
              <w:spacing w:after="0" w:line="202" w:lineRule="exact"/>
              <w:rPr>
                <w:sz w:val="20"/>
                <w:szCs w:val="20"/>
                <w:color w:val="auto"/>
              </w:rPr>
            </w:pPr>
            <w:r>
              <w:rPr>
                <w:rFonts w:ascii="Arial" w:cs="Arial" w:eastAsia="Arial" w:hAnsi="Arial"/>
                <w:sz w:val="18"/>
                <w:szCs w:val="18"/>
                <w:color w:val="auto"/>
              </w:rPr>
              <w:t>Total</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942</w:t>
            </w:r>
          </w:p>
        </w:tc>
        <w:tc>
          <w:tcPr>
            <w:tcW w:w="5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(623)</w:t>
            </w:r>
          </w:p>
        </w:tc>
        <w:tc>
          <w:tcPr>
            <w:tcW w:w="4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7,253</w:t>
            </w:r>
          </w:p>
        </w:tc>
        <w:tc>
          <w:tcPr>
            <w:tcW w:w="440" w:type="dxa"/>
            <w:vAlign w:val="bottom"/>
            <w:gridSpan w:val="2"/>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48"/>
        </w:trPr>
        <w:tc>
          <w:tcPr>
            <w:tcW w:w="56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income (expense), net included $19 million of net losses and $5.9 billion of net gains for the three and nine months ended March 31, 2026, respectively, and $768 million and $2.7 billion of net losses for the three and nine months ended March 31, 2025, respectively, from investments in OpenAI, primarily net recognized gains (losses) on our equity method investment reflected in Other, net. The net gains recorded for the nine months ended March 31, 2026 primarily relate to the dilution gain from the OpenAI Recapitalization.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2026 Compared with Three Months Ended March 31, 2025</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dividends income increased primarily due to higher portfolio balances and higher yields on debt securities. Interest expense increased primarily due to higher finance lease interest expense, offset in part by higher capitalization of debt interest expense. Net recognized gains on investments increased primarily due to higher gains on equity securities in the current period. Net gains on derivatives decreased primarily due to lower gains on equity derivatives in the current period. Other, net primarily reflects net recognized gains (losses) on equity method investments, including OpenAI.</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2026 Compared with Nine Months Ended March 31, 2025</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dividends income increased primarily due to higher portfolio balances and higher yields on debt securities. Interest expense increased primarily due to higher finance lease interest expense, offset in part by higher capitalization of debt interest expense. Net recognized gains on investments increased primarily due to higher gains on equity securities and lower impairments in the current period. Net gains on derivatives increased primarily due to gains on equity derivatives in the current period as compared to losses in the prior period. Other, net primarily reflects net recognized gains (losses) on equity method investments, including OpenAI.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1" w:name="page42"/>
    <w:bookmarkEnd w:id="41"/>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effective tax rate was 19% and 18% for the three months ended March 31, 2026 and 2025, respectively, and 20% and 18% for the nine months ended March 31, 2026 and 2025, respectively. The increase in our effective tax rate for the three months ended March 31, 2026 compared to the prior year was primarily due to changes in the mix of our earnings and tax expenses between the U.S. and foreign countries. The increase in our effective tax rate for the nine months ended March 31, 2026 compared to the prior year was primarily due to changes in the mix of our earnings and tax expenses between the U.S. and foreign countries and deferred tax expense attributable to the dilution gain from the OpenAI Recapitalization.</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and nine months ended March 31, 2026, primarily due to earnings taxed at lower rates in foreign jurisdictions resulting from producing and distributing our products and services through our foreign regional operations center in Ireland.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March 31, 2026,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some of which are currently under audit by local tax authorities. The resolution of these audits is not expected to be material to our consolidated financial statements. Our operations in Ireland remain subject to examination for tax years 2021 and thereafter.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Adjusted other income (expense), net, adjusted net income, and adjusted diluted EPS are non-GAAP financial measures which exclude net (gains) losses from investments in OpenAI. We believe these non-GAAP measures aid investors by providing additional insight into our financial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2" w:name="page43"/>
    <w:bookmarkEnd w:id="42"/>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320" w:type="dxa"/>
            <w:vAlign w:val="bottom"/>
          </w:tcPr>
          <w:p>
            <w:pPr>
              <w:spacing w:after="0"/>
              <w:rPr>
                <w:sz w:val="13"/>
                <w:szCs w:val="13"/>
                <w:color w:val="auto"/>
              </w:rPr>
            </w:pPr>
          </w:p>
        </w:tc>
        <w:tc>
          <w:tcPr>
            <w:tcW w:w="2300" w:type="dxa"/>
            <w:vAlign w:val="bottom"/>
            <w:gridSpan w:val="6"/>
          </w:tcPr>
          <w:p>
            <w:pPr>
              <w:jc w:val="right"/>
              <w:ind w:right="280"/>
              <w:spacing w:after="0"/>
              <w:rPr>
                <w:sz w:val="20"/>
                <w:szCs w:val="20"/>
                <w:color w:val="auto"/>
              </w:rPr>
            </w:pPr>
            <w:r>
              <w:rPr>
                <w:rFonts w:ascii="Arial" w:cs="Arial" w:eastAsia="Arial" w:hAnsi="Arial"/>
                <w:sz w:val="13"/>
                <w:szCs w:val="13"/>
                <w:b w:val="1"/>
                <w:bCs w:val="1"/>
                <w:color w:val="auto"/>
              </w:rPr>
              <w:t>Three Months Ended</w:t>
            </w:r>
          </w:p>
        </w:tc>
        <w:tc>
          <w:tcPr>
            <w:tcW w:w="1060" w:type="dxa"/>
            <w:vAlign w:val="bottom"/>
          </w:tcPr>
          <w:p>
            <w:pPr>
              <w:jc w:val="right"/>
              <w:ind w:right="14"/>
              <w:spacing w:after="0"/>
              <w:rPr>
                <w:sz w:val="20"/>
                <w:szCs w:val="20"/>
                <w:color w:val="auto"/>
              </w:rPr>
            </w:pPr>
            <w:r>
              <w:rPr>
                <w:rFonts w:ascii="Arial" w:cs="Arial" w:eastAsia="Arial" w:hAnsi="Arial"/>
                <w:sz w:val="13"/>
                <w:szCs w:val="13"/>
                <w:b w:val="1"/>
                <w:bCs w:val="1"/>
                <w:color w:val="auto"/>
              </w:rPr>
              <w:t>Percentage</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Nine Months Ended</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March 31,</w:t>
            </w:r>
          </w:p>
        </w:tc>
        <w:tc>
          <w:tcPr>
            <w:tcW w:w="1060" w:type="dxa"/>
            <w:vAlign w:val="bottom"/>
          </w:tcPr>
          <w:p>
            <w:pPr>
              <w:jc w:val="right"/>
              <w:ind w:right="14"/>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31,</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1"/>
        </w:trPr>
        <w:tc>
          <w:tcPr>
            <w:tcW w:w="40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2025</w:t>
            </w: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0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942</w:t>
            </w:r>
          </w:p>
        </w:tc>
        <w:tc>
          <w:tcPr>
            <w:tcW w:w="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(623)</w:t>
            </w:r>
          </w:p>
        </w:tc>
        <w:tc>
          <w:tcPr>
            <w:tcW w:w="10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251%</w:t>
            </w:r>
          </w:p>
        </w:tc>
        <w:tc>
          <w:tcPr>
            <w:tcW w:w="3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7,253</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(3,194)</w:t>
            </w:r>
          </w:p>
        </w:tc>
        <w:tc>
          <w:tcPr>
            <w:tcW w:w="10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Net (gains) losses from investments in OpenAI</w:t>
            </w:r>
          </w:p>
        </w:tc>
        <w:tc>
          <w:tcPr>
            <w:tcW w:w="3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768</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(5,898)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2,692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34"/>
        </w:trPr>
        <w:tc>
          <w:tcPr>
            <w:tcW w:w="40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shd w:val="clear" w:color="auto" w:fill="E5E5E5"/>
          </w:tcPr>
          <w:p>
            <w:pPr>
              <w:ind w:left="100"/>
              <w:spacing w:after="0" w:line="183" w:lineRule="exact"/>
              <w:rPr>
                <w:sz w:val="20"/>
                <w:szCs w:val="20"/>
                <w:color w:val="auto"/>
              </w:rPr>
            </w:pPr>
            <w:r>
              <w:rPr>
                <w:rFonts w:ascii="Arial" w:cs="Arial" w:eastAsia="Arial" w:hAnsi="Arial"/>
                <w:sz w:val="18"/>
                <w:szCs w:val="18"/>
                <w:color w:val="auto"/>
              </w:rPr>
              <w:t>Adjusted other income (expense), net (non-</w:t>
            </w:r>
          </w:p>
        </w:tc>
        <w:tc>
          <w:tcPr>
            <w:tcW w:w="3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E5E5E5"/>
          </w:tcPr>
          <w:p>
            <w:pPr>
              <w:ind w:left="180"/>
              <w:spacing w:after="0"/>
              <w:rPr>
                <w:sz w:val="20"/>
                <w:szCs w:val="20"/>
                <w:color w:val="auto"/>
              </w:rPr>
            </w:pPr>
            <w:r>
              <w:rPr>
                <w:rFonts w:ascii="Arial" w:cs="Arial" w:eastAsia="Arial" w:hAnsi="Arial"/>
                <w:sz w:val="18"/>
                <w:szCs w:val="18"/>
                <w:color w:val="auto"/>
              </w:rPr>
              <w:t>GAAP)</w:t>
            </w:r>
          </w:p>
        </w:tc>
        <w:tc>
          <w:tcPr>
            <w:tcW w:w="3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961</w:t>
            </w:r>
          </w:p>
        </w:tc>
        <w:tc>
          <w:tcPr>
            <w:tcW w:w="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145</w:t>
            </w:r>
          </w:p>
        </w:tc>
        <w:tc>
          <w:tcPr>
            <w:tcW w:w="10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563%</w:t>
            </w:r>
          </w:p>
        </w:tc>
        <w:tc>
          <w:tcPr>
            <w:tcW w:w="3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1,355</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(502)</w:t>
            </w:r>
          </w:p>
        </w:tc>
        <w:tc>
          <w:tcPr>
            <w:tcW w:w="10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48"/>
        </w:trPr>
        <w:tc>
          <w:tcPr>
            <w:tcW w:w="40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31,778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25,824</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97,983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74,599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4"/>
        </w:trPr>
        <w:tc>
          <w:tcPr>
            <w:tcW w:w="4000" w:type="dxa"/>
            <w:vAlign w:val="bottom"/>
            <w:shd w:val="clear" w:color="auto" w:fill="E5E5E5"/>
          </w:tcPr>
          <w:p>
            <w:pPr>
              <w:spacing w:after="0" w:line="183" w:lineRule="exact"/>
              <w:rPr>
                <w:sz w:val="20"/>
                <w:szCs w:val="20"/>
                <w:color w:val="auto"/>
              </w:rPr>
            </w:pPr>
            <w:r>
              <w:rPr>
                <w:rFonts w:ascii="Arial" w:cs="Arial" w:eastAsia="Arial" w:hAnsi="Arial"/>
                <w:sz w:val="18"/>
                <w:szCs w:val="18"/>
                <w:color w:val="auto"/>
              </w:rPr>
              <w:t>Net (gains) losses from investments in OpenAI,</w:t>
            </w:r>
          </w:p>
        </w:tc>
        <w:tc>
          <w:tcPr>
            <w:tcW w:w="3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E5E5E5"/>
          </w:tcPr>
          <w:p>
            <w:pPr>
              <w:ind w:left="100"/>
              <w:spacing w:after="0"/>
              <w:rPr>
                <w:sz w:val="20"/>
                <w:szCs w:val="20"/>
                <w:color w:val="auto"/>
              </w:rPr>
            </w:pPr>
            <w:r>
              <w:rPr>
                <w:rFonts w:ascii="Arial" w:cs="Arial" w:eastAsia="Arial" w:hAnsi="Arial"/>
                <w:sz w:val="18"/>
                <w:szCs w:val="18"/>
                <w:color w:val="auto"/>
              </w:rPr>
              <w:t xml:space="preserve">net of tax of </w:t>
            </w:r>
            <w:r>
              <w:rPr>
                <w:rFonts w:ascii="Arial" w:cs="Arial" w:eastAsia="Arial" w:hAnsi="Arial"/>
                <w:sz w:val="18"/>
                <w:szCs w:val="18"/>
                <w:b w:val="1"/>
                <w:bCs w:val="1"/>
                <w:color w:val="auto"/>
              </w:rPr>
              <w:t>$(5)</w:t>
            </w:r>
            <w:r>
              <w:rPr>
                <w:rFonts w:ascii="Arial" w:cs="Arial" w:eastAsia="Arial" w:hAnsi="Arial"/>
                <w:sz w:val="18"/>
                <w:szCs w:val="18"/>
                <w:color w:val="auto"/>
              </w:rPr>
              <w:t xml:space="preserve">, $(185), </w:t>
            </w:r>
            <w:r>
              <w:rPr>
                <w:rFonts w:ascii="Arial" w:cs="Arial" w:eastAsia="Arial" w:hAnsi="Arial"/>
                <w:sz w:val="18"/>
                <w:szCs w:val="18"/>
                <w:b w:val="1"/>
                <w:bCs w:val="1"/>
                <w:color w:val="auto"/>
              </w:rPr>
              <w:t>$1,415</w:t>
            </w:r>
            <w:r>
              <w:rPr>
                <w:rFonts w:ascii="Arial" w:cs="Arial" w:eastAsia="Arial" w:hAnsi="Arial"/>
                <w:sz w:val="18"/>
                <w:szCs w:val="18"/>
                <w:color w:val="auto"/>
              </w:rPr>
              <w:t>, and $(647)</w:t>
            </w:r>
          </w:p>
        </w:tc>
        <w:tc>
          <w:tcPr>
            <w:tcW w:w="320" w:type="dxa"/>
            <w:vAlign w:val="bottom"/>
            <w:shd w:val="clear" w:color="auto" w:fill="E5E5E5"/>
          </w:tcPr>
          <w:p>
            <w:pPr>
              <w:spacing w:after="0"/>
              <w:rPr>
                <w:sz w:val="19"/>
                <w:szCs w:val="19"/>
                <w:color w:val="auto"/>
              </w:rPr>
            </w:pP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06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583</w:t>
            </w:r>
          </w:p>
        </w:tc>
        <w:tc>
          <w:tcPr>
            <w:tcW w:w="10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8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(4,483)</w:t>
            </w:r>
          </w:p>
        </w:tc>
        <w:tc>
          <w:tcPr>
            <w:tcW w:w="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100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2,045</w:t>
            </w:r>
          </w:p>
        </w:tc>
        <w:tc>
          <w:tcPr>
            <w:tcW w:w="10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40"/>
        </w:trPr>
        <w:tc>
          <w:tcPr>
            <w:tcW w:w="40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00" w:type="dxa"/>
            <w:vAlign w:val="bottom"/>
          </w:tcPr>
          <w:p>
            <w:pPr>
              <w:ind w:left="100"/>
              <w:spacing w:after="0"/>
              <w:rPr>
                <w:sz w:val="20"/>
                <w:szCs w:val="20"/>
                <w:color w:val="auto"/>
              </w:rPr>
            </w:pPr>
            <w:r>
              <w:rPr>
                <w:rFonts w:ascii="Arial" w:cs="Arial" w:eastAsia="Arial" w:hAnsi="Arial"/>
                <w:sz w:val="18"/>
                <w:szCs w:val="18"/>
                <w:color w:val="auto"/>
              </w:rPr>
              <w:t>Adjusted net income (non-GAAP)</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31,792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26,407</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93,500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76,644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4.27</w:t>
            </w:r>
          </w:p>
        </w:tc>
        <w:tc>
          <w:tcPr>
            <w:tcW w:w="3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3.46</w:t>
            </w:r>
          </w:p>
        </w:tc>
        <w:tc>
          <w:tcPr>
            <w:tcW w:w="1060" w:type="dxa"/>
            <w:vAlign w:val="bottom"/>
            <w:shd w:val="clear" w:color="auto" w:fill="E5E5E5"/>
          </w:tcPr>
          <w:p>
            <w:pPr>
              <w:jc w:val="right"/>
              <w:ind w:right="14"/>
              <w:spacing w:after="0" w:line="202" w:lineRule="exact"/>
              <w:rPr>
                <w:sz w:val="20"/>
                <w:szCs w:val="20"/>
                <w:color w:val="auto"/>
              </w:rPr>
            </w:pPr>
            <w:r>
              <w:rPr>
                <w:rFonts w:ascii="Arial" w:cs="Arial" w:eastAsia="Arial" w:hAnsi="Arial"/>
                <w:sz w:val="18"/>
                <w:szCs w:val="18"/>
                <w:color w:val="auto"/>
              </w:rPr>
              <w:t>23%</w:t>
            </w:r>
          </w:p>
        </w:tc>
        <w:tc>
          <w:tcPr>
            <w:tcW w:w="3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13.14</w:t>
            </w:r>
          </w:p>
        </w:tc>
        <w:tc>
          <w:tcPr>
            <w:tcW w:w="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9.99</w:t>
            </w:r>
          </w:p>
        </w:tc>
        <w:tc>
          <w:tcPr>
            <w:tcW w:w="10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Net (gains) losses from investments in OpenAI</w:t>
            </w:r>
          </w:p>
        </w:tc>
        <w:tc>
          <w:tcPr>
            <w:tcW w:w="3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(0.60)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0.28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34"/>
        </w:trPr>
        <w:tc>
          <w:tcPr>
            <w:tcW w:w="40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shd w:val="clear" w:color="auto" w:fill="E5E5E5"/>
          </w:tcPr>
          <w:p>
            <w:pPr>
              <w:ind w:left="100"/>
              <w:spacing w:after="0" w:line="183" w:lineRule="exact"/>
              <w:rPr>
                <w:sz w:val="20"/>
                <w:szCs w:val="20"/>
                <w:color w:val="auto"/>
              </w:rPr>
            </w:pPr>
            <w:r>
              <w:rPr>
                <w:rFonts w:ascii="Arial" w:cs="Arial" w:eastAsia="Arial" w:hAnsi="Arial"/>
                <w:sz w:val="18"/>
                <w:szCs w:val="18"/>
                <w:color w:val="auto"/>
              </w:rPr>
              <w:t>Adjusted diluted earnings per share (non-</w:t>
            </w:r>
          </w:p>
        </w:tc>
        <w:tc>
          <w:tcPr>
            <w:tcW w:w="32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28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60" w:type="dxa"/>
            <w:vAlign w:val="bottom"/>
            <w:shd w:val="clear" w:color="auto" w:fill="E5E5E5"/>
          </w:tcPr>
          <w:p>
            <w:pPr>
              <w:spacing w:after="0"/>
              <w:rPr>
                <w:sz w:val="15"/>
                <w:szCs w:val="15"/>
                <w:color w:val="auto"/>
              </w:rPr>
            </w:pPr>
          </w:p>
        </w:tc>
        <w:tc>
          <w:tcPr>
            <w:tcW w:w="70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7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E5E5E5"/>
          </w:tcPr>
          <w:p>
            <w:pPr>
              <w:ind w:left="180"/>
              <w:spacing w:after="0"/>
              <w:rPr>
                <w:sz w:val="20"/>
                <w:szCs w:val="20"/>
                <w:color w:val="auto"/>
              </w:rPr>
            </w:pPr>
            <w:r>
              <w:rPr>
                <w:rFonts w:ascii="Arial" w:cs="Arial" w:eastAsia="Arial" w:hAnsi="Arial"/>
                <w:sz w:val="18"/>
                <w:szCs w:val="18"/>
                <w:color w:val="auto"/>
              </w:rPr>
              <w:t>GAAP)</w:t>
            </w:r>
          </w:p>
        </w:tc>
        <w:tc>
          <w:tcPr>
            <w:tcW w:w="320" w:type="dxa"/>
            <w:vAlign w:val="bottom"/>
            <w:shd w:val="clear" w:color="auto" w:fill="E5E5E5"/>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4.27</w:t>
            </w:r>
          </w:p>
        </w:tc>
        <w:tc>
          <w:tcPr>
            <w:tcW w:w="36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280"/>
              <w:spacing w:after="0"/>
              <w:rPr>
                <w:sz w:val="20"/>
                <w:szCs w:val="20"/>
                <w:color w:val="auto"/>
              </w:rPr>
            </w:pPr>
            <w:r>
              <w:rPr>
                <w:rFonts w:ascii="Arial" w:cs="Arial" w:eastAsia="Arial" w:hAnsi="Arial"/>
                <w:sz w:val="18"/>
                <w:szCs w:val="18"/>
                <w:color w:val="auto"/>
              </w:rPr>
              <w:t>3.54</w:t>
            </w:r>
          </w:p>
        </w:tc>
        <w:tc>
          <w:tcPr>
            <w:tcW w:w="10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21%</w:t>
            </w:r>
          </w:p>
        </w:tc>
        <w:tc>
          <w:tcPr>
            <w:tcW w:w="3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b w:val="1"/>
                <w:bCs w:val="1"/>
                <w:color w:val="auto"/>
              </w:rPr>
              <w:t>12.54</w:t>
            </w:r>
          </w:p>
        </w:tc>
        <w:tc>
          <w:tcPr>
            <w:tcW w:w="32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10.27</w:t>
            </w:r>
          </w:p>
        </w:tc>
        <w:tc>
          <w:tcPr>
            <w:tcW w:w="10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8"/>
        </w:trPr>
        <w:tc>
          <w:tcPr>
            <w:tcW w:w="40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and material capital expenditures, for at least the next 12 months and thereafter for the foreseeable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$78.3 billion and $94.6 billion as of March 31, 2026 and June 30, 2025, respectively. Equity and other investments were $ 33.7 billion and $ 15.4 billion as of March 31, 2026 and June 30, 2025,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3" w:name="page44"/>
    <w:bookmarkEnd w:id="43"/>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from operations increased $ 34.0 billion to $127.5 billion for the nine months ended March 31, 2026, primarily due to an increase in cash received from customers and a decrease in cash used to pay income taxes, offset in part by an increase in cash paid to suppliers. Cash used in financing decreased $ 88 million to $40.8 billion for the nine months ended March 31, 2026, primarily due to a $6.0 billion decrease in cash used for repayments of debt, offset in part by a $3.8 billion increase in common stock repurchases and a $1.8 billion increase in dividends paid. Cash used in investing increased $42.6 billion to $84.7 billion for the nine months ended March 31, 2026, primarily due to a $32.7 billion increase in additions to property and equipment, a $9.1 billion increase in other investing primarily to facilitate the purchase of components, and a $3.8 billion decrease in cash from net investment purchases, sales, and maturities.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9 – Debt of the Notes to Financial Statements (Part I, Item 1 of this Form 10-Q).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cloud services and Software Assurance (“SA”).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expected future recognition of unearned revenue as of March 31, 2026:</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637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tcPr>
          <w:p>
            <w:pPr>
              <w:spacing w:after="0"/>
              <w:rPr>
                <w:sz w:val="20"/>
                <w:szCs w:val="20"/>
                <w:color w:val="auto"/>
              </w:rPr>
            </w:pPr>
            <w:r>
              <w:rPr>
                <w:rFonts w:ascii="Arial" w:cs="Arial" w:eastAsia="Arial" w:hAnsi="Arial"/>
                <w:sz w:val="13"/>
                <w:szCs w:val="13"/>
                <w:b w:val="1"/>
                <w:bCs w:val="1"/>
                <w:color w:val="auto"/>
              </w:rPr>
              <w:t>Three Months Ending</w:t>
            </w: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9680" w:type="dxa"/>
            <w:vAlign w:val="bottom"/>
            <w:shd w:val="clear" w:color="auto" w:fill="E5E5E5"/>
          </w:tcPr>
          <w:p>
            <w:pPr>
              <w:spacing w:after="0"/>
              <w:rPr>
                <w:sz w:val="20"/>
                <w:szCs w:val="20"/>
                <w:color w:val="auto"/>
              </w:rPr>
            </w:pPr>
            <w:r>
              <w:rPr>
                <w:rFonts w:ascii="Arial" w:cs="Arial" w:eastAsia="Arial" w:hAnsi="Arial"/>
                <w:sz w:val="18"/>
                <w:szCs w:val="18"/>
                <w:color w:val="auto"/>
              </w:rPr>
              <w:t>June 30, 2026</w:t>
            </w:r>
          </w:p>
        </w:tc>
        <w:tc>
          <w:tcPr>
            <w:tcW w:w="500" w:type="dxa"/>
            <w:vAlign w:val="bottom"/>
            <w:shd w:val="clear" w:color="auto" w:fill="E5E5E5"/>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24,810</w:t>
            </w:r>
          </w:p>
        </w:tc>
        <w:tc>
          <w:tcPr>
            <w:tcW w:w="100" w:type="dxa"/>
            <w:vAlign w:val="bottom"/>
            <w:shd w:val="clear" w:color="auto" w:fill="E5E5E5"/>
          </w:tcPr>
          <w:p>
            <w:pPr>
              <w:spacing w:after="0"/>
              <w:rPr>
                <w:sz w:val="18"/>
                <w:szCs w:val="18"/>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September 30, 2026</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13,449</w:t>
            </w:r>
          </w:p>
        </w:tc>
        <w:tc>
          <w:tcPr>
            <w:tcW w:w="100" w:type="dxa"/>
            <w:vAlign w:val="bottom"/>
          </w:tcPr>
          <w:p>
            <w:pPr>
              <w:spacing w:after="0"/>
              <w:rPr>
                <w:sz w:val="17"/>
                <w:szCs w:val="17"/>
                <w:color w:val="auto"/>
              </w:rPr>
            </w:pPr>
          </w:p>
        </w:tc>
      </w:tr>
      <w:tr>
        <w:trPr>
          <w:trHeight w:val="203"/>
        </w:trPr>
        <w:tc>
          <w:tcPr>
            <w:tcW w:w="9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December 31, 2026</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9,526</w:t>
            </w:r>
          </w:p>
        </w:tc>
        <w:tc>
          <w:tcPr>
            <w:tcW w:w="100" w:type="dxa"/>
            <w:vAlign w:val="bottom"/>
            <w:shd w:val="clear" w:color="auto" w:fill="E5E5E5"/>
          </w:tcPr>
          <w:p>
            <w:pPr>
              <w:spacing w:after="0"/>
              <w:rPr>
                <w:sz w:val="17"/>
                <w:szCs w:val="17"/>
                <w:color w:val="auto"/>
              </w:rPr>
            </w:pPr>
          </w:p>
        </w:tc>
      </w:tr>
      <w:tr>
        <w:trPr>
          <w:trHeight w:val="203"/>
        </w:trPr>
        <w:tc>
          <w:tcPr>
            <w:tcW w:w="9680" w:type="dxa"/>
            <w:vAlign w:val="bottom"/>
          </w:tcPr>
          <w:p>
            <w:pPr>
              <w:spacing w:after="0" w:line="202" w:lineRule="exact"/>
              <w:rPr>
                <w:sz w:val="20"/>
                <w:szCs w:val="20"/>
                <w:color w:val="auto"/>
              </w:rPr>
            </w:pPr>
            <w:r>
              <w:rPr>
                <w:rFonts w:ascii="Arial" w:cs="Arial" w:eastAsia="Arial" w:hAnsi="Arial"/>
                <w:sz w:val="18"/>
                <w:szCs w:val="18"/>
                <w:color w:val="auto"/>
              </w:rPr>
              <w:t>March 31, 2027</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3,139</w:t>
            </w:r>
          </w:p>
        </w:tc>
        <w:tc>
          <w:tcPr>
            <w:tcW w:w="100" w:type="dxa"/>
            <w:vAlign w:val="bottom"/>
          </w:tcPr>
          <w:p>
            <w:pPr>
              <w:spacing w:after="0"/>
              <w:rPr>
                <w:sz w:val="17"/>
                <w:szCs w:val="17"/>
                <w:color w:val="auto"/>
              </w:rPr>
            </w:pPr>
          </w:p>
        </w:tc>
      </w:tr>
      <w:tr>
        <w:trPr>
          <w:trHeight w:val="203"/>
        </w:trPr>
        <w:tc>
          <w:tcPr>
            <w:tcW w:w="96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Thereafter</w:t>
            </w:r>
          </w:p>
        </w:tc>
        <w:tc>
          <w:tcPr>
            <w:tcW w:w="5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2,753</w:t>
            </w:r>
          </w:p>
        </w:tc>
        <w:tc>
          <w:tcPr>
            <w:tcW w:w="100" w:type="dxa"/>
            <w:vAlign w:val="bottom"/>
            <w:shd w:val="clear" w:color="auto" w:fill="E5E5E5"/>
          </w:tcPr>
          <w:p>
            <w:pPr>
              <w:spacing w:after="0"/>
              <w:rPr>
                <w:sz w:val="17"/>
                <w:szCs w:val="17"/>
                <w:color w:val="auto"/>
              </w:rPr>
            </w:pPr>
          </w:p>
        </w:tc>
      </w:tr>
      <w:tr>
        <w:trPr>
          <w:trHeight w:val="40"/>
        </w:trPr>
        <w:tc>
          <w:tcPr>
            <w:tcW w:w="96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84"/>
        </w:trPr>
        <w:tc>
          <w:tcPr>
            <w:tcW w:w="968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53,677</w:t>
            </w:r>
          </w:p>
        </w:tc>
        <w:tc>
          <w:tcPr>
            <w:tcW w:w="100" w:type="dxa"/>
            <w:vAlign w:val="bottom"/>
          </w:tcPr>
          <w:p>
            <w:pPr>
              <w:spacing w:after="0"/>
              <w:rPr>
                <w:sz w:val="24"/>
                <w:szCs w:val="24"/>
                <w:color w:val="auto"/>
              </w:rPr>
            </w:pPr>
          </w:p>
        </w:tc>
      </w:tr>
    </w:tbl>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11 – Unearned Revenue of the Notes to Financial Statements (Part I, Item 1 of this 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4" w:name="page45"/>
    <w:bookmarkEnd w:id="44"/>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nine months ended March 31, 2026 and 2025, we repurchased 27 million shares and 23 million shares of our common stock for $13.3 billion and $9.8 billion, respectively, through our share repurchase program. All repurchases were made using cash resources. As of March 31, 2026, $44.0 billion remained of our $60 billion share repurchase program. Refer to Note 14 – Stockholders’ Equity of the Notes to Financial Statements (Part I, Item 1 of this Form 10-Q).</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nine months ended March 31, 2026 and 2025, our Board of Directors declared dividends totaling $20.3 billion and $18.5 billion, respectively. We intend to continue returning capital to shareholders in the form of dividends, subject to declaration by our Board of Directors. Refer to Note 14 – Stockholders’ Equity of the Notes to Financial Statements (Part I, Item 1 of this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Planned Uses of Capital</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will continue to invest in capital expenditures to support growth in our cloud offerings and our investments in AI infrastructure and training. We have operating and finance leases for datacenters, corporate offices, research and development facilities, and certain equipment. We have not engaged in any related party transactions or arrangements with unconsolidated entities or other persons that are reasonably likely to materially affect liquidity or the availability of capital resources.</w:t>
      </w: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 Accounting Policies of the Notes to Financial Statements (Part I, Item 1 of this Form 10-Q).</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CRITICAL ACCOUNTING ESTIMATES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and income taxes.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5" w:name="page46"/>
    <w:bookmarkEnd w:id="45"/>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Remaining performance obligations represent the revenue we expect to recognize for our products and services for which control has not yet been transferred to customers. We estimate total consideration to be received at the outset of the agreement and throughout the term of the agreement. Estimating the total consideration and revenue that will be allocated to remaining performance obligation can involve significant judgments, including identifying and assessing variable consideration and potential renegotiation of commitments. We consider factors such as the nature of the terms and duration of the contract across our portfolio of contracts.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6" w:name="page47"/>
    <w:bookmarkEnd w:id="46"/>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Costs incurred internally in researching and developing a software product to be marketed or sold to external users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7" w:name="page48"/>
    <w:bookmarkEnd w:id="47"/>
    <w:p>
      <w:pPr>
        <w:ind w:left="5400"/>
        <w:spacing w:after="0"/>
        <w:rPr>
          <w:sz w:val="20"/>
          <w:szCs w:val="20"/>
          <w:color w:val="auto"/>
        </w:rPr>
      </w:pPr>
      <w:r>
        <w:rPr>
          <w:rFonts w:ascii="Arial" w:cs="Arial" w:eastAsia="Arial" w:hAnsi="Arial"/>
          <w:sz w:val="13"/>
          <w:szCs w:val="13"/>
          <w:u w:val="single" w:color="auto"/>
          <w:color w:val="auto"/>
        </w:rPr>
        <w:t>PART I</w:t>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Item 3, 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to facilitate portfolio diversification.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vMerge w:val="restart"/>
          </w:tcPr>
          <w:p>
            <w:pPr>
              <w:spacing w:after="0"/>
              <w:rPr>
                <w:sz w:val="20"/>
                <w:szCs w:val="20"/>
                <w:color w:val="auto"/>
              </w:rPr>
            </w:pPr>
            <w:r>
              <w:rPr>
                <w:rFonts w:ascii="Arial" w:cs="Arial" w:eastAsia="Arial" w:hAnsi="Arial"/>
                <w:sz w:val="13"/>
                <w:szCs w:val="13"/>
                <w:b w:val="1"/>
                <w:bCs w:val="1"/>
                <w:color w:val="auto"/>
              </w:rPr>
              <w:t>Risk Categories</w:t>
            </w:r>
          </w:p>
        </w:tc>
        <w:tc>
          <w:tcPr>
            <w:tcW w:w="528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Hypothetical Change</w:t>
            </w:r>
          </w:p>
        </w:tc>
        <w:tc>
          <w:tcPr>
            <w:tcW w:w="840" w:type="dxa"/>
            <w:vAlign w:val="bottom"/>
          </w:tcPr>
          <w:p>
            <w:pPr>
              <w:spacing w:after="0"/>
              <w:rPr>
                <w:sz w:val="12"/>
                <w:szCs w:val="12"/>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b w:val="1"/>
                <w:bCs w:val="1"/>
                <w:color w:val="auto"/>
              </w:rPr>
              <w:t>March 31,</w:t>
            </w:r>
          </w:p>
        </w:tc>
        <w:tc>
          <w:tcPr>
            <w:tcW w:w="12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95"/>
        </w:trPr>
        <w:tc>
          <w:tcPr>
            <w:tcW w:w="2940" w:type="dxa"/>
            <w:vAlign w:val="bottom"/>
            <w:vMerge w:val="continue"/>
          </w:tcPr>
          <w:p>
            <w:pPr>
              <w:spacing w:after="0"/>
              <w:rPr>
                <w:sz w:val="16"/>
                <w:szCs w:val="16"/>
                <w:color w:val="auto"/>
              </w:rPr>
            </w:pPr>
          </w:p>
        </w:tc>
        <w:tc>
          <w:tcPr>
            <w:tcW w:w="528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b w:val="1"/>
                <w:bCs w:val="1"/>
                <w:color w:val="auto"/>
              </w:rPr>
              <w:t>2026</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Foreign currency – Revenue</w:t>
            </w:r>
          </w:p>
        </w:tc>
        <w:tc>
          <w:tcPr>
            <w:tcW w:w="5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10% decrease in foreign exchange rates</w:t>
            </w:r>
          </w:p>
        </w:tc>
        <w:tc>
          <w:tcPr>
            <w:tcW w:w="840" w:type="dxa"/>
            <w:vAlign w:val="bottom"/>
            <w:shd w:val="clear" w:color="auto" w:fill="E5E5E5"/>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(12,938)</w:t>
            </w:r>
          </w:p>
        </w:tc>
        <w:tc>
          <w:tcPr>
            <w:tcW w:w="1240" w:type="dxa"/>
            <w:vAlign w:val="bottom"/>
            <w:shd w:val="clear" w:color="auto" w:fill="E5E5E5"/>
          </w:tcPr>
          <w:p>
            <w:pPr>
              <w:ind w:left="8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Foreign currency – Investments</w:t>
            </w:r>
          </w:p>
        </w:tc>
        <w:tc>
          <w:tcPr>
            <w:tcW w:w="5280" w:type="dxa"/>
            <w:vAlign w:val="bottom"/>
          </w:tcPr>
          <w:p>
            <w:pPr>
              <w:ind w:left="420"/>
              <w:spacing w:after="0" w:line="202" w:lineRule="exact"/>
              <w:rPr>
                <w:sz w:val="20"/>
                <w:szCs w:val="20"/>
                <w:color w:val="auto"/>
              </w:rPr>
            </w:pPr>
            <w:r>
              <w:rPr>
                <w:rFonts w:ascii="Arial" w:cs="Arial" w:eastAsia="Arial" w:hAnsi="Arial"/>
                <w:sz w:val="18"/>
                <w:szCs w:val="18"/>
                <w:color w:val="auto"/>
              </w:rPr>
              <w:t>10% decrease in foreign exchange rates</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240" w:type="dxa"/>
            <w:vAlign w:val="bottom"/>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w:t>
            </w:r>
          </w:p>
        </w:tc>
        <w:tc>
          <w:tcPr>
            <w:tcW w:w="52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100 basis point increase in U.S. treasury interest rates</w:t>
            </w:r>
          </w:p>
        </w:tc>
        <w:tc>
          <w:tcPr>
            <w:tcW w:w="84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(1,230)</w:t>
            </w:r>
          </w:p>
        </w:tc>
        <w:tc>
          <w:tcPr>
            <w:tcW w:w="1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Credit</w:t>
            </w:r>
          </w:p>
        </w:tc>
        <w:tc>
          <w:tcPr>
            <w:tcW w:w="5280" w:type="dxa"/>
            <w:vAlign w:val="bottom"/>
          </w:tcPr>
          <w:p>
            <w:pPr>
              <w:ind w:left="420"/>
              <w:spacing w:after="0" w:line="202" w:lineRule="exact"/>
              <w:rPr>
                <w:sz w:val="20"/>
                <w:szCs w:val="20"/>
                <w:color w:val="auto"/>
              </w:rPr>
            </w:pPr>
            <w:r>
              <w:rPr>
                <w:rFonts w:ascii="Arial" w:cs="Arial" w:eastAsia="Arial" w:hAnsi="Arial"/>
                <w:sz w:val="18"/>
                <w:szCs w:val="18"/>
                <w:color w:val="auto"/>
              </w:rPr>
              <w:t>100 basis point increase in credit spreads</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(429)</w:t>
            </w:r>
          </w:p>
        </w:tc>
        <w:tc>
          <w:tcPr>
            <w:tcW w:w="1240" w:type="dxa"/>
            <w:vAlign w:val="bottom"/>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w:t>
            </w:r>
          </w:p>
        </w:tc>
        <w:tc>
          <w:tcPr>
            <w:tcW w:w="5280" w:type="dxa"/>
            <w:vAlign w:val="bottom"/>
            <w:shd w:val="clear" w:color="auto" w:fill="E5E5E5"/>
          </w:tcPr>
          <w:p>
            <w:pPr>
              <w:ind w:left="420"/>
              <w:spacing w:after="0" w:line="202" w:lineRule="exact"/>
              <w:rPr>
                <w:sz w:val="20"/>
                <w:szCs w:val="20"/>
                <w:color w:val="auto"/>
              </w:rPr>
            </w:pPr>
            <w:r>
              <w:rPr>
                <w:rFonts w:ascii="Arial" w:cs="Arial" w:eastAsia="Arial" w:hAnsi="Arial"/>
                <w:sz w:val="18"/>
                <w:szCs w:val="18"/>
                <w:color w:val="auto"/>
              </w:rPr>
              <w:t>10% decrease in equity market prices</w:t>
            </w:r>
          </w:p>
        </w:tc>
        <w:tc>
          <w:tcPr>
            <w:tcW w:w="84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(2,248)</w:t>
            </w:r>
          </w:p>
        </w:tc>
        <w:tc>
          <w:tcPr>
            <w:tcW w:w="1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40"/>
        </w:trPr>
        <w:tc>
          <w:tcPr>
            <w:tcW w:w="294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March 31, 2026 that have materially affected, or are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1, 1A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13 – Contingencies of the Notes to Financial Statements (Part I, Item 1 of this Form 10-Q) for information regarding legal proceedings in which we are involved.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operations, financial condition, results of operations, liquidity, and the trading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could adversely affect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could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meet consumer demand and to achieve and maintain attractive margins. We face significant competition from firms that provide competing platforms.</w:t>
      </w:r>
    </w:p>
    <w:p>
      <w:pPr>
        <w:spacing w:after="0" w:line="39" w:lineRule="exact"/>
        <w:rPr>
          <w:sz w:val="20"/>
          <w:szCs w:val="20"/>
          <w:color w:val="auto"/>
        </w:rPr>
      </w:pPr>
    </w:p>
    <w:p>
      <w:pPr>
        <w:jc w:val="both"/>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vertically-integrated offer. We also offer some vertically-integrated hardware and software products and services. Shifting a portion of our business to a vertically-integrated model may increase our cost of revenue and reduce our operating margins.</w:t>
      </w:r>
    </w:p>
    <w:p>
      <w:pPr>
        <w:spacing w:after="0" w:line="48"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49" w:name="page50"/>
    <w:bookmarkEnd w:id="4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1" w:lineRule="exact"/>
        <w:rPr>
          <w:sz w:val="20"/>
          <w:szCs w:val="20"/>
          <w:color w:val="auto"/>
        </w:rPr>
      </w:pPr>
    </w:p>
    <w:p>
      <w:pPr>
        <w:jc w:val="both"/>
        <w:ind w:left="1020" w:hanging="368"/>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all of these reasons, we may not be able to compete successfully against our current and future competitors, which could adversely affect our business, operations,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20" w:hanging="368"/>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material part of our business involves cloud-based services available across the spectrum of computing devices. We and our competitors continue to devote significant resources to developing and deploying cloud-based strategies and services for consumers and business customers, and pricing and delivery models are evolving.</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We are investing in artificial intelligence (“AI”) across the entire company and infusing AI capabilities into our consumer and commercial offerings. AI technology and services are a highly competitive and rapidly evolving market, and new competitors continue to enter the market. We will bear significant development and operational costs to build and support the AI models, services, platforms, and infrastructure necessary to meet the needs of our customers. To compete effectively we must also be responsive to technological change, new and potential regulatory developments, and public scrutiny.</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44" w:lineRule="exact"/>
        <w:rPr>
          <w:rFonts w:ascii="Times New Roman" w:cs="Times New Roman" w:eastAsia="Times New Roman" w:hAnsi="Times New Roman"/>
          <w:sz w:val="18"/>
          <w:szCs w:val="18"/>
          <w:color w:val="auto"/>
        </w:rPr>
      </w:pPr>
    </w:p>
    <w:p>
      <w:pPr>
        <w:jc w:val="both"/>
        <w:ind w:left="1020" w:hanging="368"/>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spacing w:after="0" w:line="35"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Some companies compete with us by modifying and then distributing open-source software at little or no cost to end users, developing, making available, or using AI models that are open, and earning revenue on advertising or integrated products and services. These firms do not bear the full costs of research and development for the open-source products. Some open-source products mimic the features and functionality of our products.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which could adversely affect our financial condition and results of operations.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Our focus on cloud-based and AI services presents execution and competitive risks. </w:t>
      </w:r>
      <w:r>
        <w:rPr>
          <w:rFonts w:ascii="Arial" w:cs="Arial" w:eastAsia="Arial" w:hAnsi="Arial"/>
          <w:sz w:val="18"/>
          <w:szCs w:val="18"/>
          <w:color w:val="auto"/>
        </w:rPr>
        <w:t>We are incurring significant costs to build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infrastructure to support cloud-based and AI services, reducing operating margins. Whether we succeed in cloud-based and AI services depends on our execution in several areas, including:</w:t>
      </w:r>
    </w:p>
    <w:p>
      <w:pPr>
        <w:spacing w:after="0" w:line="34" w:lineRule="exact"/>
        <w:rPr>
          <w:sz w:val="20"/>
          <w:szCs w:val="20"/>
          <w:color w:val="auto"/>
        </w:rPr>
      </w:pPr>
    </w:p>
    <w:p>
      <w:pPr>
        <w:ind w:left="1020" w:right="20" w:hanging="368"/>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bring to market compelling cloud-based and AI services and products that generate increasing traffic and market share.</w:t>
      </w:r>
    </w:p>
    <w:p>
      <w:pPr>
        <w:spacing w:after="0" w:line="1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the utility, compatibility, and performance of our cloud-based and AI services on the growing array of computing devices, including PCs, smartphones, tablets, gaming consoles, and other devices.</w:t>
      </w:r>
    </w:p>
    <w:p>
      <w:pPr>
        <w:spacing w:after="0" w:line="1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0" w:name="page51"/>
    <w:bookmarkEnd w:id="5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1" w:lineRule="exact"/>
        <w:rPr>
          <w:sz w:val="20"/>
          <w:szCs w:val="20"/>
          <w:color w:val="auto"/>
        </w:rPr>
      </w:pPr>
    </w:p>
    <w:p>
      <w:pPr>
        <w:ind w:left="1020" w:hanging="368"/>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Ensuring our cloud-based services meet the reliability expectations and specific requirements of our customers and maintain the security of their data as well as help them meet their own compliance needs.</w:t>
      </w:r>
    </w:p>
    <w:p>
      <w:pPr>
        <w:spacing w:after="0" w:line="19"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uncertain whether our strategies will continue to attract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could adversely affect our operations, financial condition, and results of operations.</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AI systems offer users powerful tools and capabilities. However, there may be instances where these systems are used in ways that are unintended or inappropriate. In addition, some users may also engage in fraudulent or abusive activities through our cloud-based and AI services, such as unauthorized account access, payment fraud, or terms of service violations including cryptocurrency mining or launching cyberattacks. While we are committed to detecting and controlling such misuse of our cloud-based and AI services, our efforts may not be effective, and we may incur reputational damage or experience adverse impacts to our business and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AI-based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could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w:t>
      </w:r>
      <w:r>
        <w:rPr>
          <w:rFonts w:ascii="Arial" w:cs="Arial" w:eastAsia="Arial" w:hAnsi="Arial"/>
          <w:sz w:val="18"/>
          <w:szCs w:val="18"/>
          <w:color w:val="212529"/>
        </w:rPr>
        <w:t>in</w:t>
      </w:r>
      <w:r>
        <w:rPr>
          <w:rFonts w:ascii="Arial" w:cs="Arial" w:eastAsia="Arial" w:hAnsi="Arial"/>
          <w:sz w:val="18"/>
          <w:szCs w:val="18"/>
          <w:color w:val="auto"/>
        </w:rPr>
        <w:t xml:space="preserve"> October </w:t>
      </w:r>
      <w:r>
        <w:rPr>
          <w:rFonts w:ascii="Arial" w:cs="Arial" w:eastAsia="Arial" w:hAnsi="Arial"/>
          <w:sz w:val="18"/>
          <w:szCs w:val="18"/>
          <w:color w:val="212529"/>
        </w:rPr>
        <w:t>2023</w:t>
      </w:r>
      <w:r>
        <w:rPr>
          <w:rFonts w:ascii="Arial" w:cs="Arial" w:eastAsia="Arial" w:hAnsi="Arial"/>
          <w:sz w:val="18"/>
          <w:szCs w:val="18"/>
          <w:color w:val="auto"/>
        </w:rPr>
        <w:t xml:space="preserve"> </w:t>
      </w:r>
      <w:r>
        <w:rPr>
          <w:rFonts w:ascii="Arial" w:cs="Arial" w:eastAsia="Arial" w:hAnsi="Arial"/>
          <w:sz w:val="18"/>
          <w:szCs w:val="18"/>
          <w:color w:val="212529"/>
        </w:rPr>
        <w:t xml:space="preserve">we </w:t>
      </w:r>
      <w:r>
        <w:rPr>
          <w:rFonts w:ascii="Arial" w:cs="Arial" w:eastAsia="Arial" w:hAnsi="Arial"/>
          <w:sz w:val="18"/>
          <w:szCs w:val="18"/>
          <w:color w:val="000000"/>
        </w:rPr>
        <w:t>completed our acquisition of</w:t>
      </w:r>
      <w:r>
        <w:rPr>
          <w:rFonts w:ascii="Arial" w:cs="Arial" w:eastAsia="Arial" w:hAnsi="Arial"/>
          <w:sz w:val="18"/>
          <w:szCs w:val="18"/>
          <w:color w:val="212529"/>
        </w:rPr>
        <w:t xml:space="preserve"> Activision Blizzard, Inc. </w:t>
      </w:r>
      <w:r>
        <w:rPr>
          <w:rFonts w:ascii="Arial" w:cs="Arial" w:eastAsia="Arial" w:hAnsi="Arial"/>
          <w:sz w:val="18"/>
          <w:szCs w:val="18"/>
          <w:color w:val="000000"/>
        </w:rPr>
        <w:t>Additionally, we have a long-term strategic partnership with OpenAI. Acquisitions and</w:t>
      </w:r>
      <w:r>
        <w:rPr>
          <w:rFonts w:ascii="Arial" w:cs="Arial" w:eastAsia="Arial" w:hAnsi="Arial"/>
          <w:sz w:val="18"/>
          <w:szCs w:val="18"/>
          <w:color w:val="212529"/>
        </w:rPr>
        <w:t xml:space="preserve"> </w:t>
      </w:r>
      <w:r>
        <w:rPr>
          <w:rFonts w:ascii="Arial" w:cs="Arial" w:eastAsia="Arial" w:hAnsi="Arial"/>
          <w:sz w:val="18"/>
          <w:szCs w:val="18"/>
          <w:color w:val="000000"/>
        </w:rPr>
        <w:t>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digital safety, responsible AI, and cybersecurity. It may take longer than expected to realize the full economic benefits from these transactions and arrangements, such as increased revenue or enhanced efficiencies, or the benefits may ultimately be smaller than we expected, which could cause an impairment of goodwill or intangibles.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1" w:name="page52"/>
    <w:bookmarkEnd w:id="5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recorded, and may in the future be required to record, a significant charge in our consolidated financial statements during the period in which any impairment of our goodwill or amortizable intangible assets is determined, negatively affecting our results of operations. In addition, these transactions and arrangements have been and may be subject to legal and regulatory challenge. These events could adversely affect our business, operations, financial condition, and results of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Threats to security can take a variety of forms. Threat actors, including individual and groups of hackers and sophisticated organizations, including nation-states, state-sponsored organizations, or cybercriminal groups, continuously undertake attacks that pose threats to our customers and our internal infrastructure, and we have experienced cybersecurity incidents in which such actors have gained unauthorized access to our systems and data, including customer systems and data. These actors use a wide variety of methods, which include developing and deploying malicious software; exploiting known and potential vulnerabilities or intentionally designed processes in our or third-party hardware, software, or other infrastructure to attack our products and services or gain access to our networks and datacenters; using social engineering techniques to induce our employees, users, partners,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 Commission on January 19, 2024 and amended on March 8, 2024, beginning in late November 2023, a nation-state associated threat actor used a password spray attack to compromise a legacy test account and, in turn, gain access to Microsoft email accounts. The threat actor used information it obtained to gain unauthorized access to some of our source code repositories and internal systems, and the threat actor could continue to utilize this and other information to attempt to gain access to our systems or otherwise adversely affect our business and results of operations. This incident has and may continue to result in harm to our reputation and customer relationships. Nation-state and state-sponsored actors can sustain malicious activities for extended periods and deploy significant resources to plan and carry out attacks. Nation-state attacks against us, our customers, or our partners have and may continue to intensify due to our transparency to our customers, other stakeholders, and the public about cyberattacks, and during elections or periods of intense diplomatic or armed conflict. Challenges or failures to update or apply security patches to all hardware and devices connected to our systems, including end-of-life and end-of-support equipment, have and may continue to result in unauthorized access to our systems and data in the future. Cyber incidents and attacks, individually or in the aggregate, could adversely affect our financial condition, results of operations, competitive position, and reputation, or expose us to legal or regulatory risk.</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2" w:name="page53"/>
    <w:bookmarkEnd w:id="5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Threat actors also utilize emerging technologies such as AI and machine learning to, among other things, increase the speed and scale of attacks by generating and refining malicious content and code, automate reconnaissance and targeting, and rapidly iterate on attack techniques, which can broaden the scope, intensity, and sophistication of campaigns and reduce the time we have to identify and mitigate emerging threats. Our current capabilities may not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As a result of these and other factors, we may not be able to provide prompt, full, and reliable information about the incident to our customers, partners,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internal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AI, including models, algorithms, copilots, and autonomous or semi-autonomous agents, in our internal or third-party systems may create new attack surfaces or methods for adversaries. Our business policies and internal security controls may not keep pace with these changes as new threats emerge or the emerging cybersecurity regulations in jurisdictions worldwide.</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Inadequate account security or organizational security practices, including those of companies we have acquired or those of the third parties we utilize, have resulted and may result in unauthorized access to our systems and data, including customer systems and data. For example, passwords may not be rotated and employee access may not be updated or removed on a timely basis. Further, third parties that we utilize may also face the AI-based enhanced cybersecurity risk as described elsewhere in these risk factors. Employees or third parties may intentionally compromise our or our users’ security or systems or reveal confidential information, and laws in foreign jurisdictions may compel actions by such parties against our interests and could limit our recourse. Malicious actors may exploit the supply chain by introducing malware through software updates or compromised supplier accounts or hardware.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3" w:name="page54"/>
    <w:bookmarkEnd w:id="5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infrastructure, such as the nation-state attack described in the prior risk factor, have also affected our customers and may do so in the future. The reliability of our cloud-based services and the protection of customer data depend on the security of our infrastructure, which includes hardware, software, and other elements provided by third parties. Adversaries tend to focus their efforts on the most popular operating systems, programs, and services, including many of ours, as well as customers with sensitive data, and we expect that to continue. In addition, adversaries can attack our customers’ on-premises or cloud environments, sometimes exploiting previously unknown (“zero-day”) vulnerabilities. Product vulnerabilities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Weaknesses in our development processes can result in vulnerabilities in our products. Open-source software can also contain vulnerabilities that may make our products susceptible to cyberattacks as we increasingly incorporate open-source software into our products. Additionally, software, including features that rely on or were generated by AI can be susceptible to cyberattacks.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customers operate complex systems with third -party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of our services for a product, service, standard, or feature solely because a more secure alternative is available. Failure to utilize the most current security advances and standards can increase our customers’ vulnerability to attack. Further, the rapid evolution of AI technologies and use cases may outpace the development, deployment, and effectiveness of security products, controls, and industry standards, particularly in complex customer environments, increasing the risk that security measures will be insufficient to address newly emerging threats.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operations and some customers may have limited capability to review and reset these defaults.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Cyberattacks could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of the foregoing events could result in reputational harm, loss of revenue, increased costs, or otherwise adversely affect our business, financial condition,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4" w:name="page55"/>
    <w:bookmarkEnd w:id="54"/>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defend against security threats to our internal infrastructure, our cloud-based services, and our customers’ systems, we must take a complex and multifaceted approach. This includes continuously engineering more secure products and services, and enhancing security, threat detection, and reliability features, including through the deployment of AI-based and automated defenses. We must also escalate and improve our development processes and the deployment of software updates to address security vulnerabilities in our own products as well as those provided by others in a timely manner. In addition, we must develop mitigation technologies that help to secure customers from attacks even when software updates are not deployed, and maintain the digital security infrastructure that protects the integrity of our network, products, and services. Further, we must provide security tools such as firewalls, anti-virus software, and advanced security and information about the need to deploy security measures and the impact of doing so.</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cost of these measures to protect products and customer-facing services could reduce our operating margins. If we fail to do these things well, actual or perceived security vulnerabilities in our processes, products, and services, data corruption issues, or reduced performance could harm our reputation and lead customers to exercise contractual or other remedies against us, reduce or delay future purchases of products or subscriptions to services, or to use competing products or services. Customers and third parties granted access to customer systems may fail to update their systems, continue to run software or operating systems we no longer support, may fail to timely install or enable security patches, or may otherwise fail to adopt adequate security practices, including in response to enhanced AI-based threats. Customers may also spend more on protecting their existing computer systems from attack, which could delay adoption of additional products or services. Customers in certain industries such as financial services, health care, and government have enhanced or specialized expectations and requirements to which we must develop and engineer our products and services. Any of these could adversely affect our reputation and results of operations.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experience adverse impacts to our results of operations, reputation, or competitive position.</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Relatedly, despite our efforts to continuously improve security controls, it is possible that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5" w:name="page56"/>
    <w:bookmarkEnd w:id="55"/>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which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consumer services as well as our enterprise services may be used to find, generate, store, or disseminate harmful or illegal content in violation of our terms or applicable law. We may not proactively discover such content due to scale, the limitations of existing technologies, and conflicting legal frameworks. This content may negatively affect users, and may negatively affect our reputation, our brands, and user engagement, or could result in legal liability. Regulations and other initiatives have been enacted to make platforms responsible for preventing or eliminating harmful content online and for taking actions against user accounts responsible for such content. At the same time, regulations and other initiatives protecting freedom of expression and user privacy may conflict with these platform regulations. Duties to reduce risks to children are driving new obligations for effective age-assurance systems and parental controls across the online ecosystem, including within app stores and operating systems. The legal and regulatory environment in this area is complex and is not harmonized across jurisdictions. Failure to comply with content requirements may subject us to enhanced regulatory oversight, civil or criminal liability, or reputational damage, which could adversely affect our business, financial condition, and results of operations.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products and services, how they are used by customers, and how third-party products and services interact with them, may present security, privacy, and execution risks. </w:t>
      </w:r>
      <w:r>
        <w:rPr>
          <w:rFonts w:ascii="Arial" w:cs="Arial" w:eastAsia="Arial" w:hAnsi="Arial"/>
          <w:sz w:val="18"/>
          <w:szCs w:val="18"/>
          <w:color w:val="auto"/>
        </w:rPr>
        <w:t>Our products and services may contain defects in design, manufacture, or operation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make them insecure or ineffective for their intended purposes. For example, customers control our products and services, including our AI products, within their environments, and may deploy them in high-risk scenarios or utilize them inappropriately. Our products may also collect large amounts of data in manners which may not satisfy customers or regulatory requirements. Our customers also operate complex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6" w:name="page57"/>
    <w:bookmarkEnd w:id="56"/>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Issues in the development, deployment, and use of AI may result in reputational or competitive harm or liability. </w:t>
      </w:r>
      <w:r>
        <w:rPr>
          <w:rFonts w:ascii="Arial" w:cs="Arial" w:eastAsia="Arial" w:hAnsi="Arial"/>
          <w:sz w:val="18"/>
          <w:szCs w:val="18"/>
          <w:color w:val="auto"/>
        </w:rPr>
        <w:t>We are building AI</w:t>
      </w:r>
      <w:r>
        <w:rPr>
          <w:rFonts w:ascii="Arial" w:cs="Arial" w:eastAsia="Arial" w:hAnsi="Arial"/>
          <w:sz w:val="18"/>
          <w:szCs w:val="18"/>
          <w:b w:val="1"/>
          <w:bCs w:val="1"/>
          <w:color w:val="auto"/>
        </w:rPr>
        <w:t xml:space="preserve"> </w:t>
      </w:r>
      <w:r>
        <w:rPr>
          <w:rFonts w:ascii="Arial" w:cs="Arial" w:eastAsia="Arial" w:hAnsi="Arial"/>
          <w:sz w:val="18"/>
          <w:szCs w:val="18"/>
          <w:color w:val="auto"/>
        </w:rPr>
        <w:t>into many of 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or inaccurate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or other forms of human oversight may be required, including for agentic AI systems that can take actions autonomously. Companion or highly-personalized AI systems may result in over-reliance or dependence by users that is harmful. Our implementation of AI systems could result in legal liability, regulatory action, litigation, brand, reputational, or competitive harm, or other adverse impacts. These risks may stem from issues related to AI model and system capabilities, intellectual property, data privacy, product liability, and other claims associated with AI training, outputs, and system behavior. They are further compounded by the evolving regulatory landscape, with new laws emerging globally and increased scrutiny from regulators and lawmakers. Certain AI technologies and use cases present ethical issues or may have broad or uneven impacts on society or vulnerable groups within society. There is also rising divergence globally in how to address these issues and impacts, with the result that we will need to navigate a web of different tensions across geographies. If we enable or offer AI solutions that have unintended consequences, unintended usage or customization by our customers and partners, are contrary to our responsible AI policies and practices, or are otherwise controversial because of the impact on human rights, privacy, employment, or other social, economic, or political issues, our reputation, competitive position, business, financial condition, and results of operations could be adversely affected.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Our datacenters depend on the availability of permitted and buildable land, predictable energy, networking supplies, and servers, including graphics processing units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and scale further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We also face community opposition, local moratoriums, and hyper-local dissent that may impede or delay infrastructure development. Inefficiencies or operational failures, including temporary or permanent loss of customer data, outages, insufficient Internet connectivity, insufficient or unavailable power or water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could adversely affect our business, operations, financial condition, and results of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7" w:name="page58"/>
    <w:bookmarkEnd w:id="57"/>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may experience supply or quality problems. </w:t>
      </w:r>
      <w:r>
        <w:rPr>
          <w:rFonts w:ascii="Arial" w:cs="Arial" w:eastAsia="Arial" w:hAnsi="Arial"/>
          <w:sz w:val="18"/>
          <w:szCs w:val="18"/>
          <w:color w:val="auto"/>
        </w:rPr>
        <w:t>There are limited suppliers for certain device and datacenter components. We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identify and evaluate opportunities to expand our datacenter locations and increase our server capacity to meet the evolving needs of our customers, particularly given the growing demand for AI services. Capacity available to us may be affected as competitors use some of the same suppliers and materials for hardware components. As components are delayed or become unavailable or more expensive, whether because of supplier capacity constraint, industry shortages, legal or regulatory changes that restrict supply sources, or other reasons, we may not obtain timely replacement supplies, resulting in reduced sales, higher costs, or inadequate datacenter capacity to support the delivery and continued development of our products and services. Component shortages, excess or obsolete inventory, or price reductions resulting in inventory adjustments have and may increase our cost of revenue. Datacenter servers, Xbox consoles, Surface devices, and other hardware are assembled in Asia and other geographies that may be subject to disruptions in the supply chain, resulting in shortages which could adversely affect our business, operations, financial condition, and results of operations.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software products and services also have and may in the future experience quality or reliability problems. The processes we use to develop our software are imperfect. Like all software, our software contains bugs and other defects that interfere with their intended operation. Our customers increasingly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Weaknesses in our processes could result in defects we do not detect and fix in pre-release testing, which could cause reduced sales, damage to our reputation, repair or remediation costs, delays in the release of new products or versions, or legal liability, and could adversely affect our business, financial condition, and results of operations. Although our license agreements typically contain provisions that eliminate or limit our exposure to liability, there is no assurance these provisions will withstand legal challenge.</w:t>
      </w:r>
    </w:p>
    <w:p>
      <w:pPr>
        <w:spacing w:after="0" w:line="1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hardware products such as Xbox consoles, Surface devices, and other devices we design and market are highly complex. Failure to prevent, detect, or address defects in design, manufacture, or associated software could result in recalls, safety alerts, or product liability claims, which could adversely affect our business and results of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We are subject to a variety of new, existing, and evolving legal and regulatory requirements that could adversely affect our results of operations. </w:t>
      </w:r>
      <w:r>
        <w:rPr>
          <w:rFonts w:ascii="Arial" w:cs="Arial" w:eastAsia="Arial" w:hAnsi="Arial"/>
          <w:sz w:val="18"/>
          <w:szCs w:val="18"/>
          <w:color w:val="auto"/>
        </w:rPr>
        <w:t>We are subject to a wide range of laws, regulations, and legal requirements in the U.S. and globally, including those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apply to our products and online services offerings, and those that impose requirements related to user privacy, cybersecurity, telecommunications, data storage and protection, digital accessibility, advertising, and online safety. Laws in several jurisdictions, including EU Member State laws under the European Electronic Communications Code, increasingly define certain of our services as regulated services. This trend may continue with our offerings becoming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8" w:name="page59"/>
    <w:bookmarkEnd w:id="58"/>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existing, and evolving laws and regulations, or interpretations or applications of existing laws and regulations in a manner inconsistent with our interpretations of such laws and regulations or our practices, may result in modification of our products and services, altered business models and operations, increased costs, reputational damage, and civil or criminal liability. Examples include laws and regulations regarding:</w:t>
      </w:r>
    </w:p>
    <w:p>
      <w:pPr>
        <w:spacing w:after="0" w:line="39" w:lineRule="exact"/>
        <w:rPr>
          <w:sz w:val="20"/>
          <w:szCs w:val="20"/>
          <w:color w:val="auto"/>
        </w:rPr>
      </w:pPr>
    </w:p>
    <w:p>
      <w:pPr>
        <w:jc w:val="both"/>
        <w:ind w:left="1020" w:hanging="368"/>
        <w:spacing w:after="0" w:line="239"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Competition laws and new market regulation: </w:t>
      </w:r>
      <w:r>
        <w:rPr>
          <w:rFonts w:ascii="Arial" w:cs="Arial" w:eastAsia="Arial" w:hAnsi="Arial"/>
          <w:sz w:val="18"/>
          <w:szCs w:val="18"/>
          <w:color w:val="auto"/>
        </w:rPr>
        <w:t>Government agencies closely scrutinize us under U.S. and foreign 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 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w:t>
      </w:r>
    </w:p>
    <w:p>
      <w:pPr>
        <w:spacing w:after="0" w:line="51"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AI: </w:t>
      </w:r>
      <w:r>
        <w:rPr>
          <w:rFonts w:ascii="Arial" w:cs="Arial" w:eastAsia="Arial" w:hAnsi="Arial"/>
          <w:sz w:val="18"/>
          <w:szCs w:val="18"/>
          <w:color w:val="auto"/>
        </w:rPr>
        <w:t>Legislative and regulatory action is evolving with respect to AI, which could increase costs or restrict opportunity. For</w:t>
      </w:r>
      <w:r>
        <w:rPr>
          <w:rFonts w:ascii="Arial" w:cs="Arial" w:eastAsia="Arial" w:hAnsi="Arial"/>
          <w:sz w:val="18"/>
          <w:szCs w:val="18"/>
          <w:b w:val="1"/>
          <w:bCs w:val="1"/>
          <w:color w:val="auto"/>
        </w:rPr>
        <w:t xml:space="preserve"> </w:t>
      </w:r>
      <w:r>
        <w:rPr>
          <w:rFonts w:ascii="Arial" w:cs="Arial" w:eastAsia="Arial" w:hAnsi="Arial"/>
          <w:sz w:val="18"/>
          <w:szCs w:val="18"/>
          <w:color w:val="auto"/>
        </w:rPr>
        <w:t>example, the EU’s AI Act may increase costs or impact the provision or operation of our AI models and services in the European market. AI regulatory areas include model and system development and deployment, frontier model safety, transparency, content provenance, digital replicas, and AI companions.</w:t>
      </w:r>
    </w:p>
    <w:p>
      <w:pPr>
        <w:spacing w:after="0" w:line="41"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Anti-corruption: </w:t>
      </w:r>
      <w:r>
        <w:rPr>
          <w:rFonts w:ascii="Arial" w:cs="Arial" w:eastAsia="Arial" w:hAnsi="Arial"/>
          <w:sz w:val="18"/>
          <w:szCs w:val="18"/>
          <w:color w:val="auto"/>
        </w:rPr>
        <w:t>The Foreign Corrupt Practices Act (“FCPA”) and other anti-corruption laws and regulations (“Anti-Corruption</w:t>
      </w:r>
      <w:r>
        <w:rPr>
          <w:rFonts w:ascii="Arial" w:cs="Arial" w:eastAsia="Arial" w:hAnsi="Arial"/>
          <w:sz w:val="18"/>
          <w:szCs w:val="18"/>
          <w:b w:val="1"/>
          <w:bCs w:val="1"/>
          <w:color w:val="auto"/>
        </w:rPr>
        <w:t xml:space="preserve"> </w:t>
      </w:r>
      <w:r>
        <w:rPr>
          <w:rFonts w:ascii="Arial" w:cs="Arial" w:eastAsia="Arial" w:hAnsi="Arial"/>
          <w:sz w:val="18"/>
          <w:szCs w:val="18"/>
          <w:color w:val="auto"/>
        </w:rPr>
        <w:t>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and our compliance with Anti-Corruption Laws. Periodically, we receive such reports directly and investigate them and also cooperate with investigations by U.S. and foreign law enforcement authorities.</w:t>
      </w:r>
    </w:p>
    <w:p>
      <w:pPr>
        <w:spacing w:after="0" w:line="42" w:lineRule="exact"/>
        <w:rPr>
          <w:rFonts w:ascii="Times New Roman" w:cs="Times New Roman" w:eastAsia="Times New Roman" w:hAnsi="Times New Roman"/>
          <w:sz w:val="18"/>
          <w:szCs w:val="18"/>
          <w:color w:val="auto"/>
        </w:rPr>
      </w:pPr>
    </w:p>
    <w:p>
      <w:pPr>
        <w:jc w:val="both"/>
        <w:ind w:left="1020" w:hanging="368"/>
        <w:spacing w:after="0" w:line="237"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Trade: </w:t>
      </w:r>
      <w:r>
        <w:rPr>
          <w:rFonts w:ascii="Arial" w:cs="Arial" w:eastAsia="Arial" w:hAnsi="Arial"/>
          <w:sz w:val="18"/>
          <w:szCs w:val="18"/>
          <w:color w:val="auto"/>
        </w:rPr>
        <w:t>Increasing trade laws, policies, sanctions, and other regulatory requirements also affect our operations in and outside the</w:t>
      </w:r>
      <w:r>
        <w:rPr>
          <w:rFonts w:ascii="Arial" w:cs="Arial" w:eastAsia="Arial" w:hAnsi="Arial"/>
          <w:sz w:val="18"/>
          <w:szCs w:val="18"/>
          <w:b w:val="1"/>
          <w:bCs w:val="1"/>
          <w:color w:val="auto"/>
        </w:rPr>
        <w:t xml:space="preserve"> </w:t>
      </w:r>
      <w:r>
        <w:rPr>
          <w:rFonts w:ascii="Arial" w:cs="Arial" w:eastAsia="Arial" w:hAnsi="Arial"/>
          <w:sz w:val="18"/>
          <w:szCs w:val="18"/>
          <w:color w:val="auto"/>
        </w:rPr>
        <w:t>U.S. relating to trade and investment. Economic sanctions in the U.S., the EU, and other countries could prohibit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Restrictions on data flows and outbound investment and customer sensitivities may limit our ability to leverage parts of our global engineering footprint to provide services in certain jurisdictions. Increased geopolitical instabilities and changing U.S. Administration priorities create an unpredictable trade landscape. U.S. tariff, shifting AI export controls policies, and disagreements among governments on sanctions policies toward third countries, could increase operational costs, create uncertainty in the continuity of our products, and accelerate sovereignty initiatives among international partners and customers. The volatility of U.S. tariffs has triggered economic uncertainty and could impact cloud and devices supply chain cost competitiveness. The potential replacement of the rescinded AI Diffusion Rule, expanded export license conditions, and other potential AI-related rulemakings could adversely affect Microsoft’s business, strategy, and operations. Periods of intense diplomatic or armed conflict, such as the conflicts in Ukraine and the Middle East could continue to result in (1) new and rapidly evolving sanctions and trade restrictions, which may impair trade with sanctioned individuals and countries, and (2) negative impacts to regional trade ecosystems among our customers, partners, and us.</w:t>
      </w:r>
    </w:p>
    <w:p>
      <w:pPr>
        <w:spacing w:after="0" w:line="47"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Cybersecurity: </w:t>
      </w:r>
      <w:r>
        <w:rPr>
          <w:rFonts w:ascii="Arial" w:cs="Arial" w:eastAsia="Arial" w:hAnsi="Arial"/>
          <w:sz w:val="18"/>
          <w:szCs w:val="18"/>
          <w:color w:val="auto"/>
        </w:rPr>
        <w:t>Legislative and regulatory actions related to cybersecurity may increase the costs associated with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implementing, or securing our products and services. The legal and regulatory environment in this area is complex and continues to evolve across multiple jurisdictions. As a result, there is considerable uncertainty regarding both current and future compliance obligations. This uncertainty increases the risk that we may incur additional operational costs, face regulatory enforcement actions, or encounter challenges in the development and deployment of our products.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59" w:name="page60"/>
    <w:bookmarkEnd w:id="59"/>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51" w:lineRule="exact"/>
        <w:rPr>
          <w:sz w:val="20"/>
          <w:szCs w:val="20"/>
          <w:color w:val="auto"/>
        </w:rPr>
      </w:pPr>
    </w:p>
    <w:p>
      <w:pPr>
        <w:jc w:val="both"/>
        <w:ind w:left="1020" w:hanging="368"/>
        <w:spacing w:after="0" w:line="239"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Handling of personal data: </w:t>
      </w:r>
      <w:r>
        <w:rPr>
          <w:rFonts w:ascii="Arial" w:cs="Arial" w:eastAsia="Arial" w:hAnsi="Arial"/>
          <w:sz w:val="18"/>
          <w:szCs w:val="18"/>
          <w:color w:val="auto"/>
        </w:rPr>
        <w:t>Legal requirements relating to the collection, storage, handling, and transfer of personal data</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continue to evolve. The growth of our Internet- and cloud-based services internationally relies on the movement of data across national boundaries. Data protection authorities and governments in the EU and other markets have and may again restrict and/or block the use of services that involve the transfer of data across borders. New and evolving rules and restrictions on the flow of data across borders could increase the cost and complexity of delivering our products and services. In addition, the EU General Data Protection Regulation and other similar regulations impose a range of compliance obligations regarding the handling of personal data. New requirements related to the use of data, including the Data Act, add additional rules and restrictions on the use of data in our products and services.</w:t>
      </w:r>
    </w:p>
    <w:p>
      <w:pPr>
        <w:spacing w:after="0" w:line="51" w:lineRule="exact"/>
        <w:rPr>
          <w:rFonts w:ascii="Times New Roman" w:cs="Times New Roman" w:eastAsia="Times New Roman" w:hAnsi="Times New Roman"/>
          <w:sz w:val="18"/>
          <w:szCs w:val="18"/>
          <w:color w:val="auto"/>
        </w:rPr>
      </w:pPr>
    </w:p>
    <w:p>
      <w:pPr>
        <w:jc w:val="both"/>
        <w:ind w:left="1020" w:hanging="368"/>
        <w:spacing w:after="0" w:line="239"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Environmental, Social, and Governance: </w:t>
      </w:r>
      <w:r>
        <w:rPr>
          <w:rFonts w:ascii="Arial" w:cs="Arial" w:eastAsia="Arial" w:hAnsi="Arial"/>
          <w:sz w:val="18"/>
          <w:szCs w:val="18"/>
          <w:color w:val="auto"/>
        </w:rPr>
        <w:t>Laws, regulations, and policies relating to environmental, social, and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are being developed and formalized in Europe, the U.S., and elsewhere, which may include greenhouse gas emissions and energy usage caps, as well as specific, target-driven environmental, social, and governance frameworks and disclosure requirements. In addition, in 2020 we announced goals to become carbon negative, water positive, and zero waste by 2030. AI development and deployment has and may continue to raise energy use and emissions, making it harder to meet these goals. Any failure or perceived failure to meet our sustainability goals, or to meet various sustainability regulatory requirements, could result in claims and lawsuits, regulatory actions, penalties, or damage to our reputation, each of which could adversely affect our business, operations, financial condition, and results of operations.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 these laws and regulations apply to our business is often unclear, subject to change, and sometimes may be inconsistent from jurisdiction to jurisdiction. In addition, governments’ approach to enforcement, and our products and services, are continuing to evolve. Compliance with existing, expanding, or new laws and regulations may involve significant costs and operational efforts, or require changes in products or business practices that could adversely affect our results of operations. Noncompliance could result in the imposition of penalties, criminal sanctions, or orders to cease the alleged noncompliant activity. If our products do not meet customer expectations or legal requirements, we could face regulatory or legal actions, and our business, operations, financial condition, and results of operations could be adversely affected.</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AI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An adverse impact to our financial condition and results of operations could occur for the period in which the effect of an unfavorable outcome becomes probable and reasonably estimable.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and regulatory requirements can present risks and challenges not present in private commercial agreements. For instance, we are subject to government audits and investigations relating to these contracts, and we are required to provide assurance and attestations about our products and processes. If we do not satisfy contractual or regulatory requirements,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0" w:name="page61"/>
    <w:bookmarkEnd w:id="60"/>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For example, the Organisation for Economic Co-operation and Development continues to advance proposals or guidance in international taxation, including the establishment of a global minimum tax.</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could adversely affect our financial condition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face risks related to the protection and utilization of our intellectual property that may result in our business and operating results being harmed. </w:t>
      </w:r>
      <w:r>
        <w:rPr>
          <w:rFonts w:ascii="Arial" w:cs="Arial" w:eastAsia="Arial" w:hAnsi="Arial"/>
          <w:sz w:val="18"/>
          <w:szCs w:val="18"/>
          <w:color w:val="auto"/>
        </w:rPr>
        <w:t>Protecting our intellectual property rights and combating unlicensed copying and use of our software, source code,</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intellectual property on a global basis is difficult. Similarly, the absence of harmonized patent laws makes it more difficult to ensure consistent respect for patent rights.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the law may continue to weaken our ability to prevent the use of patented technology. Our increasing engagement with open-source software will also cause us to license our intellectual property rights broadly in certain situations. If we are unable to protect our intellectual property, our results of operations could be adversely affected.</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results of operations. Unauthorized access to or disclosure of source code or other intellectual property also increases the security risks described elsewhere in these risk factors.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Third parties may claim that we infringe their intellectual property. </w:t>
      </w:r>
      <w:r>
        <w:rPr>
          <w:rFonts w:ascii="Arial" w:cs="Arial" w:eastAsia="Arial" w:hAnsi="Arial"/>
          <w:sz w:val="18"/>
          <w:szCs w:val="18"/>
          <w:color w:val="auto"/>
        </w:rPr>
        <w:t>From time to time, others claim we infringe their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including current copyright infringement and other claims arising from AI training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1" w:name="page62"/>
    <w:bookmarkEnd w:id="61"/>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If our reputation or our brands are damaged, our business and results of operations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quality, or accessibility issues, our environmental impact and sustainability, supply chain practices, or human rights record. We may experience backlash from customers, government entities, advocacy groups, employees, and other stakeholders that disagree with our product offering decisions, public policy positions, or corporate philanthropic initiatives. Damage to our reputation or our brands may occur from, among other things:</w:t>
      </w:r>
    </w:p>
    <w:p>
      <w:pPr>
        <w:spacing w:after="0" w:line="50" w:lineRule="exact"/>
        <w:rPr>
          <w:sz w:val="20"/>
          <w:szCs w:val="20"/>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8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Public scrutiny of our decisions regarding user privacy, data practices, content, or development and deployment of AI.</w:t>
      </w:r>
    </w:p>
    <w:p>
      <w:pPr>
        <w:spacing w:after="0" w:line="89"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Data security breaches, cybersecurity incidents, responsible AI failures, compliance failures, or actions of partners or individual employees.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Social media may increase the likelihood, speed, and magnitude of negative brand events. If our brands or reputation are damaged, it could adversely affect our business, results of operations, or ability to attract the most highly qualified employees.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could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results of operations. If demand for computing power, PCs, servers, and other computing devices declines, or consumer or business spending for those products declines, our results of operations could be adversely affected.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could be adversely affected and we could determine that more of our investments have experienced a decline in fair value, requiring impairment charges that could adversely affect our financial condition and results of operations.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could disrupt our business. </w:t>
      </w:r>
      <w:r>
        <w:rPr>
          <w:rFonts w:ascii="Arial" w:cs="Arial" w:eastAsia="Arial" w:hAnsi="Arial"/>
          <w:sz w:val="18"/>
          <w:szCs w:val="18"/>
          <w:color w:val="auto"/>
        </w:rPr>
        <w:t>A disruption or failure of our systems, operations, or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2" w:name="page63"/>
    <w:bookmarkEnd w:id="62"/>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such as the conflicts in Ukraine and the Middle East,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could adversely affect our results of operations. Changes in geopolitical conditions also increase the security risks described elsewhere in these risk factors.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occurrence of regional epidemics or a global pandemic, such as COVID-19, could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2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employees, and infrastructure are located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world and a significant part of our revenue comes from international sales. The global nature of our business creates operational, economic, and geopolitical risks. Global, regional, and local economic developments, monetary policy, geopolitical tension, particularly between the U.S. and Europe, restrictions on international trade, such as tariffs and other controls on imports or exports, inflation, and recession, as well as political and military disputes, could adversely affect our results of operations.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disagreements among governments on export controls and sanctions toward third countries, investment restrictions, or other developments that make it more difficult to operate and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could adversely affect our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3" w:name="page64"/>
    <w:bookmarkEnd w:id="63"/>
    <w:p>
      <w:pPr>
        <w:ind w:left="5380"/>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and retaining talented employees representing diverse backgrounds, experiences, and skill sets. The market for highly skilled workers and leaders in our industry is extremely competitive. Maintaining our brand and reputation, as well as an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those derived from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could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2"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third quarter of fiscal year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 Number</w:t>
            </w:r>
          </w:p>
        </w:tc>
        <w:tc>
          <w:tcPr>
            <w:tcW w:w="30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of Shares</w:t>
            </w:r>
          </w:p>
        </w:tc>
        <w:tc>
          <w:tcPr>
            <w:tcW w:w="3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Dollar Value of</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w:t>
            </w:r>
          </w:p>
        </w:tc>
        <w:tc>
          <w:tcPr>
            <w:tcW w:w="600" w:type="dxa"/>
            <w:vAlign w:val="bottom"/>
          </w:tcPr>
          <w:p>
            <w:pPr>
              <w:spacing w:after="0"/>
              <w:rPr>
                <w:sz w:val="12"/>
                <w:szCs w:val="12"/>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rPr>
              <w:t>Average</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Purchased as</w:t>
            </w:r>
          </w:p>
        </w:tc>
        <w:tc>
          <w:tcPr>
            <w:tcW w:w="3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Shares That May</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Part of Publicly</w:t>
            </w:r>
          </w:p>
        </w:tc>
        <w:tc>
          <w:tcPr>
            <w:tcW w:w="3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48"/>
        </w:trPr>
        <w:tc>
          <w:tcPr>
            <w:tcW w:w="496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600" w:type="dxa"/>
            <w:vAlign w:val="bottom"/>
          </w:tcPr>
          <w:p>
            <w:pPr>
              <w:spacing w:after="0"/>
              <w:rPr>
                <w:sz w:val="12"/>
                <w:szCs w:val="12"/>
                <w:color w:val="auto"/>
              </w:rPr>
            </w:pPr>
          </w:p>
        </w:tc>
        <w:tc>
          <w:tcPr>
            <w:tcW w:w="1100" w:type="dxa"/>
            <w:vAlign w:val="bottom"/>
          </w:tcPr>
          <w:p>
            <w:pPr>
              <w:jc w:val="right"/>
              <w:ind w:right="121"/>
              <w:spacing w:after="0"/>
              <w:rPr>
                <w:sz w:val="20"/>
                <w:szCs w:val="20"/>
                <w:color w:val="auto"/>
              </w:rPr>
            </w:pPr>
            <w:r>
              <w:rPr>
                <w:rFonts w:ascii="Arial" w:cs="Arial" w:eastAsia="Arial" w:hAnsi="Arial"/>
                <w:sz w:val="13"/>
                <w:szCs w:val="13"/>
                <w:b w:val="1"/>
                <w:bCs w:val="1"/>
                <w:color w:val="auto"/>
              </w:rPr>
              <w:t>Price Paid</w:t>
            </w:r>
          </w:p>
        </w:tc>
        <w:tc>
          <w:tcPr>
            <w:tcW w:w="15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Announced Plans</w:t>
            </w:r>
          </w:p>
        </w:tc>
        <w:tc>
          <w:tcPr>
            <w:tcW w:w="30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97"/>
        </w:trPr>
        <w:tc>
          <w:tcPr>
            <w:tcW w:w="496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Purchased</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Per Share</w:t>
            </w:r>
          </w:p>
        </w:tc>
        <w:tc>
          <w:tcPr>
            <w:tcW w:w="1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49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January 1, 2026 – January 31, 2026</w:t>
            </w: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5,579,825</w:t>
            </w:r>
          </w:p>
        </w:tc>
        <w:tc>
          <w:tcPr>
            <w:tcW w:w="60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121"/>
              <w:spacing w:after="0"/>
              <w:rPr>
                <w:sz w:val="20"/>
                <w:szCs w:val="20"/>
                <w:color w:val="auto"/>
              </w:rPr>
            </w:pPr>
            <w:r>
              <w:rPr>
                <w:rFonts w:ascii="Arial" w:cs="Arial" w:eastAsia="Arial" w:hAnsi="Arial"/>
                <w:sz w:val="18"/>
                <w:szCs w:val="18"/>
                <w:b w:val="1"/>
                <w:bCs w:val="1"/>
                <w:color w:val="auto"/>
              </w:rPr>
              <w:t>465.49</w:t>
            </w:r>
          </w:p>
        </w:tc>
        <w:tc>
          <w:tcPr>
            <w:tcW w:w="15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5,579,825</w:t>
            </w:r>
          </w:p>
        </w:tc>
        <w:tc>
          <w:tcPr>
            <w:tcW w:w="300" w:type="dxa"/>
            <w:vAlign w:val="bottom"/>
            <w:shd w:val="clear" w:color="auto" w:fill="E5E5E5"/>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44,833</w:t>
            </w: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b w:val="1"/>
                <w:bCs w:val="1"/>
                <w:color w:val="auto"/>
              </w:rPr>
              <w:t>February 1, 2026 – February 28, 2026</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973,952</w:t>
            </w:r>
          </w:p>
        </w:tc>
        <w:tc>
          <w:tcPr>
            <w:tcW w:w="600" w:type="dxa"/>
            <w:vAlign w:val="bottom"/>
          </w:tcPr>
          <w:p>
            <w:pPr>
              <w:spacing w:after="0"/>
              <w:rPr>
                <w:sz w:val="17"/>
                <w:szCs w:val="17"/>
                <w:color w:val="auto"/>
              </w:rPr>
            </w:pPr>
          </w:p>
        </w:tc>
        <w:tc>
          <w:tcPr>
            <w:tcW w:w="1100" w:type="dxa"/>
            <w:vAlign w:val="bottom"/>
          </w:tcPr>
          <w:p>
            <w:pPr>
              <w:jc w:val="right"/>
              <w:ind w:right="121"/>
              <w:spacing w:after="0" w:line="202" w:lineRule="exact"/>
              <w:rPr>
                <w:sz w:val="20"/>
                <w:szCs w:val="20"/>
                <w:color w:val="auto"/>
              </w:rPr>
            </w:pPr>
            <w:r>
              <w:rPr>
                <w:rFonts w:ascii="Arial" w:cs="Arial" w:eastAsia="Arial" w:hAnsi="Arial"/>
                <w:sz w:val="18"/>
                <w:szCs w:val="18"/>
                <w:b w:val="1"/>
                <w:bCs w:val="1"/>
                <w:color w:val="auto"/>
              </w:rPr>
              <w:t>402.72</w:t>
            </w: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973,952</w:t>
            </w:r>
          </w:p>
        </w:tc>
        <w:tc>
          <w:tcPr>
            <w:tcW w:w="30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44,440</w:t>
            </w:r>
          </w:p>
        </w:tc>
        <w:tc>
          <w:tcPr>
            <w:tcW w:w="0" w:type="dxa"/>
            <w:vAlign w:val="bottom"/>
          </w:tcPr>
          <w:p>
            <w:pPr>
              <w:spacing w:after="0"/>
              <w:rPr>
                <w:sz w:val="1"/>
                <w:szCs w:val="1"/>
                <w:color w:val="auto"/>
              </w:rPr>
            </w:pPr>
          </w:p>
        </w:tc>
      </w:tr>
      <w:tr>
        <w:trPr>
          <w:trHeight w:val="203"/>
        </w:trPr>
        <w:tc>
          <w:tcPr>
            <w:tcW w:w="49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March 1, 2026 – March 31, 2026</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1,048,250</w:t>
            </w:r>
          </w:p>
        </w:tc>
        <w:tc>
          <w:tcPr>
            <w:tcW w:w="600" w:type="dxa"/>
            <w:vAlign w:val="bottom"/>
            <w:shd w:val="clear" w:color="auto" w:fill="E5E5E5"/>
          </w:tcPr>
          <w:p>
            <w:pPr>
              <w:spacing w:after="0"/>
              <w:rPr>
                <w:sz w:val="17"/>
                <w:szCs w:val="17"/>
                <w:color w:val="auto"/>
              </w:rPr>
            </w:pPr>
          </w:p>
        </w:tc>
        <w:tc>
          <w:tcPr>
            <w:tcW w:w="1100" w:type="dxa"/>
            <w:vAlign w:val="bottom"/>
            <w:shd w:val="clear" w:color="auto" w:fill="E5E5E5"/>
          </w:tcPr>
          <w:p>
            <w:pPr>
              <w:jc w:val="right"/>
              <w:ind w:right="121"/>
              <w:spacing w:after="0" w:line="202" w:lineRule="exact"/>
              <w:rPr>
                <w:sz w:val="20"/>
                <w:szCs w:val="20"/>
                <w:color w:val="auto"/>
              </w:rPr>
            </w:pPr>
            <w:r>
              <w:rPr>
                <w:rFonts w:ascii="Arial" w:cs="Arial" w:eastAsia="Arial" w:hAnsi="Arial"/>
                <w:sz w:val="18"/>
                <w:szCs w:val="18"/>
                <w:b w:val="1"/>
                <w:bCs w:val="1"/>
                <w:color w:val="auto"/>
              </w:rPr>
              <w:t>391.53</w:t>
            </w:r>
          </w:p>
        </w:tc>
        <w:tc>
          <w:tcPr>
            <w:tcW w:w="15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1,048,250</w:t>
            </w:r>
          </w:p>
        </w:tc>
        <w:tc>
          <w:tcPr>
            <w:tcW w:w="300" w:type="dxa"/>
            <w:vAlign w:val="bottom"/>
            <w:shd w:val="clear" w:color="auto" w:fill="E5E5E5"/>
          </w:tcPr>
          <w:p>
            <w:pPr>
              <w:spacing w:after="0"/>
              <w:rPr>
                <w:sz w:val="17"/>
                <w:szCs w:val="17"/>
                <w:color w:val="auto"/>
              </w:rPr>
            </w:pPr>
          </w:p>
        </w:tc>
        <w:tc>
          <w:tcPr>
            <w:tcW w:w="1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44,030</w:t>
            </w:r>
          </w:p>
        </w:tc>
        <w:tc>
          <w:tcPr>
            <w:tcW w:w="0" w:type="dxa"/>
            <w:vAlign w:val="bottom"/>
          </w:tcPr>
          <w:p>
            <w:pPr>
              <w:spacing w:after="0"/>
              <w:rPr>
                <w:sz w:val="1"/>
                <w:szCs w:val="1"/>
                <w:color w:val="auto"/>
              </w:rPr>
            </w:pPr>
          </w:p>
        </w:tc>
      </w:tr>
      <w:tr>
        <w:trPr>
          <w:trHeight w:val="41"/>
        </w:trPr>
        <w:tc>
          <w:tcPr>
            <w:tcW w:w="49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9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7,602,027</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7,602,027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third quarter of fiscal year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72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Record Date</w:t>
            </w:r>
          </w:p>
        </w:tc>
        <w:tc>
          <w:tcPr>
            <w:tcW w:w="2560" w:type="dxa"/>
            <w:vAlign w:val="bottom"/>
            <w:vMerge w:val="restart"/>
          </w:tcPr>
          <w:p>
            <w:pPr>
              <w:ind w:left="740"/>
              <w:spacing w:after="0"/>
              <w:rPr>
                <w:sz w:val="20"/>
                <w:szCs w:val="20"/>
                <w:color w:val="auto"/>
              </w:rPr>
            </w:pPr>
            <w:r>
              <w:rPr>
                <w:rFonts w:ascii="Arial" w:cs="Arial" w:eastAsia="Arial" w:hAnsi="Arial"/>
                <w:sz w:val="13"/>
                <w:szCs w:val="13"/>
                <w:b w:val="1"/>
                <w:bCs w:val="1"/>
                <w:color w:val="auto"/>
              </w:rPr>
              <w:t>Payment Date</w:t>
            </w:r>
          </w:p>
        </w:tc>
        <w:tc>
          <w:tcPr>
            <w:tcW w:w="1120" w:type="dxa"/>
            <w:vAlign w:val="bottom"/>
          </w:tcPr>
          <w:p>
            <w:pPr>
              <w:spacing w:after="0"/>
              <w:rPr>
                <w:sz w:val="13"/>
                <w:szCs w:val="13"/>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4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16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vMerge w:val="continue"/>
          </w:tcPr>
          <w:p>
            <w:pPr>
              <w:spacing w:after="0"/>
              <w:rPr>
                <w:sz w:val="17"/>
                <w:szCs w:val="17"/>
                <w:color w:val="auto"/>
              </w:rPr>
            </w:pPr>
          </w:p>
        </w:tc>
        <w:tc>
          <w:tcPr>
            <w:tcW w:w="25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11"/>
        </w:trPr>
        <w:tc>
          <w:tcPr>
            <w:tcW w:w="21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March 10, 2026</w:t>
            </w:r>
          </w:p>
        </w:tc>
        <w:tc>
          <w:tcPr>
            <w:tcW w:w="2720" w:type="dxa"/>
            <w:vAlign w:val="bottom"/>
            <w:shd w:val="clear" w:color="auto" w:fill="E5E5E5"/>
          </w:tcPr>
          <w:p>
            <w:pPr>
              <w:ind w:left="880"/>
              <w:spacing w:after="0"/>
              <w:rPr>
                <w:sz w:val="20"/>
                <w:szCs w:val="20"/>
                <w:color w:val="auto"/>
              </w:rPr>
            </w:pPr>
            <w:r>
              <w:rPr>
                <w:rFonts w:ascii="Arial" w:cs="Arial" w:eastAsia="Arial" w:hAnsi="Arial"/>
                <w:sz w:val="18"/>
                <w:szCs w:val="18"/>
                <w:b w:val="1"/>
                <w:bCs w:val="1"/>
                <w:color w:val="auto"/>
              </w:rPr>
              <w:t>May 21, 2026</w:t>
            </w:r>
          </w:p>
        </w:tc>
        <w:tc>
          <w:tcPr>
            <w:tcW w:w="2560" w:type="dxa"/>
            <w:vAlign w:val="bottom"/>
            <w:shd w:val="clear" w:color="auto" w:fill="E5E5E5"/>
          </w:tcPr>
          <w:p>
            <w:pPr>
              <w:ind w:left="740"/>
              <w:spacing w:after="0"/>
              <w:rPr>
                <w:sz w:val="20"/>
                <w:szCs w:val="20"/>
                <w:color w:val="auto"/>
              </w:rPr>
            </w:pPr>
            <w:r>
              <w:rPr>
                <w:rFonts w:ascii="Arial" w:cs="Arial" w:eastAsia="Arial" w:hAnsi="Arial"/>
                <w:sz w:val="18"/>
                <w:szCs w:val="18"/>
                <w:b w:val="1"/>
                <w:bCs w:val="1"/>
                <w:color w:val="auto"/>
              </w:rPr>
              <w:t>June 11, 2026</w:t>
            </w:r>
          </w:p>
        </w:tc>
        <w:tc>
          <w:tcPr>
            <w:tcW w:w="1120" w:type="dxa"/>
            <w:vAlign w:val="bottom"/>
            <w:shd w:val="clear" w:color="auto" w:fill="E5E5E5"/>
          </w:tcPr>
          <w:p>
            <w:pPr>
              <w:jc w:val="right"/>
              <w:ind w:right="2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25"/>
              <w:spacing w:after="0"/>
              <w:rPr>
                <w:sz w:val="20"/>
                <w:szCs w:val="20"/>
                <w:color w:val="auto"/>
              </w:rPr>
            </w:pPr>
            <w:r>
              <w:rPr>
                <w:rFonts w:ascii="Arial" w:cs="Arial" w:eastAsia="Arial" w:hAnsi="Arial"/>
                <w:sz w:val="18"/>
                <w:szCs w:val="18"/>
                <w:b w:val="1"/>
                <w:bCs w:val="1"/>
                <w:color w:val="auto"/>
              </w:rPr>
              <w:t>0.91</w:t>
            </w:r>
          </w:p>
        </w:tc>
        <w:tc>
          <w:tcPr>
            <w:tcW w:w="460" w:type="dxa"/>
            <w:vAlign w:val="bottom"/>
            <w:shd w:val="clear" w:color="auto" w:fill="E5E5E5"/>
          </w:tcPr>
          <w:p>
            <w:pPr>
              <w:jc w:val="right"/>
              <w:ind w:right="17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6,760</w:t>
            </w:r>
          </w:p>
        </w:tc>
        <w:tc>
          <w:tcPr>
            <w:tcW w:w="0" w:type="dxa"/>
            <w:vAlign w:val="bottom"/>
          </w:tcPr>
          <w:p>
            <w:pPr>
              <w:spacing w:after="0"/>
              <w:rPr>
                <w:sz w:val="1"/>
                <w:szCs w:val="1"/>
                <w:color w:val="auto"/>
              </w:rPr>
            </w:pPr>
          </w:p>
        </w:tc>
      </w:tr>
      <w:tr>
        <w:trPr>
          <w:trHeight w:val="40"/>
        </w:trPr>
        <w:tc>
          <w:tcPr>
            <w:tcW w:w="216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returned $10.2 billion to shareholders in the form of share repurchases and dividends in the third quarter of fiscal year 2026. Refer to Note 14 – Stockholders’ Equity of the Notes to Financial Statements (Part I, Item 1 of this Form 10-Q) for further discussion regarding share repurchases and dividends.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Section 16 officers and directors, as defined in Rule 16a-1(f) of the Securities Exchange Act of 1934 (the “Exchange Act”), may from time to time enter into plans for the purchase or sale of our common stock that are intended to satisfy the affirmative defense conditions of Rule 10b5-1(c) of the Exchange Act. During the quarter ended March 31, 2026, the following Section 16 officers and directors adopted, modified, or terminated “Rule 10b5-1 trading arrangements” (as defined in Item 408 of Regulation S-K of the Exchange Act):</w:t>
      </w:r>
    </w:p>
    <w:p>
      <w:pPr>
        <w:spacing w:after="0" w:line="39" w:lineRule="exact"/>
        <w:rPr>
          <w:sz w:val="20"/>
          <w:szCs w:val="20"/>
          <w:color w:val="auto"/>
        </w:rPr>
      </w:pPr>
    </w:p>
    <w:p>
      <w:pPr>
        <w:jc w:val="both"/>
        <w:ind w:left="1020" w:hanging="368"/>
        <w:spacing w:after="0" w:line="242"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Satya Nadella, our Chief Executive Officer and Chairman of the Board of Directors, adopted a new written 10b5-1 trading plan on March 8, 2026, during an open trading window. The plan’s maximum duration is until September 4, 2026. The first trade will not occur until August 31, 2026, at the earliest. Under the trading plan, Mr. Nadella will sell 80% of the net vested shares of our common stock upon the August 31, 2026 vest of a performance stock award. The actual number of shares sold under the trading plan will depend upon achievement of previously disclosed performance metrics and a relative total shareholder return modifier applicable to the performance stock award.</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No other officers or directors, as defined in Rule 16a-1(f), adopted, modified, or terminated a “Rule 10b5-1 trading arrangement” or a “non-Rule 10b5-1 trading arrangement,” as defined in Item 408 of Regulation S-K, during the three months ended March 31, 2026.</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3"/>
          <w:szCs w:val="13"/>
          <w:u w:val="single" w:color="auto"/>
          <w:color w:val="auto"/>
        </w:rPr>
        <w:t>PART II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6.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Exhibit</w:t>
            </w:r>
          </w:p>
        </w:tc>
        <w:tc>
          <w:tcPr>
            <w:tcW w:w="3160" w:type="dxa"/>
            <w:vAlign w:val="bottom"/>
          </w:tcPr>
          <w:p>
            <w:pPr>
              <w:spacing w:after="0"/>
              <w:rPr>
                <w:sz w:val="19"/>
                <w:szCs w:val="19"/>
                <w:color w:val="auto"/>
              </w:rPr>
            </w:pPr>
          </w:p>
        </w:tc>
        <w:tc>
          <w:tcPr>
            <w:tcW w:w="2580" w:type="dxa"/>
            <w:vAlign w:val="bottom"/>
            <w:vMerge w:val="restart"/>
          </w:tcPr>
          <w:p>
            <w:pPr>
              <w:jc w:val="center"/>
              <w:ind w:left="933"/>
              <w:spacing w:after="0"/>
              <w:rPr>
                <w:sz w:val="20"/>
                <w:szCs w:val="20"/>
                <w:color w:val="auto"/>
              </w:rPr>
            </w:pPr>
            <w:r>
              <w:rPr>
                <w:rFonts w:ascii="Arial" w:cs="Arial" w:eastAsia="Arial" w:hAnsi="Arial"/>
                <w:sz w:val="13"/>
                <w:szCs w:val="13"/>
                <w:b w:val="1"/>
                <w:bCs w:val="1"/>
                <w:color w:val="auto"/>
                <w:w w:val="98"/>
              </w:rPr>
              <w:t>Filed</w:t>
            </w:r>
          </w:p>
        </w:tc>
        <w:tc>
          <w:tcPr>
            <w:tcW w:w="10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Incorporated by Reference</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900" w:type="dxa"/>
            <w:vAlign w:val="bottom"/>
            <w:vMerge w:val="continue"/>
          </w:tcPr>
          <w:p>
            <w:pPr>
              <w:spacing w:after="0"/>
              <w:rPr>
                <w:sz w:val="11"/>
                <w:szCs w:val="11"/>
                <w:color w:val="auto"/>
              </w:rPr>
            </w:pPr>
          </w:p>
        </w:tc>
        <w:tc>
          <w:tcPr>
            <w:tcW w:w="316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Exhibit Description</w:t>
            </w:r>
          </w:p>
        </w:tc>
        <w:tc>
          <w:tcPr>
            <w:tcW w:w="2580" w:type="dxa"/>
            <w:vAlign w:val="bottom"/>
            <w:vMerge w:val="continue"/>
          </w:tcPr>
          <w:p>
            <w:pPr>
              <w:spacing w:after="0"/>
              <w:rPr>
                <w:sz w:val="11"/>
                <w:szCs w:val="11"/>
                <w:color w:val="auto"/>
              </w:rPr>
            </w:pPr>
          </w:p>
        </w:tc>
        <w:tc>
          <w:tcPr>
            <w:tcW w:w="104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Form</w:t>
            </w:r>
          </w:p>
        </w:tc>
        <w:tc>
          <w:tcPr>
            <w:tcW w:w="1360" w:type="dxa"/>
            <w:vAlign w:val="bottom"/>
          </w:tcPr>
          <w:p>
            <w:pPr>
              <w:jc w:val="right"/>
              <w:ind w:right="225"/>
              <w:spacing w:after="0" w:line="128" w:lineRule="exact"/>
              <w:rPr>
                <w:sz w:val="20"/>
                <w:szCs w:val="20"/>
                <w:color w:val="auto"/>
              </w:rPr>
            </w:pPr>
            <w:r>
              <w:rPr>
                <w:rFonts w:ascii="Arial" w:cs="Arial" w:eastAsia="Arial" w:hAnsi="Arial"/>
                <w:sz w:val="13"/>
                <w:szCs w:val="13"/>
                <w:b w:val="1"/>
                <w:bCs w:val="1"/>
                <w:color w:val="auto"/>
              </w:rPr>
              <w:t>Period</w:t>
            </w:r>
          </w:p>
        </w:tc>
        <w:tc>
          <w:tcPr>
            <w:tcW w:w="128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Exhibit</w:t>
            </w:r>
          </w:p>
        </w:tc>
        <w:tc>
          <w:tcPr>
            <w:tcW w:w="92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9"/>
              </w:rPr>
              <w:t>Filing Date</w:t>
            </w:r>
          </w:p>
        </w:tc>
        <w:tc>
          <w:tcPr>
            <w:tcW w:w="0" w:type="dxa"/>
            <w:vAlign w:val="bottom"/>
          </w:tcPr>
          <w:p>
            <w:pPr>
              <w:spacing w:after="0"/>
              <w:rPr>
                <w:sz w:val="1"/>
                <w:szCs w:val="1"/>
                <w:color w:val="auto"/>
              </w:rPr>
            </w:pPr>
          </w:p>
        </w:tc>
      </w:tr>
      <w:tr>
        <w:trPr>
          <w:trHeight w:val="197"/>
        </w:trPr>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Number</w:t>
            </w:r>
          </w:p>
        </w:tc>
        <w:tc>
          <w:tcPr>
            <w:tcW w:w="3160" w:type="dxa"/>
            <w:vAlign w:val="bottom"/>
            <w:tcBorders>
              <w:bottom w:val="single" w:sz="8" w:color="auto"/>
            </w:tcBorders>
            <w:vMerge w:val="continue"/>
          </w:tcPr>
          <w:p>
            <w:pPr>
              <w:spacing w:after="0"/>
              <w:rPr>
                <w:sz w:val="17"/>
                <w:szCs w:val="17"/>
                <w:color w:val="auto"/>
              </w:rPr>
            </w:pPr>
          </w:p>
        </w:tc>
        <w:tc>
          <w:tcPr>
            <w:tcW w:w="2580" w:type="dxa"/>
            <w:vAlign w:val="bottom"/>
            <w:tcBorders>
              <w:bottom w:val="single" w:sz="8" w:color="auto"/>
            </w:tcBorders>
          </w:tcPr>
          <w:p>
            <w:pPr>
              <w:jc w:val="center"/>
              <w:ind w:left="973"/>
              <w:spacing w:after="0"/>
              <w:rPr>
                <w:sz w:val="20"/>
                <w:szCs w:val="20"/>
                <w:color w:val="auto"/>
              </w:rPr>
            </w:pPr>
            <w:r>
              <w:rPr>
                <w:rFonts w:ascii="Arial" w:cs="Arial" w:eastAsia="Arial" w:hAnsi="Arial"/>
                <w:sz w:val="13"/>
                <w:szCs w:val="13"/>
                <w:b w:val="1"/>
                <w:bCs w:val="1"/>
                <w:color w:val="auto"/>
              </w:rPr>
              <w:t>Herewith</w:t>
            </w:r>
          </w:p>
        </w:tc>
        <w:tc>
          <w:tcPr>
            <w:tcW w:w="104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Ending</w:t>
            </w:r>
          </w:p>
        </w:tc>
        <w:tc>
          <w:tcPr>
            <w:tcW w:w="1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240"/>
          </w:cols>
          <w:pgMar w:left="320" w:top="77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30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Microsoft Corporation 2026 Stock Plan</w:t>
            </w:r>
          </w:p>
        </w:tc>
        <w:tc>
          <w:tcPr>
            <w:tcW w:w="800" w:type="dxa"/>
            <w:vAlign w:val="bottom"/>
            <w:gridSpan w:val="7"/>
          </w:tcPr>
          <w:p>
            <w:pPr>
              <w:spacing w:after="0"/>
              <w:rPr>
                <w:sz w:val="17"/>
                <w:szCs w:val="17"/>
                <w:color w:val="auto"/>
              </w:rPr>
            </w:pPr>
          </w:p>
        </w:tc>
      </w:tr>
      <w:tr>
        <w:trPr>
          <w:trHeight w:val="263"/>
        </w:trPr>
        <w:tc>
          <w:tcPr>
            <w:tcW w:w="1300" w:type="dxa"/>
            <w:vAlign w:val="bottom"/>
          </w:tcPr>
          <w:p>
            <w:pPr>
              <w:spacing w:after="0"/>
              <w:rPr>
                <w:sz w:val="20"/>
                <w:szCs w:val="20"/>
                <w:color w:val="auto"/>
              </w:rPr>
            </w:pPr>
            <w:r>
              <w:rPr>
                <w:rFonts w:ascii="Arial" w:cs="Arial" w:eastAsia="Arial" w:hAnsi="Arial"/>
                <w:sz w:val="18"/>
                <w:szCs w:val="18"/>
                <w:color w:val="auto"/>
              </w:rPr>
              <w:t>10.2*</w:t>
            </w:r>
          </w:p>
        </w:tc>
        <w:tc>
          <w:tcPr>
            <w:tcW w:w="3880" w:type="dxa"/>
            <w:vAlign w:val="bottom"/>
            <w:gridSpan w:val="12"/>
          </w:tcPr>
          <w:p>
            <w:pPr>
              <w:spacing w:after="0"/>
              <w:rPr>
                <w:sz w:val="20"/>
                <w:szCs w:val="20"/>
                <w:color w:val="auto"/>
              </w:rPr>
            </w:pPr>
            <w:r>
              <w:rPr>
                <w:rFonts w:ascii="Arial" w:cs="Arial" w:eastAsia="Arial" w:hAnsi="Arial"/>
                <w:sz w:val="18"/>
                <w:szCs w:val="18"/>
                <w:color w:val="auto"/>
              </w:rPr>
              <w:t>Form of Stock Award Agreement Under the</w:t>
            </w:r>
          </w:p>
        </w:tc>
      </w:tr>
      <w:tr>
        <w:trPr>
          <w:trHeight w:val="183"/>
        </w:trPr>
        <w:tc>
          <w:tcPr>
            <w:tcW w:w="1300" w:type="dxa"/>
            <w:vAlign w:val="bottom"/>
          </w:tcPr>
          <w:p>
            <w:pPr>
              <w:spacing w:after="0"/>
              <w:rPr>
                <w:sz w:val="15"/>
                <w:szCs w:val="15"/>
                <w:color w:val="auto"/>
              </w:rPr>
            </w:pPr>
          </w:p>
        </w:tc>
        <w:tc>
          <w:tcPr>
            <w:tcW w:w="30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auto"/>
                <w:w w:val="99"/>
              </w:rPr>
              <w:t>Microsoft Corporation 2026 Stock Plan</w:t>
            </w:r>
          </w:p>
        </w:tc>
        <w:tc>
          <w:tcPr>
            <w:tcW w:w="74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4"/>
        </w:trPr>
        <w:tc>
          <w:tcPr>
            <w:tcW w:w="1300" w:type="dxa"/>
            <w:vAlign w:val="bottom"/>
          </w:tcPr>
          <w:p>
            <w:pPr>
              <w:spacing w:after="0"/>
              <w:rPr>
                <w:sz w:val="20"/>
                <w:szCs w:val="20"/>
                <w:color w:val="auto"/>
              </w:rPr>
            </w:pPr>
            <w:r>
              <w:rPr>
                <w:rFonts w:ascii="Arial" w:cs="Arial" w:eastAsia="Arial" w:hAnsi="Arial"/>
                <w:sz w:val="18"/>
                <w:szCs w:val="18"/>
                <w:color w:val="auto"/>
              </w:rPr>
              <w:t>10.3*</w:t>
            </w:r>
          </w:p>
        </w:tc>
        <w:tc>
          <w:tcPr>
            <w:tcW w:w="3880" w:type="dxa"/>
            <w:vAlign w:val="bottom"/>
            <w:gridSpan w:val="12"/>
          </w:tcPr>
          <w:p>
            <w:pPr>
              <w:spacing w:after="0"/>
              <w:rPr>
                <w:sz w:val="20"/>
                <w:szCs w:val="20"/>
                <w:color w:val="auto"/>
              </w:rPr>
            </w:pPr>
            <w:r>
              <w:rPr>
                <w:rFonts w:ascii="Arial" w:cs="Arial" w:eastAsia="Arial" w:hAnsi="Arial"/>
                <w:sz w:val="18"/>
                <w:szCs w:val="18"/>
                <w:color w:val="auto"/>
              </w:rPr>
              <w:t>Microsoft Corporation Executive Incentive Plan</w:t>
            </w: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00" w:type="dxa"/>
            <w:vAlign w:val="bottom"/>
          </w:tcPr>
          <w:p>
            <w:pPr>
              <w:spacing w:after="0"/>
              <w:rPr>
                <w:sz w:val="20"/>
                <w:szCs w:val="20"/>
                <w:color w:val="auto"/>
              </w:rPr>
            </w:pPr>
            <w:r>
              <w:rPr>
                <w:rFonts w:ascii="Arial" w:cs="Arial" w:eastAsia="Arial" w:hAnsi="Arial"/>
                <w:sz w:val="18"/>
                <w:szCs w:val="18"/>
                <w:color w:val="auto"/>
              </w:rPr>
              <w:t>10.4*</w:t>
            </w:r>
          </w:p>
        </w:tc>
        <w:tc>
          <w:tcPr>
            <w:tcW w:w="3880" w:type="dxa"/>
            <w:vAlign w:val="bottom"/>
            <w:gridSpan w:val="12"/>
          </w:tcPr>
          <w:p>
            <w:pPr>
              <w:spacing w:after="0"/>
              <w:rPr>
                <w:sz w:val="20"/>
                <w:szCs w:val="20"/>
                <w:color w:val="auto"/>
              </w:rPr>
            </w:pPr>
            <w:r>
              <w:rPr>
                <w:rFonts w:ascii="Arial" w:cs="Arial" w:eastAsia="Arial" w:hAnsi="Arial"/>
                <w:sz w:val="18"/>
                <w:szCs w:val="18"/>
                <w:color w:val="auto"/>
              </w:rPr>
              <w:t>Microsoft Corporation Deferred Compensation</w:t>
            </w:r>
          </w:p>
        </w:tc>
      </w:tr>
      <w:tr>
        <w:trPr>
          <w:trHeight w:val="183"/>
        </w:trPr>
        <w:tc>
          <w:tcPr>
            <w:tcW w:w="1300" w:type="dxa"/>
            <w:vAlign w:val="bottom"/>
          </w:tcPr>
          <w:p>
            <w:pPr>
              <w:spacing w:after="0"/>
              <w:rPr>
                <w:sz w:val="15"/>
                <w:szCs w:val="15"/>
                <w:color w:val="auto"/>
              </w:rPr>
            </w:pPr>
          </w:p>
        </w:tc>
        <w:tc>
          <w:tcPr>
            <w:tcW w:w="38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auto"/>
              </w:rPr>
              <w:t>Plan for Non-Employee Directors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300" w:type="dxa"/>
            <w:vAlign w:val="bottom"/>
          </w:tcPr>
          <w:p>
            <w:pPr>
              <w:spacing w:after="0"/>
              <w:rPr>
                <w:sz w:val="20"/>
                <w:szCs w:val="20"/>
                <w:color w:val="auto"/>
              </w:rPr>
            </w:pPr>
            <w:r>
              <w:rPr>
                <w:rFonts w:ascii="Arial" w:cs="Arial" w:eastAsia="Arial" w:hAnsi="Arial"/>
                <w:sz w:val="18"/>
                <w:szCs w:val="18"/>
                <w:color w:val="auto"/>
              </w:rPr>
              <w:t>15.1</w:t>
            </w:r>
          </w:p>
        </w:tc>
        <w:tc>
          <w:tcPr>
            <w:tcW w:w="3880" w:type="dxa"/>
            <w:vAlign w:val="bottom"/>
            <w:gridSpan w:val="12"/>
          </w:tcPr>
          <w:p>
            <w:pPr>
              <w:spacing w:after="0"/>
              <w:rPr>
                <w:sz w:val="20"/>
                <w:szCs w:val="20"/>
                <w:color w:val="auto"/>
              </w:rPr>
            </w:pPr>
            <w:r>
              <w:rPr>
                <w:rFonts w:ascii="Arial" w:cs="Arial" w:eastAsia="Arial" w:hAnsi="Arial"/>
                <w:sz w:val="18"/>
                <w:szCs w:val="18"/>
                <w:color w:val="auto"/>
              </w:rPr>
              <w:t>Letter  regarding  unaudited  interim  financial</w:t>
            </w:r>
          </w:p>
        </w:tc>
      </w:tr>
      <w:tr>
        <w:trPr>
          <w:trHeight w:val="183"/>
        </w:trPr>
        <w:tc>
          <w:tcPr>
            <w:tcW w:w="1300" w:type="dxa"/>
            <w:vAlign w:val="bottom"/>
          </w:tcPr>
          <w:p>
            <w:pPr>
              <w:spacing w:after="0"/>
              <w:rPr>
                <w:sz w:val="15"/>
                <w:szCs w:val="15"/>
                <w:color w:val="auto"/>
              </w:rPr>
            </w:pPr>
          </w:p>
        </w:tc>
        <w:tc>
          <w:tcPr>
            <w:tcW w:w="386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auto"/>
              </w:rPr>
              <w:t>information</w:t>
            </w:r>
          </w:p>
        </w:tc>
        <w:tc>
          <w:tcPr>
            <w:tcW w:w="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1300" w:type="dxa"/>
            <w:vAlign w:val="bottom"/>
          </w:tcPr>
          <w:p>
            <w:pPr>
              <w:spacing w:after="0"/>
              <w:rPr>
                <w:sz w:val="20"/>
                <w:szCs w:val="20"/>
                <w:color w:val="auto"/>
              </w:rPr>
            </w:pPr>
            <w:r>
              <w:rPr>
                <w:rFonts w:ascii="Arial" w:cs="Arial" w:eastAsia="Arial" w:hAnsi="Arial"/>
                <w:sz w:val="18"/>
                <w:szCs w:val="18"/>
                <w:color w:val="auto"/>
              </w:rPr>
              <w:t>31.1</w:t>
            </w:r>
          </w:p>
        </w:tc>
        <w:tc>
          <w:tcPr>
            <w:tcW w:w="3880" w:type="dxa"/>
            <w:vAlign w:val="bottom"/>
            <w:gridSpan w:val="12"/>
          </w:tcPr>
          <w:p>
            <w:pPr>
              <w:spacing w:after="0"/>
              <w:rPr>
                <w:sz w:val="20"/>
                <w:szCs w:val="20"/>
                <w:color w:val="auto"/>
              </w:rPr>
            </w:pPr>
            <w:r>
              <w:rPr>
                <w:rFonts w:ascii="Arial" w:cs="Arial" w:eastAsia="Arial" w:hAnsi="Arial"/>
                <w:sz w:val="18"/>
                <w:szCs w:val="18"/>
                <w:color w:val="auto"/>
              </w:rPr>
              <w:t>Certification   of   Chief   Executive   Officer</w:t>
            </w:r>
          </w:p>
        </w:tc>
      </w:tr>
      <w:tr>
        <w:trPr>
          <w:trHeight w:val="183"/>
        </w:trPr>
        <w:tc>
          <w:tcPr>
            <w:tcW w:w="1300" w:type="dxa"/>
            <w:vAlign w:val="bottom"/>
          </w:tcPr>
          <w:p>
            <w:pPr>
              <w:spacing w:after="0"/>
              <w:rPr>
                <w:sz w:val="15"/>
                <w:szCs w:val="15"/>
                <w:color w:val="auto"/>
              </w:rPr>
            </w:pPr>
          </w:p>
        </w:tc>
        <w:tc>
          <w:tcPr>
            <w:tcW w:w="38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auto"/>
              </w:rPr>
              <w:t>Pursuant to Section 302 of the Sarbanes-Oxley</w:t>
            </w:r>
          </w:p>
        </w:tc>
        <w:tc>
          <w:tcPr>
            <w:tcW w:w="80" w:type="dxa"/>
            <w:vAlign w:val="bottom"/>
            <w:gridSpan w:val="4"/>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38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auto"/>
              </w:rPr>
              <w:t>Act of 2002</w:t>
            </w:r>
          </w:p>
        </w:tc>
        <w:tc>
          <w:tcPr>
            <w:tcW w:w="60" w:type="dxa"/>
            <w:vAlign w:val="bottom"/>
            <w:gridSpan w:val="3"/>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3"/>
        </w:trPr>
        <w:tc>
          <w:tcPr>
            <w:tcW w:w="1300" w:type="dxa"/>
            <w:vAlign w:val="bottom"/>
          </w:tcPr>
          <w:p>
            <w:pPr>
              <w:spacing w:after="0"/>
              <w:rPr>
                <w:sz w:val="20"/>
                <w:szCs w:val="20"/>
                <w:color w:val="auto"/>
              </w:rPr>
            </w:pPr>
            <w:r>
              <w:rPr>
                <w:rFonts w:ascii="Arial" w:cs="Arial" w:eastAsia="Arial" w:hAnsi="Arial"/>
                <w:sz w:val="18"/>
                <w:szCs w:val="18"/>
                <w:color w:val="auto"/>
              </w:rPr>
              <w:t>31.2</w:t>
            </w:r>
          </w:p>
        </w:tc>
        <w:tc>
          <w:tcPr>
            <w:tcW w:w="3880" w:type="dxa"/>
            <w:vAlign w:val="bottom"/>
            <w:gridSpan w:val="12"/>
          </w:tcPr>
          <w:p>
            <w:pPr>
              <w:spacing w:after="0"/>
              <w:rPr>
                <w:sz w:val="20"/>
                <w:szCs w:val="20"/>
                <w:color w:val="auto"/>
              </w:rPr>
            </w:pPr>
            <w:r>
              <w:rPr>
                <w:rFonts w:ascii="Arial" w:cs="Arial" w:eastAsia="Arial" w:hAnsi="Arial"/>
                <w:sz w:val="18"/>
                <w:szCs w:val="18"/>
                <w:color w:val="auto"/>
              </w:rPr>
              <w:t>Certification of Chief Financial Officer Pursuant</w:t>
            </w:r>
          </w:p>
        </w:tc>
      </w:tr>
      <w:tr>
        <w:trPr>
          <w:trHeight w:val="183"/>
        </w:trPr>
        <w:tc>
          <w:tcPr>
            <w:tcW w:w="1300" w:type="dxa"/>
            <w:vAlign w:val="bottom"/>
          </w:tcPr>
          <w:p>
            <w:pPr>
              <w:spacing w:after="0"/>
              <w:rPr>
                <w:sz w:val="15"/>
                <w:szCs w:val="15"/>
                <w:color w:val="auto"/>
              </w:rPr>
            </w:pPr>
          </w:p>
        </w:tc>
        <w:tc>
          <w:tcPr>
            <w:tcW w:w="37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auto"/>
              </w:rPr>
              <w:t>to Section 302 of the Sarbanes-Oxley Act of</w:t>
            </w:r>
          </w:p>
        </w:tc>
        <w:tc>
          <w:tcPr>
            <w:tcW w:w="100" w:type="dxa"/>
            <w:vAlign w:val="bottom"/>
            <w:gridSpan w:val="5"/>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7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77" w:lineRule="exact"/>
        <w:rPr>
          <w:sz w:val="20"/>
          <w:szCs w:val="20"/>
          <w:color w:val="auto"/>
        </w:rPr>
      </w:pPr>
    </w:p>
    <w:p>
      <w:pPr>
        <w:sectPr>
          <w:pgSz w:w="11900" w:h="16838" w:orient="portrait"/>
          <w:cols w:equalWidth="0" w:num="2">
            <w:col w:w="5080" w:space="720"/>
            <w:col w:w="5440"/>
          </w:cols>
          <w:pgMar w:left="320" w:top="77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rPr>
              <w:t>32.1**</w:t>
            </w:r>
          </w:p>
        </w:tc>
        <w:tc>
          <w:tcPr>
            <w:tcW w:w="4140" w:type="dxa"/>
            <w:vAlign w:val="bottom"/>
            <w:gridSpan w:val="6"/>
          </w:tcPr>
          <w:p>
            <w:pPr>
              <w:spacing w:after="0"/>
              <w:rPr>
                <w:sz w:val="20"/>
                <w:szCs w:val="20"/>
                <w:color w:val="auto"/>
              </w:rPr>
            </w:pPr>
            <w:r>
              <w:rPr>
                <w:rFonts w:ascii="Arial" w:cs="Arial" w:eastAsia="Arial" w:hAnsi="Arial"/>
                <w:sz w:val="18"/>
                <w:szCs w:val="18"/>
                <w:color w:val="auto"/>
              </w:rPr>
              <w:t>Certification   of   Chief   Executive   Officer</w:t>
            </w:r>
          </w:p>
        </w:tc>
        <w:tc>
          <w:tcPr>
            <w:tcW w:w="480" w:type="dxa"/>
            <w:vAlign w:val="bottom"/>
            <w:vMerge w:val="restart"/>
          </w:tcPr>
          <w:p>
            <w:pPr>
              <w:ind w:left="3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80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auto"/>
              </w:rPr>
              <w:t>Pursuant to Section 906 of the Sarbanes-Oxley</w:t>
            </w:r>
          </w:p>
        </w:tc>
        <w:tc>
          <w:tcPr>
            <w:tcW w:w="20" w:type="dxa"/>
            <w:vAlign w:val="bottom"/>
            <w:tcBorders>
              <w:bottom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820" w:type="dxa"/>
            <w:vAlign w:val="bottom"/>
            <w:gridSpan w:val="5"/>
          </w:tcPr>
          <w:p>
            <w:pPr>
              <w:spacing w:after="0" w:line="182" w:lineRule="exact"/>
              <w:rPr>
                <w:sz w:val="20"/>
                <w:szCs w:val="20"/>
                <w:color w:val="auto"/>
              </w:rPr>
            </w:pPr>
            <w:r>
              <w:rPr>
                <w:rFonts w:ascii="Arial" w:cs="Arial" w:eastAsia="Arial" w:hAnsi="Arial"/>
                <w:sz w:val="18"/>
                <w:szCs w:val="18"/>
                <w:color w:val="auto"/>
              </w:rPr>
              <w:t>Act of 2002</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tcPr>
          <w:p>
            <w:pPr>
              <w:spacing w:after="0"/>
              <w:rPr>
                <w:sz w:val="20"/>
                <w:szCs w:val="20"/>
                <w:color w:val="auto"/>
              </w:rPr>
            </w:pPr>
            <w:r>
              <w:rPr>
                <w:rFonts w:ascii="Arial" w:cs="Arial" w:eastAsia="Arial" w:hAnsi="Arial"/>
                <w:sz w:val="18"/>
                <w:szCs w:val="18"/>
                <w:color w:val="auto"/>
              </w:rPr>
              <w:t>32.2**</w:t>
            </w:r>
          </w:p>
        </w:tc>
        <w:tc>
          <w:tcPr>
            <w:tcW w:w="4140" w:type="dxa"/>
            <w:vAlign w:val="bottom"/>
            <w:gridSpan w:val="6"/>
          </w:tcPr>
          <w:p>
            <w:pPr>
              <w:spacing w:after="0"/>
              <w:rPr>
                <w:sz w:val="20"/>
                <w:szCs w:val="20"/>
                <w:color w:val="auto"/>
              </w:rPr>
            </w:pPr>
            <w:r>
              <w:rPr>
                <w:rFonts w:ascii="Arial" w:cs="Arial" w:eastAsia="Arial" w:hAnsi="Arial"/>
                <w:sz w:val="18"/>
                <w:szCs w:val="18"/>
                <w:color w:val="auto"/>
              </w:rPr>
              <w:t>Certification of Chief Financial Officer Pursuant</w:t>
            </w:r>
          </w:p>
        </w:tc>
        <w:tc>
          <w:tcPr>
            <w:tcW w:w="480" w:type="dxa"/>
            <w:vAlign w:val="bottom"/>
            <w:vMerge w:val="restart"/>
          </w:tcPr>
          <w:p>
            <w:pPr>
              <w:ind w:left="3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378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auto"/>
              </w:rPr>
              <w:t>to Section 906 of the Sarbanes-Oxley Act of</w:t>
            </w:r>
          </w:p>
        </w:tc>
        <w:tc>
          <w:tcPr>
            <w:tcW w:w="360" w:type="dxa"/>
            <w:vAlign w:val="bottom"/>
            <w:gridSpan w:val="3"/>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4"/>
              </w:rPr>
              <w:t>2002</w:t>
            </w:r>
          </w:p>
        </w:tc>
        <w:tc>
          <w:tcPr>
            <w:tcW w:w="500" w:type="dxa"/>
            <w:vAlign w:val="bottom"/>
            <w:tcBorders>
              <w:top w:val="single" w:sz="8" w:color="0000EE"/>
            </w:tcBorders>
          </w:tcPr>
          <w:p>
            <w:pPr>
              <w:spacing w:after="0"/>
              <w:rPr>
                <w:sz w:val="15"/>
                <w:szCs w:val="15"/>
                <w:color w:val="auto"/>
              </w:rPr>
            </w:pPr>
          </w:p>
        </w:tc>
        <w:tc>
          <w:tcPr>
            <w:tcW w:w="28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300" w:type="dxa"/>
            <w:vAlign w:val="bottom"/>
          </w:tcPr>
          <w:p>
            <w:pPr>
              <w:spacing w:after="0"/>
              <w:rPr>
                <w:sz w:val="20"/>
                <w:szCs w:val="20"/>
                <w:color w:val="auto"/>
              </w:rPr>
            </w:pPr>
            <w:r>
              <w:rPr>
                <w:rFonts w:ascii="Arial" w:cs="Arial" w:eastAsia="Arial" w:hAnsi="Arial"/>
                <w:sz w:val="18"/>
                <w:szCs w:val="18"/>
                <w:color w:val="auto"/>
              </w:rPr>
              <w:t>101.INS</w:t>
            </w:r>
          </w:p>
        </w:tc>
        <w:tc>
          <w:tcPr>
            <w:tcW w:w="4140" w:type="dxa"/>
            <w:vAlign w:val="bottom"/>
            <w:gridSpan w:val="6"/>
          </w:tcPr>
          <w:p>
            <w:pPr>
              <w:spacing w:after="0"/>
              <w:rPr>
                <w:sz w:val="20"/>
                <w:szCs w:val="20"/>
                <w:color w:val="auto"/>
              </w:rPr>
            </w:pPr>
            <w:r>
              <w:rPr>
                <w:rFonts w:ascii="Arial" w:cs="Arial" w:eastAsia="Arial" w:hAnsi="Arial"/>
                <w:sz w:val="18"/>
                <w:szCs w:val="18"/>
                <w:color w:val="auto"/>
              </w:rPr>
              <w:t>Inline XBRL Instance Document–the instance</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4140" w:type="dxa"/>
            <w:vAlign w:val="bottom"/>
            <w:gridSpan w:val="6"/>
          </w:tcPr>
          <w:p>
            <w:pPr>
              <w:spacing w:after="0" w:line="202" w:lineRule="exact"/>
              <w:rPr>
                <w:sz w:val="20"/>
                <w:szCs w:val="20"/>
                <w:color w:val="auto"/>
              </w:rPr>
            </w:pPr>
            <w:r>
              <w:rPr>
                <w:rFonts w:ascii="Arial" w:cs="Arial" w:eastAsia="Arial" w:hAnsi="Arial"/>
                <w:sz w:val="18"/>
                <w:szCs w:val="18"/>
                <w:color w:val="auto"/>
              </w:rPr>
              <w:t>document does not appear in the Interactive</w:t>
            </w:r>
          </w:p>
        </w:tc>
        <w:tc>
          <w:tcPr>
            <w:tcW w:w="480" w:type="dxa"/>
            <w:vAlign w:val="bottom"/>
            <w:vMerge w:val="restart"/>
          </w:tcPr>
          <w:p>
            <w:pPr>
              <w:ind w:left="36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140" w:type="dxa"/>
            <w:vAlign w:val="bottom"/>
            <w:gridSpan w:val="6"/>
            <w:vMerge w:val="restart"/>
          </w:tcPr>
          <w:p>
            <w:pPr>
              <w:spacing w:after="0"/>
              <w:rPr>
                <w:sz w:val="20"/>
                <w:szCs w:val="20"/>
                <w:color w:val="auto"/>
              </w:rPr>
            </w:pPr>
            <w:r>
              <w:rPr>
                <w:rFonts w:ascii="Arial" w:cs="Arial" w:eastAsia="Arial" w:hAnsi="Arial"/>
                <w:sz w:val="18"/>
                <w:szCs w:val="18"/>
                <w:color w:val="auto"/>
              </w:rPr>
              <w:t>Data File as its XBRL tags are embedded</w:t>
            </w: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300" w:type="dxa"/>
            <w:vAlign w:val="bottom"/>
          </w:tcPr>
          <w:p>
            <w:pPr>
              <w:spacing w:after="0"/>
              <w:rPr>
                <w:sz w:val="7"/>
                <w:szCs w:val="7"/>
                <w:color w:val="auto"/>
              </w:rPr>
            </w:pPr>
          </w:p>
        </w:tc>
        <w:tc>
          <w:tcPr>
            <w:tcW w:w="4140" w:type="dxa"/>
            <w:vAlign w:val="bottom"/>
            <w:gridSpan w:val="6"/>
            <w:vMerge w:val="continue"/>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300"/>
        <w:spacing w:after="0"/>
        <w:rPr>
          <w:sz w:val="20"/>
          <w:szCs w:val="20"/>
          <w:color w:val="auto"/>
        </w:rPr>
      </w:pPr>
      <w:r>
        <w:rPr>
          <w:rFonts w:ascii="Arial" w:cs="Arial" w:eastAsia="Arial" w:hAnsi="Arial"/>
          <w:sz w:val="18"/>
          <w:szCs w:val="18"/>
          <w:color w:val="auto"/>
        </w:rPr>
        <w:t>within the Inline XBRL document</w:t>
      </w:r>
    </w:p>
    <w:p>
      <w:pPr>
        <w:sectPr>
          <w:pgSz w:w="11900" w:h="16838" w:orient="portrait"/>
          <w:cols w:equalWidth="0" w:num="1">
            <w:col w:w="11240"/>
          </w:cols>
          <w:pgMar w:left="320" w:top="775" w:right="339" w:bottom="144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4060" w:type="dxa"/>
            <w:vAlign w:val="bottom"/>
          </w:tcPr>
          <w:p>
            <w:pPr>
              <w:ind w:left="280"/>
              <w:spacing w:after="0"/>
              <w:rPr>
                <w:sz w:val="20"/>
                <w:szCs w:val="20"/>
                <w:color w:val="auto"/>
              </w:rPr>
            </w:pPr>
            <w:r>
              <w:rPr>
                <w:rFonts w:ascii="Arial" w:cs="Arial" w:eastAsia="Arial" w:hAnsi="Arial"/>
                <w:sz w:val="18"/>
                <w:szCs w:val="18"/>
                <w:color w:val="auto"/>
                <w:w w:val="99"/>
              </w:rPr>
              <w:t>Inline XBRL Taxonomy Extension Schema with</w:t>
            </w:r>
          </w:p>
        </w:tc>
      </w:tr>
      <w:tr>
        <w:trPr>
          <w:trHeight w:val="239"/>
        </w:trPr>
        <w:tc>
          <w:tcPr>
            <w:tcW w:w="1020" w:type="dxa"/>
            <w:vAlign w:val="bottom"/>
          </w:tcPr>
          <w:p>
            <w:pPr>
              <w:spacing w:after="0"/>
              <w:rPr>
                <w:sz w:val="20"/>
                <w:szCs w:val="20"/>
                <w:color w:val="auto"/>
              </w:rPr>
            </w:pPr>
          </w:p>
        </w:tc>
        <w:tc>
          <w:tcPr>
            <w:tcW w:w="4060" w:type="dxa"/>
            <w:vAlign w:val="bottom"/>
          </w:tcPr>
          <w:p>
            <w:pPr>
              <w:ind w:left="280"/>
              <w:spacing w:after="0"/>
              <w:rPr>
                <w:sz w:val="20"/>
                <w:szCs w:val="20"/>
                <w:color w:val="auto"/>
              </w:rPr>
            </w:pPr>
            <w:r>
              <w:rPr>
                <w:rFonts w:ascii="Arial" w:cs="Arial" w:eastAsia="Arial" w:hAnsi="Arial"/>
                <w:sz w:val="18"/>
                <w:szCs w:val="18"/>
                <w:color w:val="auto"/>
              </w:rPr>
              <w:t>Embedded Linkbase Documents</w:t>
            </w:r>
          </w:p>
        </w:tc>
      </w:tr>
    </w:tbl>
    <w:p>
      <w:pPr>
        <w:spacing w:after="0" w:line="45" w:lineRule="exact"/>
        <w:rPr>
          <w:sz w:val="20"/>
          <w:szCs w:val="20"/>
          <w:color w:val="auto"/>
        </w:rPr>
      </w:pPr>
    </w:p>
    <w:p>
      <w:pPr>
        <w:ind w:left="1300" w:hanging="1292"/>
        <w:spacing w:after="0" w:line="271"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8" w:lineRule="exact"/>
        <w:rPr>
          <w:sz w:val="20"/>
          <w:szCs w:val="20"/>
          <w:color w:val="auto"/>
        </w:rPr>
      </w:pPr>
    </w:p>
    <w:p>
      <w:pPr>
        <w:sectPr>
          <w:pgSz w:w="11900" w:h="16838" w:orient="portrait"/>
          <w:cols w:equalWidth="0" w:num="2">
            <w:col w:w="5080" w:space="720"/>
            <w:col w:w="5440"/>
          </w:cols>
          <w:pgMar w:left="320" w:top="775" w:right="339" w:bottom="1440" w:gutter="0" w:footer="0" w:header="0"/>
          <w:type w:val="continuous"/>
        </w:sectPr>
      </w:pPr>
    </w:p>
    <w:p>
      <w:pPr>
        <w:ind w:right="5060" w:firstLine="8"/>
        <w:spacing w:after="0" w:line="269" w:lineRule="auto"/>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Indicates a management contract or compensatory plan or arrangement. </w:t>
      </w:r>
      <w:r>
        <w:rPr>
          <w:rFonts w:ascii="Arial" w:cs="Arial" w:eastAsia="Arial" w:hAnsi="Arial"/>
          <w:sz w:val="18"/>
          <w:szCs w:val="18"/>
          <w:color w:val="auto"/>
        </w:rPr>
        <w:t xml:space="preserve">** </w:t>
      </w:r>
      <w:r>
        <w:rPr>
          <w:rFonts w:ascii="Arial" w:cs="Arial" w:eastAsia="Arial" w:hAnsi="Arial"/>
          <w:sz w:val="18"/>
          <w:szCs w:val="18"/>
          <w:i w:val="1"/>
          <w:iCs w:val="1"/>
          <w:color w:val="auto"/>
        </w:rPr>
        <w:t>Furnished, not filed.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and 4 are not applicable and have been omitted.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566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line="234" w:lineRule="auto"/>
        <w:rPr>
          <w:sz w:val="20"/>
          <w:szCs w:val="20"/>
          <w:color w:val="auto"/>
        </w:rPr>
      </w:pPr>
      <w:r>
        <w:rPr>
          <w:rFonts w:ascii="Arial" w:cs="Arial" w:eastAsia="Arial" w:hAnsi="Arial"/>
          <w:sz w:val="18"/>
          <w:szCs w:val="18"/>
          <w:color w:val="auto"/>
        </w:rPr>
        <w:t>Corporate Vice President and Chief Accounting Officer (Duly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68" w:name="page69"/>
    <w:bookmarkEnd w:id="68"/>
    <w:p>
      <w:pPr>
        <w:ind w:left="10140"/>
        <w:spacing w:after="0"/>
        <w:rPr>
          <w:sz w:val="20"/>
          <w:szCs w:val="20"/>
          <w:color w:val="auto"/>
        </w:rPr>
      </w:pPr>
      <w:r>
        <w:rPr>
          <w:rFonts w:ascii="Arial" w:cs="Arial" w:eastAsia="Arial" w:hAnsi="Arial"/>
          <w:sz w:val="18"/>
          <w:szCs w:val="18"/>
          <w:color w:val="auto"/>
        </w:rPr>
        <w:t>Exhibit 10.1</w:t>
      </w:r>
    </w:p>
    <w:p>
      <w:pPr>
        <w:spacing w:after="0" w:line="21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MICROSOFT CORPORATION</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2026 STOCK PLAN</w:t>
      </w:r>
    </w:p>
    <w:p>
      <w:pPr>
        <w:spacing w:after="0" w:line="158" w:lineRule="exact"/>
        <w:rPr>
          <w:sz w:val="20"/>
          <w:szCs w:val="20"/>
          <w:color w:val="auto"/>
        </w:rPr>
      </w:pPr>
    </w:p>
    <w:p>
      <w:pPr>
        <w:jc w:val="both"/>
        <w:ind w:left="380" w:hanging="372"/>
        <w:spacing w:after="0" w:line="25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Purpose of the Plan</w:t>
      </w:r>
      <w:r>
        <w:rPr>
          <w:rFonts w:ascii="Arial" w:cs="Arial" w:eastAsia="Arial" w:hAnsi="Arial"/>
          <w:sz w:val="18"/>
          <w:szCs w:val="18"/>
          <w:color w:val="auto"/>
        </w:rPr>
        <w:t>. The purposes of this Plan are to attract and retain Employees and Consultants, and knowledgeable,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Non-Employee Directors of the Company, and to provide additional incentives to those persons to continue to work in the best interests of the Company and its shareholders.</w:t>
      </w:r>
    </w:p>
    <w:p>
      <w:pPr>
        <w:spacing w:after="0" w:line="114" w:lineRule="exact"/>
        <w:rPr>
          <w:rFonts w:ascii="Arial" w:cs="Arial" w:eastAsia="Arial" w:hAnsi="Arial"/>
          <w:sz w:val="18"/>
          <w:szCs w:val="18"/>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in this Plan, the following definitions apply:</w:t>
      </w:r>
    </w:p>
    <w:p>
      <w:pPr>
        <w:spacing w:after="0" w:line="76" w:lineRule="exact"/>
        <w:rPr>
          <w:rFonts w:ascii="Arial" w:cs="Arial" w:eastAsia="Arial" w:hAnsi="Arial"/>
          <w:sz w:val="18"/>
          <w:szCs w:val="18"/>
          <w:color w:val="auto"/>
        </w:rPr>
      </w:pPr>
    </w:p>
    <w:p>
      <w:pPr>
        <w:ind w:left="900" w:right="20" w:hanging="368"/>
        <w:spacing w:after="0" w:line="271"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award or benefits granted under the Plan, including Options, Share Awards, SARs, and Director Fee Awards.</w:t>
      </w:r>
    </w:p>
    <w:p>
      <w:pPr>
        <w:spacing w:after="0" w:line="18" w:lineRule="exact"/>
        <w:rPr>
          <w:rFonts w:ascii="Arial" w:cs="Arial" w:eastAsia="Arial" w:hAnsi="Arial"/>
          <w:sz w:val="18"/>
          <w:szCs w:val="18"/>
          <w:color w:val="auto"/>
        </w:rPr>
      </w:pPr>
    </w:p>
    <w:p>
      <w:pPr>
        <w:ind w:left="900" w:hanging="368"/>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a written or electronic agreement setting forth the terms of an Award.</w:t>
      </w:r>
    </w:p>
    <w:p>
      <w:pPr>
        <w:spacing w:after="0" w:line="76" w:lineRule="exact"/>
        <w:rPr>
          <w:rFonts w:ascii="Arial" w:cs="Arial" w:eastAsia="Arial" w:hAnsi="Arial"/>
          <w:sz w:val="18"/>
          <w:szCs w:val="18"/>
          <w:color w:val="auto"/>
        </w:rPr>
      </w:pPr>
    </w:p>
    <w:p>
      <w:pPr>
        <w:ind w:left="900" w:hanging="368"/>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Awardee</w:t>
      </w:r>
      <w:r>
        <w:rPr>
          <w:rFonts w:ascii="Arial" w:cs="Arial" w:eastAsia="Arial" w:hAnsi="Arial"/>
          <w:sz w:val="18"/>
          <w:szCs w:val="18"/>
          <w:color w:val="auto"/>
        </w:rPr>
        <w:t>” means the holder of an outstanding Award.</w:t>
      </w:r>
    </w:p>
    <w:p>
      <w:pPr>
        <w:spacing w:after="0" w:line="76" w:lineRule="exact"/>
        <w:rPr>
          <w:rFonts w:ascii="Arial" w:cs="Arial" w:eastAsia="Arial" w:hAnsi="Arial"/>
          <w:sz w:val="18"/>
          <w:szCs w:val="18"/>
          <w:color w:val="auto"/>
        </w:rPr>
      </w:pPr>
    </w:p>
    <w:p>
      <w:pPr>
        <w:ind w:left="900" w:hanging="368"/>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color w:val="auto"/>
        </w:rPr>
      </w:pPr>
    </w:p>
    <w:p>
      <w:pPr>
        <w:ind w:left="900" w:hanging="368"/>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of the following events:</w:t>
      </w:r>
    </w:p>
    <w:p>
      <w:pPr>
        <w:spacing w:after="0" w:line="76" w:lineRule="exact"/>
        <w:rPr>
          <w:rFonts w:ascii="Arial" w:cs="Arial" w:eastAsia="Arial" w:hAnsi="Arial"/>
          <w:sz w:val="18"/>
          <w:szCs w:val="18"/>
          <w:color w:val="auto"/>
        </w:rPr>
      </w:pPr>
    </w:p>
    <w:p>
      <w:pPr>
        <w:jc w:val="both"/>
        <w:ind w:left="1400" w:hanging="374"/>
        <w:spacing w:after="0" w:line="239" w:lineRule="auto"/>
        <w:tabs>
          <w:tab w:leader="none" w:pos="14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during any period of not more than 36 months, individuals who constitute the Board as of the beginning of the period (the “</w:t>
      </w:r>
      <w:r>
        <w:rPr>
          <w:rFonts w:ascii="Arial" w:cs="Arial" w:eastAsia="Arial" w:hAnsi="Arial"/>
          <w:sz w:val="18"/>
          <w:szCs w:val="18"/>
          <w:b w:val="1"/>
          <w:bCs w:val="1"/>
          <w:color w:val="auto"/>
        </w:rPr>
        <w:t>Incumbent Directors</w:t>
      </w:r>
      <w:r>
        <w:rPr>
          <w:rFonts w:ascii="Arial" w:cs="Arial" w:eastAsia="Arial" w:hAnsi="Arial"/>
          <w:sz w:val="18"/>
          <w:szCs w:val="18"/>
          <w:color w:val="auto"/>
        </w:rPr>
        <w:t>”) cease for any reason to constitute at least a majority of the Board, provided that any person becoming a director subsequent to the beginning of such period,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will be an Incumbent Director</w:t>
      </w:r>
      <w:r>
        <w:rPr>
          <w:rFonts w:ascii="Arial" w:cs="Arial" w:eastAsia="Arial" w:hAnsi="Arial"/>
          <w:sz w:val="18"/>
          <w:szCs w:val="18"/>
          <w:i w:val="1"/>
          <w:iCs w:val="1"/>
          <w:color w:val="auto"/>
        </w:rPr>
        <w:t>;</w:t>
      </w:r>
      <w:r>
        <w:rPr>
          <w:rFonts w:ascii="Arial" w:cs="Arial" w:eastAsia="Arial" w:hAnsi="Arial"/>
          <w:sz w:val="18"/>
          <w:szCs w:val="18"/>
          <w:color w:val="auto"/>
        </w:rPr>
        <w:t xml:space="preserve"> provided, however, that no individual initially elected or nominated as a director of the Company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48" w:lineRule="exact"/>
        <w:rPr>
          <w:rFonts w:ascii="Arial" w:cs="Arial" w:eastAsia="Arial" w:hAnsi="Arial"/>
          <w:sz w:val="18"/>
          <w:szCs w:val="18"/>
          <w:color w:val="auto"/>
        </w:rPr>
      </w:pPr>
    </w:p>
    <w:p>
      <w:pPr>
        <w:ind w:left="1400" w:hanging="374"/>
        <w:spacing w:after="0"/>
        <w:tabs>
          <w:tab w:leader="none" w:pos="14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“person” (as such term is defined in Section 3(a)(9) of the Exchange Act and as used in Sections 13(d)(3) and 14(d)</w:t>
      </w:r>
    </w:p>
    <w:p>
      <w:pPr>
        <w:spacing w:after="0" w:line="13" w:lineRule="exact"/>
        <w:rPr>
          <w:rFonts w:ascii="Arial" w:cs="Arial" w:eastAsia="Arial" w:hAnsi="Arial"/>
          <w:sz w:val="18"/>
          <w:szCs w:val="18"/>
          <w:color w:val="auto"/>
        </w:rPr>
      </w:pPr>
    </w:p>
    <w:p>
      <w:pPr>
        <w:jc w:val="both"/>
        <w:ind w:left="1400"/>
        <w:spacing w:after="0" w:line="237" w:lineRule="auto"/>
        <w:tabs>
          <w:tab w:leader="none" w:pos="1679" w:val="left"/>
        </w:tabs>
        <w:numPr>
          <w:ilvl w:val="3"/>
          <w:numId w:val="38"/>
        </w:numPr>
        <w:rPr>
          <w:rFonts w:ascii="Arial" w:cs="Arial" w:eastAsia="Arial" w:hAnsi="Arial"/>
          <w:sz w:val="18"/>
          <w:szCs w:val="18"/>
          <w:color w:val="auto"/>
        </w:rPr>
      </w:pPr>
      <w:r>
        <w:rPr>
          <w:rFonts w:ascii="Arial" w:cs="Arial" w:eastAsia="Arial" w:hAnsi="Arial"/>
          <w:sz w:val="18"/>
          <w:szCs w:val="18"/>
          <w:color w:val="auto"/>
        </w:rPr>
        <w:t>of the Exchange Act), is or becomes a “beneficial owner” (as defined in Rule 13d-3 under the Exchange Act), directly or indirectly, of securities of the Company representing 50% or more of the combined voting power of the Company’s then-outstanding securities eligible to vote for the election of the Board (“</w:t>
      </w:r>
      <w:r>
        <w:rPr>
          <w:rFonts w:ascii="Arial" w:cs="Arial" w:eastAsia="Arial" w:hAnsi="Arial"/>
          <w:sz w:val="18"/>
          <w:szCs w:val="18"/>
          <w:b w:val="1"/>
          <w:bCs w:val="1"/>
          <w:color w:val="auto"/>
        </w:rPr>
        <w:t>Company Voting Securities</w:t>
      </w:r>
      <w:r>
        <w:rPr>
          <w:rFonts w:ascii="Arial" w:cs="Arial" w:eastAsia="Arial" w:hAnsi="Arial"/>
          <w:sz w:val="18"/>
          <w:szCs w:val="18"/>
          <w:color w:val="auto"/>
        </w:rPr>
        <w:t xml:space="preserve">”); provided, however,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event described in this clause (ii) will not be deemed to be a Change in Control by virtue of the ownership, or acquisition, of Company Voting Securities: (A) by the Company, (B) by any employee benefit plan (or related trust) sponsored or maintained by the Company, (C) by any underwriter temporarily holding securities pursuant to an offering of such securities, or (D) pursuant to a Non-Qualifying Transaction (as defined in clause (iii) of this definition);</w:t>
      </w:r>
    </w:p>
    <w:p>
      <w:pPr>
        <w:spacing w:after="0" w:line="49" w:lineRule="exact"/>
        <w:rPr>
          <w:rFonts w:ascii="Arial" w:cs="Arial" w:eastAsia="Arial" w:hAnsi="Arial"/>
          <w:sz w:val="18"/>
          <w:szCs w:val="18"/>
          <w:color w:val="auto"/>
        </w:rPr>
      </w:pPr>
    </w:p>
    <w:p>
      <w:pPr>
        <w:jc w:val="both"/>
        <w:ind w:left="1400" w:hanging="374"/>
        <w:spacing w:after="0" w:line="237" w:lineRule="auto"/>
        <w:tabs>
          <w:tab w:leader="none" w:pos="14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consummation of a merger, consolidation, statutory share exchange or similar form of corporate transaction involving the Company that requires the approval of the Company’s shareholders, whether for such transaction or the issuance of securities in the transaction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immediately following such Business Combination: (A) more than 50% of the total voting power of (x) the entity resulting from such Business Combination (the “</w:t>
      </w:r>
      <w:r>
        <w:rPr>
          <w:rFonts w:ascii="Arial" w:cs="Arial" w:eastAsia="Arial" w:hAnsi="Arial"/>
          <w:sz w:val="18"/>
          <w:szCs w:val="18"/>
          <w:b w:val="1"/>
          <w:bCs w:val="1"/>
          <w:color w:val="auto"/>
        </w:rPr>
        <w:t>Surviving</w:t>
      </w:r>
      <w:r>
        <w:rPr>
          <w:rFonts w:ascii="Arial" w:cs="Arial" w:eastAsia="Arial" w:hAnsi="Arial"/>
          <w:sz w:val="18"/>
          <w:szCs w:val="18"/>
          <w:color w:val="auto"/>
        </w:rPr>
        <w:t xml:space="preserve"> </w:t>
      </w:r>
      <w:r>
        <w:rPr>
          <w:rFonts w:ascii="Arial" w:cs="Arial" w:eastAsia="Arial" w:hAnsi="Arial"/>
          <w:sz w:val="18"/>
          <w:szCs w:val="18"/>
          <w:b w:val="1"/>
          <w:bCs w:val="1"/>
          <w:color w:val="auto"/>
        </w:rPr>
        <w:t>Entity</w:t>
      </w:r>
      <w:r>
        <w:rPr>
          <w:rFonts w:ascii="Arial" w:cs="Arial" w:eastAsia="Arial" w:hAnsi="Arial"/>
          <w:sz w:val="18"/>
          <w:szCs w:val="18"/>
          <w:color w:val="auto"/>
        </w:rPr>
        <w:t>”), or (y) if applicable, the ultimate parent corporation that directly or indirectly has beneficial ownership of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clause (iii) will be deemed to be a “</w:t>
      </w:r>
      <w:r>
        <w:rPr>
          <w:rFonts w:ascii="Arial" w:cs="Arial" w:eastAsia="Arial" w:hAnsi="Arial"/>
          <w:sz w:val="18"/>
          <w:szCs w:val="18"/>
          <w:b w:val="1"/>
          <w:bCs w:val="1"/>
          <w:color w:val="auto"/>
        </w:rPr>
        <w:t>Non-Qualifying Transaction</w:t>
      </w:r>
      <w:r>
        <w:rPr>
          <w:rFonts w:ascii="Arial" w:cs="Arial" w:eastAsia="Arial" w:hAnsi="Arial"/>
          <w:sz w:val="18"/>
          <w:szCs w:val="18"/>
          <w:color w:val="auto"/>
        </w:rPr>
        <w:t>”); or</w:t>
      </w:r>
    </w:p>
    <w:p>
      <w:pPr>
        <w:spacing w:after="0" w:line="48" w:lineRule="exact"/>
        <w:rPr>
          <w:rFonts w:ascii="Arial" w:cs="Arial" w:eastAsia="Arial" w:hAnsi="Arial"/>
          <w:sz w:val="18"/>
          <w:szCs w:val="18"/>
          <w:color w:val="auto"/>
        </w:rPr>
      </w:pPr>
    </w:p>
    <w:p>
      <w:pPr>
        <w:ind w:left="1400" w:hanging="374"/>
        <w:spacing w:after="0"/>
        <w:tabs>
          <w:tab w:leader="none" w:pos="14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consummation of a sale of all or substantially all of the Company’s assets (other than to an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9" w:right="339" w:bottom="1440" w:gutter="0" w:footer="0" w:header="0"/>
        </w:sectPr>
      </w:pPr>
    </w:p>
    <w:bookmarkStart w:id="69" w:name="page70"/>
    <w:bookmarkEnd w:id="69"/>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76"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Compensation Committee of the Board.</w:t>
      </w:r>
    </w:p>
    <w:p>
      <w:pPr>
        <w:spacing w:after="0" w:line="76"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Microsoft Corporation, a Washington corporation, and any successor entity.</w:t>
      </w:r>
    </w:p>
    <w:p>
      <w:pPr>
        <w:spacing w:after="0" w:line="76" w:lineRule="exact"/>
        <w:rPr>
          <w:rFonts w:ascii="Arial" w:cs="Arial" w:eastAsia="Arial" w:hAnsi="Arial"/>
          <w:sz w:val="18"/>
          <w:szCs w:val="18"/>
          <w:color w:val="auto"/>
        </w:rPr>
      </w:pPr>
    </w:p>
    <w:p>
      <w:pPr>
        <w:ind w:left="368" w:hanging="368"/>
        <w:spacing w:after="0" w:line="271" w:lineRule="auto"/>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individual other than an Employee or a Non-Employee Director who is directly engaged by, and paid by, the Company, to render personal services to the Company.</w:t>
      </w:r>
    </w:p>
    <w:p>
      <w:pPr>
        <w:spacing w:after="0" w:line="18" w:lineRule="exact"/>
        <w:rPr>
          <w:rFonts w:ascii="Arial" w:cs="Arial" w:eastAsia="Arial" w:hAnsi="Arial"/>
          <w:sz w:val="18"/>
          <w:szCs w:val="18"/>
          <w:color w:val="auto"/>
        </w:rPr>
      </w:pPr>
    </w:p>
    <w:p>
      <w:pPr>
        <w:jc w:val="both"/>
        <w:ind w:left="368" w:hanging="368"/>
        <w:spacing w:after="0" w:line="242" w:lineRule="auto"/>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Continuous Status</w:t>
      </w:r>
      <w:r>
        <w:rPr>
          <w:rFonts w:ascii="Arial" w:cs="Arial" w:eastAsia="Arial" w:hAnsi="Arial"/>
          <w:sz w:val="18"/>
          <w:szCs w:val="18"/>
          <w:color w:val="auto"/>
        </w:rPr>
        <w:t>” and “</w:t>
      </w:r>
      <w:r>
        <w:rPr>
          <w:rFonts w:ascii="Arial" w:cs="Arial" w:eastAsia="Arial" w:hAnsi="Arial"/>
          <w:sz w:val="18"/>
          <w:szCs w:val="18"/>
          <w:b w:val="1"/>
          <w:bCs w:val="1"/>
          <w:color w:val="auto"/>
        </w:rPr>
        <w:t>Continuous Status as a Participant</w:t>
      </w:r>
      <w:r>
        <w:rPr>
          <w:rFonts w:ascii="Arial" w:cs="Arial" w:eastAsia="Arial" w:hAnsi="Arial"/>
          <w:sz w:val="18"/>
          <w:szCs w:val="18"/>
          <w:color w:val="auto"/>
        </w:rPr>
        <w:t>” mean (1) for Employees, the absence of any interruption or termination of service as an Employee, (2) for Non-Employee Directors, the absence of any interruption, removal, termination, or other cessation of service as a Non-Employee Director, and (3) for Consultants, the absence of any interruption, expiration, or termination of that person’s personal services to the Company or the occurrence of any termination event as set forth in that person’s Award Agreement. An Employee’s Continuous Status is not considered interrupted in the case of a leave of absence or other time away from work during which Continuous Status is not considered interrupted in accordance with Company policies.</w:t>
      </w:r>
    </w:p>
    <w:p>
      <w:pPr>
        <w:spacing w:after="0" w:line="43"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Options</w:t>
      </w:r>
      <w:r>
        <w:rPr>
          <w:rFonts w:ascii="Arial" w:cs="Arial" w:eastAsia="Arial" w:hAnsi="Arial"/>
          <w:sz w:val="18"/>
          <w:szCs w:val="18"/>
          <w:color w:val="auto"/>
        </w:rPr>
        <w:t>” means the Options described in Section 6(c) of the Plan.</w:t>
      </w:r>
    </w:p>
    <w:p>
      <w:pPr>
        <w:spacing w:after="0" w:line="76" w:lineRule="exact"/>
        <w:rPr>
          <w:rFonts w:ascii="Arial" w:cs="Arial" w:eastAsia="Arial" w:hAnsi="Arial"/>
          <w:sz w:val="18"/>
          <w:szCs w:val="18"/>
          <w:color w:val="auto"/>
        </w:rPr>
      </w:pPr>
    </w:p>
    <w:p>
      <w:pPr>
        <w:ind w:left="368" w:right="20" w:hanging="368"/>
        <w:spacing w:after="0" w:line="271" w:lineRule="auto"/>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 Fee Award</w:t>
      </w:r>
      <w:r>
        <w:rPr>
          <w:rFonts w:ascii="Arial" w:cs="Arial" w:eastAsia="Arial" w:hAnsi="Arial"/>
          <w:sz w:val="18"/>
          <w:szCs w:val="18"/>
          <w:color w:val="auto"/>
        </w:rPr>
        <w:t>” means a cash award granted under the Plan to a Non-Employee Director, including retainers and meeting-based fees.</w:t>
      </w:r>
    </w:p>
    <w:p>
      <w:pPr>
        <w:spacing w:after="0" w:line="18" w:lineRule="exact"/>
        <w:rPr>
          <w:rFonts w:ascii="Arial" w:cs="Arial" w:eastAsia="Arial" w:hAnsi="Arial"/>
          <w:sz w:val="18"/>
          <w:szCs w:val="18"/>
          <w:color w:val="auto"/>
        </w:rPr>
      </w:pPr>
    </w:p>
    <w:p>
      <w:pPr>
        <w:jc w:val="both"/>
        <w:ind w:left="368" w:hanging="368"/>
        <w:spacing w:after="0" w:line="239" w:lineRule="auto"/>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including an officer, who is a common law employee of, receives remuneration for personal services to, is reflected on the official human resources database as an employee of, and is on the payroll of the Company or any Parent or Subsidiary of the Company. A person is on the payroll if he or she is paid from the payroll department of the Company, or any Parent or Subsidiary of the Company. Persons providing services to the Company, or to any Parent or Subsidiary of the Company, pursuant to an agreement with a staff leasing organization, temporary workers engaged through or employed by temporary or leasing agencies, and workers who hold themselves out to the Company, Parent, or Subsidiary to which they are providing services as being independent contractors, or as being employed by or engaged through another company while providing the services are not Employees for purposes of the Plan, whether or not the persons are, or may be reclassified by the courts, the Internal Revenue Service, the U.S. Department of Labor, or other person or entity as, common law employees of the Company, Parent, or Subsidiary, either solely or jointly with another person or entity.</w:t>
      </w:r>
    </w:p>
    <w:p>
      <w:pPr>
        <w:spacing w:after="0" w:line="44"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March 1, 2026.</w:t>
      </w:r>
    </w:p>
    <w:p>
      <w:pPr>
        <w:spacing w:after="0" w:line="76"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76" w:lineRule="exact"/>
        <w:rPr>
          <w:rFonts w:ascii="Arial" w:cs="Arial" w:eastAsia="Arial" w:hAnsi="Arial"/>
          <w:sz w:val="18"/>
          <w:szCs w:val="18"/>
          <w:color w:val="auto"/>
        </w:rPr>
      </w:pPr>
    </w:p>
    <w:p>
      <w:pPr>
        <w:ind w:left="368" w:hanging="368"/>
        <w:spacing w:after="0" w:line="271" w:lineRule="auto"/>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any Option intended to qualify as an incentive stock option within the meaning of Section 422 of the Code.</w:t>
      </w:r>
    </w:p>
    <w:p>
      <w:pPr>
        <w:spacing w:after="0" w:line="18"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Non-Employee Director</w:t>
      </w:r>
      <w:r>
        <w:rPr>
          <w:rFonts w:ascii="Arial" w:cs="Arial" w:eastAsia="Arial" w:hAnsi="Arial"/>
          <w:sz w:val="18"/>
          <w:szCs w:val="18"/>
          <w:color w:val="auto"/>
        </w:rPr>
        <w:t>” means a member of the Company’s Board of Directors who is not an Employee.</w:t>
      </w:r>
    </w:p>
    <w:p>
      <w:pPr>
        <w:spacing w:after="0" w:line="76"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76"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stock option granted under the Plan, including any Incentive Stock Option and any Nonqualified Stock Option.</w:t>
      </w:r>
    </w:p>
    <w:p>
      <w:pPr>
        <w:spacing w:after="0" w:line="76"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means a “parent corporation,” whether now or hereafter existing, as defined in Section 424(e) of the Code.</w:t>
      </w:r>
    </w:p>
    <w:p>
      <w:pPr>
        <w:spacing w:after="0" w:line="76"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2026 Stock Plan, including any amendments to it.</w:t>
      </w:r>
    </w:p>
    <w:p>
      <w:pPr>
        <w:spacing w:after="0" w:line="76" w:lineRule="exact"/>
        <w:rPr>
          <w:rFonts w:ascii="Arial" w:cs="Arial" w:eastAsia="Arial" w:hAnsi="Arial"/>
          <w:sz w:val="18"/>
          <w:szCs w:val="18"/>
          <w:color w:val="auto"/>
        </w:rPr>
      </w:pPr>
    </w:p>
    <w:p>
      <w:pPr>
        <w:ind w:left="368" w:hanging="368"/>
        <w:spacing w:after="0" w:line="271" w:lineRule="auto"/>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Award” </w:t>
      </w:r>
      <w:r>
        <w:rPr>
          <w:rFonts w:ascii="Arial" w:cs="Arial" w:eastAsia="Arial" w:hAnsi="Arial"/>
          <w:sz w:val="18"/>
          <w:szCs w:val="18"/>
          <w:color w:val="auto"/>
        </w:rPr>
        <w:t>means a grant of Shares that is subject to certain specified restrictions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a requirement that the Awardee remain in Continuous Status for a specified period of time).</w:t>
      </w:r>
    </w:p>
    <w:p>
      <w:pPr>
        <w:spacing w:after="0" w:line="18"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means a stock appreciation right awarded under the Plan.</w:t>
      </w:r>
    </w:p>
    <w:p>
      <w:pPr>
        <w:spacing w:after="0" w:line="76" w:lineRule="exact"/>
        <w:rPr>
          <w:rFonts w:ascii="Arial" w:cs="Arial" w:eastAsia="Arial" w:hAnsi="Arial"/>
          <w:sz w:val="18"/>
          <w:szCs w:val="18"/>
          <w:color w:val="auto"/>
        </w:rPr>
      </w:pPr>
    </w:p>
    <w:p>
      <w:pPr>
        <w:jc w:val="both"/>
        <w:ind w:left="368" w:hanging="368"/>
        <w:spacing w:after="0" w:line="253" w:lineRule="auto"/>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including any amendments or successor provisions to that section,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other administrative guidance thereunder, in each case as they may be from time to time amended or interpreted through further administrative guidance.</w:t>
      </w:r>
    </w:p>
    <w:p>
      <w:pPr>
        <w:spacing w:after="0" w:line="33" w:lineRule="exact"/>
        <w:rPr>
          <w:rFonts w:ascii="Arial" w:cs="Arial" w:eastAsia="Arial" w:hAnsi="Arial"/>
          <w:sz w:val="18"/>
          <w:szCs w:val="18"/>
          <w:color w:val="auto"/>
        </w:rPr>
      </w:pPr>
    </w:p>
    <w:p>
      <w:pPr>
        <w:ind w:left="368" w:hanging="368"/>
        <w:spacing w:after="0"/>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one share of Company common stock.</w:t>
      </w:r>
    </w:p>
    <w:p>
      <w:pPr>
        <w:spacing w:after="0" w:line="76" w:lineRule="exact"/>
        <w:rPr>
          <w:rFonts w:ascii="Arial" w:cs="Arial" w:eastAsia="Arial" w:hAnsi="Arial"/>
          <w:sz w:val="18"/>
          <w:szCs w:val="18"/>
          <w:color w:val="auto"/>
        </w:rPr>
      </w:pPr>
    </w:p>
    <w:p>
      <w:pPr>
        <w:ind w:left="368" w:hanging="368"/>
        <w:spacing w:after="0" w:line="271" w:lineRule="auto"/>
        <w:tabs>
          <w:tab w:leader="none" w:pos="36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“Share Award” </w:t>
      </w:r>
      <w:r>
        <w:rPr>
          <w:rFonts w:ascii="Arial" w:cs="Arial" w:eastAsia="Arial" w:hAnsi="Arial"/>
          <w:sz w:val="18"/>
          <w:szCs w:val="18"/>
          <w:color w:val="auto"/>
        </w:rPr>
        <w:t>means a Restricted Stock Award or Stock Award, or other grant of Shares or of a right to receive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cash equivalent (or both), under the Plan.</w:t>
      </w:r>
    </w:p>
    <w:p>
      <w:pPr>
        <w:spacing w:after="0" w:line="19" w:lineRule="exact"/>
        <w:rPr>
          <w:sz w:val="20"/>
          <w:szCs w:val="20"/>
          <w:color w:val="auto"/>
        </w:rPr>
      </w:pPr>
    </w:p>
    <w:p>
      <w:pPr>
        <w:jc w:val="both"/>
        <w:ind w:left="368" w:hanging="368"/>
        <w:spacing w:after="0" w:line="253" w:lineRule="auto"/>
        <w:tabs>
          <w:tab w:leader="none" w:pos="368"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“Stock Award” </w:t>
      </w:r>
      <w:r>
        <w:rPr>
          <w:rFonts w:ascii="Arial" w:cs="Arial" w:eastAsia="Arial" w:hAnsi="Arial"/>
          <w:sz w:val="18"/>
          <w:szCs w:val="18"/>
          <w:color w:val="auto"/>
        </w:rPr>
        <w:t>means an unfunded and unsecured promise to deliver Shares or their cash equivalent (or both),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restrictions (including, without limitation, a requirement that the Awardee remain in Continuous Status for a specified period of time).</w:t>
      </w:r>
    </w:p>
    <w:p>
      <w:pPr>
        <w:spacing w:after="0" w:line="33" w:lineRule="exact"/>
        <w:rPr>
          <w:rFonts w:ascii="Arial" w:cs="Arial" w:eastAsia="Arial" w:hAnsi="Arial"/>
          <w:sz w:val="18"/>
          <w:szCs w:val="18"/>
          <w:color w:val="auto"/>
        </w:rPr>
      </w:pPr>
    </w:p>
    <w:p>
      <w:pPr>
        <w:jc w:val="both"/>
        <w:ind w:left="368" w:hanging="368"/>
        <w:spacing w:after="0" w:line="247" w:lineRule="auto"/>
        <w:tabs>
          <w:tab w:leader="none" w:pos="368"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(i) in the case of an Incentive Stock Option, a “subsidiary corporation,” whether now or hereafter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Section 424(f) of the Code, and (ii) in the case of a Nonqualified Stock Option, a SAR or a Share Award, with the approval of the Committee, a limited liability company, partnership, or other entity in which the Company controls 50 percent or more of the voting power or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452755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972" w:top="850" w:right="339" w:bottom="1440" w:gutter="0" w:footer="0" w:header="0"/>
        </w:sectPr>
      </w:pPr>
    </w:p>
    <w:bookmarkStart w:id="70" w:name="page71"/>
    <w:bookmarkEnd w:id="70"/>
    <w:p>
      <w:pPr>
        <w:jc w:val="both"/>
        <w:ind w:left="892" w:hanging="368"/>
        <w:spacing w:after="0" w:line="244" w:lineRule="auto"/>
        <w:tabs>
          <w:tab w:leader="none" w:pos="892"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“Total and Permanent Disability” </w:t>
      </w:r>
      <w:r>
        <w:rPr>
          <w:rFonts w:ascii="Arial" w:cs="Arial" w:eastAsia="Arial" w:hAnsi="Arial"/>
          <w:sz w:val="18"/>
          <w:szCs w:val="18"/>
          <w:color w:val="auto"/>
        </w:rPr>
        <w:t>means with respect to an Employee, that the Participant either: (i) has been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U.S. Social Security Administration to be eligible for disability benefits under the Social Security disability insurance program or the Supplemental Security Income program, and is currently receiving such disability benefits; or (ii) is currently receiving, and has been receiving for a continuous period of at least three months, income replacement benefits under the long term disability plan sponsored by the Company or a Subsidiary.</w:t>
      </w:r>
    </w:p>
    <w:p>
      <w:pPr>
        <w:spacing w:after="0" w:line="122" w:lineRule="exact"/>
        <w:rPr>
          <w:rFonts w:ascii="Arial" w:cs="Arial" w:eastAsia="Arial" w:hAnsi="Arial"/>
          <w:sz w:val="18"/>
          <w:szCs w:val="18"/>
          <w:color w:val="auto"/>
        </w:rPr>
      </w:pPr>
    </w:p>
    <w:p>
      <w:pPr>
        <w:jc w:val="both"/>
        <w:ind w:left="372" w:hanging="372"/>
        <w:spacing w:after="0" w:line="238" w:lineRule="auto"/>
        <w:tabs>
          <w:tab w:leader="none" w:pos="37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Shares Subject to the Plan. </w:t>
      </w:r>
      <w:r>
        <w:rPr>
          <w:rFonts w:ascii="Arial" w:cs="Arial" w:eastAsia="Arial" w:hAnsi="Arial"/>
          <w:sz w:val="18"/>
          <w:szCs w:val="18"/>
          <w:color w:val="auto"/>
        </w:rPr>
        <w:t>Subject to the provisions of Sections 15 and 17, the maximum aggregate number of Shares that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and delivered under the Plan after the Effective Date will not exceed the sum of (i) 226,000,000 Shares, (ii) the number of Shares available for future awards under the Company’s 2017 Stock Plan as of the Effective Date, and (iii) the number of undelivered Shares subject to awards under the 2017 Stock Plan and the Company’s 2001 Stock Plan that again become available for Awards under the Plan on or after the Effective Date as provided under this paragraph (the “Absolute Share Limit”). The Absolute Share Limit will be adjusted pursuant to the provisions of Section 15. If an Award under the Plan, the 2017 Stock Plan or the 2001 Stock Plan expires, terminates, is settled in cash, or is cancelled or forfeited, without delivery of Shares, or otherwise results in the return of Shares to the Company on or after the Effective Date, the undelivered Shares covered by the Award will again become available for other Awards under the Plan. Notwithstanding the foregoing, in no event will any of the following Shares again become available for other Awards: (A) previously issued Shares tendered or unissued Shares withheld in respect of taxes, (B) previously issued Shares tendered or unissued Shares withheld to pay the exercise price of Options, (C) Shares repurchased by the Company from the Awardee with the proceeds from the exercise of Options, and (D) Shares underlying any exercised SARs. The Shares awarded under the Plan may be authorized but unissued or reacquired Shares.</w:t>
      </w:r>
    </w:p>
    <w:p>
      <w:pPr>
        <w:spacing w:after="0" w:line="126" w:lineRule="exact"/>
        <w:rPr>
          <w:rFonts w:ascii="Arial" w:cs="Arial" w:eastAsia="Arial" w:hAnsi="Arial"/>
          <w:sz w:val="18"/>
          <w:szCs w:val="18"/>
          <w:color w:val="auto"/>
        </w:rPr>
      </w:pPr>
    </w:p>
    <w:p>
      <w:pPr>
        <w:ind w:left="372" w:hanging="372"/>
        <w:spacing w:after="0"/>
        <w:tabs>
          <w:tab w:leader="none" w:pos="37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p>
    <w:p>
      <w:pPr>
        <w:spacing w:after="0" w:line="76" w:lineRule="exact"/>
        <w:rPr>
          <w:rFonts w:ascii="Arial" w:cs="Arial" w:eastAsia="Arial" w:hAnsi="Arial"/>
          <w:sz w:val="18"/>
          <w:szCs w:val="18"/>
          <w:color w:val="auto"/>
        </w:rPr>
      </w:pPr>
    </w:p>
    <w:p>
      <w:pPr>
        <w:jc w:val="both"/>
        <w:ind w:left="892" w:hanging="368"/>
        <w:spacing w:after="0" w:line="247" w:lineRule="auto"/>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Procedure. </w:t>
      </w:r>
      <w:r>
        <w:rPr>
          <w:rFonts w:ascii="Arial" w:cs="Arial" w:eastAsia="Arial" w:hAnsi="Arial"/>
          <w:sz w:val="18"/>
          <w:szCs w:val="18"/>
          <w:color w:val="auto"/>
        </w:rPr>
        <w:t>The Plan is administered by the Committee. The Board, at its discretion, may take any action that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take under the Plan and may grant Awards to Non-Employee Directors as described in Section 10. The Committee may delegate its authority to administer the Plan to the extent permitted by applicable law. References to the Committee under the Plan will be deemed to include a person acting within the scope of a delegation of authority from the Committee.</w:t>
      </w:r>
    </w:p>
    <w:p>
      <w:pPr>
        <w:spacing w:after="0" w:line="38" w:lineRule="exact"/>
        <w:rPr>
          <w:rFonts w:ascii="Arial" w:cs="Arial" w:eastAsia="Arial" w:hAnsi="Arial"/>
          <w:sz w:val="18"/>
          <w:szCs w:val="18"/>
          <w:color w:val="auto"/>
        </w:rPr>
      </w:pPr>
    </w:p>
    <w:p>
      <w:pPr>
        <w:jc w:val="both"/>
        <w:ind w:left="892" w:hanging="368"/>
        <w:spacing w:after="0" w:line="237" w:lineRule="auto"/>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Powers of the Committee. </w:t>
      </w:r>
      <w:r>
        <w:rPr>
          <w:rFonts w:ascii="Arial" w:cs="Arial" w:eastAsia="Arial" w:hAnsi="Arial"/>
          <w:sz w:val="18"/>
          <w:szCs w:val="18"/>
          <w:color w:val="auto"/>
        </w:rPr>
        <w:t>Subject to the provisions of the Plan, the Committee has the authority, in its discretion: (i) to grant</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Nonqualified Stock Options, Share Awards, and SARs; (ii) to determine, in accordance with Section 8(b), the fair market value of the Shares; (iii) to determine, in accordance with Section 8(b), the exercise price per Share of Options and SARs; (iv) to determine the Employees and Consultants to whom, and the time or times at which, Awards are granted and the number of Shares to be represented by each Award; (v) to interpret the Plan and the terms of Awards; (vi) to prescribe, amend, and rescind rules and regulations relating to the Plan, including the form of Award Agreement, and manner of acceptance of an Award; (vii) to determine the terms and provisions of each Award to be granted (which need not be identical) and, with the consent of the Awardee, modify or amend any Award; (viii) to authorize conversion or substitution under the Plan of any or all Conversion Options; (ix) to accelerate or defer (with the consent of the Awardee) the vesting date of any Award or exercise date of any Option or SAR; (x) to authorize any person to execute on behalf of the Company any instrument required to effectuate the grant of an Award previously granted under the Plan; and (xi) to make all other determinations deemed necessary or advisable for the administration of the Plan; provided that, no consent of an Awardee is necessary under clauses (vii) or (ix) if the modification, amendment, acceleration, or deferral, in the reasonable judgment of the Committee confers a benefit on the Awardee, or is made pursuant to an adjustment in accordance with Section 15. The Committee’s determinations under the Plan and Award Agreements need not be uniform and may be made by it selectively among persons who receive, or are eligible to receive, Awards under the Plan (whether or not the persons are similarly situated). Without limiting the generality of the foregoing, the Committee will be entitled, among other things, to make non-uniform and selective determinations under Award</w:t>
      </w:r>
    </w:p>
    <w:p>
      <w:pPr>
        <w:spacing w:after="0" w:line="48" w:lineRule="exact"/>
        <w:rPr>
          <w:rFonts w:ascii="Arial" w:cs="Arial" w:eastAsia="Arial" w:hAnsi="Arial"/>
          <w:sz w:val="18"/>
          <w:szCs w:val="18"/>
          <w:color w:val="auto"/>
        </w:rPr>
      </w:pPr>
    </w:p>
    <w:p>
      <w:pPr>
        <w:jc w:val="both"/>
        <w:ind w:left="892"/>
        <w:spacing w:after="0" w:line="253" w:lineRule="auto"/>
        <w:rPr>
          <w:rFonts w:ascii="Arial" w:cs="Arial" w:eastAsia="Arial" w:hAnsi="Arial"/>
          <w:sz w:val="18"/>
          <w:szCs w:val="18"/>
          <w:color w:val="auto"/>
        </w:rPr>
      </w:pPr>
      <w:r>
        <w:rPr>
          <w:rFonts w:ascii="Arial" w:cs="Arial" w:eastAsia="Arial" w:hAnsi="Arial"/>
          <w:sz w:val="18"/>
          <w:szCs w:val="18"/>
          <w:color w:val="auto"/>
        </w:rPr>
        <w:t>Agreements, and to enter into non-uniform and selective Award Agreements, as to (a) the persons to receive Awards, (b) the terms and provisions of Awards and (c) whether an Awardee has experienced a cessation of Continuous Service for purposes of the Plan.</w:t>
      </w:r>
    </w:p>
    <w:p>
      <w:pPr>
        <w:spacing w:after="0" w:line="33" w:lineRule="exact"/>
        <w:rPr>
          <w:rFonts w:ascii="Arial" w:cs="Arial" w:eastAsia="Arial" w:hAnsi="Arial"/>
          <w:sz w:val="18"/>
          <w:szCs w:val="18"/>
          <w:color w:val="auto"/>
        </w:rPr>
      </w:pPr>
    </w:p>
    <w:p>
      <w:pPr>
        <w:ind w:left="892" w:hanging="368"/>
        <w:spacing w:after="0" w:line="271" w:lineRule="auto"/>
        <w:tabs>
          <w:tab w:leader="none" w:pos="892"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Effect of Committee Actions. </w:t>
      </w:r>
      <w:r>
        <w:rPr>
          <w:rFonts w:ascii="Arial" w:cs="Arial" w:eastAsia="Arial" w:hAnsi="Arial"/>
          <w:sz w:val="18"/>
          <w:szCs w:val="18"/>
          <w:color w:val="auto"/>
        </w:rPr>
        <w:t>All decisions, determinations, and interpretations of the Committee under the Plan are final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on all Awardees.</w:t>
      </w:r>
    </w:p>
    <w:p>
      <w:pPr>
        <w:spacing w:after="0" w:line="99" w:lineRule="exact"/>
        <w:rPr>
          <w:rFonts w:ascii="Arial" w:cs="Arial" w:eastAsia="Arial" w:hAnsi="Arial"/>
          <w:sz w:val="18"/>
          <w:szCs w:val="18"/>
          <w:color w:val="auto"/>
        </w:rPr>
      </w:pPr>
    </w:p>
    <w:p>
      <w:pPr>
        <w:ind w:left="372" w:hanging="372"/>
        <w:spacing w:after="0" w:line="271" w:lineRule="auto"/>
        <w:tabs>
          <w:tab w:leader="none" w:pos="37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Awards may be granted to Employees, Non-Employee Directors, and Consultants. Incentive Stock Options may only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Employees. Director Fee Awards may only be granted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439420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448" w:top="850" w:right="339" w:bottom="1440" w:gutter="0" w:footer="0" w:header="0"/>
        </w:sectPr>
      </w:pPr>
    </w:p>
    <w:bookmarkStart w:id="71" w:name="page72"/>
    <w:bookmarkEnd w:id="71"/>
    <w:p>
      <w:pPr>
        <w:ind w:left="372" w:hanging="372"/>
        <w:spacing w:after="0"/>
        <w:tabs>
          <w:tab w:leader="none" w:pos="37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76" w:lineRule="exact"/>
        <w:rPr>
          <w:rFonts w:ascii="Arial" w:cs="Arial" w:eastAsia="Arial" w:hAnsi="Arial"/>
          <w:sz w:val="18"/>
          <w:szCs w:val="18"/>
          <w:color w:val="auto"/>
        </w:rPr>
      </w:pPr>
    </w:p>
    <w:p>
      <w:pPr>
        <w:jc w:val="both"/>
        <w:ind w:left="892" w:hanging="368"/>
        <w:spacing w:after="0" w:line="247"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Each Option will be designated in the Award Agreement as either an Incentive Stock Option or a Nonqualified Stock Option. However, notwithstanding any designation, to the extent that the aggregate fair market value of the Shares with respect to which Options designated as Incentive Stock Options are exercisable for the first time by any Employee during any calendar year (under all plans of the Company) exceeds $100,000, the Options will be treated as Nonqualified Stock Options.</w:t>
      </w:r>
    </w:p>
    <w:p>
      <w:pPr>
        <w:spacing w:after="0" w:line="38" w:lineRule="exact"/>
        <w:rPr>
          <w:rFonts w:ascii="Arial" w:cs="Arial" w:eastAsia="Arial" w:hAnsi="Arial"/>
          <w:sz w:val="18"/>
          <w:szCs w:val="18"/>
          <w:color w:val="auto"/>
        </w:rPr>
      </w:pPr>
    </w:p>
    <w:p>
      <w:pPr>
        <w:ind w:left="892" w:right="20" w:hanging="368"/>
        <w:spacing w:after="0" w:line="271"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purposes of Section 6(a), Options will be taken into account in the order in which they were granted, and the fair market value of the Shares will be determined as of the time the Option with respect to the Shares is granted.</w:t>
      </w:r>
    </w:p>
    <w:p>
      <w:pPr>
        <w:spacing w:after="0" w:line="18" w:lineRule="exact"/>
        <w:rPr>
          <w:rFonts w:ascii="Arial" w:cs="Arial" w:eastAsia="Arial" w:hAnsi="Arial"/>
          <w:sz w:val="18"/>
          <w:szCs w:val="18"/>
          <w:color w:val="auto"/>
        </w:rPr>
      </w:pPr>
    </w:p>
    <w:p>
      <w:pPr>
        <w:jc w:val="both"/>
        <w:ind w:left="892" w:hanging="368"/>
        <w:spacing w:after="0" w:line="237"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color w:val="auto"/>
        </w:rPr>
        <w:t>Options converted or substituted under the Plan for any or all outstanding stock options and stock appreciation rights held by employees and consultants granted by entities subsequently acquired by the Company or a subsidiary or affiliate of the Company (“</w:t>
      </w:r>
      <w:r>
        <w:rPr>
          <w:rFonts w:ascii="Arial" w:cs="Arial" w:eastAsia="Arial" w:hAnsi="Arial"/>
          <w:sz w:val="18"/>
          <w:szCs w:val="18"/>
          <w:b w:val="1"/>
          <w:bCs w:val="1"/>
          <w:color w:val="auto"/>
        </w:rPr>
        <w:t>Conversion Options</w:t>
      </w:r>
      <w:r>
        <w:rPr>
          <w:rFonts w:ascii="Arial" w:cs="Arial" w:eastAsia="Arial" w:hAnsi="Arial"/>
          <w:sz w:val="18"/>
          <w:szCs w:val="18"/>
          <w:color w:val="auto"/>
        </w:rPr>
        <w:t>”) will be effective as of the close of the respective mergers into, or acquisitions of the entities by, the Company or a subsidiary or affiliate of the Company; provided that Conversion Options may not be exercised during any periods that may be specified by the Company immediately following the close of the merger or acquisition necessary to ensure compliance with applicable law. The Conversion Options may be Incentive Stock Options or Nonqualified Stock Options, as determined by the Committee; provided that, stock appreciation rights in the acquired entity will only be converted to or substituted with Nonqualified Stock Options. The Conversion Options will be options to purchase the number of Shares determined by multiplying the number of shares of the acquired entity’s common stock underlying each stock option or stock appreciation right immediately prior to the closing of the merger or acquisition by the number specified in the applicable merger or acquisition agreement for conversion of each share of the entity’s common stock to a Share (the “</w:t>
      </w:r>
      <w:r>
        <w:rPr>
          <w:rFonts w:ascii="Arial" w:cs="Arial" w:eastAsia="Arial" w:hAnsi="Arial"/>
          <w:sz w:val="18"/>
          <w:szCs w:val="18"/>
          <w:b w:val="1"/>
          <w:bCs w:val="1"/>
          <w:color w:val="auto"/>
        </w:rPr>
        <w:t>Merger Ratio</w:t>
      </w:r>
      <w:r>
        <w:rPr>
          <w:rFonts w:ascii="Arial" w:cs="Arial" w:eastAsia="Arial" w:hAnsi="Arial"/>
          <w:sz w:val="18"/>
          <w:szCs w:val="18"/>
          <w:color w:val="auto"/>
        </w:rPr>
        <w:t>”), rounded down to the closest whole share. Conversion Options will be exercisable at an exercise price per Share (increased to the nearest whole cent) equal to the exercise price per share of the acquired entity’s common stock under each stock option or stock appreciation right immediately prior to closing divided by the Merger Ratio. Conversion Options may be granted and exercised without the issuance of an Award Agreement.</w:t>
      </w:r>
    </w:p>
    <w:p>
      <w:pPr>
        <w:spacing w:after="0" w:line="133" w:lineRule="exact"/>
        <w:rPr>
          <w:rFonts w:ascii="Arial" w:cs="Arial" w:eastAsia="Arial" w:hAnsi="Arial"/>
          <w:sz w:val="18"/>
          <w:szCs w:val="18"/>
          <w:color w:val="auto"/>
        </w:rPr>
      </w:pPr>
    </w:p>
    <w:p>
      <w:pPr>
        <w:jc w:val="both"/>
        <w:ind w:left="372" w:hanging="372"/>
        <w:spacing w:after="0"/>
        <w:tabs>
          <w:tab w:leader="none" w:pos="37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SARs. </w:t>
      </w:r>
      <w:r>
        <w:rPr>
          <w:rFonts w:ascii="Arial" w:cs="Arial" w:eastAsia="Arial" w:hAnsi="Arial"/>
          <w:sz w:val="18"/>
          <w:szCs w:val="18"/>
          <w:color w:val="auto"/>
        </w:rPr>
        <w:t>Each SAR will cover a specified number of Shares and will be exercisable upon the terms and conditions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determines. Upon exercise of the SAR, the holder will be entitled to receive a distribution from the Company in an amount equal to the excess of (A) the aggregate fair market value (on the exercise date) of the Shares underlying the exercised right over (B) the aggregate base price in effect for those Shares. The number of Shares underlying each SAR and the base price in effect for those Shares will be determined by the Committee at the time the SAR is granted. The distribution with respect to an exercised SAR may be made in Shares valued at fair market value on the exercise date, in cash, or partly in Shares and partly in cash, as the Committee deems appropriate.</w:t>
      </w:r>
    </w:p>
    <w:p>
      <w:pPr>
        <w:spacing w:after="0" w:line="130" w:lineRule="exact"/>
        <w:rPr>
          <w:rFonts w:ascii="Arial" w:cs="Arial" w:eastAsia="Arial" w:hAnsi="Arial"/>
          <w:sz w:val="18"/>
          <w:szCs w:val="18"/>
          <w:color w:val="auto"/>
        </w:rPr>
      </w:pPr>
    </w:p>
    <w:p>
      <w:pPr>
        <w:ind w:left="372" w:hanging="372"/>
        <w:spacing w:after="0"/>
        <w:tabs>
          <w:tab w:leader="none" w:pos="372"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Options and SARs.</w:t>
      </w:r>
    </w:p>
    <w:p>
      <w:pPr>
        <w:spacing w:after="0" w:line="76" w:lineRule="exact"/>
        <w:rPr>
          <w:rFonts w:ascii="Arial" w:cs="Arial" w:eastAsia="Arial" w:hAnsi="Arial"/>
          <w:sz w:val="18"/>
          <w:szCs w:val="18"/>
          <w:color w:val="auto"/>
        </w:rPr>
      </w:pPr>
    </w:p>
    <w:p>
      <w:pPr>
        <w:jc w:val="both"/>
        <w:ind w:left="892" w:hanging="368"/>
        <w:spacing w:after="0" w:line="247"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term of each Option or SAR will be no more than ten (10) years from the date of grant. However, in the case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 granted to an Employee who, at the time the Option is granted, owns Shares representing more than ten percent (10%) of the voting power of all classes of shares of the Company or any Parent or Subsidiary, the term of the Option will be no more than five (5) years from the date of grant.</w:t>
      </w:r>
    </w:p>
    <w:p>
      <w:pPr>
        <w:spacing w:after="0" w:line="38" w:lineRule="exact"/>
        <w:rPr>
          <w:rFonts w:ascii="Arial" w:cs="Arial" w:eastAsia="Arial" w:hAnsi="Arial"/>
          <w:sz w:val="18"/>
          <w:szCs w:val="18"/>
          <w:color w:val="auto"/>
        </w:rPr>
      </w:pPr>
    </w:p>
    <w:p>
      <w:pPr>
        <w:jc w:val="both"/>
        <w:ind w:left="892" w:hanging="368"/>
        <w:spacing w:after="0"/>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Price/Consideration. </w:t>
      </w:r>
      <w:r>
        <w:rPr>
          <w:rFonts w:ascii="Arial" w:cs="Arial" w:eastAsia="Arial" w:hAnsi="Arial"/>
          <w:sz w:val="18"/>
          <w:szCs w:val="18"/>
          <w:color w:val="auto"/>
        </w:rPr>
        <w:t>The per Share exercise price under each Option or SAR will be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person authorized to grant the award, except that for an Incentive Stock Option granted to (A) an Employee who, at the time of the grant of the Incentive Stock Option, owns shares representing more than ten percent (10%) of the voting power of all classes of shares of the Company or any Parent or Subsidiary, the per Share exercise price will be no less than 110% of the fair market value per Share on the date of grant or (B) any other Employee, the per Share exercise price will be no less than 100% of the fair market value per Share on the date of grant. Except for Conversion Options, the per Share exercise price under a Nonqualified Stock Option or SAR will be no less than the fair market value per Share on the date of grant. The fair market value per Share will be the closing price per Share on the Nasdaq Stock</w:t>
      </w:r>
    </w:p>
    <w:p>
      <w:pPr>
        <w:spacing w:after="0" w:line="45" w:lineRule="exact"/>
        <w:rPr>
          <w:rFonts w:ascii="Arial" w:cs="Arial" w:eastAsia="Arial" w:hAnsi="Arial"/>
          <w:sz w:val="18"/>
          <w:szCs w:val="18"/>
          <w:color w:val="auto"/>
        </w:rPr>
      </w:pPr>
    </w:p>
    <w:p>
      <w:pPr>
        <w:jc w:val="both"/>
        <w:ind w:left="892"/>
        <w:spacing w:after="0" w:line="244" w:lineRule="auto"/>
        <w:rPr>
          <w:rFonts w:ascii="Arial" w:cs="Arial" w:eastAsia="Arial" w:hAnsi="Arial"/>
          <w:sz w:val="18"/>
          <w:szCs w:val="18"/>
          <w:color w:val="auto"/>
        </w:rPr>
      </w:pPr>
      <w:r>
        <w:rPr>
          <w:rFonts w:ascii="Arial" w:cs="Arial" w:eastAsia="Arial" w:hAnsi="Arial"/>
          <w:sz w:val="18"/>
          <w:szCs w:val="18"/>
          <w:color w:val="auto"/>
        </w:rPr>
        <w:t>Market (“NASDAQ”) on the date of grant (or, if the date of grant is not a trading day, the closing price per Share on the NASDAQ on the most recent trading day preceding the date of grant). If the Shares cease to be listed on NASDAQ, the Committee will designate an alternative method of determining the fair market value of the Shares. The consideration to be paid for the Shares to be issued upon exercise of an Award, including the method of payment, will be determined by the Committee at the time of grant.</w:t>
      </w:r>
    </w:p>
    <w:p>
      <w:pPr>
        <w:spacing w:after="0" w:line="41" w:lineRule="exact"/>
        <w:rPr>
          <w:rFonts w:ascii="Arial" w:cs="Arial" w:eastAsia="Arial" w:hAnsi="Arial"/>
          <w:sz w:val="18"/>
          <w:szCs w:val="18"/>
          <w:color w:val="auto"/>
        </w:rPr>
      </w:pPr>
    </w:p>
    <w:p>
      <w:pPr>
        <w:jc w:val="both"/>
        <w:ind w:left="892" w:hanging="368"/>
        <w:spacing w:after="0" w:line="242" w:lineRule="auto"/>
        <w:tabs>
          <w:tab w:leader="none" w:pos="892" w:val="left"/>
        </w:tabs>
        <w:numPr>
          <w:ilvl w:val="1"/>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Exercise. </w:t>
      </w:r>
      <w:r>
        <w:rPr>
          <w:rFonts w:ascii="Arial" w:cs="Arial" w:eastAsia="Arial" w:hAnsi="Arial"/>
          <w:sz w:val="18"/>
          <w:szCs w:val="18"/>
          <w:color w:val="auto"/>
        </w:rPr>
        <w:t>Any Option or SAR granted under the Plan will be exercisable at the times and under the conditions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subject to the terms of the Plan. An Option or SAR may not be exercised for a fraction of a Share. An Option or SAR is deemed to be exercised when the person entitled to exercise the Award gives notice of exercise in accordance with the Award Agreement and with procedures established by the Company, the Awardee has arranged for the payment of any required tax with respect to the Award, and full payment of the exercise price has been received by the Company. Full payment may consist of any consideration and method of payment allowable under the Award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455930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448" w:top="931" w:right="339" w:bottom="1440" w:gutter="0" w:footer="0" w:header="0"/>
        </w:sectPr>
      </w:pPr>
    </w:p>
    <w:bookmarkStart w:id="72" w:name="page73"/>
    <w:bookmarkEnd w:id="72"/>
    <w:p>
      <w:pPr>
        <w:jc w:val="both"/>
        <w:ind w:left="892" w:hanging="368"/>
        <w:spacing w:after="0" w:line="244"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Rights as a Shareholder and Dividends. </w:t>
      </w:r>
      <w:r>
        <w:rPr>
          <w:rFonts w:ascii="Arial" w:cs="Arial" w:eastAsia="Arial" w:hAnsi="Arial"/>
          <w:sz w:val="18"/>
          <w:szCs w:val="18"/>
          <w:color w:val="auto"/>
        </w:rPr>
        <w:t>Until the issuance (as evidenced by the appropriate entry on the books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of a duly authorized transfer agent of the Company) of the Shares, no right to vote or receive dividends or any other rights as a shareholder will exist with respect to the Shares subject to the Award, notwithstanding in the vesting or exercise of the Award. No adjustment will be made for a dividend or other right for which the record date is prior to the date the Share is issued, except as provided in Section 15.</w:t>
      </w:r>
    </w:p>
    <w:p>
      <w:pPr>
        <w:spacing w:after="0" w:line="41" w:lineRule="exact"/>
        <w:rPr>
          <w:rFonts w:ascii="Arial" w:cs="Arial" w:eastAsia="Arial" w:hAnsi="Arial"/>
          <w:sz w:val="18"/>
          <w:szCs w:val="18"/>
          <w:color w:val="auto"/>
        </w:rPr>
      </w:pPr>
    </w:p>
    <w:p>
      <w:pPr>
        <w:jc w:val="both"/>
        <w:ind w:left="892" w:hanging="368"/>
        <w:spacing w:after="0" w:line="244" w:lineRule="auto"/>
        <w:tabs>
          <w:tab w:leader="none" w:pos="892"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Continuous Status. </w:t>
      </w:r>
      <w:r>
        <w:rPr>
          <w:rFonts w:ascii="Arial" w:cs="Arial" w:eastAsia="Arial" w:hAnsi="Arial"/>
          <w:sz w:val="18"/>
          <w:szCs w:val="18"/>
          <w:color w:val="auto"/>
        </w:rPr>
        <w:t>In the event of termination of an Awardee’s Continuous Status, the Awardee may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an outstanding Option or SAR to the extent exercisable on the date of termination (but in no event after the term of the Option or SAR as set forth in the Award Agreement). To the extent that the Awardee was not entitled to exercise an Option or SAR at the termination of Continuous Status, or does not exercise the Option or SAR within the time specified in the applicable Award Agreement, the Option or SAR will terminate unless otherwise provided in the Plan or the Award Agreement.</w:t>
      </w:r>
    </w:p>
    <w:p>
      <w:pPr>
        <w:spacing w:after="0" w:line="122" w:lineRule="exact"/>
        <w:rPr>
          <w:rFonts w:ascii="Arial" w:cs="Arial" w:eastAsia="Arial" w:hAnsi="Arial"/>
          <w:sz w:val="18"/>
          <w:szCs w:val="18"/>
          <w:color w:val="auto"/>
        </w:rPr>
      </w:pPr>
    </w:p>
    <w:p>
      <w:pPr>
        <w:jc w:val="both"/>
        <w:ind w:left="372" w:hanging="372"/>
        <w:spacing w:after="0" w:line="242" w:lineRule="auto"/>
        <w:tabs>
          <w:tab w:leader="none" w:pos="37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Share Awards. </w:t>
      </w:r>
      <w:r>
        <w:rPr>
          <w:rFonts w:ascii="Arial" w:cs="Arial" w:eastAsia="Arial" w:hAnsi="Arial"/>
          <w:sz w:val="18"/>
          <w:szCs w:val="18"/>
          <w:color w:val="auto"/>
        </w:rPr>
        <w:t>Awardees of a Share Award will be notified by means of an Award Agreement of the terms, conditions and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vesting, if any, related to the Share Award, including the number of Shares that the Awardee will be entitled to receive or purchase, the price to be paid, if any, and, if applicable, the time within which the Awardee must accept the Share Award. The Award Agreement will provide for the forfeiture of the non-vested Shares under the Share Award upon the Awardee’s cessation of Continuous Status unless otherwise provided in the Plan or the Award Agreement. An Award Agreement shall not be required to the extent the Share Award is for fully vested shares without additional terms, conditions or restrictions.</w:t>
      </w:r>
    </w:p>
    <w:p>
      <w:pPr>
        <w:spacing w:after="0" w:line="124" w:lineRule="exact"/>
        <w:rPr>
          <w:rFonts w:ascii="Arial" w:cs="Arial" w:eastAsia="Arial" w:hAnsi="Arial"/>
          <w:sz w:val="18"/>
          <w:szCs w:val="18"/>
          <w:color w:val="auto"/>
        </w:rPr>
      </w:pPr>
    </w:p>
    <w:p>
      <w:pPr>
        <w:jc w:val="both"/>
        <w:ind w:left="372" w:hanging="372"/>
        <w:spacing w:after="0"/>
        <w:tabs>
          <w:tab w:leader="none" w:pos="37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Non-Employee Director Awards. </w:t>
      </w:r>
      <w:r>
        <w:rPr>
          <w:rFonts w:ascii="Arial" w:cs="Arial" w:eastAsia="Arial" w:hAnsi="Arial"/>
          <w:sz w:val="18"/>
          <w:szCs w:val="18"/>
          <w:color w:val="auto"/>
        </w:rPr>
        <w:t>The Board may grant Director Fee Awards and Stock Awards in its discretion to any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Aggregate Director Fee Awards and Stock Awards to any individual Non-Employee Director in respect of any fiscal year of the Company, solely with respect to service as a Non-Employee Director, may not exceed 20,000 Shares (or, in the event the Award is paid in cash, the equivalent cash value thereof as determined by the Board based on the market price of the Company common stock on the last trading day preceding the date of payment), in each case, as adjusted pursuant to the provisions of Section 15. The Board may make exceptions to these limits for individual Non-Employee Directors in extraordinary circumstances, as the Board may determine in its discretion, provided that the Non-Employee Director receiving such additional compensation shall not participate in the decision to award such compensation.</w:t>
      </w:r>
    </w:p>
    <w:p>
      <w:pPr>
        <w:spacing w:after="0" w:line="126" w:lineRule="exact"/>
        <w:rPr>
          <w:rFonts w:ascii="Arial" w:cs="Arial" w:eastAsia="Arial" w:hAnsi="Arial"/>
          <w:sz w:val="18"/>
          <w:szCs w:val="18"/>
          <w:color w:val="auto"/>
        </w:rPr>
      </w:pPr>
    </w:p>
    <w:p>
      <w:pPr>
        <w:ind w:left="372" w:hanging="372"/>
        <w:spacing w:after="0"/>
        <w:tabs>
          <w:tab w:leader="none" w:pos="37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is effective as of the Effective Date. It will continue in effect until terminated under Section 18.</w:t>
      </w:r>
    </w:p>
    <w:p>
      <w:pPr>
        <w:spacing w:after="0" w:line="157" w:lineRule="exact"/>
        <w:rPr>
          <w:rFonts w:ascii="Arial" w:cs="Arial" w:eastAsia="Arial" w:hAnsi="Arial"/>
          <w:sz w:val="18"/>
          <w:szCs w:val="18"/>
          <w:color w:val="auto"/>
        </w:rPr>
      </w:pPr>
    </w:p>
    <w:p>
      <w:pPr>
        <w:ind w:left="372" w:hanging="372"/>
        <w:spacing w:after="0"/>
        <w:tabs>
          <w:tab w:leader="none" w:pos="37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Limitations on Awards, Vesting, Repricing, Dividends and Dividend Equivalents.</w:t>
      </w:r>
    </w:p>
    <w:p>
      <w:pPr>
        <w:spacing w:after="0" w:line="76" w:lineRule="exact"/>
        <w:rPr>
          <w:rFonts w:ascii="Arial" w:cs="Arial" w:eastAsia="Arial" w:hAnsi="Arial"/>
          <w:sz w:val="18"/>
          <w:szCs w:val="18"/>
          <w:color w:val="auto"/>
        </w:rPr>
      </w:pPr>
    </w:p>
    <w:p>
      <w:pPr>
        <w:jc w:val="both"/>
        <w:ind w:left="892" w:hanging="368"/>
        <w:spacing w:after="0" w:line="247"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maximum number of Shares with respect to which Awards may be granted to any Employee or Consultant in any one taxable year of the Company will not exceed 20,000,000 Common Shares for Options or SARs, or 5,000,000 shares for Share Awards, in each case, as adjusted pursuant to the provisions of Section 15; provided that substituted or assumed Share Awards described in Section 17 do not count against the limit of this Section 12(a).</w:t>
      </w:r>
    </w:p>
    <w:p>
      <w:pPr>
        <w:spacing w:after="0" w:line="38" w:lineRule="exact"/>
        <w:rPr>
          <w:rFonts w:ascii="Arial" w:cs="Arial" w:eastAsia="Arial" w:hAnsi="Arial"/>
          <w:sz w:val="18"/>
          <w:szCs w:val="18"/>
          <w:color w:val="auto"/>
        </w:rPr>
      </w:pPr>
    </w:p>
    <w:p>
      <w:pPr>
        <w:jc w:val="both"/>
        <w:ind w:left="892" w:right="20" w:hanging="368"/>
        <w:spacing w:after="0" w:line="253"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Without approval of the shareholders of the Company, no Option or SAR may be repriced, replaced, regranted through cancellation, repurchased for cash or other consideration, or modified (except in connection with an adjustment pursuant to Section 15), in each case if the effect would be to reduce the exercise price for the Shares underlying the Option or SAR.</w:t>
      </w:r>
    </w:p>
    <w:p>
      <w:pPr>
        <w:spacing w:after="0" w:line="33" w:lineRule="exact"/>
        <w:rPr>
          <w:rFonts w:ascii="Arial" w:cs="Arial" w:eastAsia="Arial" w:hAnsi="Arial"/>
          <w:sz w:val="18"/>
          <w:szCs w:val="18"/>
          <w:color w:val="auto"/>
        </w:rPr>
      </w:pPr>
    </w:p>
    <w:p>
      <w:pPr>
        <w:ind w:left="892" w:hanging="368"/>
        <w:spacing w:after="0" w:line="271"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 more than 226,000,000 Shares, as adjusted pursuant to the provisions of Section 15, that can be delivered under the Plan may be issued through the grant of Incentive Stock Options.</w:t>
      </w:r>
    </w:p>
    <w:p>
      <w:pPr>
        <w:spacing w:after="0" w:line="18" w:lineRule="exact"/>
        <w:rPr>
          <w:rFonts w:ascii="Arial" w:cs="Arial" w:eastAsia="Arial" w:hAnsi="Arial"/>
          <w:sz w:val="18"/>
          <w:szCs w:val="18"/>
          <w:color w:val="auto"/>
        </w:rPr>
      </w:pPr>
    </w:p>
    <w:p>
      <w:pPr>
        <w:jc w:val="both"/>
        <w:ind w:left="892" w:hanging="368"/>
        <w:spacing w:after="0" w:line="247" w:lineRule="auto"/>
        <w:tabs>
          <w:tab w:leader="none" w:pos="8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Committee may provide that a Share Award includes dividends or dividend equivalents, payable in cash or Shares. Any dividends or dividend equivalents under a Share Award will be subject to the same vesting and performance conditions and payment dates as the underlying Shares, and in no event shall any dividends or dividend equivalents be paid to an Awardee unless and until the Award to which they relate has vested.</w:t>
      </w:r>
    </w:p>
    <w:p>
      <w:pPr>
        <w:spacing w:after="0" w:line="119" w:lineRule="exact"/>
        <w:rPr>
          <w:rFonts w:ascii="Arial" w:cs="Arial" w:eastAsia="Arial" w:hAnsi="Arial"/>
          <w:sz w:val="18"/>
          <w:szCs w:val="18"/>
          <w:color w:val="auto"/>
        </w:rPr>
      </w:pPr>
    </w:p>
    <w:p>
      <w:pPr>
        <w:jc w:val="both"/>
        <w:ind w:left="372" w:hanging="372"/>
        <w:spacing w:after="0" w:line="242" w:lineRule="auto"/>
        <w:tabs>
          <w:tab w:leader="none" w:pos="37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Disability or Death of Awardee. </w:t>
      </w:r>
      <w:r>
        <w:rPr>
          <w:rFonts w:ascii="Arial" w:cs="Arial" w:eastAsia="Arial" w:hAnsi="Arial"/>
          <w:sz w:val="18"/>
          <w:szCs w:val="18"/>
          <w:color w:val="auto"/>
        </w:rPr>
        <w:t>Notwithstanding other provisions of the Plan and unless otherwise provided in the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if an Employee Awardee’s Continuous Status terminates as a result of Total and Permanent Disability or Death, the Employee’s outstanding but unvested Stock Awards will become immediately vested (with any performance-based Stock Awards for which the performance period has not yet been completed, vesting at target level) unless otherwise provided in the Award Agreement. This Section 13 does not apply to Awards other than Stock Awards, or to Stock Awards that are substituted or assumed pursuant to Section 17.</w:t>
      </w:r>
    </w:p>
    <w:p>
      <w:pPr>
        <w:spacing w:after="0" w:line="124" w:lineRule="exact"/>
        <w:rPr>
          <w:rFonts w:ascii="Arial" w:cs="Arial" w:eastAsia="Arial" w:hAnsi="Arial"/>
          <w:sz w:val="18"/>
          <w:szCs w:val="18"/>
          <w:color w:val="auto"/>
        </w:rPr>
      </w:pPr>
    </w:p>
    <w:p>
      <w:pPr>
        <w:jc w:val="both"/>
        <w:ind w:left="372" w:hanging="372"/>
        <w:spacing w:after="0" w:line="247" w:lineRule="auto"/>
        <w:tabs>
          <w:tab w:leader="none" w:pos="37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An Award may not be sold, pledged, assigned, hypothecated, transferred, or disposed of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other than by will or by the laws of descent or distribution and may be exercised, during the lifetime of the Awardee, only by the Awardee; provided that the Committee may permit further transferability, on a general or specific basis, and may impose conditions and limitations on any permitted transferability.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452755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448" w:top="850" w:right="339" w:bottom="1440" w:gutter="0" w:footer="0" w:header="0"/>
        </w:sectPr>
      </w:pPr>
    </w:p>
    <w:bookmarkStart w:id="73" w:name="page74"/>
    <w:bookmarkEnd w:id="73"/>
    <w:p>
      <w:pPr>
        <w:ind w:left="372" w:hanging="372"/>
        <w:spacing w:after="0"/>
        <w:tabs>
          <w:tab w:leader="none" w:pos="372"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Adjustments to Shares Subject to the Plan.</w:t>
      </w:r>
    </w:p>
    <w:p>
      <w:pPr>
        <w:spacing w:after="0" w:line="76" w:lineRule="exact"/>
        <w:rPr>
          <w:rFonts w:ascii="Arial" w:cs="Arial" w:eastAsia="Arial" w:hAnsi="Arial"/>
          <w:sz w:val="18"/>
          <w:szCs w:val="18"/>
          <w:color w:val="auto"/>
        </w:rPr>
      </w:pPr>
    </w:p>
    <w:p>
      <w:pPr>
        <w:jc w:val="both"/>
        <w:ind w:left="892" w:hanging="368"/>
        <w:spacing w:after="0"/>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any change is made to the Shares by reason of any stock split, stock dividend, recapitalization, combination of shares, exchange of shares or other change affecting the outstanding Shares as a class without the Company’s receipt of consideration, appropriate adjustments will be made to (i) the maximum number and/or class of securities issuable under the Plan, (ii) the share limits set forth under Sections 10, 12(a) and 12(c), (iii) the number and/or class of securities and/or the price per Share covered by outstanding Awards under the Plan, and (iv) the maximum aggregate number of Shares underlying all Nonqualified Stock Options and SARs with a per Share exercise price of less than fair market value on any grant date that may be granted under the Plan. The Committee may also make adjustments described in (i)-(iv) of the previous sentence in the event of any distribution of assets to shareholders other than a normal cash dividend.</w:t>
      </w:r>
    </w:p>
    <w:p>
      <w:pPr>
        <w:spacing w:after="0" w:line="45" w:lineRule="exact"/>
        <w:rPr>
          <w:rFonts w:ascii="Arial" w:cs="Arial" w:eastAsia="Arial" w:hAnsi="Arial"/>
          <w:sz w:val="18"/>
          <w:szCs w:val="18"/>
          <w:color w:val="auto"/>
        </w:rPr>
      </w:pPr>
    </w:p>
    <w:p>
      <w:pPr>
        <w:jc w:val="both"/>
        <w:ind w:left="892" w:hanging="368"/>
        <w:spacing w:after="0" w:line="238"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determining adjustments to be made under this Section 15, the Committee may take into account factors it deems appropriate, including (i) applicable law, (ii) the potential tax consequences of an adjustment, and (iii) the possibility that some Awardees might receive an adjustment and a distribution or other unintended benefit, and in light of the factors or circumstances may make adjustments that are not uniform or proportionate among outstanding Awards, modify vesting or Share issuance dates, or make other equitable adjustments. Any adjustments to outstanding Awards will be effected in a manner that precludes the enlargement of rights and benefits under the Awards. Adjustments, if any, and any determinations or interpretations, including any determination of whether a distribution is other than a normal cash dividend, made by the Committee will be final, binding, and conclusive. For purposes of this Section 15, conversion of any convertible securities of the Company will not be deemed to have been effected without receipt of consideration. Except as expressly provided in this Section 15, no issuance by the Company of shares of any class, or securities convertible into shares of any class, will affect, and no adjustment by reason thereof will be made with respect to, the number or price of Shares subject to an Award.</w:t>
      </w:r>
    </w:p>
    <w:p>
      <w:pPr>
        <w:spacing w:after="0" w:line="50" w:lineRule="exact"/>
        <w:rPr>
          <w:rFonts w:ascii="Arial" w:cs="Arial" w:eastAsia="Arial" w:hAnsi="Arial"/>
          <w:sz w:val="18"/>
          <w:szCs w:val="18"/>
          <w:color w:val="auto"/>
        </w:rPr>
      </w:pPr>
    </w:p>
    <w:p>
      <w:pPr>
        <w:jc w:val="both"/>
        <w:ind w:left="892" w:hanging="368"/>
        <w:spacing w:after="0" w:line="244"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of the proposed dissolution or liquidation of the Company, the Award will terminate immediately prior to consummation of the proposed action, unless otherwise provided by the Committee. The Committee may, in the exercise of its discretion in these instances, declare that any Award will terminate as of a date fixed by the Committee and give each Awardee the right to exercise an Award as to all or any part of the Shares subject to an Award, including Shares as to which the Award would not otherwise be exercisable.</w:t>
      </w:r>
    </w:p>
    <w:p>
      <w:pPr>
        <w:spacing w:after="0" w:line="122" w:lineRule="exact"/>
        <w:rPr>
          <w:rFonts w:ascii="Arial" w:cs="Arial" w:eastAsia="Arial" w:hAnsi="Arial"/>
          <w:sz w:val="18"/>
          <w:szCs w:val="18"/>
          <w:color w:val="auto"/>
        </w:rPr>
      </w:pPr>
    </w:p>
    <w:p>
      <w:pPr>
        <w:ind w:left="372" w:hanging="372"/>
        <w:spacing w:after="0"/>
        <w:tabs>
          <w:tab w:leader="none" w:pos="372"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Impact of a Change in Control.</w:t>
      </w:r>
    </w:p>
    <w:p>
      <w:pPr>
        <w:spacing w:after="0" w:line="76" w:lineRule="exact"/>
        <w:rPr>
          <w:rFonts w:ascii="Arial" w:cs="Arial" w:eastAsia="Arial" w:hAnsi="Arial"/>
          <w:sz w:val="18"/>
          <w:szCs w:val="18"/>
          <w:color w:val="auto"/>
        </w:rPr>
      </w:pPr>
    </w:p>
    <w:p>
      <w:pPr>
        <w:ind w:left="892" w:hanging="368"/>
        <w:spacing w:after="0" w:line="271" w:lineRule="auto"/>
        <w:tabs>
          <w:tab w:leader="none" w:pos="892"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Committee Actions. </w:t>
      </w:r>
      <w:r>
        <w:rPr>
          <w:rFonts w:ascii="Arial" w:cs="Arial" w:eastAsia="Arial" w:hAnsi="Arial"/>
          <w:sz w:val="18"/>
          <w:szCs w:val="18"/>
          <w:color w:val="auto"/>
        </w:rPr>
        <w:t>In the event of a Change in Control, an Awardee’s Award will be treated, to the extent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be permitted under Section 409A, in accordance with the following methods, as determined by the Committee:</w:t>
      </w:r>
    </w:p>
    <w:p>
      <w:pPr>
        <w:spacing w:after="0" w:line="18" w:lineRule="exact"/>
        <w:rPr>
          <w:rFonts w:ascii="Arial" w:cs="Arial" w:eastAsia="Arial" w:hAnsi="Arial"/>
          <w:sz w:val="18"/>
          <w:szCs w:val="18"/>
          <w:color w:val="auto"/>
        </w:rPr>
      </w:pPr>
    </w:p>
    <w:p>
      <w:pPr>
        <w:ind w:left="1392" w:hanging="374"/>
        <w:spacing w:after="0" w:line="271" w:lineRule="auto"/>
        <w:tabs>
          <w:tab w:leader="none" w:pos="1392" w:val="left"/>
        </w:tabs>
        <w:numPr>
          <w:ilvl w:val="2"/>
          <w:numId w:val="46"/>
        </w:numPr>
        <w:rPr>
          <w:rFonts w:ascii="Arial" w:cs="Arial" w:eastAsia="Arial" w:hAnsi="Arial"/>
          <w:sz w:val="18"/>
          <w:szCs w:val="18"/>
          <w:color w:val="auto"/>
        </w:rPr>
      </w:pPr>
      <w:r>
        <w:rPr>
          <w:rFonts w:ascii="Arial" w:cs="Arial" w:eastAsia="Arial" w:hAnsi="Arial"/>
          <w:sz w:val="18"/>
          <w:szCs w:val="18"/>
          <w:color w:val="auto"/>
        </w:rPr>
        <w:t>provide for the assumption of or the issuance of substitute awards that will substantially preserve the otherwise applicable terms of any affected Awards previously granted under the Plan, as determined by the Committee; and/or</w:t>
      </w:r>
    </w:p>
    <w:p>
      <w:pPr>
        <w:spacing w:after="0" w:line="18" w:lineRule="exact"/>
        <w:rPr>
          <w:rFonts w:ascii="Arial" w:cs="Arial" w:eastAsia="Arial" w:hAnsi="Arial"/>
          <w:sz w:val="18"/>
          <w:szCs w:val="18"/>
          <w:color w:val="auto"/>
        </w:rPr>
      </w:pPr>
    </w:p>
    <w:p>
      <w:pPr>
        <w:jc w:val="both"/>
        <w:ind w:left="1392" w:hanging="374"/>
        <w:spacing w:after="0" w:line="247" w:lineRule="auto"/>
        <w:tabs>
          <w:tab w:leader="none" w:pos="1392"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the extent the affected Awards (whether vested or unvested) are not assumed or substituted as provided in (i) above, settle the Awards (whether vested or unvested) for an amount of cash or securities equal to their value (determined without regard to any vesting conditions), where in the case of Options and SARs, the value of such Awards, if any, will be equal to their in-the-money spread value (if any), as determined by the Committee.</w:t>
      </w:r>
    </w:p>
    <w:p>
      <w:pPr>
        <w:spacing w:after="0" w:line="39" w:lineRule="exact"/>
        <w:rPr>
          <w:sz w:val="20"/>
          <w:szCs w:val="20"/>
          <w:color w:val="auto"/>
        </w:rPr>
      </w:pPr>
    </w:p>
    <w:p>
      <w:pPr>
        <w:jc w:val="both"/>
        <w:ind w:left="892"/>
        <w:spacing w:after="0" w:line="239" w:lineRule="auto"/>
        <w:rPr>
          <w:sz w:val="20"/>
          <w:szCs w:val="20"/>
          <w:color w:val="auto"/>
        </w:rPr>
      </w:pPr>
      <w:r>
        <w:rPr>
          <w:rFonts w:ascii="Arial" w:cs="Arial" w:eastAsia="Arial" w:hAnsi="Arial"/>
          <w:sz w:val="18"/>
          <w:szCs w:val="18"/>
          <w:color w:val="auto"/>
        </w:rPr>
        <w:t>In the event that the consideration paid in the Change in Control includes contingent value rights, earnout or indemnity payments or similar payments, then the Committee will determine if Awards settled under clause (i) and/or (ii) above are (A) valued at closing taking into account such contingent consideration (with the value determined by the Committee in its discretion) or (B) entitled to a share of such contingent consideration. For the avoidance of doubt, in the event of a Change in Control where all Options and SARs are settled for an amount (as determined by the Committee) of cash or securities, the Committee may terminate any Option or SAR for which the exercise price is equal to or exceeds the per share value of the consideration to be paid in the Change in Control transaction without payment of consideration therefor. Similar actions to those specified in this Section 16(a) may be taken in the event of a merger or other corporate reorganization that does not constitute a Change in Control.</w:t>
      </w:r>
    </w:p>
    <w:p>
      <w:pPr>
        <w:spacing w:after="0" w:line="48" w:lineRule="exact"/>
        <w:rPr>
          <w:sz w:val="20"/>
          <w:szCs w:val="20"/>
          <w:color w:val="auto"/>
        </w:rPr>
      </w:pPr>
    </w:p>
    <w:p>
      <w:pPr>
        <w:jc w:val="both"/>
        <w:ind w:left="892" w:hanging="368"/>
        <w:spacing w:after="0" w:line="244" w:lineRule="auto"/>
        <w:tabs>
          <w:tab w:leader="none" w:pos="892"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Performance-Based Stock Awards. </w:t>
      </w:r>
      <w:r>
        <w:rPr>
          <w:rFonts w:ascii="Arial" w:cs="Arial" w:eastAsia="Arial" w:hAnsi="Arial"/>
          <w:sz w:val="18"/>
          <w:szCs w:val="18"/>
          <w:color w:val="auto"/>
        </w:rPr>
        <w:t>As of the Change in Control date, any outstanding Awards subject to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will be deemed earned at the actual performance level at the date of the Change in Control (as determined by the Committee) with respect to all open performance periods and will continue to be subject to time-based vesting following the Change in Control in accordance with the original vesting terms. After application of this Section 16(b), such Awards shall be treated in accordance with Section 16(a)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454025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448" w:top="931" w:right="339" w:bottom="1440" w:gutter="0" w:footer="0" w:header="0"/>
        </w:sectPr>
      </w:pPr>
    </w:p>
    <w:bookmarkStart w:id="74" w:name="page75"/>
    <w:bookmarkEnd w:id="74"/>
    <w:p>
      <w:pPr>
        <w:jc w:val="both"/>
        <w:ind w:left="892" w:hanging="368"/>
        <w:spacing w:after="0" w:line="247" w:lineRule="auto"/>
        <w:tabs>
          <w:tab w:leader="none" w:pos="892"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Non-Employee Director Awards. </w:t>
      </w:r>
      <w:r>
        <w:rPr>
          <w:rFonts w:ascii="Arial" w:cs="Arial" w:eastAsia="Arial" w:hAnsi="Arial"/>
          <w:sz w:val="18"/>
          <w:szCs w:val="18"/>
          <w:color w:val="auto"/>
        </w:rPr>
        <w:t>In the case of a Non-Employee Director Awardee, notwithstanding the vesting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Award Agreement granting a Stock Award, the Stock Award shall become fully vested and nonforfeitable if, on or within one year after a Change in Control, that Non-Employee Director shall cease for any reason to be a member of the Board.</w:t>
      </w:r>
    </w:p>
    <w:p>
      <w:pPr>
        <w:spacing w:after="0" w:line="119" w:lineRule="exact"/>
        <w:rPr>
          <w:rFonts w:ascii="Arial" w:cs="Arial" w:eastAsia="Arial" w:hAnsi="Arial"/>
          <w:sz w:val="18"/>
          <w:szCs w:val="18"/>
          <w:color w:val="auto"/>
        </w:rPr>
      </w:pPr>
    </w:p>
    <w:p>
      <w:pPr>
        <w:jc w:val="both"/>
        <w:ind w:left="372" w:hanging="372"/>
        <w:spacing w:after="0" w:line="247" w:lineRule="auto"/>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Substitutions and Assumptions. </w:t>
      </w:r>
      <w:r>
        <w:rPr>
          <w:rFonts w:ascii="Arial" w:cs="Arial" w:eastAsia="Arial" w:hAnsi="Arial"/>
          <w:sz w:val="18"/>
          <w:szCs w:val="18"/>
          <w:color w:val="auto"/>
        </w:rPr>
        <w:t>The Committee has the right to substitute or assume Awards in connection with mergers,</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reorganizations, separations, or other corporate transactions (as defined in Treasury Regulation 1.424-1(a)(3)), provided such substitutions and assumptions are not prohibited by Section 424 of the Code and the regulations promulgated thereunder. The number of Shares reserved pursuant to Section 3 may be increased by the corresponding number of Awards assumed or substituted.</w:t>
      </w:r>
    </w:p>
    <w:p>
      <w:pPr>
        <w:spacing w:after="0" w:line="119" w:lineRule="exact"/>
        <w:rPr>
          <w:rFonts w:ascii="Arial" w:cs="Arial" w:eastAsia="Arial" w:hAnsi="Arial"/>
          <w:sz w:val="18"/>
          <w:szCs w:val="18"/>
          <w:color w:val="auto"/>
        </w:rPr>
      </w:pPr>
    </w:p>
    <w:p>
      <w:pPr>
        <w:ind w:left="372" w:hanging="372"/>
        <w:spacing w:after="0"/>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Amendment and Termination of the Plan.</w:t>
      </w:r>
    </w:p>
    <w:p>
      <w:pPr>
        <w:spacing w:after="0" w:line="76" w:lineRule="exact"/>
        <w:rPr>
          <w:rFonts w:ascii="Arial" w:cs="Arial" w:eastAsia="Arial" w:hAnsi="Arial"/>
          <w:sz w:val="18"/>
          <w:szCs w:val="18"/>
          <w:color w:val="auto"/>
        </w:rPr>
      </w:pPr>
    </w:p>
    <w:p>
      <w:pPr>
        <w:jc w:val="both"/>
        <w:ind w:left="892" w:hanging="368"/>
        <w:spacing w:after="0" w:line="242" w:lineRule="auto"/>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The Committee may amend or terminate the Plan from time to time in such respects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deem advisable (including, but not limited to amendments which the Committee deems appropriate to enhance the Company’s ability to claim deductions related to Option exercises); provided that any increase in the number of Shares subject to the Plan (other than in connection with an adjustment under Section 15 and assumptions and/or substitutions under Section 17), and any amendment described in Section 12(b), requires approval of or ratification by the shareholders of the Company.</w:t>
      </w:r>
    </w:p>
    <w:p>
      <w:pPr>
        <w:spacing w:after="0" w:line="43" w:lineRule="exact"/>
        <w:rPr>
          <w:rFonts w:ascii="Arial" w:cs="Arial" w:eastAsia="Arial" w:hAnsi="Arial"/>
          <w:sz w:val="18"/>
          <w:szCs w:val="18"/>
          <w:color w:val="auto"/>
        </w:rPr>
      </w:pPr>
    </w:p>
    <w:p>
      <w:pPr>
        <w:jc w:val="both"/>
        <w:ind w:left="892" w:hanging="368"/>
        <w:spacing w:after="0" w:line="247" w:lineRule="auto"/>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Awardees in Foreign Countries. </w:t>
      </w:r>
      <w:r>
        <w:rPr>
          <w:rFonts w:ascii="Arial" w:cs="Arial" w:eastAsia="Arial" w:hAnsi="Arial"/>
          <w:sz w:val="18"/>
          <w:szCs w:val="18"/>
          <w:color w:val="auto"/>
        </w:rPr>
        <w:t>The Committee has the authority to adopt any modifications, procedures, and subplans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necessary or desirable to comply with provisions of the laws of foreign countries in which the Company or its Subsidiaries may operate to assure the viability of the benefits from Awards granted to Awardees performing services in such countries and to meet the objectives of the Plan.</w:t>
      </w:r>
    </w:p>
    <w:p>
      <w:pPr>
        <w:spacing w:after="0" w:line="38" w:lineRule="exact"/>
        <w:rPr>
          <w:rFonts w:ascii="Arial" w:cs="Arial" w:eastAsia="Arial" w:hAnsi="Arial"/>
          <w:sz w:val="18"/>
          <w:szCs w:val="18"/>
          <w:color w:val="auto"/>
        </w:rPr>
      </w:pPr>
    </w:p>
    <w:p>
      <w:pPr>
        <w:jc w:val="both"/>
        <w:ind w:left="892" w:hanging="368"/>
        <w:spacing w:after="0" w:line="247" w:lineRule="auto"/>
        <w:tabs>
          <w:tab w:leader="none" w:pos="892"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Effect of Amendment or Termination. </w:t>
      </w:r>
      <w:r>
        <w:rPr>
          <w:rFonts w:ascii="Arial" w:cs="Arial" w:eastAsia="Arial" w:hAnsi="Arial"/>
          <w:sz w:val="18"/>
          <w:szCs w:val="18"/>
          <w:color w:val="auto"/>
        </w:rPr>
        <w:t>Except as otherwise provided in Sections 4 and 15, any amendment or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will not affect Awards already granted and such Awards will remain in full force and effect as if the Plan had not been amended or terminated, unless mutually agreed otherwise between the Awardee and the Committee, which agreement must be in writing and signed by the Awardee and the Company.</w:t>
      </w:r>
    </w:p>
    <w:p>
      <w:pPr>
        <w:spacing w:after="0" w:line="119" w:lineRule="exact"/>
        <w:rPr>
          <w:rFonts w:ascii="Arial" w:cs="Arial" w:eastAsia="Arial" w:hAnsi="Arial"/>
          <w:sz w:val="18"/>
          <w:szCs w:val="18"/>
          <w:color w:val="auto"/>
        </w:rPr>
      </w:pPr>
    </w:p>
    <w:p>
      <w:pPr>
        <w:jc w:val="both"/>
        <w:ind w:left="372" w:hanging="372"/>
        <w:spacing w:after="0" w:line="247" w:lineRule="auto"/>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Conditions Upon Issuance of Shares. </w:t>
      </w:r>
      <w:r>
        <w:rPr>
          <w:rFonts w:ascii="Arial" w:cs="Arial" w:eastAsia="Arial" w:hAnsi="Arial"/>
          <w:sz w:val="18"/>
          <w:szCs w:val="18"/>
          <w:color w:val="auto"/>
        </w:rPr>
        <w:t>Shares will not be issued pursuant to the settlement or exercise of an Award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or exercise of such Award and the issuance and delivery of such Shares pursuant thereto will comply with all relevant provisions of law, including, without limitation, the Securities Act of 1933, as amended, the Exchange Act, the rules and regulations promulgated thereunder, and the requirements of any stock exchange upon which the Shares may then be listed.</w:t>
      </w:r>
    </w:p>
    <w:p>
      <w:pPr>
        <w:spacing w:after="0" w:line="119" w:lineRule="exact"/>
        <w:rPr>
          <w:rFonts w:ascii="Arial" w:cs="Arial" w:eastAsia="Arial" w:hAnsi="Arial"/>
          <w:sz w:val="18"/>
          <w:szCs w:val="18"/>
          <w:color w:val="auto"/>
        </w:rPr>
      </w:pPr>
    </w:p>
    <w:p>
      <w:pPr>
        <w:ind w:left="372" w:hanging="372"/>
        <w:spacing w:after="0" w:line="271" w:lineRule="auto"/>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Reservation of Shares. </w:t>
      </w:r>
      <w:r>
        <w:rPr>
          <w:rFonts w:ascii="Arial" w:cs="Arial" w:eastAsia="Arial" w:hAnsi="Arial"/>
          <w:sz w:val="18"/>
          <w:szCs w:val="18"/>
          <w:color w:val="auto"/>
        </w:rPr>
        <w:t>The Company, during the term of the Plan, will at all times reserve and keep available a sufficient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to satisfy the requirements of the Plan.</w:t>
      </w:r>
    </w:p>
    <w:p>
      <w:pPr>
        <w:spacing w:after="0" w:line="99" w:lineRule="exact"/>
        <w:rPr>
          <w:rFonts w:ascii="Arial" w:cs="Arial" w:eastAsia="Arial" w:hAnsi="Arial"/>
          <w:sz w:val="18"/>
          <w:szCs w:val="18"/>
          <w:color w:val="auto"/>
        </w:rPr>
      </w:pPr>
    </w:p>
    <w:p>
      <w:pPr>
        <w:jc w:val="both"/>
        <w:ind w:left="372" w:hanging="372"/>
        <w:spacing w:after="0" w:line="244" w:lineRule="auto"/>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No Employment/Service Rights. </w:t>
      </w:r>
      <w:r>
        <w:rPr>
          <w:rFonts w:ascii="Arial" w:cs="Arial" w:eastAsia="Arial" w:hAnsi="Arial"/>
          <w:sz w:val="18"/>
          <w:szCs w:val="18"/>
          <w:color w:val="auto"/>
        </w:rPr>
        <w:t>Nothing in the Plan confers upon any Employee, Consultant or Non-Employee Director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or to continue in service as an Employee, Consultant or Non-Employee Director for any period of specific duration, or interfere with or otherwise restrict in any way the rights of the Company (or any Parent or Subsidiary employing or retaining such person), or of any Awardee, which rights are hereby expressly reserved by each, to terminate such person’s services at any time for any reason, with or without cause.</w:t>
      </w:r>
    </w:p>
    <w:p>
      <w:pPr>
        <w:spacing w:after="0" w:line="122" w:lineRule="exact"/>
        <w:rPr>
          <w:rFonts w:ascii="Arial" w:cs="Arial" w:eastAsia="Arial" w:hAnsi="Arial"/>
          <w:sz w:val="18"/>
          <w:szCs w:val="18"/>
          <w:color w:val="auto"/>
        </w:rPr>
      </w:pPr>
    </w:p>
    <w:p>
      <w:pPr>
        <w:jc w:val="both"/>
        <w:ind w:left="372" w:hanging="372"/>
        <w:spacing w:after="0"/>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Recovery. </w:t>
      </w:r>
      <w:r>
        <w:rPr>
          <w:rFonts w:ascii="Arial" w:cs="Arial" w:eastAsia="Arial" w:hAnsi="Arial"/>
          <w:sz w:val="18"/>
          <w:szCs w:val="18"/>
          <w:color w:val="auto"/>
        </w:rPr>
        <w:t>All Awards granted under the Plan will be subject to recoupment in accordance with (i)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Compensation Recovery Policy (as may be amended from time to time), (ii) any other recoupment policies that the Company adopts, and/or (iii) applicable law, in each case, to the extent recipients of such Awards are covered by such policies or law. Any Awards which are subject to such policies or law will not be earned or vested, even if already granted, paid or settled, until such policies or law, as applicable, cease to apply to such Awards and any other vesting conditions applicable to such Awards are satisfied. In addition, the Committee may impose such other clawback, recovery or recoupment provisions in an Award Agreement as the Committee determines necessary or appropriate, including but not limited to a reacquisition right in respect of previously acquired Shares or other cash or property upon the occurrence of any event or omission as determined by the Committee.</w:t>
      </w:r>
    </w:p>
    <w:p>
      <w:pPr>
        <w:spacing w:after="0" w:line="126" w:lineRule="exact"/>
        <w:rPr>
          <w:rFonts w:ascii="Arial" w:cs="Arial" w:eastAsia="Arial" w:hAnsi="Arial"/>
          <w:sz w:val="18"/>
          <w:szCs w:val="18"/>
          <w:color w:val="auto"/>
        </w:rPr>
      </w:pPr>
    </w:p>
    <w:p>
      <w:pPr>
        <w:jc w:val="both"/>
        <w:ind w:left="372" w:hanging="372"/>
        <w:spacing w:after="0" w:line="253" w:lineRule="auto"/>
        <w:tabs>
          <w:tab w:leader="none" w:pos="37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and Venue. </w:t>
      </w:r>
      <w:r>
        <w:rPr>
          <w:rFonts w:ascii="Arial" w:cs="Arial" w:eastAsia="Arial" w:hAnsi="Arial"/>
          <w:sz w:val="18"/>
          <w:szCs w:val="18"/>
          <w:color w:val="auto"/>
        </w:rPr>
        <w:t>The Plan and Awards are governed by the laws of the State of Washington, U.S.A.,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Washington laws that might cause other law to govern under applicable principles of conflicts of law. The venue for any litigation related to the Plan or Awards will be in King County,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449580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448" w:top="85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10.2</w:t>
      </w:r>
    </w:p>
    <w:p>
      <w:pPr>
        <w:spacing w:after="0" w:line="15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STOCK AWARD AGREEMENT UNDER</w:t>
      </w:r>
    </w:p>
    <w:p>
      <w:pPr>
        <w:spacing w:after="0" w:line="1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THE MICROSOFT CORPORATION 2026 STOCK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Number &lt;&lt;GrantIdentifier&gt;&gt;</w:t>
      </w:r>
    </w:p>
    <w:p>
      <w:pPr>
        <w:spacing w:after="0" w:line="158" w:lineRule="exact"/>
        <w:rPr>
          <w:sz w:val="20"/>
          <w:szCs w:val="20"/>
          <w:color w:val="auto"/>
        </w:rPr>
      </w:pPr>
    </w:p>
    <w:p>
      <w:pPr>
        <w:jc w:val="both"/>
        <w:ind w:firstLine="8"/>
        <w:spacing w:after="0" w:line="247" w:lineRule="auto"/>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xml:space="preserve">. Microsoft Corporation (the “Company”), in the exercise of its sole discretion pursuant to the Microsoft Corporation 2026 Stock Plan (the “Plan”), does on </w:t>
      </w:r>
      <w:r>
        <w:rPr>
          <w:rFonts w:ascii="Arial" w:cs="Arial" w:eastAsia="Arial" w:hAnsi="Arial"/>
          <w:sz w:val="18"/>
          <w:szCs w:val="18"/>
          <w:b w:val="1"/>
          <w:bCs w:val="1"/>
          <w:color w:val="auto"/>
        </w:rPr>
        <w:t>&lt;&lt;GrantDate&gt;&gt;</w:t>
      </w:r>
      <w:r>
        <w:rPr>
          <w:rFonts w:ascii="Arial" w:cs="Arial" w:eastAsia="Arial" w:hAnsi="Arial"/>
          <w:sz w:val="18"/>
          <w:szCs w:val="18"/>
          <w:color w:val="auto"/>
        </w:rPr>
        <w:t xml:space="preserve"> (the “Award Date”) hereby award to </w:t>
      </w:r>
      <w:r>
        <w:rPr>
          <w:rFonts w:ascii="Arial" w:cs="Arial" w:eastAsia="Arial" w:hAnsi="Arial"/>
          <w:sz w:val="18"/>
          <w:szCs w:val="18"/>
          <w:b w:val="1"/>
          <w:bCs w:val="1"/>
          <w:color w:val="auto"/>
        </w:rPr>
        <w:t>&lt;&lt;FullName&gt;&gt;</w:t>
      </w:r>
      <w:r>
        <w:rPr>
          <w:rFonts w:ascii="Arial" w:cs="Arial" w:eastAsia="Arial" w:hAnsi="Arial"/>
          <w:sz w:val="18"/>
          <w:szCs w:val="18"/>
          <w:color w:val="auto"/>
        </w:rPr>
        <w:t xml:space="preserve"> (the “Awardee”) </w:t>
      </w:r>
      <w:r>
        <w:rPr>
          <w:rFonts w:ascii="Arial" w:cs="Arial" w:eastAsia="Arial" w:hAnsi="Arial"/>
          <w:sz w:val="18"/>
          <w:szCs w:val="18"/>
          <w:b w:val="1"/>
          <w:bCs w:val="1"/>
          <w:color w:val="auto"/>
        </w:rPr>
        <w:t>&lt;&lt;SharesGrantedQuantity&gt;&gt;</w:t>
      </w:r>
      <w:r>
        <w:rPr>
          <w:rFonts w:ascii="Arial" w:cs="Arial" w:eastAsia="Arial" w:hAnsi="Arial"/>
          <w:sz w:val="18"/>
          <w:szCs w:val="18"/>
          <w:color w:val="auto"/>
        </w:rPr>
        <w:t xml:space="preserve"> Stock Awards (“SAs”) upon the terms and subject to the conditions of this Award Agreement. Capitalized terms used but not defined in this Award Agreement shall have the meanings assigned to them in the Plan.</w:t>
      </w:r>
    </w:p>
    <w:p>
      <w:pPr>
        <w:spacing w:after="0" w:line="12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SAs represent the Company’s unfunded and unsecured promise to issue Shares at a future date, subject to the terms of this Award Agreement and the Plan. Awardee has no rights under the SAs other than the rights of a general unsecured creditor of the Company.</w:t>
      </w:r>
    </w:p>
    <w:p>
      <w:pPr>
        <w:spacing w:after="0" w:line="100"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Vesting Schedule and Conversion of SAs</w:t>
      </w:r>
      <w:r>
        <w:rPr>
          <w:rFonts w:ascii="Arial" w:cs="Arial" w:eastAsia="Arial" w:hAnsi="Arial"/>
          <w:sz w:val="18"/>
          <w:szCs w:val="18"/>
          <w:color w:val="auto"/>
        </w:rPr>
        <w:t>.</w:t>
      </w:r>
    </w:p>
    <w:p>
      <w:pPr>
        <w:spacing w:after="0" w:line="158" w:lineRule="exact"/>
        <w:rPr>
          <w:sz w:val="20"/>
          <w:szCs w:val="20"/>
          <w:color w:val="auto"/>
        </w:rPr>
      </w:pPr>
    </w:p>
    <w:p>
      <w:pPr>
        <w:jc w:val="both"/>
        <w:ind w:right="20" w:firstLine="8"/>
        <w:spacing w:after="0" w:line="253" w:lineRule="auto"/>
        <w:tabs>
          <w:tab w:leader="none" w:pos="21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the terms of this Award Agreement and the Plan and provided that Awardee remains in Continuous Status through the vesting dates set out below (except as otherwise provided in this Award Agreement), the SAs shall vest and be converted into an equivalent number of Shares as follows; provided that fractional SAs shall be converted into Shares as set out in Section 9(c) of this Award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&lt;&lt;VestScheduleAtIssue&gt;&gt;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Vesting will not occur before the first Nasdaq Stock Market regular trading day that is on or after the applicable vesting date, as described above. For the avoidance of doubt, Awardee is not entitled to vest in any pro-rata portion of the SAs if Awardee is in Continuous Status only for a portion of the vesting period prior to a vesting date, but no longer in Continuous Status on the respective vesting date.</w:t>
      </w:r>
    </w:p>
    <w:p>
      <w:pPr>
        <w:spacing w:after="0" w:line="115" w:lineRule="exact"/>
        <w:rPr>
          <w:sz w:val="20"/>
          <w:szCs w:val="20"/>
          <w:color w:val="auto"/>
        </w:rPr>
      </w:pPr>
    </w:p>
    <w:p>
      <w:pPr>
        <w:jc w:val="both"/>
        <w:ind w:firstLine="8"/>
        <w:spacing w:after="0"/>
        <w:tabs>
          <w:tab w:leader="none" w:pos="32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AWARDEE’S RIGHTS IN THE SAs SHALL BE AFFECTED, WITH REGARD TO BOTH THE VESTING SCHEDULE AND THE TERMINATION PROVISIONS BELOW, BY LEAVES OF ABSENCE, CHANGES IN THE NUMBER OF HOURS WORKED AND OTHER CHANGES IN AWARDEE’S CONTINUOUS STATUS AS PROVIDED IN THE COMPANY’S CURRENT POLICIES FOR THESE MATTERS. ACCOMPANYING THIS AWARD AGREEMENT IS A CURRENT COPY OF THESE POLICIES. THESE POLICIES MAY CHANGE FROM TIME TO TIME WITHOUT NOTICE IN THE COMPANY’S SOLE DISCRETION, AND AWARDEE’S RIGHTS WILL BE GOVERNED BY THE POLICIES IN EFFECT AT THE TIME OF ANY CONTINUOUS STATUS CHANGE. E-MAIL "ASKHR" FOR A COPY OF THE MOST CURRENT POLICIES.</w:t>
      </w:r>
    </w:p>
    <w:p>
      <w:pPr>
        <w:spacing w:after="0" w:line="131" w:lineRule="exact"/>
        <w:rPr>
          <w:sz w:val="20"/>
          <w:szCs w:val="20"/>
          <w:color w:val="auto"/>
        </w:rPr>
      </w:pPr>
    </w:p>
    <w:p>
      <w:pPr>
        <w:ind w:firstLine="8"/>
        <w:spacing w:after="0" w:line="271"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terminated earlier under Section 4 below, an Awardee’s rights under this Award Agreement with respect to the SAs under this Award Agreement shall terminate at the time the SAs are converted into Shares and distributed to Awardee.</w:t>
      </w:r>
    </w:p>
    <w:p>
      <w:pPr>
        <w:spacing w:after="0" w:line="99" w:lineRule="exact"/>
        <w:rPr>
          <w:rFonts w:ascii="Arial" w:cs="Arial" w:eastAsia="Arial" w:hAnsi="Arial"/>
          <w:sz w:val="18"/>
          <w:szCs w:val="18"/>
          <w:color w:val="auto"/>
        </w:rPr>
      </w:pPr>
    </w:p>
    <w:p>
      <w:pPr>
        <w:jc w:val="both"/>
        <w:ind w:firstLine="8"/>
        <w:spacing w:after="0" w:line="247" w:lineRule="auto"/>
        <w:tabs>
          <w:tab w:leader="none" w:pos="21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of Awardee's Continuous Status</w:t>
      </w:r>
      <w:r>
        <w:rPr>
          <w:rFonts w:ascii="Arial" w:cs="Arial" w:eastAsia="Arial" w:hAnsi="Arial"/>
          <w:sz w:val="18"/>
          <w:szCs w:val="18"/>
          <w:color w:val="auto"/>
        </w:rPr>
        <w:t>. Except as otherwise specified in Sections 5, 6 and 7 below, in the event of termination of Awardee's Continuous Status, Awardee’s rights under this Award Agreement in any unvested SAs shall terminate. For the avoidance of doubt, an Awardee’s Continuous Status also terminates if and at the time Awardee’s actual employer ceases to be the Company or a Subsidiary.</w:t>
      </w:r>
    </w:p>
    <w:p>
      <w:pPr>
        <w:spacing w:after="0" w:line="119" w:lineRule="exact"/>
        <w:rPr>
          <w:rFonts w:ascii="Arial" w:cs="Arial" w:eastAsia="Arial" w:hAnsi="Arial"/>
          <w:sz w:val="18"/>
          <w:szCs w:val="18"/>
          <w:color w:val="auto"/>
        </w:rPr>
      </w:pPr>
    </w:p>
    <w:p>
      <w:pPr>
        <w:ind w:right="20" w:firstLine="8"/>
        <w:spacing w:after="0" w:line="271"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Disability of Awardee</w:t>
      </w:r>
      <w:r>
        <w:rPr>
          <w:rFonts w:ascii="Arial" w:cs="Arial" w:eastAsia="Arial" w:hAnsi="Arial"/>
          <w:sz w:val="18"/>
          <w:szCs w:val="18"/>
          <w:color w:val="auto"/>
        </w:rPr>
        <w:t>. Notwithstanding the provisions of Section 4 above, in the event of termination of Awardee's Continuous Status as a result of Total and Permanent Disability, the outstanding unvested SAs under this Award Agreement shall become immediately vested.</w:t>
      </w:r>
    </w:p>
    <w:p>
      <w:pPr>
        <w:spacing w:after="0" w:line="99" w:lineRule="exact"/>
        <w:rPr>
          <w:rFonts w:ascii="Arial" w:cs="Arial" w:eastAsia="Arial" w:hAnsi="Arial"/>
          <w:sz w:val="18"/>
          <w:szCs w:val="18"/>
          <w:color w:val="auto"/>
        </w:rPr>
      </w:pPr>
    </w:p>
    <w:p>
      <w:pPr>
        <w:ind w:right="20" w:firstLine="8"/>
        <w:spacing w:after="0" w:line="271" w:lineRule="auto"/>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Death of Awardee</w:t>
      </w:r>
      <w:r>
        <w:rPr>
          <w:rFonts w:ascii="Arial" w:cs="Arial" w:eastAsia="Arial" w:hAnsi="Arial"/>
          <w:sz w:val="18"/>
          <w:szCs w:val="18"/>
          <w:color w:val="auto"/>
        </w:rPr>
        <w:t>. Notwithstanding the provisions of Section 4 above, if Awardee is, at the time of death, in Continuous Status, outstanding unvested SAs under this Award Agreement shall become immediately vested.</w:t>
      </w:r>
    </w:p>
    <w:p>
      <w:pPr>
        <w:spacing w:after="0" w:line="99" w:lineRule="exact"/>
        <w:rPr>
          <w:rFonts w:ascii="Arial" w:cs="Arial" w:eastAsia="Arial" w:hAnsi="Arial"/>
          <w:sz w:val="18"/>
          <w:szCs w:val="18"/>
          <w:color w:val="auto"/>
        </w:rPr>
      </w:pPr>
    </w:p>
    <w:p>
      <w:pPr>
        <w:jc w:val="both"/>
        <w:ind w:firstLine="8"/>
        <w:spacing w:after="0" w:line="242" w:lineRule="auto"/>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Retirement Awards] [</w:t>
      </w:r>
      <w:r>
        <w:rPr>
          <w:rFonts w:ascii="Arial" w:cs="Arial" w:eastAsia="Arial" w:hAnsi="Arial"/>
          <w:sz w:val="18"/>
          <w:szCs w:val="18"/>
          <w:u w:val="single" w:color="auto"/>
          <w:color w:val="auto"/>
        </w:rPr>
        <w:t>Retirement of Awardee; Vesting under Severance Plan</w:t>
      </w:r>
      <w:r>
        <w:rPr>
          <w:rFonts w:ascii="Arial" w:cs="Arial" w:eastAsia="Arial" w:hAnsi="Arial"/>
          <w:sz w:val="18"/>
          <w:szCs w:val="18"/>
          <w:color w:val="auto"/>
        </w:rPr>
        <w:t>. (a) Notwithstanding the provisions of Section 4 above, in the event of Awardee's Retirement, Awardee shall be treated as being in Continuous Status through the vesting periods in Section 2(a) above. For this purpose, "Retirement" means termination of Continuous Status with the Company or a Subsidiary after the earlier of (a) age 65, or (b) attaining age 55 and 15 years of Continuous Service, provided that immediately prior to termination of employment Awardee is employed by the Company (or a Subsidiary) in the United States and that such termination of employment is not due to Awardee’s Total and Permanent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both"/>
        <w:spacing w:after="0" w:line="244" w:lineRule="auto"/>
        <w:rPr>
          <w:sz w:val="20"/>
          <w:szCs w:val="20"/>
          <w:color w:val="auto"/>
        </w:rPr>
      </w:pPr>
      <w:r>
        <w:rPr>
          <w:rFonts w:ascii="Arial" w:cs="Arial" w:eastAsia="Arial" w:hAnsi="Arial"/>
          <w:sz w:val="18"/>
          <w:szCs w:val="18"/>
          <w:color w:val="auto"/>
        </w:rPr>
        <w:t>This Section 7 will only apply to a Retirement if (a) the Retirement is at least one year after the Award Date, (b) Awardee executes a release in conjunction with the Retirement in the form provided by the Company, and (c) during, and for one year following termination of Awardee’s Continuous Status, Awardee has not engaged in misconduct (as determined in the sole discretion of the Company’s senior corporate officer in charge of the Human Resources department), including but not limited to (i) misconduct in violation of Company policy or that leads to a breach of Awardee’s Employee Agreement and (ii) misconduct that adversely affects the Company’s interests or reputation.</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purposes of this Section 7, “Continuous Service” means that Awardee has continuously remained an employee of the Company or a Subsidiary, measured from Awardee’s “most recent hire date” as reflected in the Company records. For an Awardee who became an employee of the Company or a Subsidiary following the acquisition of Awardee’s employer by the Company or a Subsidiary, service with the acquired employer shall count toward Continuous Service, and Continuous Service shall be measured from Awardee’s acquired company hire date as reflected in the Company’s records.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Awardee dies after an eligible Retirement under this Section 7, then any Shares that would, but for the Awardee’s death, be distributed pursuant to this Section 7 on vesting dates that follow the Awardee’s death shall be immediately vested and distributed in accordance with this Award Agreement.</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(b)][Vesting Under Severance Plan] Awardee may also continue to vest in SAs following Awardee’s termination of Continuous Status to the extent Awardee is entitled to the continued vesting under a severance benefit plan established by the Company (assuming Awardee’s termination of Continuous Status is not due to Awardee’s Total and Permanent Disability). In no event, however, shall any continued vesting under a Company severance benefit plan change the time of payment specified under this Award Agreement.</w:t>
      </w:r>
    </w:p>
    <w:p>
      <w:pPr>
        <w:spacing w:after="0" w:line="120" w:lineRule="exact"/>
        <w:rPr>
          <w:sz w:val="20"/>
          <w:szCs w:val="20"/>
          <w:color w:val="auto"/>
        </w:rPr>
      </w:pPr>
    </w:p>
    <w:p>
      <w:pPr>
        <w:jc w:val="both"/>
        <w:ind w:firstLine="8"/>
        <w:spacing w:after="0" w:line="244" w:lineRule="auto"/>
        <w:tabs>
          <w:tab w:leader="none" w:pos="21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Value of Unvested SAs</w:t>
      </w:r>
      <w:r>
        <w:rPr>
          <w:rFonts w:ascii="Arial" w:cs="Arial" w:eastAsia="Arial" w:hAnsi="Arial"/>
          <w:sz w:val="18"/>
          <w:szCs w:val="18"/>
          <w:color w:val="auto"/>
        </w:rPr>
        <w:t>. In consideration of the Award of these SAs, Awardee agrees that upon and following termination of Awardee's Continuous Status for any reason (whether or not in breach of applicable laws), and regardless of whether Awardee is terminated with or without cause, notice, or pre-termination procedure or whether Awardee asserts or prevails on a claim that Awardee’s Continuous Status was terminable only for cause or only with notice or pre-termination procedure, any unvested SAs under this Award Agreement shall be deemed to have a value of zero dollars ($0.00).</w:t>
      </w:r>
    </w:p>
    <w:p>
      <w:pPr>
        <w:spacing w:after="0" w:line="122" w:lineRule="exact"/>
        <w:rPr>
          <w:rFonts w:ascii="Arial" w:cs="Arial" w:eastAsia="Arial" w:hAnsi="Arial"/>
          <w:sz w:val="18"/>
          <w:szCs w:val="18"/>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Conversion of SAs to Shares; Responsibility for Taxes</w:t>
      </w:r>
      <w:r>
        <w:rPr>
          <w:rFonts w:ascii="Arial" w:cs="Arial" w:eastAsia="Arial" w:hAnsi="Arial"/>
          <w:sz w:val="18"/>
          <w:szCs w:val="18"/>
          <w:color w:val="auto"/>
        </w:rPr>
        <w:t>.</w:t>
      </w:r>
    </w:p>
    <w:p>
      <w:pPr>
        <w:spacing w:after="0" w:line="158" w:lineRule="exact"/>
        <w:rPr>
          <w:sz w:val="20"/>
          <w:szCs w:val="20"/>
          <w:color w:val="auto"/>
        </w:rPr>
      </w:pPr>
    </w:p>
    <w:p>
      <w:pPr>
        <w:jc w:val="both"/>
        <w:ind w:firstLine="8"/>
        <w:spacing w:after="0" w:line="241" w:lineRule="auto"/>
        <w:tabs>
          <w:tab w:leader="none" w:pos="2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Provided Awardee has satisfied the requirements of Section 9(b) below and subject to the provisions of this Section 9(a), on the vesting of any SAs (including any continued vesting that may apply pursuant to Section 7 above), the vested SAs shall be converted into an equivalent number of Shares that will be distributed to Awardee or, in the event of Awardee's death, to Awardee's legal representative on the earlier of</w:t>
      </w:r>
    </w:p>
    <w:p>
      <w:pPr>
        <w:spacing w:after="0" w:line="1" w:lineRule="exact"/>
        <w:rPr>
          <w:rFonts w:ascii="Arial" w:cs="Arial" w:eastAsia="Arial" w:hAnsi="Arial"/>
          <w:sz w:val="18"/>
          <w:szCs w:val="18"/>
          <w:color w:val="auto"/>
        </w:rPr>
      </w:pPr>
    </w:p>
    <w:p>
      <w:pPr>
        <w:jc w:val="both"/>
        <w:ind w:firstLine="8"/>
        <w:spacing w:after="0" w:line="236" w:lineRule="auto"/>
        <w:tabs>
          <w:tab w:leader="none" w:pos="21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regularly scheduled vesting date(s) set forth in Section 2(a) of this Award Agreement, and in any case by the end of the calendar year in which such applicable vesting date(s) occurs or (ii) the date of the applicable vesting event set forth in Section 5 or Section 6, or as soon as administratively feasible and in any case within 2.5 months thereafter, or within such other period as permitted under Section 409A. If accelerated vesting of an SA occurs pursuant to a provision of the Plan not addressed in this Award Agreement, to the extent required by Section 409A, distribution of the related Shares shall not occur until the date distribution would have occurred under this Award Agreement absent such accelerated vesting, unless otherwise determined by the Company. Notwithstanding the foregoing provisions of this Section 9(a), to the extent that the SAs are exempt or otherwise not subject to Section 409A, the SAs shall be converted into an equivalent number of Shares that will be distributed to Awardee within the period contemplated by the “short-term deferral exception” of Section 409A. The distribution to Awardee, or in the case of Awardee’s death, to Awardee’s legal representative (or Awardee’s beneficiary, if one has been designated in accordance with procedures designated by the Company), of Shares in respect of the vested SAs shall be evidenced by means that the Company determines to be appropriate.</w:t>
      </w:r>
    </w:p>
    <w:p>
      <w:pPr>
        <w:spacing w:after="0" w:line="13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vesting of the SAs and/or ownership or issuance of Shares subject to the SAs is not permissible or otherwise not feasible or practicable due to applicable exchange controls, securities regulations, tax laws, or other provisions of applicable law, as determined by the Company in its sole discretion, Awardee, or in the event of Awardee’s death, Awardee’s legal representative (or designated beneficiary, if applicable), shall receive cash proceeds in an amount equal to the value of the Shares otherwise distributable to Awardee, as determined by the Company in its sole discretion, net of amounts withheld in satisfaction of the requirements of Section 9(b) below. Alternatively, the Company may decide to defer vesting of the SAs and/or issuance of the Shares as long as this vesting or issuance is in violation of applicable laws, as determined by the Company in its sole discretion. Lastly, the Company may decide to cancel the SAs if it determines, in its sole discretion that applicable laws require this cancellation or make it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7" w:name="page78"/>
    <w:bookmarkEnd w:id="77"/>
    <w:p>
      <w:pPr>
        <w:jc w:val="both"/>
        <w:ind w:firstLine="8"/>
        <w:spacing w:after="0" w:line="238" w:lineRule="auto"/>
        <w:tabs>
          <w:tab w:leader="none" w:pos="2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Regardless of any action the Company or Awardee’s actual employer takes with respect to any or all income tax (including federal, state and local taxes), social insurance, payroll tax, fringe benefit tax, payment on account or other tax-related items (“Tax-Related Items”) that arise in connection with the SAs, Awardee acknowledges and agrees that the ultimate liability for any Tax-Related Items determined by the Company in its discretion to be legally due by Awardee or to be an appropriate charge to Awardee even if technically due by the Company or Awardee’s employer is and remains Awardee’s responsibility. Awardee acknowledges and agrees that the Company and/or Awardee’s actual employer (i) make no representations or undertakings regarding the treatment of any Tax-Related Items in connection with any aspect of the SAs, including the grant of the SAs, the vesting of SAs, the conversion of the SAs into Shares or the receipt of an equivalent cash payment, the subsequent sale of any Shares acquired at vesting and the receipt of any dividends; and (ii) do not commit to and are under no obligation to structure the terms of the grant or any aspect of the SAs to reduce or eliminate Awardee’s liability for any Tax-Related Items. If Awardee has relocated to a different jurisdiction after the Award Date, Awardee acknowledges that the Company and/or Awardee’s actual employer (or former employer, as applicable) may be required to withhold or account for Tax-Related Items in more than one jurisdiction.</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relevant taxable or tax withholding event, as applicable, Awardee shall pay, or make adequate arrangements satisfactory to the Company and to Awardee’s actual employer (in their sole discretion) to satisfy all obligations for Tax-Related Items. In this regard, except where applicable law prohibits or makes it inadvisable, until otherwise determined by the Company, the standard process for the satisfaction of withholding obligations or rights for an Awardee’s Tax-Related Items shall be for the Company to withhold in whole or fractional Shares (up to such amount determined by the Company as not resulting in negative accounting consequences for the Company). Alternatively, or in addition, Awardee authorizes the Company, at its sole discretion, to satisfy the Company’s and/or any Subsidiary’s withholding obligations or rights with regard to all Tax-Related Items by one or a combination of the following: (i) sell or arrange for the sale of Shares to be issued on the vesting of SAs or other event (on Awardee’s behalf and at Awardee’s direction pursuant to this authorization without further consent) and withhold from the sale proceeds, (ii) withhold from Awardee’s wages or other cash compensation payable to Awardee by the Company, Awardee’s actual employer or any other Subsidiary, (iii) withhold from proceeds of a voluntary sale by Awardee of Shares acquired upon vesting of the SAs, and/or (iv) any other method as determined by the Company to be in compliance with applicable law and the Plan.</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may withhold or account for Tax-Related Items by considering applicable statutory withholding rates or other applicable withholding rates, including maximum rates applicable in Awardee's jurisdiction(s). In the event of over-withholding, Awardee may receive a refund of any over-withheld amount in cash through Awardee’s actual employer’s normal payroll processes (with no entitlement to the equivalent in Shares) or, if not refunded, Awardee may seek a refund from the local tax authorities. In the event of under-withholding, Awardee may be required to pay additional Tax-Related Items directly to the applicable tax authority or to the Company and/or Awardee’s actual employer. If the obligation for Tax-Related Items is satisfied by withholding in Shares, Awardee will be deemed to have been issued the full number of Shares subject to the SAs, notwithstanding that a number of vested Shares are held back solely for the purpose of paying the Tax-Related Items due as a result of any aspect of Awardee’s SAs. Awardee shall pay to the Company or to Awardee’s actual employer any amount of Tax-Related Items that the Company or Awardee’s actual employer may be required to withhold or account for as a result of Awardee’s participation in the Plan that cannot be satisfied by the means previously described. The Company may refuse to deliver Shares to Awardee if Awardee fails to comply with Awardee’s obligation in connection with the Tax-Related Items as described in this Section 9(b).</w:t>
      </w:r>
    </w:p>
    <w:p>
      <w:pPr>
        <w:spacing w:after="0" w:line="132" w:lineRule="exact"/>
        <w:rPr>
          <w:sz w:val="20"/>
          <w:szCs w:val="20"/>
          <w:color w:val="auto"/>
        </w:rPr>
      </w:pPr>
    </w:p>
    <w:p>
      <w:pPr>
        <w:jc w:val="both"/>
        <w:ind w:firstLine="8"/>
        <w:spacing w:after="0" w:line="253" w:lineRule="auto"/>
        <w:tabs>
          <w:tab w:leader="none" w:pos="26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determining the number of Shares that vest on any given date, the Company shall round the Shares down to the nearest whole Share and any remaining fraction of a Share will be included in a subsequent vest date. Notwithstanding the foregoing, fractional Shares may be delivered as a result of fractional Share tax withholding pursuant to Section 9(b) above.</w:t>
      </w:r>
    </w:p>
    <w:p>
      <w:pPr>
        <w:spacing w:after="0" w:line="114" w:lineRule="exact"/>
        <w:rPr>
          <w:rFonts w:ascii="Arial" w:cs="Arial" w:eastAsia="Arial" w:hAnsi="Arial"/>
          <w:sz w:val="18"/>
          <w:szCs w:val="18"/>
          <w:color w:val="auto"/>
        </w:rPr>
      </w:pPr>
    </w:p>
    <w:p>
      <w:pPr>
        <w:jc w:val="both"/>
        <w:ind w:firstLine="8"/>
        <w:spacing w:after="0" w:line="244" w:lineRule="auto"/>
        <w:tabs>
          <w:tab w:leader="none" w:pos="2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Until the distribution to Awardee of the Shares in respect of the vested SAs is evidenced by deposit in Awardee’s brokerage account, Awardee shall have no right to vote or receive dividends or any other rights as a shareholder with respect to the Shares, notwithstanding the vesting of SAs. The Company shall cause the distribution to Awardee to occur upon the vesting of SAs in accordance with Section 9(a) above. No adjustment will be made for a dividend or other right for which the record date is prior to the date Awardee is recorded as the owner of the Shares, except as provided in the Plan.</w:t>
      </w:r>
    </w:p>
    <w:p>
      <w:pPr>
        <w:spacing w:after="0" w:line="122" w:lineRule="exact"/>
        <w:rPr>
          <w:rFonts w:ascii="Arial" w:cs="Arial" w:eastAsia="Arial" w:hAnsi="Arial"/>
          <w:sz w:val="18"/>
          <w:szCs w:val="18"/>
          <w:color w:val="auto"/>
        </w:rPr>
      </w:pPr>
    </w:p>
    <w:p>
      <w:pPr>
        <w:jc w:val="both"/>
        <w:ind w:firstLine="8"/>
        <w:spacing w:after="0" w:line="247" w:lineRule="auto"/>
        <w:tabs>
          <w:tab w:leader="none" w:pos="2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accepting the Award of SAs evidenced by this Award Agreement, Awardee agrees not to sell any of the Shares received on account of vested SAs at a time when applicable laws or Company policies prohibit a sale. This restriction shall apply so long as Awardee is an Employee, Consultant or outside director of the Company or a Subsidiary, and may apply even after Continuous Status ends if required under applicable law or Company policies.</w:t>
      </w:r>
    </w:p>
    <w:p>
      <w:pPr>
        <w:spacing w:after="0" w:line="120" w:lineRule="exact"/>
        <w:rPr>
          <w:sz w:val="20"/>
          <w:szCs w:val="20"/>
          <w:color w:val="auto"/>
        </w:rPr>
      </w:pPr>
    </w:p>
    <w:p>
      <w:pPr>
        <w:jc w:val="both"/>
        <w:ind w:firstLine="8"/>
        <w:spacing w:after="0" w:line="253"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Non-Transferability of SAs</w:t>
      </w:r>
      <w:r>
        <w:rPr>
          <w:rFonts w:ascii="Arial" w:cs="Arial" w:eastAsia="Arial" w:hAnsi="Arial"/>
          <w:sz w:val="18"/>
          <w:szCs w:val="18"/>
          <w:color w:val="auto"/>
        </w:rPr>
        <w:t>. Awardee’s right in the SAs awarded under this Award Agreement and any interest therein may not be sold, pledged, assigned, hypothecated, transferred, or disposed of in any manner, other than by will or by the laws of descent or distribution. SAs shall not be subject to execution, attachment or other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Acknowledgment of Nature of Plan and SAs</w:t>
      </w:r>
      <w:r>
        <w:rPr>
          <w:rFonts w:ascii="Arial" w:cs="Arial" w:eastAsia="Arial" w:hAnsi="Arial"/>
          <w:sz w:val="18"/>
          <w:szCs w:val="18"/>
          <w:color w:val="auto"/>
        </w:rPr>
        <w:t>. In accepting the Award, Awardee acknowledges that:</w:t>
      </w:r>
    </w:p>
    <w:p>
      <w:pPr>
        <w:spacing w:after="0" w:line="158" w:lineRule="exact"/>
        <w:rPr>
          <w:sz w:val="20"/>
          <w:szCs w:val="20"/>
          <w:color w:val="auto"/>
        </w:rPr>
      </w:pPr>
    </w:p>
    <w:p>
      <w:pPr>
        <w:ind w:firstLine="8"/>
        <w:spacing w:after="0" w:line="271" w:lineRule="auto"/>
        <w:tabs>
          <w:tab w:leader="none" w:pos="27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as provided in the Plan;</w:t>
      </w:r>
    </w:p>
    <w:p>
      <w:pPr>
        <w:spacing w:after="0" w:line="99" w:lineRule="exact"/>
        <w:rPr>
          <w:rFonts w:ascii="Arial" w:cs="Arial" w:eastAsia="Arial" w:hAnsi="Arial"/>
          <w:sz w:val="18"/>
          <w:szCs w:val="18"/>
          <w:color w:val="auto"/>
        </w:rPr>
      </w:pPr>
    </w:p>
    <w:p>
      <w:pPr>
        <w:ind w:right="20" w:firstLine="8"/>
        <w:spacing w:after="0" w:line="271" w:lineRule="auto"/>
        <w:tabs>
          <w:tab w:leader="none" w:pos="2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Award of SAs is voluntary and occasional and does not create any contractual or other right to receive future awards of SAs or other awards, or benefits in lieu of SAs even if SAs have been awarded repeatedly in the past;</w:t>
      </w:r>
    </w:p>
    <w:p>
      <w:pPr>
        <w:spacing w:after="0" w:line="99"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decisions with respect to SAs or other future awards of SAs, if any, will be at the sole discretion of the Company;</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Awardee’s participation in the Plan is voluntary;</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Awardee receives Shares, the value of the Shares acquired on vesting of SAs may increase or decrease in value;</w:t>
      </w:r>
    </w:p>
    <w:p>
      <w:pPr>
        <w:spacing w:after="0" w:line="157" w:lineRule="exact"/>
        <w:rPr>
          <w:rFonts w:ascii="Arial" w:cs="Arial" w:eastAsia="Arial" w:hAnsi="Arial"/>
          <w:sz w:val="18"/>
          <w:szCs w:val="18"/>
          <w:color w:val="auto"/>
        </w:rPr>
      </w:pPr>
    </w:p>
    <w:p>
      <w:pPr>
        <w:jc w:val="both"/>
        <w:ind w:firstLine="8"/>
        <w:spacing w:after="0"/>
        <w:tabs>
          <w:tab w:leader="none" w:pos="2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notwithstanding any terms or conditions of the Plan to the contrary and consistent with Section 4 above, in the event of termination of Awardee's Continuous Status under circumstances where Section 7 above does not apply (whether or not in breach of applicable laws), Awardee's right to receive SAs and vest under the Plan, if any, will terminate effective as of the date that Awardee is no longer in Continuous Status and will not be extended by any notice period mandated under applicable law. Awardee's right to receive Shares pursuant to the SAs after termination of Continuous Status, if any, will be calculated as of the date of termination of Awardee's Continuous Status. The senior corporate officer in charge of the Human Resources department shall have the exclusive discretion to determine when Awardee is no longer in Continuous Status for purposes of the award of SAs; and</w:t>
      </w:r>
    </w:p>
    <w:p>
      <w:pPr>
        <w:spacing w:after="0" w:line="130" w:lineRule="exact"/>
        <w:rPr>
          <w:rFonts w:ascii="Arial" w:cs="Arial" w:eastAsia="Arial" w:hAnsi="Arial"/>
          <w:sz w:val="18"/>
          <w:szCs w:val="18"/>
          <w:color w:val="auto"/>
        </w:rPr>
      </w:pPr>
    </w:p>
    <w:p>
      <w:pPr>
        <w:jc w:val="both"/>
        <w:ind w:firstLine="8"/>
        <w:spacing w:after="0" w:line="247" w:lineRule="auto"/>
        <w:tabs>
          <w:tab w:leader="none" w:pos="2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Awardee acknowledges and agrees that, regardless of whether Awardee is terminated with or without cause, notice or pre-termination procedure or whether Awardee asserts or prevails on a claim that Awardee’s Continuous Status was terminable only for cause or only with notice or pre-termination procedure, Awardee has no right to, and will not bring any legal claim or action for, (a) any damages for any portion of the SAs that have been vested and converted into Shares, or (b) termination of any unvested SAs under this Award Agreement.</w:t>
      </w:r>
    </w:p>
    <w:p>
      <w:pPr>
        <w:spacing w:after="0" w:line="120" w:lineRule="exact"/>
        <w:rPr>
          <w:sz w:val="20"/>
          <w:szCs w:val="20"/>
          <w:color w:val="auto"/>
        </w:rPr>
      </w:pPr>
    </w:p>
    <w:p>
      <w:pPr>
        <w:jc w:val="both"/>
        <w:ind w:firstLine="8"/>
        <w:spacing w:after="0"/>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Employment Right</w:t>
      </w:r>
      <w:r>
        <w:rPr>
          <w:rFonts w:ascii="Arial" w:cs="Arial" w:eastAsia="Arial" w:hAnsi="Arial"/>
          <w:sz w:val="18"/>
          <w:szCs w:val="18"/>
          <w:color w:val="auto"/>
        </w:rPr>
        <w:t>. Awardee acknowledges that neither this Award of SAs nor any provision of this Award Agreement, the Plan or the policies adopted pursuant to the Plan confers upon Awardee any right with respect to employment or other service or continuation of current employment or other service with the Company or with Awardee’s actual employer, or to employment or other service that is not terminable at will. Awardee further acknowledges and agrees that neither the Plan nor this Award of SAs makes Awardee's Continuous Status with the Company or Awardee’s actual employer for any minimum or fixed period, and that this employment is subject to the mutual consent of Awardee and the Company or Awardee’s actual employer, and may be terminated by either Awardee or the Company or Awardee’s actual employer at any time, for any reason or no reason, with or without cause or notice or any kind of pre- or post-termination warning, discipline or procedure.</w:t>
      </w:r>
    </w:p>
    <w:p>
      <w:pPr>
        <w:spacing w:after="0" w:line="126" w:lineRule="exact"/>
        <w:rPr>
          <w:rFonts w:ascii="Arial" w:cs="Arial" w:eastAsia="Arial" w:hAnsi="Arial"/>
          <w:sz w:val="18"/>
          <w:szCs w:val="18"/>
          <w:color w:val="auto"/>
        </w:rPr>
      </w:pPr>
    </w:p>
    <w:p>
      <w:pPr>
        <w:jc w:val="both"/>
        <w:ind w:firstLine="8"/>
        <w:spacing w:after="0" w:line="242"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Except as otherwise expressly provided in the Plan, the authority to manage and control the operation and administration of this Award Agreement shall be vested in the Committee (as that term is defined in the Plan), and the Committee shall have all powers and discretion with respect to this Award Agreement as it has with respect to the Plan. Any interpretation of the Award Agreement by the Committee and any decision made by the Committee with respect to the Award Agreement shall be final and binding on all parties. References to the Committee in this Award Agreement shall be read to include a reference to any delegate of the Committee acting within the scope of his or her delegation.</w:t>
      </w:r>
    </w:p>
    <w:p>
      <w:pPr>
        <w:spacing w:after="0" w:line="124" w:lineRule="exact"/>
        <w:rPr>
          <w:rFonts w:ascii="Arial" w:cs="Arial" w:eastAsia="Arial" w:hAnsi="Arial"/>
          <w:sz w:val="18"/>
          <w:szCs w:val="18"/>
          <w:color w:val="auto"/>
        </w:rPr>
      </w:pPr>
    </w:p>
    <w:p>
      <w:pPr>
        <w:jc w:val="both"/>
        <w:ind w:firstLine="8"/>
        <w:spacing w:after="0" w:line="247"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Notwithstanding anything in this Award Agreement to the contrary, the terms of this Award Agreement shall be subject to the terms of the Plan and, if applicable, the Executive Incentive Plan, and this Award Agreement is subject to all interpretations, amendments, rules and regulations promulgated by the Committee from time to time pursuant to the Plan and, if applicable, the Executive Incentive Plan.</w:t>
      </w:r>
    </w:p>
    <w:p>
      <w:pPr>
        <w:spacing w:after="0" w:line="119" w:lineRule="exact"/>
        <w:rPr>
          <w:rFonts w:ascii="Arial" w:cs="Arial" w:eastAsia="Arial" w:hAnsi="Arial"/>
          <w:sz w:val="18"/>
          <w:szCs w:val="18"/>
          <w:color w:val="auto"/>
        </w:rPr>
      </w:pPr>
    </w:p>
    <w:p>
      <w:pPr>
        <w:jc w:val="both"/>
        <w:ind w:firstLine="8"/>
        <w:spacing w:after="0" w:line="253"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written notices provided for in this Award Agreement that are sent by mail shall be deemed received three business days after mailing, but not later than the date of actual receipt. Notices shall be directed, if to Awardee, at Awardee’s address indicated by the Company’s records and, if to the Company, at the Company’s principal executive office.</w:t>
      </w:r>
    </w:p>
    <w:p>
      <w:pPr>
        <w:spacing w:after="0" w:line="114" w:lineRule="exact"/>
        <w:rPr>
          <w:rFonts w:ascii="Arial" w:cs="Arial" w:eastAsia="Arial" w:hAnsi="Arial"/>
          <w:sz w:val="18"/>
          <w:szCs w:val="18"/>
          <w:color w:val="auto"/>
        </w:rPr>
      </w:pPr>
    </w:p>
    <w:p>
      <w:pPr>
        <w:jc w:val="both"/>
        <w:ind w:firstLine="8"/>
        <w:spacing w:after="0" w:line="247"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Electronic Delivery/Acceptance</w:t>
      </w:r>
      <w:r>
        <w:rPr>
          <w:rFonts w:ascii="Arial" w:cs="Arial" w:eastAsia="Arial" w:hAnsi="Arial"/>
          <w:sz w:val="18"/>
          <w:szCs w:val="18"/>
          <w:color w:val="auto"/>
        </w:rPr>
        <w:t>. The Company may, in its sole discretion, decide to deliver any documents related to SAs awarded under the Plan or future SAs that may be awarded under the Plan by electronic means or request Awardee’s consent to participate in the Plan by electronic means. Awardee hereby consents to receive such documents by electronic delivery and agrees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9" w:name="page80"/>
    <w:bookmarkEnd w:id="79"/>
    <w:p>
      <w:pPr>
        <w:jc w:val="both"/>
        <w:ind w:firstLine="8"/>
        <w:spacing w:after="0" w:line="244" w:lineRule="auto"/>
        <w:tabs>
          <w:tab w:leader="none" w:pos="36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By Awardee's acceptance of this Award Agreement in the manner prescribed by the Company, Awardee acknowledges that Awardee has received and has read, understood and accepted all the terms, conditions and restrictions of this Award Agreement, the Plan, and the current policies referenced in Section 2(b) of this Award Agreement. Awardee understands and agrees that this Award Agreement is subject to all the terms, conditions, and restrictions stated in this Award Agreement and in the other documents referenced in the preceding sentence, as the latter may be amended from time to time in the Company’s sole discretion.</w:t>
      </w:r>
    </w:p>
    <w:p>
      <w:pPr>
        <w:spacing w:after="0" w:line="1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Awardee further acknowledges that Awardee must accept this Award Agreement in the manner prescribed by the Company no later than the earlier of the first anniversary of Award Date or the first vesting date specified in Section 2(a) above.</w:t>
      </w:r>
    </w:p>
    <w:p>
      <w:pPr>
        <w:spacing w:after="0" w:line="100" w:lineRule="exact"/>
        <w:rPr>
          <w:sz w:val="20"/>
          <w:szCs w:val="20"/>
          <w:color w:val="auto"/>
        </w:rPr>
      </w:pPr>
    </w:p>
    <w:p>
      <w:pPr>
        <w:jc w:val="both"/>
        <w:ind w:firstLine="8"/>
        <w:spacing w:after="0" w:line="253" w:lineRule="auto"/>
        <w:tabs>
          <w:tab w:leader="none" w:pos="31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 These SAs have been awarded pursuant to the Plan and accordingly this Award of SAs is subject to approval by an authorized Committee of the Board of Directors. If this Award of SAs has not already been approved, the Company agrees to submit this Award for approval as soon as practical. If this approval is not obtained, this Award is null and void.</w:t>
      </w:r>
    </w:p>
    <w:p>
      <w:pPr>
        <w:spacing w:after="0" w:line="114" w:lineRule="exact"/>
        <w:rPr>
          <w:rFonts w:ascii="Arial" w:cs="Arial" w:eastAsia="Arial" w:hAnsi="Arial"/>
          <w:sz w:val="18"/>
          <w:szCs w:val="18"/>
          <w:color w:val="auto"/>
        </w:rPr>
      </w:pPr>
    </w:p>
    <w:p>
      <w:pPr>
        <w:jc w:val="both"/>
        <w:ind w:firstLine="8"/>
        <w:spacing w:after="0" w:line="244" w:lineRule="auto"/>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shall be governed by the laws of the State of Washington, U.S.A., without regard to Washington laws that might cause other law to govern under applicable principles of conflicts of law. For purposes of litigating any dispute that arises under this Award of SAs or this Award Agreement, the parties hereby submit to and consent to the exclusive jurisdiction of the State of Washington, and agree that such litigation shall be conducted solely in the courts of King County, Washington, or the federal courts for the United States for the Western District of Washington, and no other courts, where this Award of SAs is made and/or to be performed.</w:t>
      </w:r>
    </w:p>
    <w:p>
      <w:pPr>
        <w:spacing w:after="0" w:line="122" w:lineRule="exact"/>
        <w:rPr>
          <w:rFonts w:ascii="Arial" w:cs="Arial" w:eastAsia="Arial" w:hAnsi="Arial"/>
          <w:sz w:val="18"/>
          <w:szCs w:val="18"/>
          <w:color w:val="auto"/>
        </w:rPr>
      </w:pPr>
    </w:p>
    <w:p>
      <w:pPr>
        <w:jc w:val="both"/>
        <w:ind w:firstLine="8"/>
        <w:spacing w:after="0" w:line="244" w:lineRule="auto"/>
        <w:tabs>
          <w:tab w:leader="none" w:pos="31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that could be deemed null and void shall first be construed, interpreted or revised retroactively to permit this Award Agreement to be construed so as to foster the intent of this Award Agreement and the Plan.</w:t>
      </w:r>
    </w:p>
    <w:p>
      <w:pPr>
        <w:spacing w:after="0" w:line="122" w:lineRule="exact"/>
        <w:rPr>
          <w:rFonts w:ascii="Arial" w:cs="Arial" w:eastAsia="Arial" w:hAnsi="Arial"/>
          <w:sz w:val="18"/>
          <w:szCs w:val="18"/>
          <w:color w:val="auto"/>
        </w:rPr>
      </w:pPr>
    </w:p>
    <w:p>
      <w:pPr>
        <w:ind w:firstLine="8"/>
        <w:spacing w:after="0" w:line="271" w:lineRule="auto"/>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Awardee acknowledges that a waiver by the Company of breach of any provision of this Award Agreement shall not operate or be construed as a waiver of any other provision of this Award Agreement, or of any subsequent breach by Awardee.</w:t>
      </w:r>
    </w:p>
    <w:p>
      <w:pPr>
        <w:spacing w:after="0" w:line="99" w:lineRule="exact"/>
        <w:rPr>
          <w:rFonts w:ascii="Arial" w:cs="Arial" w:eastAsia="Arial" w:hAnsi="Arial"/>
          <w:sz w:val="18"/>
          <w:szCs w:val="18"/>
          <w:color w:val="auto"/>
        </w:rPr>
      </w:pPr>
    </w:p>
    <w:p>
      <w:pPr>
        <w:jc w:val="both"/>
        <w:ind w:firstLine="8"/>
        <w:spacing w:after="0" w:line="242" w:lineRule="auto"/>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Complete Award Agreement and Amendment</w:t>
      </w:r>
      <w:r>
        <w:rPr>
          <w:rFonts w:ascii="Arial" w:cs="Arial" w:eastAsia="Arial" w:hAnsi="Arial"/>
          <w:sz w:val="18"/>
          <w:szCs w:val="18"/>
          <w:color w:val="auto"/>
        </w:rPr>
        <w:t>. This Award Agreement (including the policies referenced in Section 2(b) above) and the Plan constitute the entire agreement between Awardee and the Company regarding SAs. Any prior agreements, commitments or negotiations concerning these SAs are superseded. This Award Agreement may be amended only by written agreement of Awardee and the Company, without consent of any other person, provided that no consent is necessary to an amendment that in the reasonable judgment of the Committee confers a benefit on Awardee. Awardee agrees not to rely on any oral information regarding this Award of SAs or any written materials not identified in this Section 22.</w:t>
      </w:r>
    </w:p>
    <w:p>
      <w:pPr>
        <w:spacing w:after="0" w:line="124" w:lineRule="exact"/>
        <w:rPr>
          <w:rFonts w:ascii="Arial" w:cs="Arial" w:eastAsia="Arial" w:hAnsi="Arial"/>
          <w:sz w:val="18"/>
          <w:szCs w:val="18"/>
          <w:color w:val="auto"/>
        </w:rPr>
      </w:pPr>
    </w:p>
    <w:p>
      <w:pPr>
        <w:jc w:val="both"/>
        <w:ind w:firstLine="8"/>
        <w:spacing w:after="0" w:line="237" w:lineRule="auto"/>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Award Agreement shall be interpreted, operated, and administered in a manner so as not to subject Awardee to the assessment of additional taxes or interest under Code section 409A, and this Award Agreement shall be amended as the Company, in its sole discretion, determines is necessary and appropriate to avoid the application of any such taxes or interest. Payments under this Award Agreement may be made within any period as permitted in compliance with Section 409A. In addition, notwithstanding any provision herein to the contrary, in the event that following the Award Date, the Committee (including any delegate thereof) determines that it may be necessary or appropriate to do so, the Committee may adopt such amendments to the Plan and/or this Award Agreement or adopt other policies and procedures (including amendments, policies and procedures with retroactive effect), or take any other actions, that the Committee determines are necessary or appropriate to (a) exempt the Plan and/or the SAs from the application of Section 409A and/or preserve the intended tax treatment of the benefits provided with respect to this Award, or (b) comply with the requirements of Section 409A; provided, however, that this paragraph shall not create an obligation on the part of the Committee to adopt any such amendment, policy or procedure or take any such other action. No payment hereunder shall be made to Awardee during the six (6)-month period following Awardee’s “separation from service” (within the meaning of Section 409A) to the extent that the Company determines that paying such amount at the time set forth herein would be a prohibited distribution under Section 409A(a)(2)(B)(i). If the payment of any such amounts is delayed as a result of the previous sentence, then within thirty (30) days following the end of such six (6)-month period (or, if earlier, Awardee’s death), the Company shall pay to Awardee (or to Awardee’s legal representative or estate) the cumulative amounts that would have otherwise been payable to Awardee during such period, without interest. The Committee makes no representation that any of the SAs or amounts received under this Award Agreement will be exempt from or comply with Section 409A and makes no undertaking to prevent Section 409A from applying to any such SAs or amounts. An Awardee will be solely responsible for the payment of any taxes and penalties incurred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0" w:name="page81"/>
    <w:bookmarkEnd w:id="80"/>
    <w:p>
      <w:pPr>
        <w:jc w:val="both"/>
        <w:ind w:firstLine="8"/>
        <w:spacing w:after="0" w:line="241"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Compensation Recovery</w:t>
      </w:r>
      <w:r>
        <w:rPr>
          <w:rFonts w:ascii="Arial" w:cs="Arial" w:eastAsia="Arial" w:hAnsi="Arial"/>
          <w:sz w:val="18"/>
          <w:szCs w:val="18"/>
          <w:color w:val="auto"/>
        </w:rPr>
        <w:t>. In accepting the Award, Awardee acknowledges, understands and agrees that the SAs, and other incentive or performance-based compensation Awardee receives or has received from the Company, are subject to (a) the Company’s Executive Compensation Recovery Policy (as may be amended from time to time), (b) any other recoupment policies that the Company adopts, and/or</w:t>
      </w:r>
    </w:p>
    <w:p>
      <w:pPr>
        <w:spacing w:after="0" w:line="1"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18"/>
          <w:szCs w:val="18"/>
          <w:color w:val="auto"/>
        </w:rPr>
        <w:t>(c) any recoupment policy prescribed by applicable law, in each case, to the extent Awardee is covered by such policies or law. Further, any clawback, recovery or recoupment under this section can be made by withholding compensation otherwise due to Awardee, by cancelling vested but unpaid SAs, by reacquiring any previously issued Shares or other cash or property, or by such other means determined appropriate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10.3</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MICROSOFT CORPORATION</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EXECUTIVE INCENTIVE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Microsoft Corporation Executive Incentive Plan is intended to provide incentive compensation to executive officers of the Company and those other senior officers that the Committee has determined should participate in the Plan. The Plan replaces the Microsoft Corporation Executive Incentive Plan effective for fiscal year 2019 and later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terms used in this Plan include the feminine as well as the masculine gender and the plural as well as the singular, as the context in which they are used requires. The following terms, unless the context requires otherwise, are defined as follows:</w:t>
      </w:r>
    </w:p>
    <w:p>
      <w:pPr>
        <w:spacing w:after="0" w:line="127" w:lineRule="exact"/>
        <w:rPr>
          <w:sz w:val="20"/>
          <w:szCs w:val="20"/>
          <w:color w:val="auto"/>
        </w:rPr>
      </w:pPr>
    </w:p>
    <w:p>
      <w:pPr>
        <w:jc w:val="both"/>
        <w:ind w:left="580" w:right="20" w:hanging="566"/>
        <w:spacing w:after="0" w:line="271" w:lineRule="auto"/>
        <w:tabs>
          <w:tab w:leader="none" w:pos="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incentive compensation awarded by the Committee under Section 4.1. Awards may be in the form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and/or equity-based awards issued under the Stock Plan.</w:t>
      </w:r>
    </w:p>
    <w:p>
      <w:pPr>
        <w:spacing w:after="0" w:line="10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Internal Revenue Code of 1986, as amended.</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 xml:space="preserve">“Committee” </w:t>
      </w:r>
      <w:r>
        <w:rPr>
          <w:rFonts w:ascii="Arial" w:cs="Arial" w:eastAsia="Arial" w:hAnsi="Arial"/>
          <w:sz w:val="17"/>
          <w:szCs w:val="17"/>
          <w:color w:val="auto"/>
        </w:rPr>
        <w:t>means the Compensation Committee of the Company’s Board of Directors.</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Microsoft Corporation.</w:t>
      </w:r>
    </w:p>
    <w:p>
      <w:pPr>
        <w:spacing w:after="0" w:line="158" w:lineRule="exact"/>
        <w:rPr>
          <w:sz w:val="20"/>
          <w:szCs w:val="20"/>
          <w:color w:val="auto"/>
        </w:rPr>
      </w:pPr>
    </w:p>
    <w:p>
      <w:pPr>
        <w:jc w:val="both"/>
        <w:ind w:left="580" w:right="20" w:hanging="566"/>
        <w:spacing w:after="0" w:line="271" w:lineRule="auto"/>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 xml:space="preserve">“Deferred Compensation Plan” </w:t>
      </w:r>
      <w:r>
        <w:rPr>
          <w:rFonts w:ascii="Arial" w:cs="Arial" w:eastAsia="Arial" w:hAnsi="Arial"/>
          <w:sz w:val="18"/>
          <w:szCs w:val="18"/>
          <w:color w:val="auto"/>
        </w:rPr>
        <w:t>means the Microsoft Corporation Deferred Compensation Plan, or a similar or successor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arrangement for the deferral of compensation specified by the Committee.</w:t>
      </w:r>
    </w:p>
    <w:p>
      <w:pPr>
        <w:spacing w:after="0" w:line="10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 xml:space="preserve">“Participant” </w:t>
      </w:r>
      <w:r>
        <w:rPr>
          <w:rFonts w:ascii="Arial" w:cs="Arial" w:eastAsia="Arial" w:hAnsi="Arial"/>
          <w:sz w:val="17"/>
          <w:szCs w:val="17"/>
          <w:color w:val="auto"/>
        </w:rPr>
        <w:t>means an employee who receives an award under the Plan, as described in Section 3 of the Plan.</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 xml:space="preserve">“Plan” </w:t>
      </w:r>
      <w:r>
        <w:rPr>
          <w:rFonts w:ascii="Arial" w:cs="Arial" w:eastAsia="Arial" w:hAnsi="Arial"/>
          <w:sz w:val="17"/>
          <w:szCs w:val="17"/>
          <w:color w:val="auto"/>
        </w:rPr>
        <w:t>means the Microsoft Corporation Executive Incentive Plan, as it may be amended from time to time.</w:t>
      </w:r>
    </w:p>
    <w:p>
      <w:pPr>
        <w:spacing w:after="0" w:line="158" w:lineRule="exact"/>
        <w:rPr>
          <w:sz w:val="20"/>
          <w:szCs w:val="20"/>
          <w:color w:val="auto"/>
        </w:rPr>
      </w:pPr>
    </w:p>
    <w:p>
      <w:pPr>
        <w:jc w:val="both"/>
        <w:ind w:left="580" w:right="20" w:hanging="566"/>
        <w:spacing w:after="0" w:line="271" w:lineRule="auto"/>
        <w:tabs>
          <w:tab w:leader="none" w:pos="5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 xml:space="preserve">“Stock Plan” </w:t>
      </w:r>
      <w:r>
        <w:rPr>
          <w:rFonts w:ascii="Arial" w:cs="Arial" w:eastAsia="Arial" w:hAnsi="Arial"/>
          <w:sz w:val="18"/>
          <w:szCs w:val="18"/>
          <w:color w:val="auto"/>
        </w:rPr>
        <w:t>means the Company’s 2026 Stock Plan, 2017 Stock Plan or, for French-qualified stock awards, the Company’s 2001</w:t>
      </w:r>
      <w:r>
        <w:rPr>
          <w:rFonts w:ascii="Arial" w:cs="Arial" w:eastAsia="Arial" w:hAnsi="Arial"/>
          <w:sz w:val="18"/>
          <w:szCs w:val="18"/>
          <w:b w:val="1"/>
          <w:bCs w:val="1"/>
          <w:color w:val="auto"/>
        </w:rPr>
        <w:t xml:space="preserve"> </w:t>
      </w:r>
      <w:r>
        <w:rPr>
          <w:rFonts w:ascii="Arial" w:cs="Arial" w:eastAsia="Arial" w:hAnsi="Arial"/>
          <w:sz w:val="18"/>
          <w:szCs w:val="18"/>
          <w:color w:val="auto"/>
        </w:rPr>
        <w:t>Stock Plan, or a similar or successor plan or other arrangement of the issuance of equity-based awards specified by the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 and Participation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Executive officers of the Company are eligible to receive Awards under the Plan. In addition, other senior officers of the Company may be designated by the Committee to receive Awards under the Plan. Any person who receives an Award under Section 4.1 shall be a Participant in the Plan and shall continue to be a Participant until any amounts due under any Awards he may receive have been paid.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Incentive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Grants of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Awards under the Plan may be granted for a fiscal year in the form of:</w:t>
      </w:r>
    </w:p>
    <w:p>
      <w:pPr>
        <w:spacing w:after="0" w:line="185" w:lineRule="exact"/>
        <w:rPr>
          <w:sz w:val="20"/>
          <w:szCs w:val="20"/>
          <w:color w:val="auto"/>
        </w:rPr>
      </w:pPr>
    </w:p>
    <w:p>
      <w:pPr>
        <w:ind w:left="680" w:right="20" w:hanging="335"/>
        <w:spacing w:after="0" w:line="271" w:lineRule="auto"/>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(“Cash Incentives”), with payouts based on the Participant’s target Cash Incentive percentage, and on qualitative and/or quantitative measures;</w:t>
      </w:r>
    </w:p>
    <w:p>
      <w:pPr>
        <w:spacing w:after="0" w:line="99" w:lineRule="exact"/>
        <w:rPr>
          <w:rFonts w:ascii="Arial" w:cs="Arial" w:eastAsia="Arial" w:hAnsi="Arial"/>
          <w:sz w:val="18"/>
          <w:szCs w:val="18"/>
          <w:color w:val="auto"/>
        </w:rPr>
      </w:pPr>
    </w:p>
    <w:p>
      <w:pPr>
        <w:ind w:left="680" w:hanging="335"/>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Grants of stock awards (“Stock Awards”) under the Stock Plan; and</w:t>
      </w:r>
    </w:p>
    <w:p>
      <w:pPr>
        <w:spacing w:after="0" w:line="157" w:lineRule="exact"/>
        <w:rPr>
          <w:rFonts w:ascii="Arial" w:cs="Arial" w:eastAsia="Arial" w:hAnsi="Arial"/>
          <w:sz w:val="18"/>
          <w:szCs w:val="18"/>
          <w:color w:val="auto"/>
        </w:rPr>
      </w:pPr>
    </w:p>
    <w:p>
      <w:pPr>
        <w:ind w:left="680" w:right="20" w:hanging="335"/>
        <w:spacing w:after="0" w:line="271" w:lineRule="auto"/>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Grants of performance stock awards under the Stock Plan (“Performance Stock Awards”), with payouts determined under a pre-established formula based on the Participant’s target Performance Stock Award.</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Target Awards and actual Awards will be approved by the Compensation Committee or, for the Chief Executive Officer, the independent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4.2 Payment of the Award.</w:t>
      </w:r>
    </w:p>
    <w:p>
      <w:pPr>
        <w:spacing w:after="0" w:line="185" w:lineRule="exact"/>
        <w:rPr>
          <w:sz w:val="20"/>
          <w:szCs w:val="20"/>
          <w:color w:val="auto"/>
        </w:rPr>
      </w:pPr>
    </w:p>
    <w:p>
      <w:pPr>
        <w:jc w:val="both"/>
        <w:ind w:left="580" w:hanging="572"/>
        <w:spacing w:after="0" w:line="253"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Unless otherwise determined by the Committee, payment of a Cash Incentive for performance during a Company fiscal year will be made by the end of the fiscal quarter following the end of the fiscal year. Payment under a Stock Award will be made in accordance with the applicable award agreement.</w:t>
      </w:r>
    </w:p>
    <w:p>
      <w:pPr>
        <w:spacing w:after="0" w:line="114" w:lineRule="exact"/>
        <w:rPr>
          <w:rFonts w:ascii="Arial" w:cs="Arial" w:eastAsia="Arial" w:hAnsi="Arial"/>
          <w:sz w:val="18"/>
          <w:szCs w:val="18"/>
          <w:color w:val="auto"/>
        </w:rPr>
      </w:pPr>
    </w:p>
    <w:p>
      <w:pPr>
        <w:ind w:left="580" w:hanging="572"/>
        <w:spacing w:after="0" w:line="271"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permitted by the Committee, a Participant may, in accordance with section 409A of the Code, voluntarily defer receipt of an Award in the form of cash under the terms of the Deferred Compensation Plan.</w:t>
      </w:r>
    </w:p>
    <w:p>
      <w:pPr>
        <w:spacing w:after="0" w:line="99" w:lineRule="exact"/>
        <w:rPr>
          <w:rFonts w:ascii="Arial" w:cs="Arial" w:eastAsia="Arial" w:hAnsi="Arial"/>
          <w:sz w:val="18"/>
          <w:szCs w:val="18"/>
          <w:color w:val="auto"/>
        </w:rPr>
      </w:pPr>
    </w:p>
    <w:p>
      <w:pPr>
        <w:jc w:val="both"/>
        <w:ind w:left="580" w:hanging="572"/>
        <w:spacing w:after="0" w:line="253"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shall have the right to deduct from any Award payable in cash any applicable Federal, state and local income and employment taxes and any other amounts that the Company is required to deduct. Deductions from an Award in the form of an equity compensation award shall be governed by the Company’s Stock Plan and the applicable grant documentation.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Administration</w:t>
      </w:r>
    </w:p>
    <w:p>
      <w:pPr>
        <w:spacing w:after="0" w:line="185"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 xml:space="preserve">General Administration. </w:t>
      </w:r>
      <w:r>
        <w:rPr>
          <w:rFonts w:ascii="Arial" w:cs="Arial" w:eastAsia="Arial" w:hAnsi="Arial"/>
          <w:sz w:val="18"/>
          <w:szCs w:val="18"/>
          <w:color w:val="auto"/>
        </w:rPr>
        <w:t>The Plan is to be administered by the Committee. Subject to the terms and conditions of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is authorized and empowered in its sole discretion to select Participants and to make Awards in such amounts and upon such terms and conditions as it shall determine.</w:t>
      </w:r>
    </w:p>
    <w:p>
      <w:pPr>
        <w:spacing w:after="0" w:line="115"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 xml:space="preserve">Administrative Rules. </w:t>
      </w:r>
      <w:r>
        <w:rPr>
          <w:rFonts w:ascii="Arial" w:cs="Arial" w:eastAsia="Arial" w:hAnsi="Arial"/>
          <w:sz w:val="18"/>
          <w:szCs w:val="18"/>
          <w:color w:val="auto"/>
        </w:rPr>
        <w:t>The Committee shall have full power and authority to adopt, amend and rescind administrative guidelines,</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pertaining to this Plan and to interpret the Plan and rule on any questions respecting any of its provisions, terms and conditions.</w:t>
      </w:r>
    </w:p>
    <w:p>
      <w:pPr>
        <w:spacing w:after="0" w:line="115" w:lineRule="exact"/>
        <w:rPr>
          <w:sz w:val="20"/>
          <w:szCs w:val="20"/>
          <w:color w:val="auto"/>
        </w:rPr>
      </w:pPr>
    </w:p>
    <w:p>
      <w:pPr>
        <w:jc w:val="both"/>
        <w:ind w:left="580" w:hanging="566"/>
        <w:spacing w:after="0" w:line="271" w:lineRule="auto"/>
        <w:tabs>
          <w:tab w:leader="none" w:pos="5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Decisions Binding</w:t>
      </w:r>
      <w:r>
        <w:rPr>
          <w:rFonts w:ascii="Arial" w:cs="Arial" w:eastAsia="Arial" w:hAnsi="Arial"/>
          <w:sz w:val="18"/>
          <w:szCs w:val="18"/>
          <w:color w:val="auto"/>
        </w:rPr>
        <w:t>. All decisions of the Committee concerning this Plan shall be binding on the Company and its subsidiaries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boards of directors, and on all Participants and other persons claiming rights under the Plan.</w:t>
      </w:r>
    </w:p>
    <w:p>
      <w:pPr>
        <w:spacing w:after="0" w:line="100" w:lineRule="exact"/>
        <w:rPr>
          <w:sz w:val="20"/>
          <w:szCs w:val="20"/>
          <w:color w:val="auto"/>
        </w:rPr>
      </w:pPr>
    </w:p>
    <w:p>
      <w:pPr>
        <w:jc w:val="both"/>
        <w:ind w:left="580" w:hanging="566"/>
        <w:spacing w:after="0" w:line="271" w:lineRule="auto"/>
        <w:tabs>
          <w:tab w:leader="none" w:pos="5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color w:val="auto"/>
        </w:rPr>
        <w:t>Recovery Policy</w:t>
      </w:r>
      <w:r>
        <w:rPr>
          <w:rFonts w:ascii="Arial" w:cs="Arial" w:eastAsia="Arial" w:hAnsi="Arial"/>
          <w:sz w:val="18"/>
          <w:szCs w:val="18"/>
          <w:color w:val="auto"/>
        </w:rPr>
        <w:t>. Amounts paid under the Plan shall be subject to recovery by the Company under its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policy as in effect from time to time.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Amendment and Termination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Plan may be amended or terminated by the Committee at any time, provided that the amendment or termination of the Plan will not adversely affect the rights of a Participant under an award granted under the Plan.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Miscellaneous</w:t>
      </w:r>
    </w:p>
    <w:p>
      <w:pPr>
        <w:spacing w:after="0" w:line="18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 xml:space="preserve">Duration of the Plan. </w:t>
      </w:r>
      <w:r>
        <w:rPr>
          <w:rFonts w:ascii="Arial" w:cs="Arial" w:eastAsia="Arial" w:hAnsi="Arial"/>
          <w:sz w:val="17"/>
          <w:szCs w:val="17"/>
          <w:color w:val="auto"/>
        </w:rPr>
        <w:t>The Plan shall remain in effect until all payments under outstanding Plan awards have been made.</w:t>
      </w:r>
    </w:p>
    <w:p>
      <w:pPr>
        <w:spacing w:after="0" w:line="158" w:lineRule="exact"/>
        <w:rPr>
          <w:sz w:val="20"/>
          <w:szCs w:val="20"/>
          <w:color w:val="auto"/>
        </w:rPr>
      </w:pPr>
    </w:p>
    <w:p>
      <w:pPr>
        <w:jc w:val="both"/>
        <w:ind w:left="580" w:hanging="566"/>
        <w:spacing w:after="0" w:line="271" w:lineRule="auto"/>
        <w:tabs>
          <w:tab w:leader="none" w:pos="5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 xml:space="preserve">Awards Not Assignable. </w:t>
      </w:r>
      <w:r>
        <w:rPr>
          <w:rFonts w:ascii="Arial" w:cs="Arial" w:eastAsia="Arial" w:hAnsi="Arial"/>
          <w:sz w:val="18"/>
          <w:szCs w:val="18"/>
          <w:color w:val="auto"/>
        </w:rPr>
        <w:t>No Award, or any right thereto, shall be assignable or transferable by a Participant except by will or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Any attempted assignment or alienation shall be void and of no force or effect.</w:t>
      </w:r>
    </w:p>
    <w:p>
      <w:pPr>
        <w:spacing w:after="0" w:line="100"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color w:val="auto"/>
        </w:rPr>
        <w:t xml:space="preserve">Participant Rights. </w:t>
      </w:r>
      <w:r>
        <w:rPr>
          <w:rFonts w:ascii="Arial" w:cs="Arial" w:eastAsia="Arial" w:hAnsi="Arial"/>
          <w:sz w:val="18"/>
          <w:szCs w:val="18"/>
          <w:color w:val="auto"/>
        </w:rPr>
        <w:t>The right of any Participant to receive any Award payments under the provisions of the Plan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claim against the general assets of the Company. The Plan shall not create, nor be construed in any manner as having created, any right by a Participant to any Award for any period because of a Participant’s participation in the Plan for any prior period.</w:t>
      </w:r>
    </w:p>
    <w:p>
      <w:pPr>
        <w:spacing w:after="0" w:line="115" w:lineRule="exact"/>
        <w:rPr>
          <w:sz w:val="20"/>
          <w:szCs w:val="20"/>
          <w:color w:val="auto"/>
        </w:rPr>
      </w:pPr>
    </w:p>
    <w:p>
      <w:pPr>
        <w:jc w:val="both"/>
        <w:ind w:left="580" w:hanging="566"/>
        <w:spacing w:after="0" w:line="242" w:lineRule="auto"/>
        <w:tabs>
          <w:tab w:leader="none" w:pos="5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b w:val="1"/>
          <w:bCs w:val="1"/>
          <w:color w:val="auto"/>
        </w:rPr>
        <w:t>Employment at Will</w:t>
      </w:r>
      <w:r>
        <w:rPr>
          <w:rFonts w:ascii="Arial" w:cs="Arial" w:eastAsia="Arial" w:hAnsi="Arial"/>
          <w:sz w:val="18"/>
          <w:szCs w:val="18"/>
          <w:color w:val="auto"/>
        </w:rPr>
        <w:t>. Neither this Plan nor any action or communication under this Plan: (1) gives any employee any right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employment or continuation of current employment with the Company or its subsidiaries or to employment that is not terminable at will, or (2) sets any employee’s employment with the Company or its subsidiaries for any minimum or fixed period. Employment by the Company or a Company subsidiary may be terminated by either the employee or the employer at any time, for any reason or no reason, with or without cause, and with or without notice or any kind of pre- or post-termination warning, discipline or procedure. This Section 7.4 applies to employment in the United States.</w:t>
      </w:r>
    </w:p>
    <w:p>
      <w:pPr>
        <w:spacing w:after="0" w:line="125"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Successors</w:t>
      </w:r>
      <w:r>
        <w:rPr>
          <w:rFonts w:ascii="Arial" w:cs="Arial" w:eastAsia="Arial" w:hAnsi="Arial"/>
          <w:sz w:val="18"/>
          <w:szCs w:val="18"/>
          <w:color w:val="auto"/>
        </w:rPr>
        <w:t>. Any successor (whether direct or indirect, by purchase, merger, consolidation or otherwise) to all or substantially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business or assets, shall assume the Company’s liabilities under this Plan and perform any duties and responsibilities in the same manner and to the same extent that the Company would be required to perform if no such succession had taken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3" w:name="page84"/>
    <w:bookmarkEnd w:id="83"/>
    <w:p>
      <w:pPr>
        <w:spacing w:after="0"/>
        <w:tabs>
          <w:tab w:leader="none" w:pos="5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7"/>
          <w:szCs w:val="17"/>
          <w:b w:val="1"/>
          <w:bCs w:val="1"/>
          <w:color w:val="auto"/>
        </w:rPr>
        <w:t xml:space="preserve">References. </w:t>
      </w:r>
      <w:r>
        <w:rPr>
          <w:rFonts w:ascii="Arial" w:cs="Arial" w:eastAsia="Arial" w:hAnsi="Arial"/>
          <w:sz w:val="17"/>
          <w:szCs w:val="17"/>
          <w:color w:val="auto"/>
        </w:rPr>
        <w:t>All statutory and regulatory references in this Plan include successor provisions.</w:t>
      </w:r>
    </w:p>
    <w:p>
      <w:pPr>
        <w:spacing w:after="0" w:line="158" w:lineRule="exact"/>
        <w:rPr>
          <w:sz w:val="20"/>
          <w:szCs w:val="20"/>
          <w:color w:val="auto"/>
        </w:rPr>
      </w:pPr>
    </w:p>
    <w:p>
      <w:pPr>
        <w:jc w:val="right"/>
        <w:spacing w:after="0" w:line="271" w:lineRule="auto"/>
        <w:rPr>
          <w:sz w:val="20"/>
          <w:szCs w:val="20"/>
          <w:color w:val="auto"/>
        </w:rPr>
      </w:pPr>
      <w:r>
        <w:rPr>
          <w:rFonts w:ascii="Arial" w:cs="Arial" w:eastAsia="Arial" w:hAnsi="Arial"/>
          <w:sz w:val="18"/>
          <w:szCs w:val="18"/>
          <w:b w:val="1"/>
          <w:bCs w:val="1"/>
          <w:color w:val="auto"/>
        </w:rPr>
        <w:t xml:space="preserve">7.7   Severability. </w:t>
      </w:r>
      <w:r>
        <w:rPr>
          <w:rFonts w:ascii="Arial" w:cs="Arial" w:eastAsia="Arial" w:hAnsi="Arial"/>
          <w:sz w:val="18"/>
          <w:szCs w:val="18"/>
          <w:color w:val="auto"/>
        </w:rPr>
        <w:t>If any provision of the Plan is held invalid or illegal for any reason, any illegality or invalidity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parts of the Plan, but the Plan shall be construed and enforced as if the illegal or invalid provision had never been inserted.</w:t>
      </w:r>
    </w:p>
    <w:p>
      <w:pPr>
        <w:spacing w:after="0" w:line="100" w:lineRule="exact"/>
        <w:rPr>
          <w:sz w:val="20"/>
          <w:szCs w:val="20"/>
          <w:color w:val="auto"/>
        </w:rPr>
      </w:pPr>
    </w:p>
    <w:p>
      <w:pPr>
        <w:ind w:left="580" w:hanging="566"/>
        <w:spacing w:after="0" w:line="271" w:lineRule="auto"/>
        <w:tabs>
          <w:tab w:leader="none" w:pos="5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b w:val="1"/>
          <w:bCs w:val="1"/>
          <w:color w:val="auto"/>
        </w:rPr>
        <w:t xml:space="preserve">Applicable Law and Venue. </w:t>
      </w:r>
      <w:r>
        <w:rPr>
          <w:rFonts w:ascii="Arial" w:cs="Arial" w:eastAsia="Arial" w:hAnsi="Arial"/>
          <w:sz w:val="18"/>
          <w:szCs w:val="18"/>
          <w:color w:val="auto"/>
        </w:rPr>
        <w:t>The Plan shall be governed by the laws of the State of Washington. If the Company or any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beneficiary) initiates litigation related to this Plan, the venue for such action will be in King County,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4" w:name="page85"/>
    <w:bookmarkEnd w:id="84"/>
    <w:p>
      <w:pPr>
        <w:ind w:left="10260"/>
        <w:spacing w:after="0"/>
        <w:rPr>
          <w:sz w:val="20"/>
          <w:szCs w:val="20"/>
          <w:color w:val="auto"/>
        </w:rPr>
      </w:pPr>
      <w:r>
        <w:rPr>
          <w:rFonts w:ascii="Arial" w:cs="Arial" w:eastAsia="Arial" w:hAnsi="Arial"/>
          <w:sz w:val="18"/>
          <w:szCs w:val="18"/>
          <w:color w:val="auto"/>
        </w:rPr>
        <w:t>Exhibit 10.4</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MICROSOFT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DEFERRED COMPENSATION PLAN FOR</w:t>
      </w:r>
    </w:p>
    <w:p>
      <w:pPr>
        <w:jc w:val="center"/>
        <w:ind w:right="40"/>
        <w:spacing w:after="0" w:line="234" w:lineRule="auto"/>
        <w:rPr>
          <w:sz w:val="20"/>
          <w:szCs w:val="20"/>
          <w:color w:val="auto"/>
        </w:rPr>
      </w:pPr>
      <w:r>
        <w:rPr>
          <w:rFonts w:ascii="Arial" w:cs="Arial" w:eastAsia="Arial" w:hAnsi="Arial"/>
          <w:sz w:val="18"/>
          <w:szCs w:val="18"/>
          <w:b w:val="1"/>
          <w:bCs w:val="1"/>
          <w:color w:val="auto"/>
        </w:rPr>
        <w:t>NON-EMPLOYEE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as of March 1, 2026)</w:t>
      </w:r>
    </w:p>
    <w:p>
      <w:pPr>
        <w:spacing w:after="0" w:line="140"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purpose of the Microsoft Corporation Deferred Compensation Plan for Non-Employee Directors (the "Plan") is to further the long-term growth of Microsoft Corporation (the "Company") by allowing the non-employee directors of the Company the opportunity to defer certain compensation, keeping their financial interests aligned with the Company, and providing them with a long-term incentive to continue providing services to the Company.</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Plan is intended to comply with section 409A of the Internal Revenue Code of 1986, as amended (the "Code") and official guidance issued thereunder. Notwithstanding any other provision of this Plan, this Plan shall be interpreted, operated and administered in a manner consistent with this intention.</w:t>
      </w:r>
    </w:p>
    <w:p>
      <w:pPr>
        <w:spacing w:after="0" w:line="115"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Effective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Plan is effective January 16, 2006. This restatement of the Plan is effective as of March 1, 2026.</w:t>
      </w:r>
    </w:p>
    <w:p>
      <w:pPr>
        <w:spacing w:after="0" w:line="158" w:lineRule="exact"/>
        <w:rPr>
          <w:sz w:val="20"/>
          <w:szCs w:val="20"/>
          <w:color w:val="auto"/>
        </w:rPr>
      </w:pPr>
    </w:p>
    <w:p>
      <w:pPr>
        <w:ind w:left="200" w:hanging="192"/>
        <w:spacing w:after="0"/>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terms defined above, the following terms shall have the meanings indicated below.</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xml:space="preserve"> - means a bookkeeping account established by the Company for each Participant electing to defer Eligible Compensation under the Plan, which may include sub-accounts for amounts payable at different times and/or payable in different forms.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 means any corporation or other entity that is treated as a single employer with the Company under Code section 414.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xml:space="preserve"> - means the Board of Directors of Microsoft Corporation.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Cash Retainer</w:t>
      </w:r>
      <w:r>
        <w:rPr>
          <w:rFonts w:ascii="Arial" w:cs="Arial" w:eastAsia="Arial" w:hAnsi="Arial"/>
          <w:sz w:val="18"/>
          <w:szCs w:val="18"/>
          <w:color w:val="auto"/>
        </w:rPr>
        <w:t xml:space="preserve"> - means the amount of annual retainer payable in cash for service on the Board, including any annual retainer payable for service as a chair or member of any Board committee.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 means the Common Stock, $0.00000625 par value,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xml:space="preserve"> - means a member of the Board who is not an officer or employee of the Company or any Affiliate.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Eligible Compensation</w:t>
      </w:r>
      <w:r>
        <w:rPr>
          <w:rFonts w:ascii="Arial" w:cs="Arial" w:eastAsia="Arial" w:hAnsi="Arial"/>
          <w:sz w:val="18"/>
          <w:szCs w:val="18"/>
          <w:color w:val="auto"/>
        </w:rPr>
        <w:t xml:space="preserve"> - means both the Cash Retainer and Equity Retainer. For the avoidance of doubt, Eligible Compensation earned in a Plan Year refers to the Cash Retainer and Equity Retainer earned in the four quarterly cycles beginning in the applicable Plan Year measured from the date of the annual shareholders meeting in the immediately prior Plan Year.</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u w:val="single" w:color="auto"/>
          <w:color w:val="auto"/>
        </w:rPr>
        <w:t>Equity Retainer</w:t>
      </w:r>
      <w:r>
        <w:rPr>
          <w:rFonts w:ascii="Arial" w:cs="Arial" w:eastAsia="Arial" w:hAnsi="Arial"/>
          <w:sz w:val="18"/>
          <w:szCs w:val="18"/>
          <w:color w:val="auto"/>
        </w:rPr>
        <w:t xml:space="preserve"> - means the amount of annual retainer payable in Common Stock for service on the Board, including any annual retainer payable for service as a chair or member of any Board committee.</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u w:val="single" w:color="auto"/>
          <w:color w:val="auto"/>
        </w:rPr>
        <w:t>New Director</w:t>
      </w:r>
      <w:r>
        <w:rPr>
          <w:rFonts w:ascii="Arial" w:cs="Arial" w:eastAsia="Arial" w:hAnsi="Arial"/>
          <w:sz w:val="18"/>
          <w:szCs w:val="18"/>
          <w:color w:val="auto"/>
        </w:rPr>
        <w:t xml:space="preserve"> - means a Director who was not eligible to participate in the Plan (or any other plan sponsored by the Company or any Affiliate, which may be aggregated with the Plan under Code section 409A) prior to becoming a Director; provided, all Directors providing services to the Company as of the Effective Date shall be deemed to be New Directors for purposes of making an initial election pursuant to Section 5.1(b)(ii) with respect to Eligible Compensation earned in 2006.</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Open Enrollment</w:t>
      </w:r>
      <w:r>
        <w:rPr>
          <w:rFonts w:ascii="Arial" w:cs="Arial" w:eastAsia="Arial" w:hAnsi="Arial"/>
          <w:sz w:val="18"/>
          <w:szCs w:val="18"/>
          <w:color w:val="auto"/>
        </w:rPr>
        <w:t xml:space="preserve"> - means the period during each Plan Year when Directors may elect to make, terminate or change an initial election to defer amounts under the Plan. Open Enrollment shall normally be held during the month of December of each Plan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 means a Director who elects to defer Eligible Compensation under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Administrator</w:t>
      </w:r>
      <w:r>
        <w:rPr>
          <w:rFonts w:ascii="Arial" w:cs="Arial" w:eastAsia="Arial" w:hAnsi="Arial"/>
          <w:sz w:val="18"/>
          <w:szCs w:val="18"/>
          <w:color w:val="auto"/>
        </w:rPr>
        <w:t xml:space="preserve"> - means the Compensation Committee of the Board, or its delegate or delegates appointed to administer the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xml:space="preserve"> - means the 12-month period from January 1 to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line="271" w:lineRule="auto"/>
        <w:rPr>
          <w:sz w:val="20"/>
          <w:szCs w:val="20"/>
          <w:color w:val="auto"/>
        </w:rPr>
      </w:pPr>
      <w:r>
        <w:rPr>
          <w:rFonts w:ascii="Arial" w:cs="Arial" w:eastAsia="Arial" w:hAnsi="Arial"/>
          <w:sz w:val="18"/>
          <w:szCs w:val="18"/>
          <w:u w:val="single" w:color="auto"/>
          <w:color w:val="auto"/>
        </w:rPr>
        <w:t>Separation from Service or Separates from Service</w:t>
      </w:r>
      <w:r>
        <w:rPr>
          <w:rFonts w:ascii="Arial" w:cs="Arial" w:eastAsia="Arial" w:hAnsi="Arial"/>
          <w:sz w:val="18"/>
          <w:szCs w:val="18"/>
          <w:color w:val="auto"/>
        </w:rPr>
        <w:t xml:space="preserve"> - means a "separation from service" with the Company and its Affiliates within the meaning of Code section 409A.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HR Officer</w:t>
      </w:r>
      <w:r>
        <w:rPr>
          <w:rFonts w:ascii="Arial" w:cs="Arial" w:eastAsia="Arial" w:hAnsi="Arial"/>
          <w:sz w:val="18"/>
          <w:szCs w:val="18"/>
          <w:color w:val="auto"/>
        </w:rPr>
        <w:t xml:space="preserve"> - means the senior corporate officer in charge of the Human Resources department.</w:t>
      </w:r>
    </w:p>
    <w:p>
      <w:pPr>
        <w:spacing w:after="0" w:line="158" w:lineRule="exact"/>
        <w:rPr>
          <w:sz w:val="20"/>
          <w:szCs w:val="20"/>
          <w:color w:val="auto"/>
        </w:rPr>
      </w:pPr>
    </w:p>
    <w:p>
      <w:pPr>
        <w:ind w:left="200" w:hanging="192"/>
        <w:spacing w:after="0"/>
        <w:tabs>
          <w:tab w:leader="none" w:pos="2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4.1 Any Director shall be eligible to participate in the Plan. A Director becomes a Participant in the Plan on the date he or she first enrolls in the Plan by electing to defer Eligible Compensation in accordance with Section 5.1(b).</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4.2 A Director who has been a Participant under the Plan will cease to be a Participant on the date his or her Account is fully distributed.</w:t>
      </w:r>
    </w:p>
    <w:p>
      <w:pPr>
        <w:spacing w:after="0" w:line="158" w:lineRule="exact"/>
        <w:rPr>
          <w:sz w:val="20"/>
          <w:szCs w:val="20"/>
          <w:color w:val="auto"/>
        </w:rPr>
      </w:pPr>
    </w:p>
    <w:p>
      <w:pPr>
        <w:ind w:left="200" w:hanging="192"/>
        <w:spacing w:after="0"/>
        <w:tabs>
          <w:tab w:leader="none" w:pos="2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Participant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Elections to Defer Eligible Compensation</w:t>
      </w:r>
    </w:p>
    <w:p>
      <w:pPr>
        <w:spacing w:after="0" w:line="158" w:lineRule="exact"/>
        <w:rPr>
          <w:sz w:val="20"/>
          <w:szCs w:val="20"/>
          <w:color w:val="auto"/>
        </w:rPr>
      </w:pPr>
    </w:p>
    <w:p>
      <w:pPr>
        <w:ind w:firstLine="8"/>
        <w:spacing w:after="0" w:line="271" w:lineRule="auto"/>
        <w:tabs>
          <w:tab w:leader="none" w:pos="28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Initial Deferral Election</w:t>
      </w:r>
      <w:r>
        <w:rPr>
          <w:rFonts w:ascii="Arial" w:cs="Arial" w:eastAsia="Arial" w:hAnsi="Arial"/>
          <w:sz w:val="18"/>
          <w:szCs w:val="18"/>
          <w:color w:val="auto"/>
        </w:rPr>
        <w:t>. A Director may make an irrevocable election to defer the following types of Eligible Compensation in one (1) percent increments up to the specified maximum percentages:</w:t>
      </w:r>
    </w:p>
    <w:p>
      <w:pPr>
        <w:spacing w:after="0" w:line="100"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Director may elect to defer up to 100% of his or her Cash Retainer.</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Director may elect to defer up to 100% of his or her Equity Retainer.</w:t>
      </w:r>
    </w:p>
    <w:p>
      <w:pPr>
        <w:spacing w:after="0" w:line="158" w:lineRule="exact"/>
        <w:rPr>
          <w:sz w:val="20"/>
          <w:szCs w:val="20"/>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Time and Manner of Making an Initial Election</w:t>
      </w:r>
    </w:p>
    <w:p>
      <w:pPr>
        <w:spacing w:after="0" w:line="158" w:lineRule="exact"/>
        <w:rPr>
          <w:sz w:val="20"/>
          <w:szCs w:val="20"/>
          <w:color w:val="auto"/>
        </w:rPr>
      </w:pPr>
    </w:p>
    <w:p>
      <w:pPr>
        <w:ind w:firstLine="8"/>
        <w:spacing w:after="0" w:line="271" w:lineRule="auto"/>
        <w:tabs>
          <w:tab w:leader="none" w:pos="2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Director may make an irrevocable election to defer one or more types of Eligible Compensation during the Open Enrollment period that occurs in the Plan Year preceding the Plan Year in which the Eligible Compensation is earned.</w:t>
      </w:r>
    </w:p>
    <w:p>
      <w:pPr>
        <w:spacing w:after="0" w:line="99" w:lineRule="exact"/>
        <w:rPr>
          <w:rFonts w:ascii="Arial" w:cs="Arial" w:eastAsia="Arial" w:hAnsi="Arial"/>
          <w:sz w:val="18"/>
          <w:szCs w:val="18"/>
          <w:color w:val="auto"/>
        </w:rPr>
      </w:pPr>
    </w:p>
    <w:p>
      <w:pPr>
        <w:jc w:val="both"/>
        <w:ind w:firstLine="8"/>
        <w:spacing w:after="0" w:line="253" w:lineRule="auto"/>
        <w:tabs>
          <w:tab w:leader="none" w:pos="2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addition to Open Enrollment elections under Section 5.1(b)(i), a New Director may make an irrevocable election to defer one or more types of Eligible Compensation, provided such election is made within thirty (30) days of becoming a New Director and such election shall only apply to amounts earned after the election is filed.</w:t>
      </w:r>
    </w:p>
    <w:p>
      <w:pPr>
        <w:spacing w:after="0" w:line="114" w:lineRule="exact"/>
        <w:rPr>
          <w:rFonts w:ascii="Arial" w:cs="Arial" w:eastAsia="Arial" w:hAnsi="Arial"/>
          <w:sz w:val="18"/>
          <w:szCs w:val="18"/>
          <w:color w:val="auto"/>
        </w:rPr>
      </w:pPr>
    </w:p>
    <w:p>
      <w:pPr>
        <w:ind w:left="300" w:hanging="292"/>
        <w:spacing w:after="0"/>
        <w:tabs>
          <w:tab w:leader="none" w:pos="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deferral election shall be made in accordance with procedures established by the Plan Administrator.</w:t>
      </w:r>
    </w:p>
    <w:p>
      <w:pPr>
        <w:spacing w:after="0" w:line="158" w:lineRule="exact"/>
        <w:rPr>
          <w:sz w:val="20"/>
          <w:szCs w:val="20"/>
          <w:color w:val="auto"/>
        </w:rPr>
      </w:pPr>
    </w:p>
    <w:p>
      <w:pPr>
        <w:jc w:val="both"/>
        <w:ind w:firstLine="8"/>
        <w:spacing w:after="0" w:line="244" w:lineRule="auto"/>
        <w:tabs>
          <w:tab w:leader="none" w:pos="297"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Evergreen Election. An initial deferral election shall be effective for succeeding Plan Years and shall become irrevocable on each December 31 with respect to Eligible Compensation earned in the immediately following Plan Year unless the Participant terminates or modifies such election. A Participant may terminate or modify an initial deferral election during the Open Enrollment period immediately prior to the applicable Plan Year. Any termination of, or modification to, an initial deferral election shall be made in accordance with procedures established by the Plan Administrator.</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5.2 Crediting of Deferrals. Eligible Compensation deferred by a Participant under the Plan shall be credited to the Participant's Account as soon as practicable after the amounts would have otherwise been paid to the Participant. Amounts credited to a Participant's Account shall be deemed immediately invested in shares of Common Stock (calculated to one one-thousandth of a share). Any dividends which would have been received had such amount actually been invested in shares of Common Stock will also be credited to the Participant's Account and deemed immediately invested in additional shares of Common Stock (calculated to one one-thousandth of a share). Nothing in this Section or otherwise in the Plan, however, will require the Company to actually invest any amounts credited to a Participant's Account in shares of Common Stock or otherwise.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Vesting</w:t>
      </w:r>
      <w:r>
        <w:rPr>
          <w:rFonts w:ascii="Arial" w:cs="Arial" w:eastAsia="Arial" w:hAnsi="Arial"/>
          <w:sz w:val="18"/>
          <w:szCs w:val="18"/>
          <w:color w:val="auto"/>
        </w:rPr>
        <w:t>. A Participant shall at all times be one-hundred (100) percent vested in any amounts credited to his or her Account.</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Adjustments upon Changes in Capitalization</w:t>
      </w:r>
      <w:r>
        <w:rPr>
          <w:rFonts w:ascii="Arial" w:cs="Arial" w:eastAsia="Arial" w:hAnsi="Arial"/>
          <w:sz w:val="18"/>
          <w:szCs w:val="18"/>
          <w:color w:val="auto"/>
        </w:rPr>
        <w:t>. If any change is made to the shares of Common Stock without the Company's receipt of consideration, appropriate adjustments shall be made to the number and/or class of securities credited to a Participant's Account under the Plan in the same manner and to the same extent that adjustments are made to the maximum number and/or class of securities issuable under the Company's 2026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6" w:name="page87"/>
    <w:bookmarkEnd w:id="86"/>
    <w:p>
      <w:pPr>
        <w:ind w:right="8440" w:firstLine="8"/>
        <w:spacing w:after="0" w:line="422" w:lineRule="auto"/>
        <w:tabs>
          <w:tab w:leader="none" w:pos="2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 xml:space="preserve">Distribution of Account Balances </w:t>
      </w:r>
      <w:r>
        <w:rPr>
          <w:rFonts w:ascii="Arial" w:cs="Arial" w:eastAsia="Arial" w:hAnsi="Arial"/>
          <w:sz w:val="18"/>
          <w:szCs w:val="18"/>
          <w:color w:val="auto"/>
        </w:rPr>
        <w:t xml:space="preserve">6.1 </w:t>
      </w:r>
      <w:r>
        <w:rPr>
          <w:rFonts w:ascii="Arial" w:cs="Arial" w:eastAsia="Arial" w:hAnsi="Arial"/>
          <w:sz w:val="18"/>
          <w:szCs w:val="18"/>
          <w:u w:val="single" w:color="auto"/>
          <w:color w:val="auto"/>
        </w:rPr>
        <w:t>Distribution Form</w:t>
      </w:r>
    </w:p>
    <w:p>
      <w:pPr>
        <w:spacing w:after="0" w:line="1" w:lineRule="exact"/>
        <w:rPr>
          <w:sz w:val="20"/>
          <w:szCs w:val="20"/>
          <w:color w:val="auto"/>
        </w:rPr>
      </w:pPr>
    </w:p>
    <w:p>
      <w:pPr>
        <w:jc w:val="both"/>
        <w:ind w:firstLine="8"/>
        <w:spacing w:after="0" w:line="247" w:lineRule="auto"/>
        <w:tabs>
          <w:tab w:leader="none" w:pos="2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a Participant elects to have the distribution of a deferred amount (and dividends thereon) commence thirty (30) days following the date of his or her Separation from Service pursuant to Section 6.2, the Participant may elect to have the deferred amount (and dividends thereon) distributed in a lump sum payment or in equal annual installments over a period of five (5) years. Such election must be made at the time of making the initial deferral election under Section 5.1.</w:t>
      </w:r>
    </w:p>
    <w:p>
      <w:pPr>
        <w:spacing w:after="0" w:line="119" w:lineRule="exact"/>
        <w:rPr>
          <w:rFonts w:ascii="Arial" w:cs="Arial" w:eastAsia="Arial" w:hAnsi="Arial"/>
          <w:sz w:val="18"/>
          <w:szCs w:val="18"/>
          <w:color w:val="auto"/>
        </w:rPr>
      </w:pPr>
    </w:p>
    <w:p>
      <w:pPr>
        <w:jc w:val="both"/>
        <w:ind w:firstLine="8"/>
        <w:spacing w:after="0" w:line="253" w:lineRule="auto"/>
        <w:tabs>
          <w:tab w:leader="none" w:pos="2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a Participant fails to specify the form in which a deferred amount (and dividends thereon) will be distributed at the time of making an initial deferral election under Section 5.1, or if a Participant elects to receive a distribution other than pursuant to Section 6.2(a)(i), the Participant shall receive such deferred amount (and dividends thereon) in a lump sum payment.</w:t>
      </w:r>
    </w:p>
    <w:p>
      <w:pPr>
        <w:spacing w:after="0" w:line="114" w:lineRule="exact"/>
        <w:rPr>
          <w:rFonts w:ascii="Arial" w:cs="Arial" w:eastAsia="Arial" w:hAnsi="Arial"/>
          <w:sz w:val="18"/>
          <w:szCs w:val="18"/>
          <w:color w:val="auto"/>
        </w:rPr>
      </w:pPr>
    </w:p>
    <w:p>
      <w:pPr>
        <w:ind w:firstLine="8"/>
        <w:spacing w:after="0" w:line="271" w:lineRule="auto"/>
        <w:tabs>
          <w:tab w:leader="none" w:pos="2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Distribution of a Participant's Account balance shall be made in Common Stock; provided, however, any fractional shares of Common Stock credited to the Account shall be paid in cash.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Distribution Time</w:t>
      </w:r>
    </w:p>
    <w:p>
      <w:pPr>
        <w:spacing w:after="0" w:line="158" w:lineRule="exact"/>
        <w:rPr>
          <w:sz w:val="20"/>
          <w:szCs w:val="20"/>
          <w:color w:val="auto"/>
        </w:rPr>
      </w:pPr>
    </w:p>
    <w:p>
      <w:pPr>
        <w:jc w:val="both"/>
        <w:ind w:firstLine="8"/>
        <w:spacing w:after="0" w:line="244" w:lineRule="auto"/>
        <w:tabs>
          <w:tab w:leader="none" w:pos="2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Participant may elect to have the distribution of a deferred amount (and dividends thereon) commence thirty (30) days following: (i) the date of the Participant's Separation from Service; (ii) the first, second, third, fourth or fifth anniversary of the Participant's Separation from Service; or (iii) a specified date or, if earlier, the fifth anniversary of the Participant's Separation from Service (provided that the specified date must be at least twelve (12) months after the date on which the final payment of the deferred amount would have been made to the Participant absent deferral).</w:t>
      </w:r>
    </w:p>
    <w:p>
      <w:pPr>
        <w:spacing w:after="0" w:line="122" w:lineRule="exact"/>
        <w:rPr>
          <w:rFonts w:ascii="Arial" w:cs="Arial" w:eastAsia="Arial" w:hAnsi="Arial"/>
          <w:sz w:val="18"/>
          <w:szCs w:val="18"/>
          <w:color w:val="auto"/>
        </w:rPr>
      </w:pPr>
    </w:p>
    <w:p>
      <w:pPr>
        <w:jc w:val="both"/>
        <w:ind w:firstLine="8"/>
        <w:spacing w:after="0" w:line="244" w:lineRule="auto"/>
        <w:tabs>
          <w:tab w:leader="none" w:pos="2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Participant must elect the date on which distributions will commence at the time of making the initial deferral election under Section 5.1. In the event a Participant fails to elect the date on which a distribution will commence at the time of making an initial deferral election under Section 5.1, or if a Participant specifies a date under Section 6.2(a)(iii) that is less than twelve (12) months after the date on which the final payment of the deferred amount would have been made to the Participant absent deferral, the Participant shall receive the distribution thirty (30) days following the date of the Participant's Separation from Service.</w:t>
      </w:r>
    </w:p>
    <w:p>
      <w:pPr>
        <w:spacing w:after="0" w:line="122" w:lineRule="exact"/>
        <w:rPr>
          <w:rFonts w:ascii="Arial" w:cs="Arial" w:eastAsia="Arial" w:hAnsi="Arial"/>
          <w:sz w:val="18"/>
          <w:szCs w:val="18"/>
          <w:color w:val="auto"/>
        </w:rPr>
      </w:pPr>
    </w:p>
    <w:p>
      <w:pPr>
        <w:jc w:val="both"/>
        <w:ind w:firstLine="8"/>
        <w:spacing w:after="0" w:line="239" w:lineRule="auto"/>
        <w:tabs>
          <w:tab w:leader="none" w:pos="2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Except as otherwise permitted under IRS guidance, if a distribution is to be made upon the Separation from Service of a Key Employee, distribution may not be made before the date which is six months after the date of the Key Employee's Separation from Service (or, if earlier, the date of death of the Key Employee). Any payments that would otherwise be made during this period of delay shall be paid in the seventh month following Separation from Service (or, if earlier, the month after the Key Employee's death). For this purpose, "Key Employee" means an individual treated as a "specified employee" under Code section 409A(a)(2)(B)(i) as of his or her Separation from Service (i.e., a key employee (as defined under Code section 416(i) without regard to paragraph (5) thereof) of a corporation any stock of which is publicly traded on an established securities market or otherwise). Key Employees shall be determined in accordance with Code section 409A, using a December 31 identification date. A listing of Key Employees as of an identification date shall be effective for the 12-month period beginning on the April 1 following the identification date.</w:t>
      </w:r>
    </w:p>
    <w:p>
      <w:pPr>
        <w:spacing w:after="0" w:line="129" w:lineRule="exact"/>
        <w:rPr>
          <w:rFonts w:ascii="Arial" w:cs="Arial" w:eastAsia="Arial" w:hAnsi="Arial"/>
          <w:sz w:val="18"/>
          <w:szCs w:val="18"/>
          <w:color w:val="auto"/>
        </w:rPr>
      </w:pPr>
    </w:p>
    <w:p>
      <w:pPr>
        <w:jc w:val="both"/>
        <w:ind w:firstLine="8"/>
        <w:spacing w:after="0" w:line="247" w:lineRule="auto"/>
        <w:tabs>
          <w:tab w:leader="none" w:pos="2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Notwithstanding Section 6.1 or 6.2 or any election to the contrary, for purposes of Eligible Compensation earned during each separate quarterly period beginning after 2014, if a Participant Separates from Service during a separate quarterly period, the distribution of any deferred amount (and dividends thereon) attributable to such period will be paid in a cash lump sum within 30 days following the last day of the quarterly period, subject to Section 6.2(c) and in accordance with Treasury Regulation §1.409A-3(c).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Distributions upon Death</w:t>
      </w:r>
    </w:p>
    <w:p>
      <w:pPr>
        <w:spacing w:after="0" w:line="158" w:lineRule="exact"/>
        <w:rPr>
          <w:sz w:val="20"/>
          <w:szCs w:val="20"/>
          <w:color w:val="auto"/>
        </w:rPr>
      </w:pPr>
    </w:p>
    <w:p>
      <w:pPr>
        <w:ind w:firstLine="8"/>
        <w:spacing w:after="0" w:line="271" w:lineRule="auto"/>
        <w:tabs>
          <w:tab w:leader="none" w:pos="29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a Participant dies prior to the distribution of his or her entire Account balance, the remaining Account balance shall be distributed to the Participant's beneficiary in accordance with Sections 6.1 and 6.2 above.</w:t>
      </w:r>
    </w:p>
    <w:p>
      <w:pPr>
        <w:spacing w:after="0" w:line="99" w:lineRule="exact"/>
        <w:rPr>
          <w:rFonts w:ascii="Arial" w:cs="Arial" w:eastAsia="Arial" w:hAnsi="Arial"/>
          <w:sz w:val="18"/>
          <w:szCs w:val="18"/>
          <w:color w:val="auto"/>
        </w:rPr>
      </w:pPr>
    </w:p>
    <w:p>
      <w:pPr>
        <w:jc w:val="both"/>
        <w:ind w:firstLine="8"/>
        <w:spacing w:after="0" w:line="253" w:lineRule="auto"/>
        <w:tabs>
          <w:tab w:leader="none" w:pos="2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Participant shall designate his or her beneficiary prior to death in accordance with procedures established by the Plan Administrator. If a Participant has not properly designated a beneficiary, or if no designated beneficiary is living on the date of any distribution, such amount shall be distributed to the Participant's estate.</w:t>
      </w:r>
    </w:p>
    <w:p>
      <w:pPr>
        <w:spacing w:after="0" w:line="114" w:lineRule="exact"/>
        <w:rPr>
          <w:rFonts w:ascii="Arial" w:cs="Arial" w:eastAsia="Arial" w:hAnsi="Arial"/>
          <w:sz w:val="18"/>
          <w:szCs w:val="18"/>
          <w:color w:val="auto"/>
        </w:rPr>
      </w:pPr>
    </w:p>
    <w:p>
      <w:pPr>
        <w:jc w:val="both"/>
        <w:ind w:firstLine="8"/>
        <w:spacing w:after="0" w:line="247" w:lineRule="auto"/>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purposes of determining the proper death beneficiary under this Plan, this Plan shall not be interpreted as preempting applicable state law regarding the ownership rights of Accounts upon a Participant's death. For example, although this Plan states that upon a Participant's death, Account balances will be paid to his or her beneficiary, the personal representative will be obligated to pay any benefits owed to a spouse or otherwise as a result of any applicable community property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7" w:name="page88"/>
    <w:bookmarkEnd w:id="87"/>
    <w:p>
      <w:pPr>
        <w:ind w:left="200" w:hanging="192"/>
        <w:spacing w:after="0"/>
        <w:tabs>
          <w:tab w:leader="none" w:pos="2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Plan Administrator shall be responsible for the operation and administration of the Plan and for carrying out the provisions hereof. The Plan Administrator shall have the full authority and discretion to make, amend, interpret, and enforce all appropriate rules and regulations for the administration of this Plan and decide or resolve any and all questions, including interpretations of this Plan, as may arise in connection with this Plan. Any such action taken by the Plan Administrator shall be final and conclusive on any party. To the extent the Plan Administrator has been granted discretionary authority under the Plan, the Plan Administrator's prior exercise of such authority shall not obligate it to exercise its authority in a like fashion thereafter. The Plan Administrator shall be entitled to rely conclusively upon all tables, valuations, certificates, opinions and reports furnished by any actuary, accountant, controller, counsel or other person employed or engaged by the Company with respect to the Plan. The Plan Administrator may, from time to time, employ agents and delegate to such agents, including the HR Officer or other employees of the Company, such administrative duties as it sees fit, and the HR Officer is expressly delegated the authority to take all actions necessary to implement the Plan in accordance with the terms approved by the Board and the Plan Administrator.</w:t>
      </w:r>
    </w:p>
    <w:p>
      <w:pPr>
        <w:spacing w:after="0" w:line="132" w:lineRule="exact"/>
        <w:rPr>
          <w:sz w:val="20"/>
          <w:szCs w:val="20"/>
          <w:color w:val="auto"/>
        </w:rPr>
      </w:pPr>
    </w:p>
    <w:p>
      <w:pPr>
        <w:ind w:left="200" w:hanging="192"/>
        <w:spacing w:after="0"/>
        <w:tabs>
          <w:tab w:leader="none" w:pos="2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Company reserves the right to amend or terminate the Plan when, in the sole discretion of the Company, such amendment or termination is advisable, pursuant to a resolution or other action taken by the Board or the Plan Administrator, provided that the Board or Plan Administrator may delegate the authority to amend the Plan to the HR Officer from time to time.</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or termination of the Plan shall decrease the amounts credited to a Participant's Account as of such amendment or termination. Upon termination of the Plan, Participants' Account balances shall be distributed in accordance with Sections 6.1 through 6.3, unless the Company determines in its sole discretion that all such amounts shall be distributed upon termination in accordance with the requirements under Code section 409A.</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Constructive Receipt Termination</w:t>
      </w:r>
      <w:r>
        <w:rPr>
          <w:rFonts w:ascii="Arial" w:cs="Arial" w:eastAsia="Arial" w:hAnsi="Arial"/>
          <w:sz w:val="18"/>
          <w:szCs w:val="18"/>
          <w:color w:val="auto"/>
        </w:rPr>
        <w:t>. If amounts deferred under the Plan must be included in income under Code section 409A prior to the scheduled distribution of such amounts, distribution of such amount shall be made to Participants.</w:t>
      </w:r>
    </w:p>
    <w:p>
      <w:pPr>
        <w:spacing w:after="0" w:line="100" w:lineRule="exact"/>
        <w:rPr>
          <w:sz w:val="20"/>
          <w:szCs w:val="20"/>
          <w:color w:val="auto"/>
        </w:rPr>
      </w:pPr>
    </w:p>
    <w:p>
      <w:pPr>
        <w:ind w:left="200" w:hanging="192"/>
        <w:spacing w:after="0"/>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Rights Unsecured</w:t>
      </w:r>
      <w:r>
        <w:rPr>
          <w:rFonts w:ascii="Arial" w:cs="Arial" w:eastAsia="Arial" w:hAnsi="Arial"/>
          <w:sz w:val="18"/>
          <w:szCs w:val="18"/>
          <w:color w:val="auto"/>
        </w:rPr>
        <w:t>. The right of a Participant or his or her beneficiary to receive a distribution hereunder shall be an unsecured claim against the general assets of the Company, and neither the Participant nor his or her beneficiary shall have any rights in or against any amount credited to any Account or any other specific assets of the Company. The Plan at all times shall be considered entirely unfunded for tax purposes. Any funds set aside by the Company for the purpose of meeting its obligations under the Plan, including any amounts held by a trustee, shall continue for all purposes to be part of the general assets of the Company and shall be available to its general creditors in the event of the Company's bankruptcy or insolvency. The Company's obligation under this Plan shall be that of an unfunded and unsecured promise to pay money in the future.</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Construction of Plan</w:t>
      </w:r>
      <w:r>
        <w:rPr>
          <w:rFonts w:ascii="Arial" w:cs="Arial" w:eastAsia="Arial" w:hAnsi="Arial"/>
          <w:sz w:val="18"/>
          <w:szCs w:val="18"/>
          <w:color w:val="auto"/>
        </w:rPr>
        <w:t>. Nothing in this Plan shall be construed to give any Director any right to receive Eligible Compensation or any other type of compensation. No Participant or beneficiary shall have any right to receive a distribution under the Plan except in accordance with the terms of the Plan. Establishment of the Plan shall not be construed to give any Participant the right to be retained as a member of the Board. Nothing contained in the Plan shall constitute a guarantee by the Company or any other person or entity that the assets of the Company will be sufficient to pay any benefits hereunder. In the event any provision of the Plan shall be held invalid or illegal for any reason, any illegality or invalidity shall not affect the remaining parts of the Plan, but the Plan shall be construed and enforced as if the illegal or invalid provision had never been inserted. Words in the masculine gender shall include the feminine and the singular shall include the plural, and vice versa, unless qualified by the context. Any headings used herein are included for ease of reference only, and are not to be construed so as to alter the terms hereof.</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Nonalienation of Benefits</w:t>
      </w:r>
      <w:r>
        <w:rPr>
          <w:rFonts w:ascii="Arial" w:cs="Arial" w:eastAsia="Arial" w:hAnsi="Arial"/>
          <w:sz w:val="18"/>
          <w:szCs w:val="18"/>
          <w:color w:val="auto"/>
        </w:rPr>
        <w:t>. This Plan inures to the benefit of and is binding upon the parties hereto and their successors, heirs and assigns; provided, however, that the amounts credited to a Participant's Account are not, except as provided in Section 9.4,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any benefits payable hereunder, will be null and void and not binding on the Plan or the Company.</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Taxes</w:t>
      </w:r>
      <w:r>
        <w:rPr>
          <w:rFonts w:ascii="Arial" w:cs="Arial" w:eastAsia="Arial" w:hAnsi="Arial"/>
          <w:sz w:val="18"/>
          <w:szCs w:val="18"/>
          <w:color w:val="auto"/>
        </w:rPr>
        <w:t>. The Company or other payor may withhold from a benefit payment under the Plan or a Participant's Eligible Compensation any federal, state, or local taxes required by law to be withheld with respect to a payment or accrual under the Plan, and shall report such payments and other Plan-related information to the appropriate governmental agencies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Delivery of Shares</w:t>
      </w:r>
      <w:r>
        <w:rPr>
          <w:rFonts w:ascii="Arial" w:cs="Arial" w:eastAsia="Arial" w:hAnsi="Arial"/>
          <w:sz w:val="18"/>
          <w:szCs w:val="18"/>
          <w:color w:val="auto"/>
        </w:rPr>
        <w:t>. The obligation of the Company to issue shares of Common Stock under this Plan shall be subject to all applicable laws, rules and regulations, including all applicable federal and state securities laws, and the obtaining of all such approvals by governmental agencies as may be deemed necessary or appropriate by the Plan Administrator.</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Participant's Cooperation</w:t>
      </w:r>
      <w:r>
        <w:rPr>
          <w:rFonts w:ascii="Arial" w:cs="Arial" w:eastAsia="Arial" w:hAnsi="Arial"/>
          <w:sz w:val="18"/>
          <w:szCs w:val="18"/>
          <w:color w:val="auto"/>
        </w:rPr>
        <w:t>. The Participant shall cooperate with the Company by furnishing any and all information requested by the Plan Administrator in order to facilitate the payment of benefits hereunder. If the Participant refuses to cooperate, the Company shall have no further obligation to the Participant under the Plan.</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Incapacity of Recipient</w:t>
      </w:r>
      <w:r>
        <w:rPr>
          <w:rFonts w:ascii="Arial" w:cs="Arial" w:eastAsia="Arial" w:hAnsi="Arial"/>
          <w:sz w:val="18"/>
          <w:szCs w:val="18"/>
          <w:color w:val="auto"/>
        </w:rPr>
        <w:t>. If any person entitled to a distribution under the Plan is deemed by the Plan Administrator to be incapable of personally receiving and giving a valid receipt for such payment, then, unless and until a claim for such payment shall have been made by a duly appointed guardian or other legal representative of such person, the Plan Administrator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with respect to the payment.</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Legally Binding</w:t>
      </w:r>
      <w:r>
        <w:rPr>
          <w:rFonts w:ascii="Arial" w:cs="Arial" w:eastAsia="Arial" w:hAnsi="Arial"/>
          <w:sz w:val="18"/>
          <w:szCs w:val="18"/>
          <w:color w:val="auto"/>
        </w:rPr>
        <w:t>. In the event of any consolidation, merger, acquisition or reorganization, the obligations of the Company under this Plan shall continue and be binding on the Company and its successors or assigns. The rights, privileges, benefits and obligations under the Plan are intended to be legal obligations of the Company and binding upon the Company, its successors and assigns.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Unclaimed Benefits</w:t>
      </w:r>
      <w:r>
        <w:rPr>
          <w:rFonts w:ascii="Arial" w:cs="Arial" w:eastAsia="Arial" w:hAnsi="Arial"/>
          <w:sz w:val="18"/>
          <w:szCs w:val="18"/>
          <w:color w:val="auto"/>
        </w:rPr>
        <w:t>. Each Participant shall keep the Plan Administrator informed of his or her current address and the current address of his or her designated beneficiary. The Plan Administrator shall not be obligated to search for the whereabouts of any person if the location of a person is not made known to the Plan Administrator.</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Applicable Law and Venue</w:t>
      </w:r>
      <w:r>
        <w:rPr>
          <w:rFonts w:ascii="Arial" w:cs="Arial" w:eastAsia="Arial" w:hAnsi="Arial"/>
          <w:sz w:val="18"/>
          <w:szCs w:val="18"/>
          <w:color w:val="auto"/>
        </w:rPr>
        <w:t>. The Plan shall be governed by the laws of the State of Washington. In the event the Company or any Participant (or beneficiary) initiates litigation related to this Plan, the venue for such action will be in King County, Washington.</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the Company of any breach of any provision of the Plan by a Participant shall not operate or be construed as a waiver of any subsequent breach by the Participant.</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Notice</w:t>
      </w:r>
      <w:r>
        <w:rPr>
          <w:rFonts w:ascii="Arial" w:cs="Arial" w:eastAsia="Arial" w:hAnsi="Arial"/>
          <w:sz w:val="18"/>
          <w:szCs w:val="18"/>
          <w:color w:val="auto"/>
        </w:rPr>
        <w:t>. Any notice or filing required or permitted to be given to the Plan Administrator under the Plan shall be sufficient if in writing and hand-delivered, or sent by first class mail to the principal office of the Company, directed to the attention of the Plan Administrator. Such notice shall be deemed given as of the date of delivery, or, if delivery is made by mail, as of the date shown on the postmark.</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Attorneys' Fees and Costs</w:t>
      </w:r>
      <w:r>
        <w:rPr>
          <w:rFonts w:ascii="Arial" w:cs="Arial" w:eastAsia="Arial" w:hAnsi="Arial"/>
          <w:sz w:val="18"/>
          <w:szCs w:val="18"/>
          <w:color w:val="auto"/>
        </w:rPr>
        <w:t>. In the event that a dispute regarding benefits arises between the Company or Plan Administrator and a Participant (or beneficiary) and such dispute is resolved through arbitration or litigation in court, the prevailing party(ies) shall be entitled to their reasonable attorneys' fees and costs incurred in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449580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 98052-6399</w:t>
      </w:r>
    </w:p>
    <w:p>
      <w:pPr>
        <w:spacing w:after="0" w:line="140" w:lineRule="exact"/>
        <w:rPr>
          <w:sz w:val="20"/>
          <w:szCs w:val="20"/>
          <w:color w:val="auto"/>
        </w:rPr>
      </w:pPr>
    </w:p>
    <w:p>
      <w:pPr>
        <w:jc w:val="both"/>
        <w:ind w:right="300"/>
        <w:spacing w:after="0" w:line="244" w:lineRule="auto"/>
        <w:rPr>
          <w:sz w:val="20"/>
          <w:szCs w:val="20"/>
          <w:color w:val="auto"/>
        </w:rPr>
      </w:pPr>
      <w:r>
        <w:rPr>
          <w:rFonts w:ascii="Arial" w:cs="Arial" w:eastAsia="Arial" w:hAnsi="Arial"/>
          <w:sz w:val="18"/>
          <w:szCs w:val="18"/>
          <w:color w:val="auto"/>
        </w:rPr>
        <w:t>We are aware that our report dated April 29, 2026, on our review of the interim financial information of Microsoft Corporation and subsidiaries (“Microsoft”) appearing in Microsoft’s Quarterly Report on Form 10-Q for the quarter ended March 31, 2026, is incorporated by reference in Registration Statement Nos. 333-109185, 333-118764, 333-52852, 333-132100, 333-161516, 333-75243, 333-185757, 333-221833, 333-292490, and 333-292496 on Form S-8 and Registration Statement No. 333-283760 on Form S-3.</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750570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985" w:right="3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firstLine="8"/>
        <w:spacing w:after="0" w:line="271" w:lineRule="auto"/>
        <w:tabs>
          <w:tab w:leader="none" w:pos="2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firstLine="8"/>
        <w:spacing w:after="0" w:line="271" w:lineRule="auto"/>
        <w:tabs>
          <w:tab w:leader="none" w:pos="2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firstLine="8"/>
        <w:spacing w:after="0" w:line="271" w:lineRule="auto"/>
        <w:tabs>
          <w:tab w:leader="none" w:pos="211"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firstLine="8"/>
        <w:spacing w:after="0" w:line="271" w:lineRule="auto"/>
        <w:tabs>
          <w:tab w:leader="none" w:pos="2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ind w:left="10260"/>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March 31, 2026, as filed with the Securities and Exchange Commission (the “Report”), Satya Nadella, Chief Executive Officer of the Company, does hereby certify, pursuant to § 906 of the Sarbanes-Oxley Act of 2002 (18 U.S.C. § 1350), that to his knowledge:</w:t>
      </w:r>
    </w:p>
    <w:p>
      <w:pPr>
        <w:spacing w:after="0" w:line="115" w:lineRule="exact"/>
        <w:rPr>
          <w:sz w:val="20"/>
          <w:szCs w:val="20"/>
          <w:color w:val="auto"/>
        </w:rPr>
      </w:pPr>
    </w:p>
    <w:p>
      <w:pPr>
        <w:ind w:left="280" w:hanging="272"/>
        <w:spacing w:after="0"/>
        <w:tabs>
          <w:tab w:leader="none" w:pos="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3" w:name="page94"/>
    <w:bookmarkEnd w:id="93"/>
    <w:p>
      <w:pPr>
        <w:ind w:left="10260"/>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March 31, 2026, as filed with the Securities and Exchange Commission (the “Report”), Amy E. Hood, Chief Financial Officer of the Company, does hereby certify, pursuant to § 906 of the Sarbanes-Oxley Act of 2002 (18 U.S.C. § 1350), that to her knowledge:</w:t>
      </w:r>
    </w:p>
    <w:p>
      <w:pPr>
        <w:spacing w:after="0" w:line="115"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April 29, 2026</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decimal"/>
      <w:start w:val="425"/>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lowerLetter"/>
      <w:start w:val="1"/>
    </w:lvl>
  </w:abstractNum>
  <w:abstractNum w:abstractNumId="5">
    <w:nsid w:val="749ABB43"/>
    <w:multiLevelType w:val="hybridMultilevel"/>
    <w:lvl w:ilvl="0">
      <w:lvlJc w:val="left"/>
      <w:lvlText w:val="(%1)"/>
      <w:numFmt w:val="lowerLetter"/>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1)"/>
      <w:numFmt w:val="lowerLetter"/>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1"/>
      <w:numFmt w:val="decimal"/>
      <w:start w:val="104"/>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38">
    <w:nsid w:val="4AD084E9"/>
    <w:multiLevelType w:val="hybridMultilevel"/>
    <w:lvl w:ilvl="0">
      <w:lvlJc w:val="left"/>
      <w:lvlText w:val="(%1)"/>
      <w:numFmt w:val="lowerLetter"/>
      <w:start w:val="6"/>
    </w:lvl>
  </w:abstractNum>
  <w:abstractNum w:abstractNumId="39">
    <w:nsid w:val="1F48EAA1"/>
    <w:multiLevelType w:val="hybridMultilevel"/>
    <w:lvl w:ilvl="0">
      <w:lvlJc w:val="left"/>
      <w:lvlText w:val="(%1)"/>
      <w:numFmt w:val="lowerLetter"/>
      <w:start w:val="27"/>
    </w:lvl>
  </w:abstractNum>
  <w:abstractNum w:abstractNumId="40">
    <w:nsid w:val="1381823A"/>
    <w:multiLevelType w:val="hybridMultilevel"/>
    <w:lvl w:ilvl="0">
      <w:lvlJc w:val="left"/>
      <w:lvlText w:val="%1"/>
      <w:numFmt w:val="decimal"/>
      <w:start w:val="1"/>
    </w:lvl>
    <w:lvl w:ilvl="1">
      <w:lvlJc w:val="left"/>
      <w:lvlText w:val="(%2)"/>
      <w:numFmt w:val="lowerLetter"/>
      <w:start w:val="29"/>
    </w:lvl>
  </w:abstractNum>
  <w:abstractNum w:abstractNumId="41">
    <w:nsid w:val="5DB70AE5"/>
    <w:multiLevelType w:val="hybridMultilevel"/>
    <w:lvl w:ilvl="0">
      <w:lvlJc w:val="left"/>
      <w:lvlText w:val="%1."/>
      <w:numFmt w:val="decimal"/>
      <w:start w:val="3"/>
    </w:lvl>
    <w:lvl w:ilvl="1">
      <w:lvlJc w:val="left"/>
      <w:lvlText w:val="(%2)"/>
      <w:numFmt w:val="lowerLetter"/>
      <w:start w:val="1"/>
    </w:lvl>
  </w:abstractNum>
  <w:abstractNum w:abstractNumId="42">
    <w:nsid w:val="100F8FCA"/>
    <w:multiLevelType w:val="hybridMultilevel"/>
    <w:lvl w:ilvl="0">
      <w:lvlJc w:val="left"/>
      <w:lvlText w:val="%1."/>
      <w:numFmt w:val="decimal"/>
      <w:start w:val="6"/>
    </w:lvl>
    <w:lvl w:ilvl="1">
      <w:lvlJc w:val="left"/>
      <w:lvlText w:val="(%2)"/>
      <w:numFmt w:val="lowerLetter"/>
      <w:start w:val="1"/>
    </w:lvl>
  </w:abstractNum>
  <w:abstractNum w:abstractNumId="43">
    <w:nsid w:val="6590700B"/>
    <w:multiLevelType w:val="hybridMultilevel"/>
    <w:lvl w:ilvl="0">
      <w:lvlJc w:val="left"/>
      <w:lvlText w:val="%1"/>
      <w:numFmt w:val="decimal"/>
      <w:start w:val="1"/>
    </w:lvl>
    <w:lvl w:ilvl="1">
      <w:lvlJc w:val="left"/>
      <w:lvlText w:val="(%2)"/>
      <w:numFmt w:val="lowerLetter"/>
      <w:start w:val="4"/>
    </w:lvl>
  </w:abstractNum>
  <w:abstractNum w:abstractNumId="44">
    <w:nsid w:val="15014ACB"/>
    <w:multiLevelType w:val="hybridMultilevel"/>
    <w:lvl w:ilvl="0">
      <w:lvlJc w:val="left"/>
      <w:lvlText w:val="%1."/>
      <w:numFmt w:val="decimal"/>
      <w:start w:val="9"/>
    </w:lvl>
    <w:lvl w:ilvl="1">
      <w:lvlJc w:val="left"/>
      <w:lvlText w:val="(%2)"/>
      <w:numFmt w:val="lowerLetter"/>
      <w:start w:val="1"/>
    </w:lvl>
  </w:abstractNum>
  <w:abstractNum w:abstractNumId="45">
    <w:nsid w:val="5F5E7FD0"/>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6">
    <w:nsid w:val="98A3148"/>
    <w:multiLevelType w:val="hybridMultilevel"/>
    <w:lvl w:ilvl="0">
      <w:lvlJc w:val="left"/>
      <w:lvlText w:val="(%1)"/>
      <w:numFmt w:val="lowerLetter"/>
      <w:start w:val="2"/>
    </w:lvl>
  </w:abstractNum>
  <w:abstractNum w:abstractNumId="47">
    <w:nsid w:val="799D0247"/>
    <w:multiLevelType w:val="hybridMultilevel"/>
    <w:lvl w:ilvl="0">
      <w:lvlJc w:val="left"/>
      <w:lvlText w:val="%1"/>
      <w:numFmt w:val="decimal"/>
      <w:start w:val="1"/>
    </w:lvl>
    <w:lvl w:ilvl="1">
      <w:lvlJc w:val="left"/>
      <w:lvlText w:val="(%2)"/>
      <w:numFmt w:val="lowerLetter"/>
      <w:start w:val="3"/>
    </w:lvl>
  </w:abstractNum>
  <w:abstractNum w:abstractNumId="48">
    <w:nsid w:val="6B94764"/>
    <w:multiLevelType w:val="hybridMultilevel"/>
    <w:lvl w:ilvl="0">
      <w:lvlJc w:val="left"/>
      <w:lvlText w:val="%1."/>
      <w:numFmt w:val="decimal"/>
      <w:start w:val="17"/>
    </w:lvl>
    <w:lvl w:ilvl="1">
      <w:lvlJc w:val="left"/>
      <w:lvlText w:val="(%2)"/>
      <w:numFmt w:val="lowerLetter"/>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1."/>
      <w:numFmt w:val="decimal"/>
      <w:start w:val="2"/>
    </w:lvl>
  </w:abstractNum>
  <w:abstractNum w:abstractNumId="51">
    <w:nsid w:val="1EBA5D23"/>
    <w:multiLevelType w:val="hybridMultilevel"/>
    <w:lvl w:ilvl="0">
      <w:lvlJc w:val="left"/>
      <w:lvlText w:val="%1)"/>
      <w:numFmt w:val="lowerLetter"/>
      <w:start w:val="1"/>
    </w:lvl>
  </w:abstractNum>
  <w:abstractNum w:abstractNumId="52">
    <w:nsid w:val="661E3F1E"/>
    <w:multiLevelType w:val="hybridMultilevel"/>
    <w:lvl w:ilvl="0">
      <w:lvlJc w:val="left"/>
      <w:lvlText w:val="(%1)"/>
      <w:numFmt w:val="lowerLetter"/>
      <w:start w:val="2"/>
    </w:lvl>
  </w:abstractNum>
  <w:abstractNum w:abstractNumId="53">
    <w:nsid w:val="5DC79EA8"/>
    <w:multiLevelType w:val="hybridMultilevel"/>
    <w:lvl w:ilvl="0">
      <w:lvlJc w:val="left"/>
      <w:lvlText w:val="%1."/>
      <w:numFmt w:val="decimal"/>
      <w:start w:val="3"/>
    </w:lvl>
  </w:abstractNum>
  <w:abstractNum w:abstractNumId="54">
    <w:nsid w:val="540A471C"/>
    <w:multiLevelType w:val="hybridMultilevel"/>
    <w:lvl w:ilvl="0">
      <w:lvlJc w:val="left"/>
      <w:lvlText w:val="%1."/>
      <w:numFmt w:val="decimal"/>
      <w:start w:val="8"/>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9"/>
    </w:lvl>
  </w:abstractNum>
  <w:abstractNum w:abstractNumId="57">
    <w:nsid w:val="613EFDC5"/>
    <w:multiLevelType w:val="hybridMultilevel"/>
    <w:lvl w:ilvl="0">
      <w:lvlJc w:val="left"/>
      <w:lvlText w:val="(%1)"/>
      <w:numFmt w:val="lowerLetter"/>
      <w:start w:val="2"/>
    </w:lvl>
  </w:abstractNum>
  <w:abstractNum w:abstractNumId="58">
    <w:nsid w:val="BF72B14"/>
    <w:multiLevelType w:val="hybridMultilevel"/>
    <w:lvl w:ilvl="0">
      <w:lvlJc w:val="left"/>
      <w:lvlText w:val="(%1)"/>
      <w:numFmt w:val="lowerLetter"/>
      <w:start w:val="3"/>
    </w:lvl>
  </w:abstractNum>
  <w:abstractNum w:abstractNumId="59">
    <w:nsid w:val="11447B73"/>
    <w:multiLevelType w:val="hybridMultilevel"/>
    <w:lvl w:ilvl="0">
      <w:lvlJc w:val="left"/>
      <w:lvlText w:val="%1."/>
      <w:numFmt w:val="decimal"/>
      <w:start w:val="10"/>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decimal"/>
      <w:start w:val="12"/>
    </w:lvl>
  </w:abstractNum>
  <w:abstractNum w:abstractNumId="62">
    <w:nsid w:val="8F2B15E"/>
    <w:multiLevelType w:val="hybridMultilevel"/>
    <w:lvl w:ilvl="0">
      <w:lvlJc w:val="left"/>
      <w:lvlText w:val="%1."/>
      <w:numFmt w:val="decimal"/>
      <w:start w:val="17"/>
    </w:lvl>
  </w:abstractNum>
  <w:abstractNum w:abstractNumId="63">
    <w:nsid w:val="1A32234B"/>
    <w:multiLevelType w:val="hybridMultilevel"/>
    <w:lvl w:ilvl="0">
      <w:lvlJc w:val="left"/>
      <w:lvlText w:val="%1."/>
      <w:numFmt w:val="decimal"/>
      <w:start w:val="18"/>
    </w:lvl>
  </w:abstractNum>
  <w:abstractNum w:abstractNumId="64">
    <w:nsid w:val="3B0FD379"/>
    <w:multiLevelType w:val="hybridMultilevel"/>
    <w:lvl w:ilvl="0">
      <w:lvlJc w:val="left"/>
      <w:lvlText w:val="%1."/>
      <w:numFmt w:val="decimal"/>
      <w:start w:val="24"/>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2"/>
    </w:lvl>
  </w:abstractNum>
  <w:abstractNum w:abstractNumId="69">
    <w:nsid w:val="14330624"/>
    <w:multiLevelType w:val="hybridMultilevel"/>
    <w:lvl w:ilvl="0">
      <w:lvlJc w:val="left"/>
      <w:lvlText w:val="%1."/>
      <w:numFmt w:val="decimal"/>
      <w:start w:val="3"/>
    </w:lvl>
  </w:abstractNum>
  <w:abstractNum w:abstractNumId="70">
    <w:nsid w:val="7FFFCA11"/>
    <w:multiLevelType w:val="hybridMultilevel"/>
    <w:lvl w:ilvl="0">
      <w:lvlJc w:val="left"/>
      <w:lvlText w:val="%1."/>
      <w:numFmt w:val="decimal"/>
      <w:start w:val="4"/>
    </w:lvl>
  </w:abstractNum>
  <w:abstractNum w:abstractNumId="71">
    <w:nsid w:val="1A27709E"/>
    <w:multiLevelType w:val="hybridMultilevel"/>
    <w:lvl w:ilvl="0">
      <w:lvlJc w:val="left"/>
      <w:lvlText w:val="%1."/>
      <w:numFmt w:val="decimal"/>
      <w:start w:val="5"/>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Roman"/>
      <w:start w:val="1"/>
    </w:lvl>
  </w:abstractNum>
  <w:abstractNum w:abstractNumId="74">
    <w:nsid w:val="7FB7E0AA"/>
    <w:multiLevelType w:val="hybridMultilevel"/>
    <w:lvl w:ilvl="0">
      <w:lvlJc w:val="left"/>
      <w:lvlText w:val="(%1)"/>
      <w:numFmt w:val="lowerLetter"/>
      <w:start w:val="2"/>
    </w:lvl>
  </w:abstractNum>
  <w:abstractNum w:abstractNumId="75">
    <w:nsid w:val="6EB5BD4"/>
    <w:multiLevelType w:val="hybridMultilevel"/>
    <w:lvl w:ilvl="0">
      <w:lvlJc w:val="left"/>
      <w:lvlText w:val="(%1)"/>
      <w:numFmt w:val="lowerRoman"/>
      <w:start w:val="1"/>
    </w:lvl>
  </w:abstractNum>
  <w:abstractNum w:abstractNumId="76">
    <w:nsid w:val="6F6DD9AC"/>
    <w:multiLevelType w:val="hybridMultilevel"/>
    <w:lvl w:ilvl="0">
      <w:lvlJc w:val="left"/>
      <w:lvlText w:val="(%1)"/>
      <w:numFmt w:val="lowerLetter"/>
      <w:start w:val="3"/>
    </w:lvl>
  </w:abstractNum>
  <w:abstractNum w:abstractNumId="77">
    <w:nsid w:val="94211F2"/>
    <w:multiLevelType w:val="hybridMultilevel"/>
    <w:lvl w:ilvl="0">
      <w:lvlJc w:val="left"/>
      <w:lvlText w:val="%1."/>
      <w:numFmt w:val="decimal"/>
      <w:start w:val="6"/>
    </w:lvl>
  </w:abstractNum>
  <w:abstractNum w:abstractNumId="78">
    <w:nsid w:val="885E1B"/>
    <w:multiLevelType w:val="hybridMultilevel"/>
    <w:lvl w:ilvl="0">
      <w:lvlJc w:val="left"/>
      <w:lvlText w:val="(%1)"/>
      <w:numFmt w:val="lowerLetter"/>
      <w:start w:val="1"/>
    </w:lvl>
  </w:abstractNum>
  <w:abstractNum w:abstractNumId="79">
    <w:nsid w:val="76272110"/>
    <w:multiLevelType w:val="hybridMultilevel"/>
    <w:lvl w:ilvl="0">
      <w:lvlJc w:val="left"/>
      <w:lvlText w:val="(%1)"/>
      <w:numFmt w:val="lowerLetter"/>
      <w:start w:val="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decimal"/>
      <w:start w:val="7"/>
    </w:lvl>
  </w:abstractNum>
  <w:abstractNum w:abstractNumId="82">
    <w:nsid w:val="14E17E33"/>
    <w:multiLevelType w:val="hybridMultilevel"/>
    <w:lvl w:ilvl="0">
      <w:lvlJc w:val="left"/>
      <w:lvlText w:val="%1."/>
      <w:numFmt w:val="decimal"/>
      <w:start w:val="8"/>
    </w:lvl>
  </w:abstractNum>
  <w:abstractNum w:abstractNumId="83">
    <w:nsid w:val="3222E7CD"/>
    <w:multiLevelType w:val="hybridMultilevel"/>
    <w:lvl w:ilvl="0">
      <w:lvlJc w:val="left"/>
      <w:lvlText w:val="%1."/>
      <w:numFmt w:val="decimal"/>
      <w:start w:val="9"/>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decimal"/>
      <w:start w:val="5"/>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decimal"/>
      <w:start w:val="1"/>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decimal"/>
      <w:start w:val="5"/>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2026-04-29T15:58:45Z</dcterms:created>
  <dcterms:modified xsi:type="dcterms:W3CDTF">2026-04-29T15:58:45Z</dcterms:modified>
</cp:coreProperties>
</file>