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66675</wp:posOffset>
            </wp:positionV>
            <wp:extent cx="161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93980</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11"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86"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11" w:lineRule="exact"/>
        <w:rPr>
          <w:sz w:val="24"/>
          <w:szCs w:val="24"/>
          <w:color w:val="auto"/>
        </w:rPr>
      </w:pPr>
    </w:p>
    <w:p>
      <w:pPr>
        <w:ind w:left="540"/>
        <w:spacing w:after="0"/>
        <w:tabs>
          <w:tab w:leader="none" w:pos="33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77470</wp:posOffset>
            </wp:positionV>
            <wp:extent cx="1619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99060</wp:posOffset>
            </wp:positionV>
            <wp:extent cx="1619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p>
      <w:pPr>
        <w:spacing w:after="0" w:line="232"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WASHINGTON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91-1144442</w:t>
      </w:r>
    </w:p>
    <w:p>
      <w:pPr>
        <w:spacing w:after="0" w:line="31" w:lineRule="exact"/>
        <w:rPr>
          <w:sz w:val="24"/>
          <w:szCs w:val="24"/>
          <w:color w:val="auto"/>
        </w:rPr>
      </w:pPr>
    </w:p>
    <w:p>
      <w:pPr>
        <w:sectPr>
          <w:pgSz w:w="11900" w:h="16838" w:orient="portrait"/>
          <w:cols w:equalWidth="0" w:num="2">
            <w:col w:w="7360" w:space="720"/>
            <w:col w:w="3160"/>
          </w:cols>
          <w:pgMar w:left="320" w:top="528" w:right="339" w:bottom="1440" w:gutter="0" w:footer="0" w:header="0"/>
          <w:type w:val="continuous"/>
        </w:sectPr>
      </w:pPr>
    </w:p>
    <w:p>
      <w:pPr>
        <w:ind w:left="18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ID)</w:t>
      </w:r>
    </w:p>
    <w:p>
      <w:pPr>
        <w:spacing w:after="0" w:line="39" w:lineRule="exact"/>
        <w:rPr>
          <w:sz w:val="24"/>
          <w:szCs w:val="24"/>
          <w:color w:val="auto"/>
        </w:rPr>
      </w:pPr>
    </w:p>
    <w:p>
      <w:pPr>
        <w:sectPr>
          <w:pgSz w:w="11900" w:h="16838" w:orient="portrait"/>
          <w:cols w:equalWidth="0" w:num="2">
            <w:col w:w="7480" w:space="720"/>
            <w:col w:w="3040"/>
          </w:cols>
          <w:pgMar w:left="320" w:top="528" w:right="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ONE MICROSOFT WAY, REDMOND, WASHINGTON 98052-6399</w:t>
      </w:r>
    </w:p>
    <w:p>
      <w:pPr>
        <w:ind w:left="5500" w:hanging="399"/>
        <w:spacing w:after="0" w:line="233" w:lineRule="auto"/>
        <w:tabs>
          <w:tab w:leader="none" w:pos="55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882-8080</w:t>
      </w:r>
    </w:p>
    <w:p>
      <w:pPr>
        <w:ind w:left="45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www.microsoft.com/investor</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4500" w:type="dxa"/>
            <w:vAlign w:val="bottom"/>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23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5"/>
                <w:szCs w:val="15"/>
                <w:color w:val="auto"/>
              </w:rPr>
              <w:t>Title of each class</w:t>
            </w:r>
          </w:p>
        </w:tc>
        <w:tc>
          <w:tcPr>
            <w:tcW w:w="2360" w:type="dxa"/>
            <w:vAlign w:val="bottom"/>
          </w:tcPr>
          <w:p>
            <w:pPr>
              <w:jc w:val="center"/>
              <w:ind w:right="4"/>
              <w:spacing w:after="0"/>
              <w:rPr>
                <w:sz w:val="20"/>
                <w:szCs w:val="20"/>
                <w:color w:val="auto"/>
              </w:rPr>
            </w:pPr>
            <w:r>
              <w:rPr>
                <w:rFonts w:ascii="Arial" w:cs="Arial" w:eastAsia="Arial" w:hAnsi="Arial"/>
                <w:sz w:val="15"/>
                <w:szCs w:val="15"/>
                <w:color w:val="auto"/>
              </w:rPr>
              <w:t>Trading Symbol</w:t>
            </w:r>
          </w:p>
        </w:tc>
        <w:tc>
          <w:tcPr>
            <w:tcW w:w="3360" w:type="dxa"/>
            <w:vAlign w:val="bottom"/>
          </w:tcPr>
          <w:p>
            <w:pPr>
              <w:jc w:val="center"/>
              <w:ind w:left="624"/>
              <w:spacing w:after="0"/>
              <w:rPr>
                <w:sz w:val="20"/>
                <w:szCs w:val="20"/>
                <w:color w:val="auto"/>
              </w:rPr>
            </w:pPr>
            <w:r>
              <w:rPr>
                <w:rFonts w:ascii="Arial" w:cs="Arial" w:eastAsia="Arial" w:hAnsi="Arial"/>
                <w:sz w:val="15"/>
                <w:szCs w:val="15"/>
                <w:color w:val="auto"/>
              </w:rPr>
              <w:t>Name of exchange on which registered</w:t>
            </w:r>
          </w:p>
        </w:tc>
      </w:tr>
      <w:tr>
        <w:trPr>
          <w:trHeight w:val="189"/>
        </w:trPr>
        <w:tc>
          <w:tcPr>
            <w:tcW w:w="4500" w:type="dxa"/>
            <w:vAlign w:val="bottom"/>
          </w:tcPr>
          <w:p>
            <w:pPr>
              <w:spacing w:after="0"/>
              <w:rPr>
                <w:sz w:val="20"/>
                <w:szCs w:val="20"/>
                <w:color w:val="auto"/>
              </w:rPr>
            </w:pPr>
            <w:r>
              <w:rPr>
                <w:rFonts w:ascii="Arial" w:cs="Arial" w:eastAsia="Arial" w:hAnsi="Arial"/>
                <w:sz w:val="15"/>
                <w:szCs w:val="15"/>
                <w:b w:val="1"/>
                <w:bCs w:val="1"/>
                <w:color w:val="auto"/>
              </w:rPr>
              <w:t>Common stock, $0.00000625 par value per share</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r>
        <w:trPr>
          <w:trHeight w:val="162"/>
        </w:trPr>
        <w:tc>
          <w:tcPr>
            <w:tcW w:w="4500" w:type="dxa"/>
            <w:vAlign w:val="bottom"/>
          </w:tcPr>
          <w:p>
            <w:pPr>
              <w:spacing w:after="0" w:line="162" w:lineRule="exact"/>
              <w:rPr>
                <w:sz w:val="20"/>
                <w:szCs w:val="20"/>
                <w:color w:val="auto"/>
              </w:rPr>
            </w:pPr>
            <w:r>
              <w:rPr>
                <w:rFonts w:ascii="Arial" w:cs="Arial" w:eastAsia="Arial" w:hAnsi="Arial"/>
                <w:sz w:val="15"/>
                <w:szCs w:val="15"/>
                <w:b w:val="1"/>
                <w:bCs w:val="1"/>
                <w:color w:val="auto"/>
              </w:rPr>
              <w:t>3.125% Notes due 2028</w:t>
            </w:r>
          </w:p>
        </w:tc>
        <w:tc>
          <w:tcPr>
            <w:tcW w:w="236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line="162" w:lineRule="exact"/>
              <w:rPr>
                <w:sz w:val="20"/>
                <w:szCs w:val="20"/>
                <w:color w:val="auto"/>
              </w:rPr>
            </w:pPr>
            <w:r>
              <w:rPr>
                <w:rFonts w:ascii="Arial" w:cs="Arial" w:eastAsia="Arial" w:hAnsi="Arial"/>
                <w:sz w:val="15"/>
                <w:szCs w:val="15"/>
                <w:b w:val="1"/>
                <w:bCs w:val="1"/>
                <w:color w:val="auto"/>
              </w:rPr>
              <w:t>NASDAQ</w:t>
            </w:r>
          </w:p>
        </w:tc>
      </w:tr>
      <w:tr>
        <w:trPr>
          <w:trHeight w:val="210"/>
        </w:trPr>
        <w:tc>
          <w:tcPr>
            <w:tcW w:w="4500" w:type="dxa"/>
            <w:vAlign w:val="bottom"/>
          </w:tcPr>
          <w:p>
            <w:pPr>
              <w:spacing w:after="0"/>
              <w:rPr>
                <w:sz w:val="20"/>
                <w:szCs w:val="20"/>
                <w:color w:val="auto"/>
              </w:rPr>
            </w:pPr>
            <w:r>
              <w:rPr>
                <w:rFonts w:ascii="Arial" w:cs="Arial" w:eastAsia="Arial" w:hAnsi="Arial"/>
                <w:sz w:val="15"/>
                <w:szCs w:val="15"/>
                <w:b w:val="1"/>
                <w:bCs w:val="1"/>
                <w:color w:val="auto"/>
              </w:rPr>
              <w:t>2.625% Notes due 2033</w:t>
            </w:r>
          </w:p>
        </w:tc>
        <w:tc>
          <w:tcPr>
            <w:tcW w:w="2360" w:type="dxa"/>
            <w:vAlign w:val="bottom"/>
          </w:tcPr>
          <w:p>
            <w:pPr>
              <w:jc w:val="center"/>
              <w:ind w:right="24"/>
              <w:spacing w:after="0"/>
              <w:rPr>
                <w:sz w:val="20"/>
                <w:szCs w:val="20"/>
                <w:color w:val="auto"/>
              </w:rPr>
            </w:pPr>
            <w:r>
              <w:rPr>
                <w:rFonts w:ascii="Arial" w:cs="Arial" w:eastAsia="Arial" w:hAnsi="Arial"/>
                <w:sz w:val="15"/>
                <w:szCs w:val="15"/>
                <w:b w:val="1"/>
                <w:bCs w:val="1"/>
                <w:color w:val="auto"/>
              </w:rPr>
              <w:t>MSFT</w:t>
            </w:r>
          </w:p>
        </w:tc>
        <w:tc>
          <w:tcPr>
            <w:tcW w:w="3360" w:type="dxa"/>
            <w:vAlign w:val="bottom"/>
          </w:tcPr>
          <w:p>
            <w:pPr>
              <w:jc w:val="center"/>
              <w:ind w:left="624"/>
              <w:spacing w:after="0"/>
              <w:rPr>
                <w:sz w:val="20"/>
                <w:szCs w:val="20"/>
                <w:color w:val="auto"/>
              </w:rPr>
            </w:pPr>
            <w:r>
              <w:rPr>
                <w:rFonts w:ascii="Arial" w:cs="Arial" w:eastAsia="Arial" w:hAnsi="Arial"/>
                <w:sz w:val="15"/>
                <w:szCs w:val="15"/>
                <w:b w:val="1"/>
                <w:bCs w:val="1"/>
                <w:color w:val="auto"/>
              </w:rPr>
              <w:t>NASDAQ</w:t>
            </w:r>
          </w:p>
        </w:tc>
      </w:tr>
    </w:tbl>
    <w:p>
      <w:pPr>
        <w:spacing w:after="0" w:line="21" w:lineRule="exact"/>
        <w:rPr>
          <w:sz w:val="24"/>
          <w:szCs w:val="24"/>
          <w:color w:val="auto"/>
        </w:rPr>
      </w:pPr>
    </w:p>
    <w:p>
      <w:pPr>
        <w:jc w:val="both"/>
        <w:spacing w:after="0" w:line="24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740" w:val="left"/>
          <w:tab w:leader="none" w:pos="1380" w:val="left"/>
        </w:tabs>
        <w:rPr>
          <w:sz w:val="20"/>
          <w:szCs w:val="20"/>
          <w:color w:val="auto"/>
        </w:rPr>
      </w:pPr>
      <w:r>
        <w:rPr>
          <w:rFonts w:ascii="Arial" w:cs="Arial" w:eastAsia="Arial" w:hAnsi="Arial"/>
          <w:sz w:val="15"/>
          <w:szCs w:val="15"/>
          <w:color w:val="auto"/>
        </w:rPr>
        <w:t>90 days.</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60" w:lineRule="exact"/>
        <w:rPr>
          <w:sz w:val="24"/>
          <w:szCs w:val="24"/>
          <w:color w:val="auto"/>
        </w:rPr>
      </w:pPr>
    </w:p>
    <w:p>
      <w:pPr>
        <w:jc w:val="both"/>
        <w:spacing w:after="0" w:line="19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2" w:lineRule="exact"/>
        <w:rPr>
          <w:sz w:val="24"/>
          <w:szCs w:val="24"/>
          <w:color w:val="auto"/>
        </w:rPr>
      </w:pPr>
    </w:p>
    <w:p>
      <w:pPr>
        <w:jc w:val="both"/>
        <w:spacing w:after="0" w:line="24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8" w:right="339" w:bottom="1440" w:gutter="0" w:footer="0" w:header="0"/>
          <w:type w:val="continuous"/>
        </w:sectPr>
      </w:pPr>
    </w:p>
    <w:p>
      <w:pPr>
        <w:spacing w:after="0" w:line="6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67" w:lineRule="exact"/>
        <w:rPr>
          <w:sz w:val="24"/>
          <w:szCs w:val="24"/>
          <w:color w:val="auto"/>
        </w:rPr>
      </w:pPr>
    </w:p>
    <w:p>
      <w:pPr>
        <w:sectPr>
          <w:pgSz w:w="11900" w:h="16838" w:orient="portrait"/>
          <w:cols w:equalWidth="0" w:num="2">
            <w:col w:w="7640" w:space="720"/>
            <w:col w:w="2880"/>
          </w:cols>
          <w:pgMar w:left="320" w:top="528" w:right="3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7640" w:space="720"/>
            <w:col w:w="2880"/>
          </w:cols>
          <w:pgMar w:left="320" w:top="528" w:right="339" w:bottom="1440" w:gutter="0" w:footer="0" w:header="0"/>
          <w:type w:val="continuous"/>
        </w:sectPr>
      </w:pPr>
    </w:p>
    <w:p>
      <w:pPr>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right="2360"/>
        <w:spacing w:after="0" w:line="23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Class</w:t>
            </w:r>
          </w:p>
        </w:tc>
        <w:tc>
          <w:tcPr>
            <w:tcW w:w="5160" w:type="dxa"/>
            <w:vAlign w:val="bottom"/>
            <w:tcBorders>
              <w:bottom w:val="single" w:sz="8" w:color="auto"/>
            </w:tcBorders>
          </w:tcPr>
          <w:p>
            <w:pPr>
              <w:ind w:left="2700"/>
              <w:spacing w:after="0"/>
              <w:rPr>
                <w:sz w:val="20"/>
                <w:szCs w:val="20"/>
                <w:color w:val="auto"/>
              </w:rPr>
            </w:pPr>
            <w:r>
              <w:rPr>
                <w:rFonts w:ascii="Arial" w:cs="Arial" w:eastAsia="Arial" w:hAnsi="Arial"/>
                <w:sz w:val="13"/>
                <w:szCs w:val="13"/>
                <w:b w:val="1"/>
                <w:bCs w:val="1"/>
                <w:color w:val="auto"/>
              </w:rPr>
              <w:t>Outstanding as of October 20, 2022</w:t>
            </w:r>
          </w:p>
        </w:tc>
      </w:tr>
      <w:tr>
        <w:trPr>
          <w:trHeight w:val="203"/>
        </w:trPr>
        <w:tc>
          <w:tcPr>
            <w:tcW w:w="6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Common Stock, $0.00000625 par value per share</w:t>
            </w:r>
          </w:p>
        </w:tc>
        <w:tc>
          <w:tcPr>
            <w:tcW w:w="5160" w:type="dxa"/>
            <w:vAlign w:val="bottom"/>
            <w:tcBorders>
              <w:bottom w:val="single" w:sz="8" w:color="auto"/>
            </w:tcBorders>
          </w:tcPr>
          <w:p>
            <w:pPr>
              <w:ind w:left="3500"/>
              <w:spacing w:after="0"/>
              <w:rPr>
                <w:sz w:val="20"/>
                <w:szCs w:val="20"/>
                <w:color w:val="auto"/>
              </w:rPr>
            </w:pPr>
            <w:r>
              <w:rPr>
                <w:rFonts w:ascii="Arial" w:cs="Arial" w:eastAsia="Arial" w:hAnsi="Arial"/>
                <w:sz w:val="15"/>
                <w:szCs w:val="15"/>
                <w:color w:val="auto"/>
              </w:rPr>
              <w:t>7,454,473,144 shares</w:t>
            </w:r>
          </w:p>
        </w:tc>
      </w:tr>
      <w:tr>
        <w:trPr>
          <w:trHeight w:val="743"/>
        </w:trPr>
        <w:tc>
          <w:tcPr>
            <w:tcW w:w="60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MICROSOFT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gridSpan w:val="7"/>
            <w:vMerge w:val="restart"/>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7200" w:type="dxa"/>
            <w:vAlign w:val="bottom"/>
            <w:gridSpan w:val="14"/>
            <w:vMerge w:val="restart"/>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8"/>
        </w:trPr>
        <w:tc>
          <w:tcPr>
            <w:tcW w:w="900" w:type="dxa"/>
            <w:vAlign w:val="bottom"/>
            <w:vMerge w:val="continue"/>
          </w:tcPr>
          <w:p>
            <w:pPr>
              <w:spacing w:after="0"/>
              <w:rPr>
                <w:sz w:val="16"/>
                <w:szCs w:val="16"/>
                <w:color w:val="auto"/>
              </w:rPr>
            </w:pPr>
          </w:p>
        </w:tc>
        <w:tc>
          <w:tcPr>
            <w:tcW w:w="2280" w:type="dxa"/>
            <w:vAlign w:val="bottom"/>
            <w:tcBorders>
              <w:bottom w:val="single" w:sz="8" w:color="0000EE"/>
            </w:tcBorders>
            <w:gridSpan w:val="7"/>
            <w:vMerge w:val="continue"/>
          </w:tcPr>
          <w:p>
            <w:pPr>
              <w:spacing w:after="0"/>
              <w:rPr>
                <w:sz w:val="16"/>
                <w:szCs w:val="16"/>
                <w:color w:val="auto"/>
              </w:rPr>
            </w:pPr>
          </w:p>
        </w:tc>
        <w:tc>
          <w:tcPr>
            <w:tcW w:w="7200" w:type="dxa"/>
            <w:vAlign w:val="bottom"/>
            <w:gridSpan w:val="14"/>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Financial Statements</w:t>
            </w:r>
          </w:p>
        </w:tc>
        <w:tc>
          <w:tcPr>
            <w:tcW w:w="680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a)</w:t>
            </w:r>
          </w:p>
        </w:tc>
        <w:tc>
          <w:tcPr>
            <w:tcW w:w="8160" w:type="dxa"/>
            <w:vAlign w:val="bottom"/>
            <w:gridSpan w:val="18"/>
          </w:tcPr>
          <w:p>
            <w:pPr>
              <w:spacing w:after="0"/>
              <w:rPr>
                <w:sz w:val="20"/>
                <w:szCs w:val="20"/>
                <w:color w:val="auto"/>
              </w:rPr>
            </w:pPr>
            <w:r>
              <w:rPr>
                <w:rFonts w:ascii="Arial" w:cs="Arial" w:eastAsia="Arial" w:hAnsi="Arial"/>
                <w:sz w:val="18"/>
                <w:szCs w:val="18"/>
                <w:color w:val="0000EE"/>
              </w:rPr>
              <w:t>Income Statements for the Three Months Ended September 30, 2022 and 2021</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b)</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76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Comprehensive Income Statements for the Three Months Ended September 30, 2022 and 2021</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c)</w:t>
            </w:r>
          </w:p>
        </w:tc>
        <w:tc>
          <w:tcPr>
            <w:tcW w:w="8160" w:type="dxa"/>
            <w:vAlign w:val="bottom"/>
            <w:gridSpan w:val="18"/>
          </w:tcPr>
          <w:p>
            <w:pPr>
              <w:spacing w:after="0"/>
              <w:rPr>
                <w:sz w:val="20"/>
                <w:szCs w:val="20"/>
                <w:color w:val="auto"/>
              </w:rPr>
            </w:pPr>
            <w:r>
              <w:rPr>
                <w:rFonts w:ascii="Arial" w:cs="Arial" w:eastAsia="Arial" w:hAnsi="Arial"/>
                <w:sz w:val="18"/>
                <w:szCs w:val="18"/>
                <w:color w:val="0000EE"/>
              </w:rPr>
              <w:t>Balance Sheets as of September 30, 2022 and June 30, 2022</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d)</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66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Cash Flows Statements for the Three Months Ended September 30, 2022 and 2021</w:t>
            </w:r>
          </w:p>
        </w:tc>
        <w:tc>
          <w:tcPr>
            <w:tcW w:w="148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e)</w:t>
            </w:r>
          </w:p>
        </w:tc>
        <w:tc>
          <w:tcPr>
            <w:tcW w:w="8160" w:type="dxa"/>
            <w:vAlign w:val="bottom"/>
            <w:gridSpan w:val="18"/>
          </w:tcPr>
          <w:p>
            <w:pPr>
              <w:spacing w:after="0"/>
              <w:rPr>
                <w:sz w:val="20"/>
                <w:szCs w:val="20"/>
                <w:color w:val="auto"/>
              </w:rPr>
            </w:pPr>
            <w:r>
              <w:rPr>
                <w:rFonts w:ascii="Arial" w:cs="Arial" w:eastAsia="Arial" w:hAnsi="Arial"/>
                <w:sz w:val="18"/>
                <w:szCs w:val="18"/>
                <w:color w:val="0000EE"/>
              </w:rPr>
              <w:t>Stockholders’ Equity Statements for the Three Months Ended September 30, 2022 and 2021</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f)</w:t>
            </w:r>
          </w:p>
        </w:tc>
        <w:tc>
          <w:tcPr>
            <w:tcW w:w="736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Notes to Financial Statements</w:t>
            </w:r>
          </w:p>
        </w:tc>
        <w:tc>
          <w:tcPr>
            <w:tcW w:w="80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vMerge w:val="restart"/>
          </w:tcPr>
          <w:p>
            <w:pPr>
              <w:spacing w:after="0"/>
              <w:rPr>
                <w:sz w:val="20"/>
                <w:szCs w:val="20"/>
                <w:color w:val="auto"/>
              </w:rPr>
            </w:pPr>
            <w:r>
              <w:rPr>
                <w:rFonts w:ascii="Arial" w:cs="Arial" w:eastAsia="Arial" w:hAnsi="Arial"/>
                <w:sz w:val="18"/>
                <w:szCs w:val="18"/>
                <w:color w:val="auto"/>
              </w:rPr>
              <w:t>g)</w:t>
            </w: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140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48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Controls and Procedures</w:t>
            </w:r>
          </w:p>
        </w:tc>
        <w:tc>
          <w:tcPr>
            <w:tcW w:w="378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8"/>
              </w:rPr>
              <w:t>OTHER INFORMATION</w:t>
            </w:r>
          </w:p>
        </w:tc>
        <w:tc>
          <w:tcPr>
            <w:tcW w:w="7540" w:type="dxa"/>
            <w:vAlign w:val="bottom"/>
            <w:gridSpan w:val="16"/>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9"/>
          </w:tcPr>
          <w:p>
            <w:pPr>
              <w:spacing w:after="0"/>
              <w:rPr>
                <w:sz w:val="20"/>
                <w:szCs w:val="20"/>
                <w:color w:val="auto"/>
              </w:rPr>
            </w:pPr>
            <w:r>
              <w:rPr>
                <w:rFonts w:ascii="Arial" w:cs="Arial" w:eastAsia="Arial" w:hAnsi="Arial"/>
                <w:sz w:val="18"/>
                <w:szCs w:val="18"/>
                <w:color w:val="0000EE"/>
              </w:rPr>
              <w:t>Legal Proceedings</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tcBorders>
              <w:top w:val="single" w:sz="8" w:color="0000EE"/>
            </w:tcBorders>
            <w:gridSpan w:val="2"/>
          </w:tcPr>
          <w:p>
            <w:pPr>
              <w:spacing w:after="0"/>
              <w:rPr>
                <w:sz w:val="24"/>
                <w:szCs w:val="24"/>
                <w:color w:val="auto"/>
              </w:rPr>
            </w:pPr>
          </w:p>
        </w:tc>
        <w:tc>
          <w:tcPr>
            <w:tcW w:w="700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Exhibits</w:t>
            </w:r>
          </w:p>
        </w:tc>
        <w:tc>
          <w:tcPr>
            <w:tcW w:w="364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25"/>
        </w:trPr>
        <w:tc>
          <w:tcPr>
            <w:tcW w:w="10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8"/>
              </w:rPr>
              <w:t>SIGNATURE</w:t>
            </w:r>
          </w:p>
        </w:tc>
        <w:tc>
          <w:tcPr>
            <w:tcW w:w="8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ITEM 1. FINANCIAL STATEMENTS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INCOME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4420" w:type="dxa"/>
            <w:vAlign w:val="bottom"/>
          </w:tcPr>
          <w:p>
            <w:pPr>
              <w:jc w:val="right"/>
              <w:ind w:right="673"/>
              <w:spacing w:after="0"/>
              <w:rPr>
                <w:sz w:val="20"/>
                <w:szCs w:val="20"/>
                <w:color w:val="auto"/>
              </w:rPr>
            </w:pPr>
            <w:r>
              <w:rPr>
                <w:rFonts w:ascii="Arial" w:cs="Arial" w:eastAsia="Arial" w:hAnsi="Arial"/>
                <w:sz w:val="13"/>
                <w:szCs w:val="13"/>
                <w:b w:val="1"/>
                <w:bCs w:val="1"/>
                <w:color w:val="auto"/>
              </w:rPr>
              <w:t>2022</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r>
    </w:tbl>
    <w:p>
      <w:pPr>
        <w:spacing w:after="0" w:line="8" w:lineRule="exact"/>
        <w:rPr>
          <w:sz w:val="20"/>
          <w:szCs w:val="20"/>
          <w:color w:val="auto"/>
        </w:rPr>
      </w:pPr>
    </w:p>
    <w:p>
      <w:pPr>
        <w:sectPr>
          <w:pgSz w:w="11900" w:h="16838" w:orient="portrait"/>
          <w:cols w:equalWidth="0" w:num="1">
            <w:col w:w="11140"/>
          </w:cols>
          <w:pgMar w:left="320" w:top="125" w:right="439" w:bottom="1440" w:gutter="0" w:footer="0" w:header="0"/>
        </w:sect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20"/>
                <w:szCs w:val="20"/>
                <w:color w:val="auto"/>
              </w:rPr>
            </w:pPr>
            <w:r>
              <w:rPr>
                <w:rFonts w:ascii="Arial" w:cs="Arial" w:eastAsia="Arial" w:hAnsi="Arial"/>
                <w:sz w:val="18"/>
                <w:szCs w:val="18"/>
                <w:color w:val="auto"/>
              </w:rPr>
              <w:t>Revenue:</w:t>
            </w: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Product</w:t>
            </w: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15,741</w:t>
            </w:r>
          </w:p>
        </w:tc>
        <w:tc>
          <w:tcPr>
            <w:tcW w:w="0" w:type="dxa"/>
            <w:vAlign w:val="bottom"/>
          </w:tcPr>
          <w:p>
            <w:pPr>
              <w:spacing w:after="0"/>
              <w:rPr>
                <w:sz w:val="1"/>
                <w:szCs w:val="1"/>
                <w:color w:val="auto"/>
              </w:rPr>
            </w:pPr>
          </w:p>
        </w:tc>
      </w:tr>
      <w:tr>
        <w:trPr>
          <w:trHeight w:val="247"/>
        </w:trPr>
        <w:tc>
          <w:tcPr>
            <w:tcW w:w="7920" w:type="dxa"/>
            <w:vAlign w:val="bottom"/>
          </w:tcPr>
          <w:p>
            <w:pPr>
              <w:ind w:left="220"/>
              <w:spacing w:after="0"/>
              <w:rPr>
                <w:sz w:val="20"/>
                <w:szCs w:val="20"/>
                <w:color w:val="auto"/>
              </w:rPr>
            </w:pPr>
            <w:r>
              <w:rPr>
                <w:rFonts w:ascii="Arial" w:cs="Arial" w:eastAsia="Arial" w:hAnsi="Arial"/>
                <w:sz w:val="18"/>
                <w:szCs w:val="18"/>
                <w:color w:val="auto"/>
              </w:rPr>
              <w:t>Service and other</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34,381</w:t>
            </w:r>
          </w:p>
        </w:tc>
        <w:tc>
          <w:tcPr>
            <w:tcW w:w="0" w:type="dxa"/>
            <w:vAlign w:val="bottom"/>
          </w:tcPr>
          <w:p>
            <w:pPr>
              <w:spacing w:after="0"/>
              <w:rPr>
                <w:sz w:val="1"/>
                <w:szCs w:val="1"/>
                <w:color w:val="auto"/>
              </w:rPr>
            </w:pPr>
          </w:p>
        </w:tc>
      </w:tr>
      <w:tr>
        <w:trPr>
          <w:trHeight w:val="56"/>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9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50,122</w:t>
            </w:r>
          </w:p>
        </w:tc>
        <w:tc>
          <w:tcPr>
            <w:tcW w:w="0" w:type="dxa"/>
            <w:vAlign w:val="bottom"/>
          </w:tcPr>
          <w:p>
            <w:pPr>
              <w:spacing w:after="0"/>
              <w:rPr>
                <w:sz w:val="1"/>
                <w:szCs w:val="1"/>
                <w:color w:val="auto"/>
              </w:rPr>
            </w:pPr>
          </w:p>
        </w:tc>
      </w:tr>
      <w:tr>
        <w:trPr>
          <w:trHeight w:val="55"/>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920" w:type="dxa"/>
            <w:vAlign w:val="bottom"/>
          </w:tcPr>
          <w:p>
            <w:pPr>
              <w:spacing w:after="0"/>
              <w:rPr>
                <w:sz w:val="20"/>
                <w:szCs w:val="20"/>
                <w:color w:val="auto"/>
              </w:rPr>
            </w:pPr>
            <w:r>
              <w:rPr>
                <w:rFonts w:ascii="Arial" w:cs="Arial" w:eastAsia="Arial" w:hAnsi="Arial"/>
                <w:sz w:val="18"/>
                <w:szCs w:val="18"/>
                <w:color w:val="auto"/>
              </w:rPr>
              <w:t>Cost of revenue:</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Product</w:t>
            </w: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4,302</w:t>
            </w:r>
          </w:p>
        </w:tc>
        <w:tc>
          <w:tcPr>
            <w:tcW w:w="0" w:type="dxa"/>
            <w:vAlign w:val="bottom"/>
          </w:tcPr>
          <w:p>
            <w:pPr>
              <w:spacing w:after="0"/>
              <w:rPr>
                <w:sz w:val="1"/>
                <w:szCs w:val="1"/>
                <w:color w:val="auto"/>
              </w:rPr>
            </w:pPr>
          </w:p>
        </w:tc>
      </w:tr>
      <w:tr>
        <w:trPr>
          <w:trHeight w:val="247"/>
        </w:trPr>
        <w:tc>
          <w:tcPr>
            <w:tcW w:w="7920" w:type="dxa"/>
            <w:vAlign w:val="bottom"/>
          </w:tcPr>
          <w:p>
            <w:pPr>
              <w:ind w:left="220"/>
              <w:spacing w:after="0"/>
              <w:rPr>
                <w:sz w:val="20"/>
                <w:szCs w:val="20"/>
                <w:color w:val="auto"/>
              </w:rPr>
            </w:pPr>
            <w:r>
              <w:rPr>
                <w:rFonts w:ascii="Arial" w:cs="Arial" w:eastAsia="Arial" w:hAnsi="Arial"/>
                <w:sz w:val="18"/>
                <w:szCs w:val="18"/>
                <w:color w:val="auto"/>
              </w:rPr>
              <w:t>Service and other</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11,150</w:t>
            </w:r>
          </w:p>
        </w:tc>
        <w:tc>
          <w:tcPr>
            <w:tcW w:w="0" w:type="dxa"/>
            <w:vAlign w:val="bottom"/>
          </w:tcPr>
          <w:p>
            <w:pPr>
              <w:spacing w:after="0"/>
              <w:rPr>
                <w:sz w:val="1"/>
                <w:szCs w:val="1"/>
                <w:color w:val="auto"/>
              </w:rPr>
            </w:pPr>
          </w:p>
        </w:tc>
      </w:tr>
      <w:tr>
        <w:trPr>
          <w:trHeight w:val="55"/>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792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15,452</w:t>
            </w:r>
          </w:p>
        </w:tc>
        <w:tc>
          <w:tcPr>
            <w:tcW w:w="0" w:type="dxa"/>
            <w:vAlign w:val="bottom"/>
          </w:tcPr>
          <w:p>
            <w:pPr>
              <w:spacing w:after="0"/>
              <w:rPr>
                <w:sz w:val="1"/>
                <w:szCs w:val="1"/>
                <w:color w:val="auto"/>
              </w:rPr>
            </w:pPr>
          </w:p>
        </w:tc>
      </w:tr>
      <w:tr>
        <w:trPr>
          <w:trHeight w:val="56"/>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920" w:type="dxa"/>
            <w:vAlign w:val="bottom"/>
          </w:tcPr>
          <w:p>
            <w:pPr>
              <w:ind w:left="440"/>
              <w:spacing w:after="0"/>
              <w:rPr>
                <w:sz w:val="20"/>
                <w:szCs w:val="20"/>
                <w:color w:val="auto"/>
              </w:rPr>
            </w:pPr>
            <w:r>
              <w:rPr>
                <w:rFonts w:ascii="Arial" w:cs="Arial" w:eastAsia="Arial" w:hAnsi="Arial"/>
                <w:sz w:val="18"/>
                <w:szCs w:val="18"/>
                <w:color w:val="auto"/>
              </w:rPr>
              <w:t>Gross margin</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34,670</w:t>
            </w:r>
          </w:p>
        </w:tc>
        <w:tc>
          <w:tcPr>
            <w:tcW w:w="0" w:type="dxa"/>
            <w:vAlign w:val="bottom"/>
          </w:tcPr>
          <w:p>
            <w:pPr>
              <w:spacing w:after="0"/>
              <w:rPr>
                <w:sz w:val="1"/>
                <w:szCs w:val="1"/>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6,628</w:t>
            </w:r>
          </w:p>
        </w:tc>
        <w:tc>
          <w:tcPr>
            <w:tcW w:w="0" w:type="dxa"/>
            <w:vAlign w:val="bottom"/>
          </w:tcPr>
          <w:p>
            <w:pPr>
              <w:spacing w:after="0"/>
              <w:rPr>
                <w:sz w:val="1"/>
                <w:szCs w:val="1"/>
                <w:color w:val="auto"/>
              </w:rPr>
            </w:pPr>
          </w:p>
        </w:tc>
      </w:tr>
      <w:tr>
        <w:trPr>
          <w:trHeight w:val="203"/>
        </w:trPr>
        <w:tc>
          <w:tcPr>
            <w:tcW w:w="79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5,126</w:t>
            </w:r>
          </w:p>
        </w:tc>
        <w:tc>
          <w:tcPr>
            <w:tcW w:w="0" w:type="dxa"/>
            <w:vAlign w:val="bottom"/>
          </w:tcPr>
          <w:p>
            <w:pPr>
              <w:spacing w:after="0"/>
              <w:rPr>
                <w:sz w:val="1"/>
                <w:szCs w:val="1"/>
                <w:color w:val="auto"/>
              </w:rPr>
            </w:pPr>
          </w:p>
        </w:tc>
      </w:tr>
      <w:tr>
        <w:trPr>
          <w:trHeight w:val="247"/>
        </w:trPr>
        <w:tc>
          <w:tcPr>
            <w:tcW w:w="7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1,398</w:t>
            </w:r>
          </w:p>
        </w:tc>
        <w:tc>
          <w:tcPr>
            <w:tcW w:w="0" w:type="dxa"/>
            <w:vAlign w:val="bottom"/>
          </w:tcPr>
          <w:p>
            <w:pPr>
              <w:spacing w:after="0"/>
              <w:rPr>
                <w:sz w:val="1"/>
                <w:szCs w:val="1"/>
                <w:color w:val="auto"/>
              </w:rPr>
            </w:pPr>
          </w:p>
        </w:tc>
      </w:tr>
      <w:tr>
        <w:trPr>
          <w:trHeight w:val="56"/>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920" w:type="dxa"/>
            <w:vAlign w:val="bottom"/>
          </w:tcPr>
          <w:p>
            <w:pPr>
              <w:spacing w:after="0"/>
              <w:rPr>
                <w:sz w:val="20"/>
                <w:szCs w:val="20"/>
                <w:color w:val="auto"/>
              </w:rPr>
            </w:pPr>
            <w:r>
              <w:rPr>
                <w:rFonts w:ascii="Arial" w:cs="Arial" w:eastAsia="Arial" w:hAnsi="Arial"/>
                <w:sz w:val="18"/>
                <w:szCs w:val="18"/>
                <w:color w:val="auto"/>
              </w:rPr>
              <w:t>Operating income</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21,518</w:t>
            </w:r>
          </w:p>
        </w:tc>
        <w:tc>
          <w:tcPr>
            <w:tcW w:w="0" w:type="dxa"/>
            <w:vAlign w:val="bottom"/>
          </w:tcPr>
          <w:p>
            <w:pPr>
              <w:spacing w:after="0"/>
              <w:rPr>
                <w:sz w:val="1"/>
                <w:szCs w:val="1"/>
                <w:color w:val="auto"/>
              </w:rPr>
            </w:pPr>
          </w:p>
        </w:tc>
      </w:tr>
      <w:tr>
        <w:trPr>
          <w:trHeight w:val="247"/>
        </w:trPr>
        <w:tc>
          <w:tcPr>
            <w:tcW w:w="7920" w:type="dxa"/>
            <w:vAlign w:val="bottom"/>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56"/>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9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21,572</w:t>
            </w:r>
          </w:p>
        </w:tc>
        <w:tc>
          <w:tcPr>
            <w:tcW w:w="0" w:type="dxa"/>
            <w:vAlign w:val="bottom"/>
          </w:tcPr>
          <w:p>
            <w:pPr>
              <w:spacing w:after="0"/>
              <w:rPr>
                <w:sz w:val="1"/>
                <w:szCs w:val="1"/>
                <w:color w:val="auto"/>
              </w:rPr>
            </w:pPr>
          </w:p>
        </w:tc>
      </w:tr>
      <w:tr>
        <w:trPr>
          <w:trHeight w:val="247"/>
        </w:trPr>
        <w:tc>
          <w:tcPr>
            <w:tcW w:w="7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4,016</w:t>
            </w:r>
          </w:p>
        </w:tc>
        <w:tc>
          <w:tcPr>
            <w:tcW w:w="0" w:type="dxa"/>
            <w:vAlign w:val="bottom"/>
          </w:tcPr>
          <w:p>
            <w:pPr>
              <w:spacing w:after="0"/>
              <w:rPr>
                <w:sz w:val="1"/>
                <w:szCs w:val="1"/>
                <w:color w:val="auto"/>
              </w:rPr>
            </w:pPr>
          </w:p>
        </w:tc>
      </w:tr>
      <w:tr>
        <w:trPr>
          <w:trHeight w:val="56"/>
        </w:trPr>
        <w:tc>
          <w:tcPr>
            <w:tcW w:w="79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17,556</w:t>
            </w:r>
          </w:p>
        </w:tc>
        <w:tc>
          <w:tcPr>
            <w:tcW w:w="0" w:type="dxa"/>
            <w:vAlign w:val="bottom"/>
          </w:tcPr>
          <w:p>
            <w:pPr>
              <w:spacing w:after="0"/>
              <w:rPr>
                <w:sz w:val="1"/>
                <w:szCs w:val="1"/>
                <w:color w:val="auto"/>
              </w:rPr>
            </w:pPr>
          </w:p>
        </w:tc>
      </w:tr>
      <w:tr>
        <w:trPr>
          <w:trHeight w:val="63"/>
        </w:trPr>
        <w:tc>
          <w:tcPr>
            <w:tcW w:w="79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79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47"/>
        </w:trPr>
        <w:tc>
          <w:tcPr>
            <w:tcW w:w="7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26"/>
        </w:trPr>
        <w:tc>
          <w:tcPr>
            <w:tcW w:w="79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2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5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7,457</w:t>
            </w:r>
          </w:p>
        </w:tc>
        <w:tc>
          <w:tcPr>
            <w:tcW w:w="0" w:type="dxa"/>
            <w:vAlign w:val="bottom"/>
          </w:tcPr>
          <w:p>
            <w:pPr>
              <w:spacing w:after="0"/>
              <w:rPr>
                <w:sz w:val="1"/>
                <w:szCs w:val="1"/>
                <w:color w:val="auto"/>
              </w:rPr>
            </w:pPr>
          </w:p>
        </w:tc>
      </w:tr>
      <w:tr>
        <w:trPr>
          <w:trHeight w:val="247"/>
        </w:trPr>
        <w:tc>
          <w:tcPr>
            <w:tcW w:w="7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-3769995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-3512820</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-3067050</wp:posOffset>
            </wp:positionV>
            <wp:extent cx="7132320" cy="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-2809875</wp:posOffset>
            </wp:positionV>
            <wp:extent cx="71323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-2364105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-2106930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-1755775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-1403985</wp:posOffset>
            </wp:positionV>
            <wp:extent cx="713232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-692785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7063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1" w:hanging="1001"/>
        <w:spacing w:after="0"/>
        <w:tabs>
          <w:tab w:leader="none" w:pos="1001" w:val="left"/>
        </w:tabs>
        <w:numPr>
          <w:ilvl w:val="0"/>
          <w:numId w:val="4"/>
        </w:numPr>
        <w:rPr>
          <w:rFonts w:ascii="Arial" w:cs="Arial" w:eastAsia="Arial" w:hAnsi="Arial"/>
          <w:sz w:val="18"/>
          <w:szCs w:val="18"/>
          <w:color w:val="auto"/>
        </w:rPr>
      </w:pPr>
      <w:r>
        <w:rPr>
          <w:rFonts w:ascii="Arial" w:cs="Arial" w:eastAsia="Arial" w:hAnsi="Arial"/>
          <w:sz w:val="18"/>
          <w:szCs w:val="18"/>
          <w:color w:val="auto"/>
        </w:rPr>
        <w:t>16,631</w:t>
      </w:r>
    </w:p>
    <w:p>
      <w:pPr>
        <w:spacing w:after="0" w:line="13" w:lineRule="exact"/>
        <w:rPr>
          <w:rFonts w:ascii="Arial" w:cs="Arial" w:eastAsia="Arial" w:hAnsi="Arial"/>
          <w:sz w:val="18"/>
          <w:szCs w:val="18"/>
          <w:color w:val="auto"/>
        </w:rPr>
      </w:pPr>
    </w:p>
    <w:p>
      <w:pPr>
        <w:ind w:left="1001"/>
        <w:spacing w:after="0"/>
        <w:rPr>
          <w:rFonts w:ascii="Arial" w:cs="Arial" w:eastAsia="Arial" w:hAnsi="Arial"/>
          <w:sz w:val="18"/>
          <w:szCs w:val="18"/>
          <w:color w:val="auto"/>
        </w:rPr>
      </w:pPr>
      <w:r>
        <w:rPr>
          <w:rFonts w:ascii="Arial" w:cs="Arial" w:eastAsia="Arial" w:hAnsi="Arial"/>
          <w:sz w:val="18"/>
          <w:szCs w:val="18"/>
          <w:color w:val="auto"/>
        </w:rPr>
        <w:t>28,686</w:t>
      </w:r>
    </w:p>
    <w:p>
      <w:pPr>
        <w:spacing w:after="0" w:line="126" w:lineRule="exact"/>
        <w:rPr>
          <w:rFonts w:ascii="Arial" w:cs="Arial" w:eastAsia="Arial" w:hAnsi="Arial"/>
          <w:sz w:val="18"/>
          <w:szCs w:val="18"/>
          <w:color w:val="auto"/>
        </w:rPr>
      </w:pPr>
    </w:p>
    <w:p>
      <w:pPr>
        <w:ind w:left="1001"/>
        <w:spacing w:after="0"/>
        <w:rPr>
          <w:rFonts w:ascii="Arial" w:cs="Arial" w:eastAsia="Arial" w:hAnsi="Arial"/>
          <w:sz w:val="18"/>
          <w:szCs w:val="18"/>
          <w:color w:val="auto"/>
        </w:rPr>
      </w:pPr>
      <w:r>
        <w:rPr>
          <w:rFonts w:ascii="Arial" w:cs="Arial" w:eastAsia="Arial" w:hAnsi="Arial"/>
          <w:sz w:val="18"/>
          <w:szCs w:val="18"/>
          <w:color w:val="auto"/>
        </w:rPr>
        <w:t>45,317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9855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55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-161925</wp:posOffset>
            </wp:positionV>
            <wp:extent cx="9855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3,792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9,854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9855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85520" cy="8890"/>
                    </a:xfrm>
                    <a:prstGeom prst="rect">
                      <a:avLst/>
                    </a:prstGeom>
                    <a:noFill/>
                  </pic:spPr>
                </pic:pic>
              </a:graphicData>
            </a:graphic>
          </wp:anchor>
        </w:drawing>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9855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31,671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5,599</w:t>
      </w:r>
    </w:p>
    <w:p>
      <w:pPr>
        <w:jc w:val="right"/>
        <w:spacing w:after="0" w:line="234" w:lineRule="auto"/>
        <w:rPr>
          <w:sz w:val="20"/>
          <w:szCs w:val="20"/>
          <w:color w:val="auto"/>
        </w:rPr>
      </w:pPr>
      <w:r>
        <w:rPr>
          <w:rFonts w:ascii="Arial" w:cs="Arial" w:eastAsia="Arial" w:hAnsi="Arial"/>
          <w:sz w:val="18"/>
          <w:szCs w:val="18"/>
          <w:color w:val="auto"/>
        </w:rPr>
        <w:t>4,547</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9855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20,238</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9855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20,524</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9855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06" w:lineRule="exact"/>
        <w:rPr>
          <w:sz w:val="20"/>
          <w:szCs w:val="20"/>
          <w:color w:val="auto"/>
        </w:rPr>
      </w:pPr>
    </w:p>
    <w:p>
      <w:pPr>
        <w:ind w:left="1001" w:hanging="1001"/>
        <w:spacing w:after="0"/>
        <w:tabs>
          <w:tab w:leader="none" w:pos="1001" w:val="left"/>
        </w:tabs>
        <w:numPr>
          <w:ilvl w:val="0"/>
          <w:numId w:val="5"/>
        </w:numPr>
        <w:rPr>
          <w:rFonts w:ascii="Arial" w:cs="Arial" w:eastAsia="Arial" w:hAnsi="Arial"/>
          <w:sz w:val="18"/>
          <w:szCs w:val="18"/>
          <w:color w:val="auto"/>
        </w:rPr>
      </w:pPr>
      <w:r>
        <w:rPr>
          <w:rFonts w:ascii="Arial" w:cs="Arial" w:eastAsia="Arial" w:hAnsi="Arial"/>
          <w:sz w:val="18"/>
          <w:szCs w:val="18"/>
          <w:color w:val="auto"/>
        </w:rPr>
        <w:t>20,505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9855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5520" cy="17145"/>
                    </a:xfrm>
                    <a:prstGeom prst="rect">
                      <a:avLst/>
                    </a:prstGeom>
                    <a:noFill/>
                  </pic:spPr>
                </pic:pic>
              </a:graphicData>
            </a:graphic>
          </wp:anchor>
        </w:drawing>
      </w:r>
    </w:p>
    <w:p>
      <w:pPr>
        <w:spacing w:after="0" w:line="340" w:lineRule="exact"/>
        <w:rPr>
          <w:sz w:val="20"/>
          <w:szCs w:val="20"/>
          <w:color w:val="auto"/>
        </w:rPr>
      </w:pPr>
    </w:p>
    <w:p>
      <w:pPr>
        <w:ind w:left="1201" w:hanging="1201"/>
        <w:spacing w:after="0"/>
        <w:tabs>
          <w:tab w:leader="none" w:pos="1201" w:val="left"/>
        </w:tabs>
        <w:numPr>
          <w:ilvl w:val="0"/>
          <w:numId w:val="6"/>
        </w:numPr>
        <w:rPr>
          <w:rFonts w:ascii="Arial" w:cs="Arial" w:eastAsia="Arial" w:hAnsi="Arial"/>
          <w:sz w:val="18"/>
          <w:szCs w:val="18"/>
          <w:color w:val="auto"/>
        </w:rPr>
      </w:pPr>
      <w:r>
        <w:rPr>
          <w:rFonts w:ascii="Arial" w:cs="Arial" w:eastAsia="Arial" w:hAnsi="Arial"/>
          <w:sz w:val="18"/>
          <w:szCs w:val="18"/>
          <w:color w:val="auto"/>
        </w:rPr>
        <w:t>2.73</w:t>
      </w:r>
    </w:p>
    <w:p>
      <w:pPr>
        <w:spacing w:after="0" w:line="14" w:lineRule="exact"/>
        <w:rPr>
          <w:sz w:val="20"/>
          <w:szCs w:val="20"/>
          <w:color w:val="auto"/>
        </w:rPr>
      </w:pPr>
    </w:p>
    <w:p>
      <w:pPr>
        <w:ind w:left="1201" w:hanging="1201"/>
        <w:spacing w:after="0"/>
        <w:tabs>
          <w:tab w:leader="none" w:pos="1201" w:val="left"/>
        </w:tabs>
        <w:numPr>
          <w:ilvl w:val="0"/>
          <w:numId w:val="7"/>
        </w:numPr>
        <w:rPr>
          <w:rFonts w:ascii="Arial" w:cs="Arial" w:eastAsia="Arial" w:hAnsi="Arial"/>
          <w:sz w:val="18"/>
          <w:szCs w:val="18"/>
          <w:color w:val="auto"/>
        </w:rPr>
      </w:pPr>
      <w:r>
        <w:rPr>
          <w:rFonts w:ascii="Arial" w:cs="Arial" w:eastAsia="Arial" w:hAnsi="Arial"/>
          <w:sz w:val="18"/>
          <w:szCs w:val="18"/>
          <w:color w:val="auto"/>
        </w:rPr>
        <w:t>2.71</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7,513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7,567</w:t>
      </w:r>
    </w:p>
    <w:p>
      <w:pPr>
        <w:spacing w:after="0" w:line="221" w:lineRule="exact"/>
        <w:rPr>
          <w:sz w:val="20"/>
          <w:szCs w:val="20"/>
          <w:color w:val="auto"/>
        </w:rPr>
      </w:pPr>
    </w:p>
    <w:p>
      <w:pPr>
        <w:sectPr>
          <w:pgSz w:w="11900" w:h="16838" w:orient="portrait"/>
          <w:cols w:equalWidth="0" w:num="2">
            <w:col w:w="9360" w:space="219"/>
            <w:col w:w="1561"/>
          </w:cols>
          <w:pgMar w:left="320" w:top="125" w:right="4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3" w:name="page4"/>
    <w:bookmarkEnd w:id="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COMPREHENSIVE INCOME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29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4"/>
        </w:trPr>
        <w:tc>
          <w:tcPr>
            <w:tcW w:w="7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17,556</w:t>
            </w:r>
          </w:p>
        </w:tc>
        <w:tc>
          <w:tcPr>
            <w:tcW w:w="58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75"/>
        </w:trPr>
        <w:tc>
          <w:tcPr>
            <w:tcW w:w="798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80" w:type="dxa"/>
            <w:vAlign w:val="bottom"/>
            <w:vMerge w:val="continue"/>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Net change related to derivatives</w:t>
            </w:r>
          </w:p>
        </w:tc>
        <w:tc>
          <w:tcPr>
            <w:tcW w:w="5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7980" w:type="dxa"/>
            <w:vAlign w:val="bottom"/>
          </w:tcPr>
          <w:p>
            <w:pPr>
              <w:ind w:left="220"/>
              <w:spacing w:after="0" w:line="202" w:lineRule="exact"/>
              <w:rPr>
                <w:sz w:val="20"/>
                <w:szCs w:val="20"/>
                <w:color w:val="auto"/>
              </w:rPr>
            </w:pPr>
            <w:r>
              <w:rPr>
                <w:rFonts w:ascii="Arial" w:cs="Arial" w:eastAsia="Arial" w:hAnsi="Arial"/>
                <w:sz w:val="18"/>
                <w:szCs w:val="18"/>
                <w:color w:val="auto"/>
              </w:rPr>
              <w:t>Net change related to investments</w:t>
            </w:r>
          </w:p>
        </w:tc>
        <w:tc>
          <w:tcPr>
            <w:tcW w:w="50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(1,897)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3"/>
        </w:trPr>
        <w:tc>
          <w:tcPr>
            <w:tcW w:w="79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Translation adjustments and other</w:t>
            </w:r>
          </w:p>
        </w:tc>
        <w:tc>
          <w:tcPr>
            <w:tcW w:w="5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(775)</w:t>
            </w:r>
          </w:p>
        </w:tc>
        <w:tc>
          <w:tcPr>
            <w:tcW w:w="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68"/>
        </w:trPr>
        <w:tc>
          <w:tcPr>
            <w:tcW w:w="79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798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50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(2,665)</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56"/>
        </w:trPr>
        <w:tc>
          <w:tcPr>
            <w:tcW w:w="7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Comprehensive income</w:t>
            </w:r>
          </w:p>
        </w:tc>
        <w:tc>
          <w:tcPr>
            <w:tcW w:w="5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14,891</w:t>
            </w:r>
          </w:p>
        </w:tc>
        <w:tc>
          <w:tcPr>
            <w:tcW w:w="58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19,966</w:t>
            </w:r>
          </w:p>
        </w:tc>
        <w:tc>
          <w:tcPr>
            <w:tcW w:w="0" w:type="dxa"/>
            <w:vAlign w:val="bottom"/>
          </w:tcPr>
          <w:p>
            <w:pPr>
              <w:spacing w:after="0"/>
              <w:rPr>
                <w:sz w:val="1"/>
                <w:szCs w:val="1"/>
                <w:color w:val="auto"/>
              </w:rPr>
            </w:pPr>
          </w:p>
        </w:tc>
      </w:tr>
      <w:tr>
        <w:trPr>
          <w:trHeight w:val="74"/>
        </w:trPr>
        <w:tc>
          <w:tcPr>
            <w:tcW w:w="79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 w:name="page5"/>
    <w:bookmarkEnd w:id="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54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r>
      <w:tr>
        <w:trPr>
          <w:trHeight w:val="203"/>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r>
      <w:tr>
        <w:trPr>
          <w:trHeight w:val="72"/>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22,884</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13,931</w:t>
            </w:r>
          </w:p>
        </w:tc>
      </w:tr>
      <w:tr>
        <w:trPr>
          <w:trHeight w:val="247"/>
        </w:trPr>
        <w:tc>
          <w:tcPr>
            <w:tcW w:w="77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84,378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90,826</w:t>
            </w:r>
          </w:p>
        </w:tc>
      </w:tr>
      <w:tr>
        <w:trPr>
          <w:trHeight w:val="23"/>
        </w:trPr>
        <w:tc>
          <w:tcPr>
            <w:tcW w:w="7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cash, cash equivalents, and short-term investments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107,262</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104,757</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 xml:space="preserve">Accounts receivable, net of allowance for doubtful accounts of </w:t>
            </w:r>
            <w:r>
              <w:rPr>
                <w:rFonts w:ascii="Arial" w:cs="Arial" w:eastAsia="Arial" w:hAnsi="Arial"/>
                <w:sz w:val="18"/>
                <w:szCs w:val="18"/>
                <w:b w:val="1"/>
                <w:bCs w:val="1"/>
                <w:color w:val="auto"/>
              </w:rPr>
              <w:t>$438</w:t>
            </w:r>
            <w:r>
              <w:rPr>
                <w:rFonts w:ascii="Arial" w:cs="Arial" w:eastAsia="Arial" w:hAnsi="Arial"/>
                <w:sz w:val="18"/>
                <w:szCs w:val="18"/>
                <w:color w:val="auto"/>
              </w:rPr>
              <w:t xml:space="preserve"> and $633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31,279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44,261</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Inventories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4,268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3,742</w:t>
            </w:r>
          </w:p>
        </w:tc>
      </w:tr>
      <w:tr>
        <w:trPr>
          <w:trHeight w:val="247"/>
        </w:trPr>
        <w:tc>
          <w:tcPr>
            <w:tcW w:w="77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18,003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16,924</w:t>
            </w:r>
          </w:p>
        </w:tc>
      </w:tr>
      <w:tr>
        <w:trPr>
          <w:trHeight w:val="23"/>
        </w:trPr>
        <w:tc>
          <w:tcPr>
            <w:tcW w:w="7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160,812</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169,684</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$60,638</w:t>
            </w:r>
            <w:r>
              <w:rPr>
                <w:rFonts w:ascii="Arial" w:cs="Arial" w:eastAsia="Arial" w:hAnsi="Arial"/>
                <w:sz w:val="18"/>
                <w:szCs w:val="18"/>
                <w:color w:val="auto"/>
              </w:rPr>
              <w:t xml:space="preserve"> and $59,660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77,037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74,398</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13,347</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13,148</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Equity investments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6,839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6,891</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67,459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67,524</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10,808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11,298</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23,482</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21,897</w:t>
            </w:r>
          </w:p>
        </w:tc>
      </w:tr>
      <w:tr>
        <w:trPr>
          <w:trHeight w:val="68"/>
        </w:trPr>
        <w:tc>
          <w:tcPr>
            <w:tcW w:w="77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gridSpan w:val="2"/>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778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359,784</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364,840</w:t>
            </w:r>
          </w:p>
        </w:tc>
      </w:tr>
      <w:tr>
        <w:trPr>
          <w:trHeight w:val="63"/>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68"/>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2"/>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16,609</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19,000</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3,248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2,749</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7,405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10,661</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Short-term income taxes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6,729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4,067</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Short-term unearned revenue</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41,340</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45,538</w:t>
            </w:r>
          </w:p>
        </w:tc>
      </w:tr>
      <w:tr>
        <w:trPr>
          <w:trHeight w:val="247"/>
        </w:trPr>
        <w:tc>
          <w:tcPr>
            <w:tcW w:w="77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12,058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13,067</w:t>
            </w:r>
          </w:p>
        </w:tc>
      </w:tr>
      <w:tr>
        <w:trPr>
          <w:trHeight w:val="23"/>
        </w:trPr>
        <w:tc>
          <w:tcPr>
            <w:tcW w:w="7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87,389</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95,082</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45,374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47,032</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Long-term income taxes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23,712</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26,069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Long-term unearned revenue</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2,549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2,870</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223</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230</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11,660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11,489</w:t>
            </w: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15,311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15,526</w:t>
            </w:r>
          </w:p>
        </w:tc>
      </w:tr>
      <w:tr>
        <w:trPr>
          <w:trHeight w:val="68"/>
        </w:trPr>
        <w:tc>
          <w:tcPr>
            <w:tcW w:w="7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778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186,218</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198,298</w:t>
            </w:r>
          </w:p>
        </w:tc>
      </w:tr>
      <w:tr>
        <w:trPr>
          <w:trHeight w:val="55"/>
        </w:trPr>
        <w:tc>
          <w:tcPr>
            <w:tcW w:w="7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12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r>
      <w:tr>
        <w:trPr>
          <w:trHeight w:val="202"/>
        </w:trPr>
        <w:tc>
          <w:tcPr>
            <w:tcW w:w="77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 xml:space="preserve">Common stock and paid-in capital – shares authorized 24,000; outstanding </w:t>
            </w:r>
            <w:r>
              <w:rPr>
                <w:rFonts w:ascii="Arial" w:cs="Arial" w:eastAsia="Arial" w:hAnsi="Arial"/>
                <w:sz w:val="18"/>
                <w:szCs w:val="18"/>
                <w:b w:val="1"/>
                <w:bCs w:val="1"/>
                <w:color w:val="auto"/>
              </w:rPr>
              <w:t>7,457</w:t>
            </w:r>
            <w:r>
              <w:rPr>
                <w:rFonts w:ascii="Arial" w:cs="Arial" w:eastAsia="Arial" w:hAnsi="Arial"/>
                <w:sz w:val="18"/>
                <w:szCs w:val="18"/>
                <w:color w:val="auto"/>
              </w:rPr>
              <w:t xml:space="preserve"> and 7,464</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88,535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86,939</w:t>
            </w:r>
          </w:p>
        </w:tc>
      </w:tr>
      <w:tr>
        <w:trPr>
          <w:trHeight w:val="203"/>
        </w:trPr>
        <w:tc>
          <w:tcPr>
            <w:tcW w:w="778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92,374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84,281</w:t>
            </w:r>
          </w:p>
        </w:tc>
      </w:tr>
      <w:tr>
        <w:trPr>
          <w:trHeight w:val="203"/>
        </w:trPr>
        <w:tc>
          <w:tcPr>
            <w:tcW w:w="7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(7,343)</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(4,678)</w:t>
            </w:r>
          </w:p>
        </w:tc>
      </w:tr>
      <w:tr>
        <w:trPr>
          <w:trHeight w:val="68"/>
        </w:trPr>
        <w:tc>
          <w:tcPr>
            <w:tcW w:w="7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778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173,566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166,542</w:t>
            </w:r>
          </w:p>
        </w:tc>
      </w:tr>
      <w:tr>
        <w:trPr>
          <w:trHeight w:val="56"/>
        </w:trPr>
        <w:tc>
          <w:tcPr>
            <w:tcW w:w="7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61"/>
        </w:trPr>
        <w:tc>
          <w:tcPr>
            <w:tcW w:w="7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3"/>
        </w:trPr>
        <w:tc>
          <w:tcPr>
            <w:tcW w:w="7780" w:type="dxa"/>
            <w:vAlign w:val="bottom"/>
            <w:shd w:val="clear" w:color="auto" w:fill="E5E5E5"/>
          </w:tcPr>
          <w:p>
            <w:pPr>
              <w:ind w:left="88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359,784</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364,840</w:t>
            </w:r>
          </w:p>
        </w:tc>
      </w:tr>
      <w:tr>
        <w:trPr>
          <w:trHeight w:val="75"/>
        </w:trPr>
        <w:tc>
          <w:tcPr>
            <w:tcW w:w="7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Refer to accompanying 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6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85"/>
        </w:trPr>
        <w:tc>
          <w:tcPr>
            <w:tcW w:w="7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Operations</w:t>
            </w:r>
          </w:p>
        </w:tc>
        <w:tc>
          <w:tcPr>
            <w:tcW w:w="48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17,556</w:t>
            </w:r>
          </w:p>
        </w:tc>
        <w:tc>
          <w:tcPr>
            <w:tcW w:w="6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Adjustments to reconcile net income to net cash from operations:</w:t>
            </w:r>
          </w:p>
        </w:tc>
        <w:tc>
          <w:tcPr>
            <w:tcW w:w="48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20"/>
              <w:spacing w:after="0" w:line="202" w:lineRule="exact"/>
              <w:rPr>
                <w:sz w:val="20"/>
                <w:szCs w:val="20"/>
                <w:color w:val="auto"/>
              </w:rPr>
            </w:pPr>
            <w:r>
              <w:rPr>
                <w:rFonts w:ascii="Arial" w:cs="Arial" w:eastAsia="Arial" w:hAnsi="Arial"/>
                <w:sz w:val="18"/>
                <w:szCs w:val="18"/>
                <w:color w:val="auto"/>
              </w:rPr>
              <w:t>Depreciation, amortization, and other</w:t>
            </w:r>
          </w:p>
        </w:tc>
        <w:tc>
          <w:tcPr>
            <w:tcW w:w="48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2,790</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2,192</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3"/>
        </w:trPr>
        <w:tc>
          <w:tcPr>
            <w:tcW w:w="7600" w:type="dxa"/>
            <w:vAlign w:val="bottom"/>
          </w:tcPr>
          <w:p>
            <w:pPr>
              <w:ind w:left="220"/>
              <w:spacing w:after="0" w:line="202" w:lineRule="exact"/>
              <w:rPr>
                <w:sz w:val="20"/>
                <w:szCs w:val="20"/>
                <w:color w:val="auto"/>
              </w:rPr>
            </w:pPr>
            <w:r>
              <w:rPr>
                <w:rFonts w:ascii="Arial" w:cs="Arial" w:eastAsia="Arial" w:hAnsi="Arial"/>
                <w:sz w:val="18"/>
                <w:szCs w:val="18"/>
                <w:color w:val="auto"/>
              </w:rPr>
              <w:t>Net recognized gains on investments and derivatives</w:t>
            </w:r>
          </w:p>
        </w:tc>
        <w:tc>
          <w:tcPr>
            <w:tcW w:w="48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Deferred income taxes</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(1,191)</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(5,970)</w:t>
            </w:r>
          </w:p>
        </w:tc>
        <w:tc>
          <w:tcPr>
            <w:tcW w:w="0" w:type="dxa"/>
            <w:vAlign w:val="bottom"/>
          </w:tcPr>
          <w:p>
            <w:pPr>
              <w:spacing w:after="0"/>
              <w:rPr>
                <w:sz w:val="1"/>
                <w:szCs w:val="1"/>
                <w:color w:val="auto"/>
              </w:rPr>
            </w:pPr>
          </w:p>
        </w:tc>
      </w:tr>
      <w:tr>
        <w:trPr>
          <w:trHeight w:val="203"/>
        </w:trPr>
        <w:tc>
          <w:tcPr>
            <w:tcW w:w="7600" w:type="dxa"/>
            <w:vAlign w:val="bottom"/>
          </w:tcPr>
          <w:p>
            <w:pPr>
              <w:ind w:left="2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Accounts receivable</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11,729</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10,486</w:t>
            </w:r>
          </w:p>
        </w:tc>
        <w:tc>
          <w:tcPr>
            <w:tcW w:w="0" w:type="dxa"/>
            <w:vAlign w:val="bottom"/>
          </w:tcPr>
          <w:p>
            <w:pPr>
              <w:spacing w:after="0"/>
              <w:rPr>
                <w:sz w:val="1"/>
                <w:szCs w:val="1"/>
                <w:color w:val="auto"/>
              </w:rPr>
            </w:pPr>
          </w:p>
        </w:tc>
      </w:tr>
      <w:tr>
        <w:trPr>
          <w:trHeight w:val="203"/>
        </w:trPr>
        <w:tc>
          <w:tcPr>
            <w:tcW w:w="7600" w:type="dxa"/>
            <w:vAlign w:val="bottom"/>
          </w:tcPr>
          <w:p>
            <w:pPr>
              <w:ind w:left="440"/>
              <w:spacing w:after="0" w:line="202" w:lineRule="exact"/>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(543)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(332)</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3"/>
        </w:trPr>
        <w:tc>
          <w:tcPr>
            <w:tcW w:w="7600" w:type="dxa"/>
            <w:vAlign w:val="bottom"/>
          </w:tcPr>
          <w:p>
            <w:pPr>
              <w:ind w:left="440"/>
              <w:spacing w:after="0" w:line="202" w:lineRule="exact"/>
              <w:rPr>
                <w:sz w:val="20"/>
                <w:szCs w:val="20"/>
                <w:color w:val="auto"/>
              </w:rPr>
            </w:pPr>
            <w:r>
              <w:rPr>
                <w:rFonts w:ascii="Arial" w:cs="Arial" w:eastAsia="Arial" w:hAnsi="Arial"/>
                <w:sz w:val="18"/>
                <w:szCs w:val="18"/>
                <w:color w:val="auto"/>
              </w:rPr>
              <w:t>Other long-term assets</w:t>
            </w:r>
          </w:p>
        </w:tc>
        <w:tc>
          <w:tcPr>
            <w:tcW w:w="48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(666)</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Accounts payable</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(1,567)</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7600" w:type="dxa"/>
            <w:vAlign w:val="bottom"/>
          </w:tcPr>
          <w:p>
            <w:pPr>
              <w:ind w:left="440"/>
              <w:spacing w:after="0" w:line="202" w:lineRule="exact"/>
              <w:rPr>
                <w:sz w:val="20"/>
                <w:szCs w:val="20"/>
                <w:color w:val="auto"/>
              </w:rPr>
            </w:pPr>
            <w:r>
              <w:rPr>
                <w:rFonts w:ascii="Arial" w:cs="Arial" w:eastAsia="Arial" w:hAnsi="Arial"/>
                <w:sz w:val="18"/>
                <w:szCs w:val="18"/>
                <w:color w:val="auto"/>
              </w:rPr>
              <w:t>Unearned revenue</w:t>
            </w:r>
          </w:p>
        </w:tc>
        <w:tc>
          <w:tcPr>
            <w:tcW w:w="48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(3,322)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Income taxes</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410</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03"/>
        </w:trPr>
        <w:tc>
          <w:tcPr>
            <w:tcW w:w="7600" w:type="dxa"/>
            <w:vAlign w:val="bottom"/>
          </w:tcPr>
          <w:p>
            <w:pPr>
              <w:ind w:left="440"/>
              <w:spacing w:after="0" w:line="202" w:lineRule="exact"/>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(4,024)</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440"/>
              <w:spacing w:after="0" w:line="202" w:lineRule="exact"/>
              <w:rPr>
                <w:sz w:val="20"/>
                <w:szCs w:val="20"/>
                <w:color w:val="auto"/>
              </w:rPr>
            </w:pPr>
            <w:r>
              <w:rPr>
                <w:rFonts w:ascii="Arial" w:cs="Arial" w:eastAsia="Arial" w:hAnsi="Arial"/>
                <w:sz w:val="18"/>
                <w:szCs w:val="18"/>
                <w:color w:val="auto"/>
              </w:rPr>
              <w:t>Other long-term liabilities</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188</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7600" w:type="dxa"/>
            <w:vAlign w:val="bottom"/>
          </w:tcPr>
          <w:p>
            <w:pPr>
              <w:ind w:left="660"/>
              <w:spacing w:after="0"/>
              <w:rPr>
                <w:sz w:val="20"/>
                <w:szCs w:val="20"/>
                <w:color w:val="auto"/>
              </w:rPr>
            </w:pPr>
            <w:r>
              <w:rPr>
                <w:rFonts w:ascii="Arial" w:cs="Arial" w:eastAsia="Arial" w:hAnsi="Arial"/>
                <w:sz w:val="18"/>
                <w:szCs w:val="18"/>
                <w:color w:val="auto"/>
              </w:rPr>
              <w:t>Net cash from operations</w:t>
            </w:r>
          </w:p>
        </w:tc>
        <w:tc>
          <w:tcPr>
            <w:tcW w:w="48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23,198</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24,540</w:t>
            </w:r>
          </w:p>
        </w:tc>
        <w:tc>
          <w:tcPr>
            <w:tcW w:w="0" w:type="dxa"/>
            <w:vAlign w:val="bottom"/>
          </w:tcPr>
          <w:p>
            <w:pPr>
              <w:spacing w:after="0"/>
              <w:rPr>
                <w:sz w:val="1"/>
                <w:szCs w:val="1"/>
                <w:color w:val="auto"/>
              </w:rPr>
            </w:pPr>
          </w:p>
        </w:tc>
      </w:tr>
      <w:tr>
        <w:trPr>
          <w:trHeight w:val="56"/>
        </w:trPr>
        <w:tc>
          <w:tcPr>
            <w:tcW w:w="76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Financing</w:t>
            </w:r>
          </w:p>
        </w:tc>
        <w:tc>
          <w:tcPr>
            <w:tcW w:w="48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Repayments of debt</w:t>
            </w:r>
          </w:p>
        </w:tc>
        <w:tc>
          <w:tcPr>
            <w:tcW w:w="48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575</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48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(5,573)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 paid</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(4,621)</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(4,206)</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(264)</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
        </w:trPr>
        <w:tc>
          <w:tcPr>
            <w:tcW w:w="7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Net cash used in financing</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(10,883)</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(16,276)</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7600" w:type="dxa"/>
            <w:vAlign w:val="bottom"/>
          </w:tcPr>
          <w:p>
            <w:pPr>
              <w:spacing w:after="0"/>
              <w:rPr>
                <w:sz w:val="20"/>
                <w:szCs w:val="20"/>
                <w:color w:val="auto"/>
              </w:rPr>
            </w:pPr>
            <w:r>
              <w:rPr>
                <w:rFonts w:ascii="Arial" w:cs="Arial" w:eastAsia="Arial" w:hAnsi="Arial"/>
                <w:sz w:val="18"/>
                <w:szCs w:val="18"/>
                <w:b w:val="1"/>
                <w:bCs w:val="1"/>
                <w:color w:val="auto"/>
              </w:rPr>
              <w:t>Investing</w:t>
            </w: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Additions to property and equipment</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(6,283)</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170"/>
        </w:trPr>
        <w:tc>
          <w:tcPr>
            <w:tcW w:w="7600" w:type="dxa"/>
            <w:vAlign w:val="bottom"/>
          </w:tcPr>
          <w:p>
            <w:pPr>
              <w:spacing w:after="0" w:line="170" w:lineRule="exact"/>
              <w:rPr>
                <w:sz w:val="20"/>
                <w:szCs w:val="20"/>
                <w:color w:val="auto"/>
              </w:rPr>
            </w:pPr>
            <w:r>
              <w:rPr>
                <w:rFonts w:ascii="Arial" w:cs="Arial" w:eastAsia="Arial" w:hAnsi="Arial"/>
                <w:sz w:val="18"/>
                <w:szCs w:val="18"/>
                <w:color w:val="auto"/>
              </w:rPr>
              <w:t>Acquisition of companies, net of cash acquired, and purchases of intangible and other</w:t>
            </w:r>
          </w:p>
        </w:tc>
        <w:tc>
          <w:tcPr>
            <w:tcW w:w="48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(349)</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1"/>
        </w:trPr>
        <w:tc>
          <w:tcPr>
            <w:tcW w:w="7600" w:type="dxa"/>
            <w:vAlign w:val="bottom"/>
          </w:tcPr>
          <w:p>
            <w:pPr>
              <w:ind w:left="220"/>
              <w:spacing w:after="0"/>
              <w:rPr>
                <w:sz w:val="20"/>
                <w:szCs w:val="20"/>
                <w:color w:val="auto"/>
              </w:rPr>
            </w:pPr>
            <w:r>
              <w:rPr>
                <w:rFonts w:ascii="Arial" w:cs="Arial" w:eastAsia="Arial" w:hAnsi="Arial"/>
                <w:sz w:val="18"/>
                <w:szCs w:val="18"/>
                <w:color w:val="auto"/>
              </w:rPr>
              <w:t>assets</w:t>
            </w:r>
          </w:p>
        </w:tc>
        <w:tc>
          <w:tcPr>
            <w:tcW w:w="4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Purchases of investments</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(5,013)</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Maturities of investments</w:t>
            </w:r>
          </w:p>
        </w:tc>
        <w:tc>
          <w:tcPr>
            <w:tcW w:w="480" w:type="dxa"/>
            <w:vAlign w:val="bottom"/>
          </w:tcPr>
          <w:p>
            <w:pPr>
              <w:spacing w:after="0"/>
              <w:rPr>
                <w:sz w:val="17"/>
                <w:szCs w:val="17"/>
                <w:color w:val="auto"/>
              </w:rPr>
            </w:pP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6,662</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8,862</w:t>
            </w:r>
          </w:p>
        </w:tc>
        <w:tc>
          <w:tcPr>
            <w:tcW w:w="0" w:type="dxa"/>
            <w:vAlign w:val="bottom"/>
          </w:tcPr>
          <w:p>
            <w:pPr>
              <w:spacing w:after="0"/>
              <w:rPr>
                <w:sz w:val="1"/>
                <w:szCs w:val="1"/>
                <w:color w:val="auto"/>
              </w:rPr>
            </w:pPr>
          </w:p>
        </w:tc>
      </w:tr>
      <w:tr>
        <w:trPr>
          <w:trHeight w:val="202"/>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of investments</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2,711</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(860)</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
        </w:trPr>
        <w:tc>
          <w:tcPr>
            <w:tcW w:w="7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660"/>
              <w:spacing w:after="0" w:line="202" w:lineRule="exact"/>
              <w:rPr>
                <w:sz w:val="20"/>
                <w:szCs w:val="20"/>
                <w:color w:val="auto"/>
              </w:rPr>
            </w:pPr>
            <w:r>
              <w:rPr>
                <w:rFonts w:ascii="Arial" w:cs="Arial" w:eastAsia="Arial" w:hAnsi="Arial"/>
                <w:sz w:val="18"/>
                <w:szCs w:val="18"/>
                <w:color w:val="auto"/>
              </w:rPr>
              <w:t>Net cash used in investing</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(3,132)</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7600" w:type="dxa"/>
            <w:vAlign w:val="bottom"/>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48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(230)</w:t>
            </w: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55"/>
        </w:trPr>
        <w:tc>
          <w:tcPr>
            <w:tcW w:w="76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change in cash and cash equivalents</w:t>
            </w:r>
          </w:p>
        </w:tc>
        <w:tc>
          <w:tcPr>
            <w:tcW w:w="48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8,953</w:t>
            </w:r>
          </w:p>
        </w:tc>
        <w:tc>
          <w:tcPr>
            <w:tcW w:w="1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13,931</w:t>
            </w: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14,224</w:t>
            </w:r>
          </w:p>
        </w:tc>
        <w:tc>
          <w:tcPr>
            <w:tcW w:w="0" w:type="dxa"/>
            <w:vAlign w:val="bottom"/>
          </w:tcPr>
          <w:p>
            <w:pPr>
              <w:spacing w:after="0"/>
              <w:rPr>
                <w:sz w:val="1"/>
                <w:szCs w:val="1"/>
                <w:color w:val="auto"/>
              </w:rPr>
            </w:pPr>
          </w:p>
        </w:tc>
      </w:tr>
      <w:tr>
        <w:trPr>
          <w:trHeight w:val="23"/>
        </w:trPr>
        <w:tc>
          <w:tcPr>
            <w:tcW w:w="7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22,884</w:t>
            </w:r>
          </w:p>
        </w:tc>
        <w:tc>
          <w:tcPr>
            <w:tcW w:w="68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19,165</w:t>
            </w:r>
          </w:p>
        </w:tc>
        <w:tc>
          <w:tcPr>
            <w:tcW w:w="0" w:type="dxa"/>
            <w:vAlign w:val="bottom"/>
          </w:tcPr>
          <w:p>
            <w:pPr>
              <w:spacing w:after="0"/>
              <w:rPr>
                <w:sz w:val="1"/>
                <w:szCs w:val="1"/>
                <w:color w:val="auto"/>
              </w:rPr>
            </w:pPr>
          </w:p>
        </w:tc>
      </w:tr>
      <w:tr>
        <w:trPr>
          <w:trHeight w:val="75"/>
        </w:trPr>
        <w:tc>
          <w:tcPr>
            <w:tcW w:w="7600" w:type="dxa"/>
            <w:vAlign w:val="bottom"/>
            <w:vMerge w:val="restart"/>
          </w:tcPr>
          <w:p>
            <w:pPr>
              <w:spacing w:after="0"/>
              <w:rPr>
                <w:sz w:val="20"/>
                <w:szCs w:val="20"/>
                <w:color w:val="auto"/>
              </w:rPr>
            </w:pPr>
            <w:r>
              <w:rPr>
                <w:rFonts w:ascii="Arial" w:cs="Arial" w:eastAsia="Arial" w:hAnsi="Arial"/>
                <w:sz w:val="18"/>
                <w:szCs w:val="18"/>
                <w:color w:val="auto"/>
              </w:rPr>
              <w:t>Refer to accompanying notes.</w:t>
            </w:r>
          </w:p>
        </w:tc>
        <w:tc>
          <w:tcPr>
            <w:tcW w:w="4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2"/>
        </w:trPr>
        <w:tc>
          <w:tcPr>
            <w:tcW w:w="76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7600" w:type="dxa"/>
            <w:vAlign w:val="bottom"/>
          </w:tcPr>
          <w:p>
            <w:pPr>
              <w:ind w:left="5580"/>
              <w:spacing w:after="0"/>
              <w:rPr>
                <w:sz w:val="20"/>
                <w:szCs w:val="20"/>
                <w:color w:val="auto"/>
              </w:rPr>
            </w:pPr>
            <w:r>
              <w:rPr>
                <w:rFonts w:ascii="Arial" w:cs="Arial" w:eastAsia="Arial" w:hAnsi="Arial"/>
                <w:sz w:val="14"/>
                <w:szCs w:val="14"/>
                <w:color w:val="auto"/>
              </w:rPr>
              <w:t>6</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6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45"/>
        </w:trPr>
        <w:tc>
          <w:tcPr>
            <w:tcW w:w="4900" w:type="dxa"/>
            <w:vAlign w:val="bottom"/>
          </w:tcPr>
          <w:p>
            <w:pPr>
              <w:spacing w:after="0"/>
              <w:rPr>
                <w:sz w:val="3"/>
                <w:szCs w:val="3"/>
                <w:color w:val="auto"/>
              </w:rPr>
            </w:pPr>
          </w:p>
        </w:tc>
        <w:tc>
          <w:tcPr>
            <w:tcW w:w="3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Common stock and paid-in capital</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56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86,939</w:t>
            </w:r>
          </w:p>
        </w:tc>
        <w:tc>
          <w:tcPr>
            <w:tcW w:w="5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83,111</w:t>
            </w:r>
          </w:p>
        </w:tc>
      </w:tr>
      <w:tr>
        <w:trPr>
          <w:trHeight w:val="202"/>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issued</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575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612</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Common stock repurchased</w:t>
            </w:r>
          </w:p>
        </w:tc>
        <w:tc>
          <w:tcPr>
            <w:tcW w:w="3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(1,171)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(1,677)</w:t>
            </w: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2,192</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1,702</w:t>
            </w:r>
          </w:p>
        </w:tc>
      </w:tr>
      <w:tr>
        <w:trPr>
          <w:trHeight w:val="247"/>
        </w:trPr>
        <w:tc>
          <w:tcPr>
            <w:tcW w:w="4900" w:type="dxa"/>
            <w:vAlign w:val="bottom"/>
          </w:tcPr>
          <w:p>
            <w:pPr>
              <w:spacing w:after="0"/>
              <w:rPr>
                <w:sz w:val="20"/>
                <w:szCs w:val="20"/>
                <w:color w:val="auto"/>
              </w:rPr>
            </w:pPr>
            <w:r>
              <w:rPr>
                <w:rFonts w:ascii="Arial" w:cs="Arial" w:eastAsia="Arial" w:hAnsi="Arial"/>
                <w:sz w:val="18"/>
                <w:szCs w:val="18"/>
                <w:color w:val="auto"/>
              </w:rPr>
              <w:t>Other, net</w:t>
            </w:r>
          </w:p>
        </w:tc>
        <w:tc>
          <w:tcPr>
            <w:tcW w:w="3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3"/>
        </w:trPr>
        <w:tc>
          <w:tcPr>
            <w:tcW w:w="4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61"/>
        </w:trPr>
        <w:tc>
          <w:tcPr>
            <w:tcW w:w="49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4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88,535</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83,751</w:t>
            </w:r>
          </w:p>
        </w:tc>
      </w:tr>
      <w:tr>
        <w:trPr>
          <w:trHeight w:val="68"/>
        </w:trPr>
        <w:tc>
          <w:tcPr>
            <w:tcW w:w="490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63"/>
        </w:trPr>
        <w:tc>
          <w:tcPr>
            <w:tcW w:w="490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84,281</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57,055</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3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17,556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20,505</w:t>
            </w: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Common stock cash dividends</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(5,064)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(4,651)</w:t>
            </w:r>
          </w:p>
        </w:tc>
      </w:tr>
      <w:tr>
        <w:trPr>
          <w:trHeight w:val="247"/>
        </w:trPr>
        <w:tc>
          <w:tcPr>
            <w:tcW w:w="490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3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(4,399)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(5,965)</w:t>
            </w:r>
          </w:p>
        </w:tc>
      </w:tr>
      <w:tr>
        <w:trPr>
          <w:trHeight w:val="23"/>
        </w:trPr>
        <w:tc>
          <w:tcPr>
            <w:tcW w:w="4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61"/>
        </w:trPr>
        <w:tc>
          <w:tcPr>
            <w:tcW w:w="49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4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92,374</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66,944</w:t>
            </w:r>
          </w:p>
        </w:tc>
      </w:tr>
      <w:tr>
        <w:trPr>
          <w:trHeight w:val="68"/>
        </w:trPr>
        <w:tc>
          <w:tcPr>
            <w:tcW w:w="490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77"/>
        </w:trPr>
        <w:tc>
          <w:tcPr>
            <w:tcW w:w="4900" w:type="dxa"/>
            <w:vAlign w:val="bottom"/>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(4,678)</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1,822</w:t>
            </w:r>
          </w:p>
        </w:tc>
      </w:tr>
      <w:tr>
        <w:trPr>
          <w:trHeight w:val="247"/>
        </w:trPr>
        <w:tc>
          <w:tcPr>
            <w:tcW w:w="49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(2,665)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r>
      <w:tr>
        <w:trPr>
          <w:trHeight w:val="23"/>
        </w:trPr>
        <w:tc>
          <w:tcPr>
            <w:tcW w:w="49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61"/>
        </w:trPr>
        <w:tc>
          <w:tcPr>
            <w:tcW w:w="49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49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Balance, end of period</w:t>
            </w:r>
          </w:p>
        </w:tc>
        <w:tc>
          <w:tcPr>
            <w:tcW w:w="310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(7,343)</w:t>
            </w:r>
          </w:p>
        </w:tc>
        <w:tc>
          <w:tcPr>
            <w:tcW w:w="8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1,283</w:t>
            </w:r>
          </w:p>
        </w:tc>
      </w:tr>
      <w:tr>
        <w:trPr>
          <w:trHeight w:val="68"/>
        </w:trPr>
        <w:tc>
          <w:tcPr>
            <w:tcW w:w="4900" w:type="dxa"/>
            <w:vAlign w:val="bottom"/>
            <w:tcBorders>
              <w:bottom w:val="single" w:sz="8" w:color="auto"/>
            </w:tcBorders>
          </w:tcPr>
          <w:p>
            <w:pPr>
              <w:spacing w:after="0"/>
              <w:rPr>
                <w:sz w:val="5"/>
                <w:szCs w:val="5"/>
                <w:color w:val="auto"/>
              </w:rPr>
            </w:pPr>
          </w:p>
        </w:tc>
        <w:tc>
          <w:tcPr>
            <w:tcW w:w="3560" w:type="dxa"/>
            <w:vAlign w:val="bottom"/>
            <w:tcBorders>
              <w:bottom w:val="single" w:sz="8" w:color="auto"/>
            </w:tcBorders>
            <w:gridSpan w:val="2"/>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76"/>
        </w:trPr>
        <w:tc>
          <w:tcPr>
            <w:tcW w:w="4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5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173,566</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151,978</w:t>
            </w:r>
          </w:p>
        </w:tc>
      </w:tr>
      <w:tr>
        <w:trPr>
          <w:trHeight w:val="63"/>
        </w:trPr>
        <w:tc>
          <w:tcPr>
            <w:tcW w:w="49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68"/>
        </w:trPr>
        <w:tc>
          <w:tcPr>
            <w:tcW w:w="490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4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dividends declared per common share</w:t>
            </w:r>
          </w:p>
        </w:tc>
        <w:tc>
          <w:tcPr>
            <w:tcW w:w="356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0.68</w:t>
            </w:r>
          </w:p>
        </w:tc>
        <w:tc>
          <w:tcPr>
            <w:tcW w:w="540" w:type="dxa"/>
            <w:vAlign w:val="bottom"/>
            <w:gridSpan w:val="2"/>
            <w:shd w:val="clear" w:color="auto" w:fill="E5E5E5"/>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0.62</w:t>
            </w:r>
          </w:p>
        </w:tc>
      </w:tr>
      <w:tr>
        <w:trPr>
          <w:trHeight w:val="68"/>
        </w:trPr>
        <w:tc>
          <w:tcPr>
            <w:tcW w:w="490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416"/>
        </w:trPr>
        <w:tc>
          <w:tcPr>
            <w:tcW w:w="4900" w:type="dxa"/>
            <w:vAlign w:val="bottom"/>
          </w:tcPr>
          <w:p>
            <w:pPr>
              <w:spacing w:after="0"/>
              <w:rPr>
                <w:sz w:val="20"/>
                <w:szCs w:val="20"/>
                <w:color w:val="auto"/>
              </w:rPr>
            </w:pPr>
            <w:r>
              <w:rPr>
                <w:rFonts w:ascii="Arial" w:cs="Arial" w:eastAsia="Arial" w:hAnsi="Arial"/>
                <w:sz w:val="18"/>
                <w:szCs w:val="18"/>
                <w:color w:val="auto"/>
              </w:rPr>
              <w:t>Refer to accompanying notes.</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4900" w:type="dxa"/>
            <w:vAlign w:val="bottom"/>
          </w:tcPr>
          <w:p>
            <w:pPr>
              <w:spacing w:after="0"/>
              <w:rPr>
                <w:sz w:val="24"/>
                <w:szCs w:val="24"/>
                <w:color w:val="auto"/>
              </w:rPr>
            </w:pPr>
          </w:p>
        </w:tc>
        <w:tc>
          <w:tcPr>
            <w:tcW w:w="3100" w:type="dxa"/>
            <w:vAlign w:val="bottom"/>
          </w:tcPr>
          <w:p>
            <w:pPr>
              <w:jc w:val="right"/>
              <w:ind w:right="2255"/>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6"/>
        </w:trPr>
        <w:tc>
          <w:tcPr>
            <w:tcW w:w="490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 —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2022 Form 10-K filed with the U.S. Securities and Exchange Commission on July 28,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consolidated financial statements include the accounts of Microsoft Corporation and its subsidiaries. Intercompany transactions and balances have been eliminated.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 Based on the carrying amount of server and network equipment included in property and equipment, net as of June 30, 2022, the effect of this change in estimate for the three months ended September 30, 2022, was an increase in operating income of $1.1 billion and net income of $859 million, or $0.12 and $0.11 per basic and diluted share,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derivative instruments that are not designated as hedges, gains and losses from changes in fair values are primarily recognized in other income (expense),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20" w:lineRule="exact"/>
        <w:rPr>
          <w:sz w:val="20"/>
          <w:szCs w:val="20"/>
          <w:color w:val="auto"/>
        </w:rPr>
      </w:pPr>
    </w:p>
    <w:p>
      <w:pPr>
        <w:jc w:val="both"/>
        <w:ind w:left="1060" w:hanging="391"/>
        <w:spacing w:after="0" w:line="253"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inputs are based upon unadjusted quoted prices for identical instruments in active markets. Our Level 1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U.S. government securities, common and preferred stock, and mutual funds. Our Level 1 derivative assets and liabilities include those actively traded on exchanges.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51" w:lineRule="exact"/>
        <w:rPr>
          <w:sz w:val="20"/>
          <w:szCs w:val="20"/>
          <w:color w:val="auto"/>
        </w:rPr>
      </w:pPr>
    </w:p>
    <w:p>
      <w:pPr>
        <w:jc w:val="both"/>
        <w:ind w:left="1060" w:hanging="391"/>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are based upon quoted prices for similar instruments in active markets,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over-the-counter forward, option, and swap contracts.</w:t>
      </w:r>
    </w:p>
    <w:p>
      <w:pPr>
        <w:spacing w:after="0" w:line="31" w:lineRule="exact"/>
        <w:rPr>
          <w:rFonts w:ascii="Arial" w:cs="Arial" w:eastAsia="Arial" w:hAnsi="Arial"/>
          <w:sz w:val="18"/>
          <w:szCs w:val="18"/>
          <w:color w:val="auto"/>
        </w:rPr>
      </w:pPr>
    </w:p>
    <w:p>
      <w:pPr>
        <w:jc w:val="both"/>
        <w:ind w:left="1060" w:hanging="391"/>
        <w:spacing w:after="0" w:line="24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other current financial assets and current financial liabilities have fair values that approximate their carrying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and Other Receivables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2022 and June 30, 2022, other receivables due from suppliers were $736 million and $1.0 billion, respectively, and are included in accounts receivable, net in our consolidated balance sheets.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both September 30, 2022 and June 30, 2022, long-term accounts receivable, net of allowance for doubtful accounts, was $3.8 billion and is included in other long-term assets in our consolidated balance sheets.</w:t>
      </w:r>
    </w:p>
    <w:p>
      <w:pPr>
        <w:spacing w:after="0" w:line="140"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record financing receivables when we offer certain of our customers the option to acquire our software products and services offerings through a financing program in a limited number of countries. As of September 30, 2022 and June 30, 2022, our financing receivables, net were $3.9 billion and $4.1 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2 — EARNINGS PER SHARE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basic and diluted EPS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95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4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income available for common shareholders (A)</w:t>
            </w: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17,556</w:t>
            </w:r>
          </w:p>
        </w:tc>
        <w:tc>
          <w:tcPr>
            <w:tcW w:w="70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20,505</w:t>
            </w:r>
          </w:p>
        </w:tc>
        <w:tc>
          <w:tcPr>
            <w:tcW w:w="0" w:type="dxa"/>
            <w:vAlign w:val="bottom"/>
          </w:tcPr>
          <w:p>
            <w:pPr>
              <w:spacing w:after="0"/>
              <w:rPr>
                <w:sz w:val="1"/>
                <w:szCs w:val="1"/>
                <w:color w:val="auto"/>
              </w:rPr>
            </w:pPr>
          </w:p>
        </w:tc>
      </w:tr>
      <w:tr>
        <w:trPr>
          <w:trHeight w:val="74"/>
        </w:trPr>
        <w:tc>
          <w:tcPr>
            <w:tcW w:w="77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4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7,457</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03"/>
        </w:trPr>
        <w:tc>
          <w:tcPr>
            <w:tcW w:w="7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4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28</w:t>
            </w:r>
          </w:p>
        </w:tc>
        <w:tc>
          <w:tcPr>
            <w:tcW w:w="20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140" w:type="dxa"/>
            <w:vAlign w:val="bottom"/>
            <w:gridSpan w:val="3"/>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68"/>
        </w:trPr>
        <w:tc>
          <w:tcPr>
            <w:tcW w:w="77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7760" w:type="dxa"/>
            <w:vAlign w:val="bottom"/>
          </w:tcPr>
          <w:p>
            <w:pPr>
              <w:spacing w:after="0"/>
              <w:rPr>
                <w:sz w:val="20"/>
                <w:szCs w:val="20"/>
                <w:color w:val="auto"/>
              </w:rPr>
            </w:pPr>
            <w:r>
              <w:rPr>
                <w:rFonts w:ascii="Arial" w:cs="Arial" w:eastAsia="Arial" w:hAnsi="Arial"/>
                <w:sz w:val="18"/>
                <w:szCs w:val="18"/>
                <w:color w:val="auto"/>
              </w:rPr>
              <w:t>Common stock and common stock equivalents (C)</w:t>
            </w:r>
          </w:p>
        </w:tc>
        <w:tc>
          <w:tcPr>
            <w:tcW w:w="4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7,485</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63"/>
        </w:trPr>
        <w:tc>
          <w:tcPr>
            <w:tcW w:w="7760" w:type="dxa"/>
            <w:vAlign w:val="bottom"/>
            <w:vMerge w:val="restart"/>
          </w:tcPr>
          <w:p>
            <w:pPr>
              <w:spacing w:after="0"/>
              <w:rPr>
                <w:sz w:val="20"/>
                <w:szCs w:val="20"/>
                <w:color w:val="auto"/>
              </w:rPr>
            </w:pPr>
            <w:r>
              <w:rPr>
                <w:rFonts w:ascii="Arial" w:cs="Arial" w:eastAsia="Arial" w:hAnsi="Arial"/>
                <w:sz w:val="13"/>
                <w:szCs w:val="13"/>
                <w:b w:val="1"/>
                <w:bCs w:val="1"/>
                <w:color w:val="auto"/>
              </w:rPr>
              <w:t>Earnings Per Share</w:t>
            </w:r>
          </w:p>
        </w:tc>
        <w:tc>
          <w:tcPr>
            <w:tcW w:w="4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77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7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Basic (A/B)</w:t>
            </w: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2.35</w:t>
            </w:r>
          </w:p>
        </w:tc>
        <w:tc>
          <w:tcPr>
            <w:tcW w:w="70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2.73</w:t>
            </w:r>
          </w:p>
        </w:tc>
        <w:tc>
          <w:tcPr>
            <w:tcW w:w="2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760" w:type="dxa"/>
            <w:vAlign w:val="bottom"/>
          </w:tcPr>
          <w:p>
            <w:pPr>
              <w:spacing w:after="0"/>
              <w:rPr>
                <w:sz w:val="20"/>
                <w:szCs w:val="20"/>
                <w:color w:val="auto"/>
              </w:rPr>
            </w:pPr>
            <w:r>
              <w:rPr>
                <w:rFonts w:ascii="Arial" w:cs="Arial" w:eastAsia="Arial" w:hAnsi="Arial"/>
                <w:sz w:val="18"/>
                <w:szCs w:val="18"/>
                <w:color w:val="auto"/>
              </w:rPr>
              <w:t>Diluted (A/C)</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2.35</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Anti-dilutive stock-based awards excluded from the calculations of diluted EPS were immaterial during the periods presented.</w:t>
      </w:r>
    </w:p>
    <w:p>
      <w:pPr>
        <w:spacing w:after="0" w:line="225" w:lineRule="exact"/>
        <w:rPr>
          <w:sz w:val="20"/>
          <w:szCs w:val="20"/>
          <w:color w:val="auto"/>
        </w:rPr>
      </w:pPr>
    </w:p>
    <w:p>
      <w:pPr>
        <w:ind w:right="3720" w:firstLine="3711"/>
        <w:spacing w:after="0" w:line="448" w:lineRule="auto"/>
        <w:rPr>
          <w:sz w:val="20"/>
          <w:szCs w:val="20"/>
          <w:color w:val="auto"/>
        </w:rPr>
      </w:pPr>
      <w:r>
        <w:rPr>
          <w:rFonts w:ascii="Arial" w:cs="Arial" w:eastAsia="Arial" w:hAnsi="Arial"/>
          <w:sz w:val="18"/>
          <w:szCs w:val="18"/>
          <w:u w:val="single" w:color="auto"/>
          <w:color w:val="auto"/>
        </w:rPr>
        <w:t xml:space="preserve">NOTE 3 — OTHER INCOME (EXPENSE), NET </w:t>
      </w:r>
      <w:r>
        <w:rPr>
          <w:rFonts w:ascii="Arial" w:cs="Arial" w:eastAsia="Arial" w:hAnsi="Arial"/>
          <w:sz w:val="18"/>
          <w:szCs w:val="18"/>
          <w:color w:val="auto"/>
        </w:rPr>
        <w:t>The components of other income (expense), net were as follows: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294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5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and dividends income</w:t>
            </w:r>
          </w:p>
        </w:tc>
        <w:tc>
          <w:tcPr>
            <w:tcW w:w="304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641</w:t>
            </w:r>
          </w:p>
        </w:tc>
        <w:tc>
          <w:tcPr>
            <w:tcW w:w="80" w:type="dxa"/>
            <w:vAlign w:val="bottom"/>
            <w:shd w:val="clear" w:color="auto" w:fill="E5E5E5"/>
          </w:tcPr>
          <w:p>
            <w:pPr>
              <w:spacing w:after="0"/>
              <w:rPr>
                <w:sz w:val="17"/>
                <w:szCs w:val="17"/>
                <w:color w:val="auto"/>
              </w:rPr>
            </w:pPr>
          </w:p>
        </w:tc>
        <w:tc>
          <w:tcPr>
            <w:tcW w:w="680" w:type="dxa"/>
            <w:vAlign w:val="bottom"/>
            <w:gridSpan w:val="3"/>
            <w:shd w:val="clear" w:color="auto" w:fill="E5E5E5"/>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520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(500)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on investments</w:t>
            </w:r>
          </w:p>
        </w:tc>
        <w:tc>
          <w:tcPr>
            <w:tcW w:w="24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371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24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(78)</w:t>
            </w: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9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7"/>
        </w:trPr>
        <w:tc>
          <w:tcPr>
            <w:tcW w:w="5520" w:type="dxa"/>
            <w:vAlign w:val="bottom"/>
          </w:tcPr>
          <w:p>
            <w:pPr>
              <w:spacing w:after="0"/>
              <w:rPr>
                <w:sz w:val="20"/>
                <w:szCs w:val="20"/>
                <w:color w:val="auto"/>
              </w:rPr>
            </w:pPr>
            <w:r>
              <w:rPr>
                <w:rFonts w:ascii="Arial" w:cs="Arial" w:eastAsia="Arial" w:hAnsi="Arial"/>
                <w:sz w:val="18"/>
                <w:szCs w:val="18"/>
                <w:color w:val="auto"/>
              </w:rPr>
              <w:t>Other, net</w:t>
            </w:r>
          </w:p>
        </w:tc>
        <w:tc>
          <w:tcPr>
            <w:tcW w:w="2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5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54</w:t>
            </w:r>
          </w:p>
        </w:tc>
        <w:tc>
          <w:tcPr>
            <w:tcW w:w="80" w:type="dxa"/>
            <w:vAlign w:val="bottom"/>
            <w:shd w:val="clear" w:color="auto" w:fill="E5E5E5"/>
          </w:tcPr>
          <w:p>
            <w:pPr>
              <w:spacing w:after="0"/>
              <w:rPr>
                <w:sz w:val="17"/>
                <w:szCs w:val="17"/>
                <w:color w:val="auto"/>
              </w:rPr>
            </w:pPr>
          </w:p>
        </w:tc>
        <w:tc>
          <w:tcPr>
            <w:tcW w:w="680" w:type="dxa"/>
            <w:vAlign w:val="bottom"/>
            <w:gridSpan w:val="3"/>
            <w:shd w:val="clear" w:color="auto" w:fill="E5E5E5"/>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286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Net Recognized Gains (Losses) on Investments</w:t>
            </w:r>
          </w:p>
        </w:tc>
        <w:tc>
          <w:tcPr>
            <w:tcW w:w="246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1"/>
        </w:trPr>
        <w:tc>
          <w:tcPr>
            <w:tcW w:w="552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20" w:type="dxa"/>
            <w:vAlign w:val="bottom"/>
          </w:tcPr>
          <w:p>
            <w:pPr>
              <w:spacing w:after="0"/>
              <w:rPr>
                <w:sz w:val="20"/>
                <w:szCs w:val="20"/>
                <w:color w:val="auto"/>
              </w:rPr>
            </w:pPr>
            <w:r>
              <w:rPr>
                <w:rFonts w:ascii="Arial" w:cs="Arial" w:eastAsia="Arial" w:hAnsi="Arial"/>
                <w:sz w:val="18"/>
                <w:szCs w:val="18"/>
                <w:color w:val="auto"/>
              </w:rPr>
              <w:t>Net recognized gains (losses) on debt investments were as follows:</w:t>
            </w: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5"/>
        </w:trPr>
        <w:tc>
          <w:tcPr>
            <w:tcW w:w="552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Realized gains from sales of available-for-sale securities</w:t>
            </w:r>
          </w:p>
        </w:tc>
        <w:tc>
          <w:tcPr>
            <w:tcW w:w="304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E5E5E5"/>
          </w:tcPr>
          <w:p>
            <w:pPr>
              <w:spacing w:after="0"/>
              <w:rPr>
                <w:sz w:val="17"/>
                <w:szCs w:val="17"/>
                <w:color w:val="auto"/>
              </w:rPr>
            </w:pPr>
          </w:p>
        </w:tc>
        <w:tc>
          <w:tcPr>
            <w:tcW w:w="680" w:type="dxa"/>
            <w:vAlign w:val="bottom"/>
            <w:gridSpan w:val="3"/>
            <w:shd w:val="clear" w:color="auto" w:fill="E5E5E5"/>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Realized losses from sales of available-for-sale securities</w:t>
            </w: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and allowance for credit losses</w:t>
            </w:r>
          </w:p>
        </w:tc>
        <w:tc>
          <w:tcPr>
            <w:tcW w:w="24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E5E5E5"/>
          </w:tcPr>
          <w:p>
            <w:pPr>
              <w:spacing w:after="0"/>
              <w:rPr>
                <w:sz w:val="17"/>
                <w:szCs w:val="17"/>
                <w:color w:val="auto"/>
              </w:rPr>
            </w:pP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960" w:type="dxa"/>
            <w:vAlign w:val="bottom"/>
            <w:gridSpan w:val="3"/>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8"/>
        </w:trPr>
        <w:tc>
          <w:tcPr>
            <w:tcW w:w="55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gridSpan w:val="2"/>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3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23"/>
                <w:szCs w:val="23"/>
                <w:color w:val="auto"/>
              </w:rPr>
            </w:pPr>
          </w:p>
        </w:tc>
        <w:tc>
          <w:tcPr>
            <w:tcW w:w="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3"/>
        </w:trPr>
        <w:tc>
          <w:tcPr>
            <w:tcW w:w="5520" w:type="dxa"/>
            <w:vAlign w:val="bottom"/>
            <w:vMerge w:val="restart"/>
          </w:tcPr>
          <w:p>
            <w:pPr>
              <w:spacing w:after="0"/>
              <w:rPr>
                <w:sz w:val="20"/>
                <w:szCs w:val="20"/>
                <w:color w:val="auto"/>
              </w:rPr>
            </w:pPr>
            <w:r>
              <w:rPr>
                <w:rFonts w:ascii="Arial" w:cs="Arial" w:eastAsia="Arial" w:hAnsi="Arial"/>
                <w:sz w:val="18"/>
                <w:szCs w:val="18"/>
                <w:color w:val="auto"/>
              </w:rPr>
              <w:t>Net recognized gains (losses) on equity investments were as follows:</w:t>
            </w:r>
          </w:p>
        </w:tc>
        <w:tc>
          <w:tcPr>
            <w:tcW w:w="24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5"/>
        </w:trPr>
        <w:tc>
          <w:tcPr>
            <w:tcW w:w="552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2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5"/>
        </w:trPr>
        <w:tc>
          <w:tcPr>
            <w:tcW w:w="5520" w:type="dxa"/>
            <w:vAlign w:val="bottom"/>
          </w:tcPr>
          <w:p>
            <w:pPr>
              <w:spacing w:after="0"/>
              <w:rPr>
                <w:sz w:val="3"/>
                <w:szCs w:val="3"/>
                <w:color w:val="auto"/>
              </w:rPr>
            </w:pPr>
          </w:p>
        </w:tc>
        <w:tc>
          <w:tcPr>
            <w:tcW w:w="304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realized gains on investments sold</w:t>
            </w:r>
          </w:p>
        </w:tc>
        <w:tc>
          <w:tcPr>
            <w:tcW w:w="3040" w:type="dxa"/>
            <w:vAlign w:val="bottom"/>
            <w:gridSpan w:val="2"/>
            <w:shd w:val="clear" w:color="auto" w:fill="E5E5E5"/>
          </w:tcPr>
          <w:p>
            <w:pPr>
              <w:jc w:val="right"/>
              <w:ind w:right="48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83</w:t>
            </w:r>
          </w:p>
        </w:tc>
        <w:tc>
          <w:tcPr>
            <w:tcW w:w="680" w:type="dxa"/>
            <w:vAlign w:val="bottom"/>
            <w:gridSpan w:val="3"/>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Net unrealized gains (losses) on investments still held</w:t>
            </w:r>
          </w:p>
        </w:tc>
        <w:tc>
          <w:tcPr>
            <w:tcW w:w="2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(28)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5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Impairments of investments</w:t>
            </w:r>
          </w:p>
        </w:tc>
        <w:tc>
          <w:tcPr>
            <w:tcW w:w="246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104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b w:val="1"/>
                <w:bCs w:val="1"/>
                <w:color w:val="auto"/>
              </w:rPr>
              <w:t>(7)</w:t>
            </w:r>
          </w:p>
        </w:tc>
        <w:tc>
          <w:tcPr>
            <w:tcW w:w="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960" w:type="dxa"/>
            <w:vAlign w:val="bottom"/>
            <w:gridSpan w:val="3"/>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55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520" w:type="dxa"/>
            <w:vAlign w:val="bottom"/>
          </w:tcPr>
          <w:p>
            <w:pPr>
              <w:ind w:left="220"/>
              <w:spacing w:after="0"/>
              <w:rPr>
                <w:sz w:val="20"/>
                <w:szCs w:val="20"/>
                <w:color w:val="auto"/>
              </w:rPr>
            </w:pPr>
            <w:r>
              <w:rPr>
                <w:rFonts w:ascii="Arial" w:cs="Arial" w:eastAsia="Arial" w:hAnsi="Arial"/>
                <w:sz w:val="18"/>
                <w:szCs w:val="18"/>
                <w:color w:val="auto"/>
              </w:rPr>
              <w:t>Total</w:t>
            </w:r>
          </w:p>
        </w:tc>
        <w:tc>
          <w:tcPr>
            <w:tcW w:w="3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48</w:t>
            </w:r>
          </w:p>
        </w:tc>
        <w:tc>
          <w:tcPr>
            <w:tcW w:w="6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63"/>
        </w:trPr>
        <w:tc>
          <w:tcPr>
            <w:tcW w:w="5520" w:type="dxa"/>
            <w:vAlign w:val="bottom"/>
          </w:tcPr>
          <w:p>
            <w:pPr>
              <w:spacing w:after="0"/>
              <w:rPr>
                <w:sz w:val="5"/>
                <w:szCs w:val="5"/>
                <w:color w:val="auto"/>
              </w:rPr>
            </w:pPr>
          </w:p>
        </w:tc>
        <w:tc>
          <w:tcPr>
            <w:tcW w:w="2460" w:type="dxa"/>
            <w:vAlign w:val="bottom"/>
            <w:vMerge w:val="restart"/>
          </w:tcPr>
          <w:p>
            <w:pPr>
              <w:jc w:val="right"/>
              <w:ind w:right="2193"/>
              <w:spacing w:after="0"/>
              <w:rPr>
                <w:sz w:val="20"/>
                <w:szCs w:val="20"/>
                <w:color w:val="auto"/>
              </w:rPr>
            </w:pPr>
            <w:r>
              <w:rPr>
                <w:rFonts w:ascii="Arial" w:cs="Arial" w:eastAsia="Arial" w:hAnsi="Arial"/>
                <w:sz w:val="14"/>
                <w:szCs w:val="14"/>
                <w:color w:val="auto"/>
              </w:rPr>
              <w:t>11</w:t>
            </w: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9"/>
        </w:trPr>
        <w:tc>
          <w:tcPr>
            <w:tcW w:w="55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520" w:type="dxa"/>
            <w:vAlign w:val="bottom"/>
            <w:tcBorders>
              <w:bottom w:val="single" w:sz="8" w:color="9A9A9A"/>
            </w:tcBorders>
          </w:tcPr>
          <w:p>
            <w:pPr>
              <w:spacing w:after="0"/>
              <w:rPr>
                <w:sz w:val="8"/>
                <w:szCs w:val="8"/>
                <w:color w:val="auto"/>
              </w:rPr>
            </w:pPr>
          </w:p>
        </w:tc>
        <w:tc>
          <w:tcPr>
            <w:tcW w:w="24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4 —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investments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Recorded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Cash</w:t>
            </w:r>
          </w:p>
        </w:tc>
        <w:tc>
          <w:tcPr>
            <w:tcW w:w="14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Short-term</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and Cash</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780" w:type="dxa"/>
            <w:vAlign w:val="bottom"/>
            <w:vMerge w:val="continue"/>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Gains</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Losses</w:t>
            </w:r>
          </w:p>
        </w:tc>
        <w:tc>
          <w:tcPr>
            <w:tcW w:w="20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Basis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Equivalents</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44"/>
        </w:trPr>
        <w:tc>
          <w:tcPr>
            <w:tcW w:w="2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780" w:type="dxa"/>
            <w:vAlign w:val="bottom"/>
          </w:tcPr>
          <w:p>
            <w:pPr>
              <w:spacing w:after="0"/>
              <w:rPr>
                <w:sz w:val="20"/>
                <w:szCs w:val="20"/>
                <w:color w:val="auto"/>
              </w:rPr>
            </w:pPr>
            <w:r>
              <w:rPr>
                <w:rFonts w:ascii="Arial" w:cs="Arial" w:eastAsia="Arial" w:hAnsi="Arial"/>
                <w:sz w:val="13"/>
                <w:szCs w:val="13"/>
                <w:b w:val="1"/>
                <w:bCs w:val="1"/>
                <w:color w:val="auto"/>
              </w:rPr>
              <w:t>September 30, 2022</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78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Commercial paper</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6,286</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6,288</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5,662</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626</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2,570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2,570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2,531</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securities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76,079</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(4,232)</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71,854</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1,955</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69,899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5,815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5,811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4,352</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1,459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493</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(36)</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457</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457</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0"/>
        </w:trPr>
        <w:tc>
          <w:tcPr>
            <w:tcW w:w="2780" w:type="dxa"/>
            <w:vAlign w:val="bottom"/>
          </w:tcPr>
          <w:p>
            <w:pPr>
              <w:spacing w:after="0" w:line="170" w:lineRule="exact"/>
              <w:rPr>
                <w:sz w:val="20"/>
                <w:szCs w:val="20"/>
                <w:color w:val="auto"/>
              </w:rPr>
            </w:pPr>
            <w:r>
              <w:rPr>
                <w:rFonts w:ascii="Arial" w:cs="Arial" w:eastAsia="Arial" w:hAnsi="Arial"/>
                <w:sz w:val="18"/>
                <w:szCs w:val="18"/>
                <w:color w:val="auto"/>
              </w:rPr>
              <w:t>Mortgage- and asset-backed</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(45)</w:t>
            </w:r>
          </w:p>
        </w:tc>
        <w:tc>
          <w:tcPr>
            <w:tcW w:w="20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800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21"/>
        </w:trPr>
        <w:tc>
          <w:tcPr>
            <w:tcW w:w="278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11,373</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(825)</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10,549</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10,549</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76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372</w:t>
            </w: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w:t>
            </w: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358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358</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8"/>
                <w:szCs w:val="18"/>
                <w:color w:val="auto"/>
              </w:rPr>
              <w:t>Municipal securities</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w:t>
            </w:r>
          </w:p>
        </w:tc>
        <w:tc>
          <w:tcPr>
            <w:tcW w:w="18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debt investments</w:t>
            </w:r>
          </w:p>
        </w:tc>
        <w:tc>
          <w:tcPr>
            <w:tcW w:w="92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104,013</w:t>
            </w:r>
          </w:p>
        </w:tc>
        <w:tc>
          <w:tcPr>
            <w:tcW w:w="24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(5,176)</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98,860</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14,500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84,360</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74"/>
        </w:trPr>
        <w:tc>
          <w:tcPr>
            <w:tcW w:w="278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7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investments</w:t>
            </w:r>
          </w:p>
        </w:tc>
        <w:tc>
          <w:tcPr>
            <w:tcW w:w="92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1,616</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1,147</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469</w:t>
            </w:r>
          </w:p>
        </w:tc>
        <w:tc>
          <w:tcPr>
            <w:tcW w:w="0" w:type="dxa"/>
            <w:vAlign w:val="bottom"/>
          </w:tcPr>
          <w:p>
            <w:pPr>
              <w:spacing w:after="0"/>
              <w:rPr>
                <w:sz w:val="1"/>
                <w:szCs w:val="1"/>
                <w:color w:val="auto"/>
              </w:rPr>
            </w:pPr>
          </w:p>
        </w:tc>
      </w:tr>
      <w:tr>
        <w:trPr>
          <w:trHeight w:val="247"/>
        </w:trPr>
        <w:tc>
          <w:tcPr>
            <w:tcW w:w="2780" w:type="dxa"/>
            <w:vAlign w:val="bottom"/>
          </w:tcPr>
          <w:p>
            <w:pPr>
              <w:spacing w:after="0"/>
              <w:rPr>
                <w:sz w:val="20"/>
                <w:szCs w:val="20"/>
                <w:color w:val="auto"/>
              </w:rPr>
            </w:pPr>
            <w:r>
              <w:rPr>
                <w:rFonts w:ascii="Arial" w:cs="Arial" w:eastAsia="Arial" w:hAnsi="Arial"/>
                <w:sz w:val="18"/>
                <w:szCs w:val="18"/>
                <w:color w:val="auto"/>
              </w:rPr>
              <w:t>Equity investments</w:t>
            </w:r>
          </w:p>
        </w:tc>
        <w:tc>
          <w:tcPr>
            <w:tcW w:w="920" w:type="dxa"/>
            <w:vAlign w:val="bottom"/>
          </w:tcPr>
          <w:p>
            <w:pPr>
              <w:jc w:val="cente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6,370</w:t>
            </w:r>
          </w:p>
        </w:tc>
        <w:tc>
          <w:tcPr>
            <w:tcW w:w="0" w:type="dxa"/>
            <w:vAlign w:val="bottom"/>
          </w:tcPr>
          <w:p>
            <w:pPr>
              <w:spacing w:after="0"/>
              <w:rPr>
                <w:sz w:val="1"/>
                <w:szCs w:val="1"/>
                <w:color w:val="auto"/>
              </w:rPr>
            </w:pPr>
          </w:p>
        </w:tc>
      </w:tr>
      <w:tr>
        <w:trPr>
          <w:trHeight w:val="23"/>
        </w:trPr>
        <w:tc>
          <w:tcPr>
            <w:tcW w:w="2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equity investments</w:t>
            </w:r>
          </w:p>
        </w:tc>
        <w:tc>
          <w:tcPr>
            <w:tcW w:w="9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7,986</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1,147</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2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6,839</w:t>
            </w:r>
          </w:p>
        </w:tc>
        <w:tc>
          <w:tcPr>
            <w:tcW w:w="0" w:type="dxa"/>
            <w:vAlign w:val="bottom"/>
          </w:tcPr>
          <w:p>
            <w:pPr>
              <w:spacing w:after="0"/>
              <w:rPr>
                <w:sz w:val="1"/>
                <w:szCs w:val="1"/>
                <w:color w:val="auto"/>
              </w:rPr>
            </w:pPr>
          </w:p>
        </w:tc>
      </w:tr>
      <w:tr>
        <w:trPr>
          <w:trHeight w:val="75"/>
        </w:trPr>
        <w:tc>
          <w:tcPr>
            <w:tcW w:w="2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Cash</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7,237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7,237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03"/>
        </w:trPr>
        <w:tc>
          <w:tcPr>
            <w:tcW w:w="2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9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18</w:t>
            </w:r>
          </w:p>
        </w:tc>
        <w:tc>
          <w:tcPr>
            <w:tcW w:w="6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8"/>
        </w:trPr>
        <w:tc>
          <w:tcPr>
            <w:tcW w:w="27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78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114,101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22,884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84,378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6,839</w:t>
            </w:r>
          </w:p>
        </w:tc>
        <w:tc>
          <w:tcPr>
            <w:tcW w:w="0" w:type="dxa"/>
            <w:vAlign w:val="bottom"/>
          </w:tcPr>
          <w:p>
            <w:pPr>
              <w:spacing w:after="0"/>
              <w:rPr>
                <w:sz w:val="1"/>
                <w:szCs w:val="1"/>
                <w:color w:val="auto"/>
              </w:rPr>
            </w:pPr>
          </w:p>
        </w:tc>
      </w:tr>
      <w:tr>
        <w:trPr>
          <w:trHeight w:val="63"/>
        </w:trPr>
        <w:tc>
          <w:tcPr>
            <w:tcW w:w="2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7"/>
        </w:trPr>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7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Fair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Adjusted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3"/>
                <w:szCs w:val="13"/>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Recorded</w:t>
            </w:r>
          </w:p>
        </w:tc>
        <w:tc>
          <w:tcPr>
            <w:tcW w:w="14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Cash</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Short-term</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and Cash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80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Level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Cost Basis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Gains</w:t>
            </w: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Basis</w:t>
            </w:r>
          </w:p>
        </w:tc>
        <w:tc>
          <w:tcPr>
            <w:tcW w:w="14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Equivalents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Investments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Investments</w:t>
            </w:r>
          </w:p>
        </w:tc>
        <w:tc>
          <w:tcPr>
            <w:tcW w:w="0" w:type="dxa"/>
            <w:vAlign w:val="bottom"/>
          </w:tcPr>
          <w:p>
            <w:pPr>
              <w:spacing w:after="0"/>
              <w:rPr>
                <w:sz w:val="1"/>
                <w:szCs w:val="1"/>
                <w:color w:val="auto"/>
              </w:rPr>
            </w:pPr>
          </w:p>
        </w:tc>
      </w:tr>
      <w:tr>
        <w:trPr>
          <w:trHeight w:val="44"/>
        </w:trPr>
        <w:tc>
          <w:tcPr>
            <w:tcW w:w="28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80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800" w:type="dxa"/>
            <w:vAlign w:val="bottom"/>
          </w:tcPr>
          <w:p>
            <w:pPr>
              <w:spacing w:after="0"/>
              <w:rPr>
                <w:sz w:val="20"/>
                <w:szCs w:val="20"/>
                <w:color w:val="auto"/>
              </w:rPr>
            </w:pPr>
            <w:r>
              <w:rPr>
                <w:rFonts w:ascii="Arial" w:cs="Arial" w:eastAsia="Arial" w:hAnsi="Arial"/>
                <w:sz w:val="13"/>
                <w:szCs w:val="13"/>
                <w:b w:val="1"/>
                <w:bCs w:val="1"/>
                <w:color w:val="auto"/>
              </w:rPr>
              <w:t>Changes in Fair Value Recorded in Other</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Comprehensive Income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Commercial paper</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2,500</w:t>
            </w:r>
          </w:p>
        </w:tc>
        <w:tc>
          <w:tcPr>
            <w:tcW w:w="2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2,500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2,498</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Certificates of deposit</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2,071</w:t>
            </w:r>
          </w:p>
        </w:tc>
        <w:tc>
          <w:tcPr>
            <w:tcW w:w="1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securities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79,696</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(2,178)</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77,547</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77,538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U.S. agency securities</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410</w:t>
            </w:r>
          </w:p>
        </w:tc>
        <w:tc>
          <w:tcPr>
            <w:tcW w:w="1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government bonds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506</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482</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482</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0"/>
        </w:trPr>
        <w:tc>
          <w:tcPr>
            <w:tcW w:w="2800" w:type="dxa"/>
            <w:vAlign w:val="bottom"/>
          </w:tcPr>
          <w:p>
            <w:pPr>
              <w:spacing w:after="0" w:line="170" w:lineRule="exact"/>
              <w:rPr>
                <w:sz w:val="20"/>
                <w:szCs w:val="20"/>
                <w:color w:val="auto"/>
              </w:rPr>
            </w:pPr>
            <w:r>
              <w:rPr>
                <w:rFonts w:ascii="Arial" w:cs="Arial" w:eastAsia="Arial" w:hAnsi="Arial"/>
                <w:sz w:val="18"/>
                <w:szCs w:val="18"/>
                <w:color w:val="auto"/>
              </w:rPr>
              <w:t>Mortgage- and asset-backed</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Level 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4"/>
                <w:szCs w:val="14"/>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1"/>
        </w:trPr>
        <w:tc>
          <w:tcPr>
            <w:tcW w:w="28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Corporate notes and bonds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11,661</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(554)</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11,111</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11,111</w:t>
            </w: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w:t>
            </w:r>
          </w:p>
        </w:tc>
        <w:tc>
          <w:tcPr>
            <w:tcW w:w="1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w:t>
            </w:r>
          </w:p>
        </w:tc>
        <w:tc>
          <w:tcPr>
            <w:tcW w:w="14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2</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368</w:t>
            </w: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1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(13)</w:t>
            </w: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374</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374</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9"/>
        </w:trPr>
        <w:tc>
          <w:tcPr>
            <w:tcW w:w="2800" w:type="dxa"/>
            <w:vAlign w:val="bottom"/>
          </w:tcPr>
          <w:p>
            <w:pPr>
              <w:spacing w:after="0"/>
              <w:rPr>
                <w:sz w:val="20"/>
                <w:szCs w:val="20"/>
                <w:color w:val="auto"/>
              </w:rPr>
            </w:pPr>
            <w:r>
              <w:rPr>
                <w:rFonts w:ascii="Arial" w:cs="Arial" w:eastAsia="Arial" w:hAnsi="Arial"/>
                <w:sz w:val="18"/>
                <w:szCs w:val="18"/>
                <w:color w:val="auto"/>
              </w:rPr>
              <w:t>Municipal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Level 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
        </w:trPr>
        <w:tc>
          <w:tcPr>
            <w:tcW w:w="2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debt investments</w:t>
            </w:r>
          </w:p>
        </w:tc>
        <w:tc>
          <w:tcPr>
            <w:tcW w:w="90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98,118</w:t>
            </w:r>
          </w:p>
        </w:tc>
        <w:tc>
          <w:tcPr>
            <w:tcW w:w="2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(2,814)</w:t>
            </w: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95,357</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4,539</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90,818</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4"/>
        </w:trPr>
        <w:tc>
          <w:tcPr>
            <w:tcW w:w="2800" w:type="dxa"/>
            <w:vAlign w:val="bottom"/>
            <w:vMerge w:val="restart"/>
          </w:tcPr>
          <w:p>
            <w:pPr>
              <w:spacing w:after="0"/>
              <w:rPr>
                <w:sz w:val="20"/>
                <w:szCs w:val="20"/>
                <w:color w:val="auto"/>
              </w:rPr>
            </w:pPr>
            <w:r>
              <w:rPr>
                <w:rFonts w:ascii="Arial" w:cs="Arial" w:eastAsia="Arial" w:hAnsi="Arial"/>
                <w:sz w:val="13"/>
                <w:szCs w:val="13"/>
                <w:b w:val="1"/>
                <w:bCs w:val="1"/>
                <w:color w:val="auto"/>
              </w:rPr>
              <w:t>Changes in Fair Value Recorded in Net</w:t>
            </w: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8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00" w:type="dxa"/>
            <w:vAlign w:val="bottom"/>
          </w:tcPr>
          <w:p>
            <w:pPr>
              <w:ind w:left="220"/>
              <w:spacing w:after="0"/>
              <w:rPr>
                <w:sz w:val="20"/>
                <w:szCs w:val="20"/>
                <w:color w:val="auto"/>
              </w:rPr>
            </w:pPr>
            <w:r>
              <w:rPr>
                <w:rFonts w:ascii="Arial" w:cs="Arial" w:eastAsia="Arial" w:hAnsi="Arial"/>
                <w:sz w:val="13"/>
                <w:szCs w:val="13"/>
                <w:b w:val="1"/>
                <w:bCs w:val="1"/>
                <w:color w:val="auto"/>
              </w:rPr>
              <w:t>Income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 investments</w:t>
            </w:r>
          </w:p>
        </w:tc>
        <w:tc>
          <w:tcPr>
            <w:tcW w:w="900" w:type="dxa"/>
            <w:vAlign w:val="bottom"/>
            <w:shd w:val="clear" w:color="auto" w:fill="E5E5E5"/>
          </w:tcPr>
          <w:p>
            <w:pPr>
              <w:jc w:val="center"/>
              <w:spacing w:after="0" w:line="202" w:lineRule="exact"/>
              <w:rPr>
                <w:sz w:val="20"/>
                <w:szCs w:val="20"/>
                <w:color w:val="auto"/>
              </w:rPr>
            </w:pPr>
            <w:r>
              <w:rPr>
                <w:rFonts w:ascii="Arial" w:cs="Arial" w:eastAsia="Arial" w:hAnsi="Arial"/>
                <w:sz w:val="18"/>
                <w:szCs w:val="18"/>
                <w:color w:val="auto"/>
                <w:w w:val="99"/>
              </w:rPr>
              <w:t>Level 1</w:t>
            </w: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1,590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1,134</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9"/>
        </w:trPr>
        <w:tc>
          <w:tcPr>
            <w:tcW w:w="2800" w:type="dxa"/>
            <w:vAlign w:val="bottom"/>
          </w:tcPr>
          <w:p>
            <w:pPr>
              <w:spacing w:after="0"/>
              <w:rPr>
                <w:sz w:val="20"/>
                <w:szCs w:val="20"/>
                <w:color w:val="auto"/>
              </w:rPr>
            </w:pPr>
            <w:r>
              <w:rPr>
                <w:rFonts w:ascii="Arial" w:cs="Arial" w:eastAsia="Arial" w:hAnsi="Arial"/>
                <w:sz w:val="18"/>
                <w:szCs w:val="18"/>
                <w:color w:val="auto"/>
              </w:rPr>
              <w:t>Equity investments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Other</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6,435</w:t>
            </w: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31"/>
        </w:trPr>
        <w:tc>
          <w:tcPr>
            <w:tcW w:w="2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equity investments</w:t>
            </w: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2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8,025</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1,134</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2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Arial" w:cs="Arial" w:eastAsia="Arial" w:hAnsi="Arial"/>
                <w:sz w:val="18"/>
                <w:szCs w:val="18"/>
                <w:color w:val="auto"/>
              </w:rPr>
              <w:t>Cash</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8,258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8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Derivatives, net </w:t>
            </w:r>
            <w:r>
              <w:rPr>
                <w:rFonts w:ascii="Arial" w:cs="Arial" w:eastAsia="Arial" w:hAnsi="Arial"/>
                <w:sz w:val="15"/>
                <w:szCs w:val="15"/>
                <w:color w:val="auto"/>
              </w:rPr>
              <w:t>(a)</w:t>
            </w:r>
          </w:p>
        </w:tc>
        <w:tc>
          <w:tcPr>
            <w:tcW w:w="9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8</w:t>
            </w:r>
          </w:p>
        </w:tc>
        <w:tc>
          <w:tcPr>
            <w:tcW w:w="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28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80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111,648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13,931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90,826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40640</wp:posOffset>
            </wp:positionV>
            <wp:extent cx="262318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23185" cy="17145"/>
                    </a:xfrm>
                    <a:prstGeom prst="rect">
                      <a:avLst/>
                    </a:prstGeom>
                    <a:noFill/>
                  </pic:spPr>
                </pic:pic>
              </a:graphicData>
            </a:graphic>
          </wp:anchor>
        </w:drawing>
      </w:r>
    </w:p>
    <w:p>
      <w:pPr>
        <w:spacing w:after="0" w:line="13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fair value of our derivative instruments.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both September 30, 2022 and June 30, 2022, equity investments without readily determinable fair values measured at cost with adjustments for observable changes in price or impairments were $3.8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Losses on Debt Investments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investments with continuous unrealized losses for less than 12 months and 12 months or greater and their related fair values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6"/>
                <w:szCs w:val="16"/>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45"/>
        </w:trPr>
        <w:tc>
          <w:tcPr>
            <w:tcW w:w="3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560" w:type="dxa"/>
            <w:vAlign w:val="bottom"/>
          </w:tcPr>
          <w:p>
            <w:pPr>
              <w:spacing w:after="0"/>
              <w:rPr>
                <w:sz w:val="20"/>
                <w:szCs w:val="20"/>
                <w:color w:val="auto"/>
              </w:rPr>
            </w:pPr>
            <w:r>
              <w:rPr>
                <w:rFonts w:ascii="Arial" w:cs="Arial" w:eastAsia="Arial" w:hAnsi="Arial"/>
                <w:sz w:val="13"/>
                <w:szCs w:val="13"/>
                <w:b w:val="1"/>
                <w:bCs w:val="1"/>
                <w:color w:val="auto"/>
              </w:rPr>
              <w:t>September 30, 2022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61,761</w:t>
            </w:r>
          </w:p>
        </w:tc>
        <w:tc>
          <w:tcPr>
            <w:tcW w:w="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(3,411)</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4,233</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(830)</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65,994</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(4,241)</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(22)</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434</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(18)</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564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8,258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(554)</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(271)</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10,436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(825)</w:t>
            </w:r>
          </w:p>
        </w:tc>
        <w:tc>
          <w:tcPr>
            <w:tcW w:w="0" w:type="dxa"/>
            <w:vAlign w:val="bottom"/>
          </w:tcPr>
          <w:p>
            <w:pPr>
              <w:spacing w:after="0"/>
              <w:rPr>
                <w:sz w:val="1"/>
                <w:szCs w:val="1"/>
                <w:color w:val="auto"/>
              </w:rPr>
            </w:pPr>
          </w:p>
        </w:tc>
      </w:tr>
      <w:tr>
        <w:trPr>
          <w:trHeight w:val="202"/>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190</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(22)</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74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264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71,035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(4,036)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6,679</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(1,140)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77,714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(5,176)</w:t>
            </w:r>
          </w:p>
        </w:tc>
        <w:tc>
          <w:tcPr>
            <w:tcW w:w="0" w:type="dxa"/>
            <w:vAlign w:val="bottom"/>
          </w:tcPr>
          <w:p>
            <w:pPr>
              <w:spacing w:after="0"/>
              <w:rPr>
                <w:sz w:val="1"/>
                <w:szCs w:val="1"/>
                <w:color w:val="auto"/>
              </w:rPr>
            </w:pPr>
          </w:p>
        </w:tc>
      </w:tr>
      <w:tr>
        <w:trPr>
          <w:trHeight w:val="63"/>
        </w:trPr>
        <w:tc>
          <w:tcPr>
            <w:tcW w:w="3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7"/>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7"/>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5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6"/>
                <w:szCs w:val="16"/>
                <w:color w:val="auto"/>
              </w:rPr>
            </w:pPr>
          </w:p>
        </w:tc>
        <w:tc>
          <w:tcPr>
            <w:tcW w:w="222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rPr>
              <w:t>12 Months or Greater</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4"/>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3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4"/>
                <w:szCs w:val="4"/>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6"/>
        </w:trPr>
        <w:tc>
          <w:tcPr>
            <w:tcW w:w="3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Losses</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45"/>
        </w:trPr>
        <w:tc>
          <w:tcPr>
            <w:tcW w:w="3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3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U.S. government and agency securities</w:t>
            </w:r>
          </w:p>
        </w:tc>
        <w:tc>
          <w:tcPr>
            <w:tcW w:w="64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59,092</w:t>
            </w:r>
          </w:p>
        </w:tc>
        <w:tc>
          <w:tcPr>
            <w:tcW w:w="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(1,835)</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2,210</w:t>
            </w:r>
          </w:p>
        </w:tc>
        <w:tc>
          <w:tcPr>
            <w:tcW w:w="34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(352)</w:t>
            </w:r>
          </w:p>
        </w:tc>
        <w:tc>
          <w:tcPr>
            <w:tcW w:w="240" w:type="dxa"/>
            <w:vAlign w:val="bottom"/>
            <w:shd w:val="clear" w:color="auto" w:fill="E5E5E5"/>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61,302</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Foreign government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445</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Mortgage- and asset-backed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510</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(26)</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551</w:t>
            </w: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3560" w:type="dxa"/>
            <w:vAlign w:val="bottom"/>
          </w:tcPr>
          <w:p>
            <w:pPr>
              <w:spacing w:after="0" w:line="202" w:lineRule="exact"/>
              <w:rPr>
                <w:sz w:val="20"/>
                <w:szCs w:val="20"/>
                <w:color w:val="auto"/>
              </w:rPr>
            </w:pPr>
            <w:r>
              <w:rPr>
                <w:rFonts w:ascii="Arial" w:cs="Arial" w:eastAsia="Arial" w:hAnsi="Arial"/>
                <w:sz w:val="18"/>
                <w:szCs w:val="18"/>
                <w:color w:val="auto"/>
              </w:rPr>
              <w:t>Corporate notes and bonds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(477)</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786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w:t>
            </w:r>
          </w:p>
        </w:tc>
        <w:tc>
          <w:tcPr>
            <w:tcW w:w="2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10,229</w:t>
            </w:r>
          </w:p>
        </w:tc>
        <w:tc>
          <w:tcPr>
            <w:tcW w:w="22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3"/>
        </w:trPr>
        <w:tc>
          <w:tcPr>
            <w:tcW w:w="3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Municipal securities</w:t>
            </w:r>
          </w:p>
        </w:tc>
        <w:tc>
          <w:tcPr>
            <w:tcW w:w="4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178</w:t>
            </w:r>
          </w:p>
        </w:tc>
        <w:tc>
          <w:tcPr>
            <w:tcW w:w="1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252</w:t>
            </w:r>
          </w:p>
        </w:tc>
        <w:tc>
          <w:tcPr>
            <w:tcW w:w="22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68"/>
        </w:trPr>
        <w:tc>
          <w:tcPr>
            <w:tcW w:w="35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2"/>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220"/>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69,641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3,138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72,779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70"/>
        </w:trPr>
        <w:tc>
          <w:tcPr>
            <w:tcW w:w="3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Maturities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0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Adjusted</w:t>
            </w:r>
          </w:p>
        </w:tc>
        <w:tc>
          <w:tcPr>
            <w:tcW w:w="46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86"/>
        </w:trPr>
        <w:tc>
          <w:tcPr>
            <w:tcW w:w="5500" w:type="dxa"/>
            <w:vAlign w:val="bottom"/>
            <w:vMerge w:val="continue"/>
          </w:tcPr>
          <w:p>
            <w:pPr>
              <w:spacing w:after="0"/>
              <w:rPr>
                <w:sz w:val="16"/>
                <w:szCs w:val="16"/>
                <w:color w:val="auto"/>
              </w:rPr>
            </w:pPr>
          </w:p>
        </w:tc>
        <w:tc>
          <w:tcPr>
            <w:tcW w:w="2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Cost Basis</w:t>
            </w:r>
          </w:p>
        </w:tc>
        <w:tc>
          <w:tcPr>
            <w:tcW w:w="46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45"/>
        </w:trPr>
        <w:tc>
          <w:tcPr>
            <w:tcW w:w="55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500" w:type="dxa"/>
            <w:vAlign w:val="bottom"/>
          </w:tcPr>
          <w:p>
            <w:pPr>
              <w:spacing w:after="0"/>
              <w:rPr>
                <w:sz w:val="20"/>
                <w:szCs w:val="20"/>
                <w:color w:val="auto"/>
              </w:rPr>
            </w:pPr>
            <w:r>
              <w:rPr>
                <w:rFonts w:ascii="Arial" w:cs="Arial" w:eastAsia="Arial" w:hAnsi="Arial"/>
                <w:sz w:val="13"/>
                <w:szCs w:val="13"/>
                <w:b w:val="1"/>
                <w:bCs w:val="1"/>
                <w:color w:val="auto"/>
              </w:rPr>
              <w:t>September 30, 2022</w:t>
            </w:r>
          </w:p>
        </w:tc>
        <w:tc>
          <w:tcPr>
            <w:tcW w:w="2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in one year or less</w:t>
            </w:r>
          </w:p>
        </w:tc>
        <w:tc>
          <w:tcPr>
            <w:tcW w:w="2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35,526</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35,416</w:t>
            </w:r>
          </w:p>
        </w:tc>
        <w:tc>
          <w:tcPr>
            <w:tcW w:w="0" w:type="dxa"/>
            <w:vAlign w:val="bottom"/>
          </w:tcPr>
          <w:p>
            <w:pPr>
              <w:spacing w:after="0"/>
              <w:rPr>
                <w:sz w:val="1"/>
                <w:szCs w:val="1"/>
                <w:color w:val="auto"/>
              </w:rPr>
            </w:pPr>
          </w:p>
        </w:tc>
      </w:tr>
      <w:tr>
        <w:trPr>
          <w:trHeight w:val="203"/>
        </w:trPr>
        <w:tc>
          <w:tcPr>
            <w:tcW w:w="5500" w:type="dxa"/>
            <w:vAlign w:val="bottom"/>
          </w:tcPr>
          <w:p>
            <w:pPr>
              <w:spacing w:after="0" w:line="202" w:lineRule="exact"/>
              <w:rPr>
                <w:sz w:val="20"/>
                <w:szCs w:val="20"/>
                <w:color w:val="auto"/>
              </w:rPr>
            </w:pPr>
            <w:r>
              <w:rPr>
                <w:rFonts w:ascii="Arial" w:cs="Arial" w:eastAsia="Arial" w:hAnsi="Arial"/>
                <w:sz w:val="18"/>
                <w:szCs w:val="18"/>
                <w:color w:val="auto"/>
              </w:rPr>
              <w:t>Due after one year through five years</w:t>
            </w:r>
          </w:p>
        </w:tc>
        <w:tc>
          <w:tcPr>
            <w:tcW w:w="2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50,062</w:t>
            </w:r>
          </w:p>
        </w:tc>
        <w:tc>
          <w:tcPr>
            <w:tcW w:w="46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47,328</w:t>
            </w: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Due after five years through 10 years</w:t>
            </w:r>
          </w:p>
        </w:tc>
        <w:tc>
          <w:tcPr>
            <w:tcW w:w="25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17,070</w:t>
            </w:r>
          </w:p>
        </w:tc>
        <w:tc>
          <w:tcPr>
            <w:tcW w:w="46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14,925</w:t>
            </w:r>
          </w:p>
        </w:tc>
        <w:tc>
          <w:tcPr>
            <w:tcW w:w="0" w:type="dxa"/>
            <w:vAlign w:val="bottom"/>
          </w:tcPr>
          <w:p>
            <w:pPr>
              <w:spacing w:after="0"/>
              <w:rPr>
                <w:sz w:val="1"/>
                <w:szCs w:val="1"/>
                <w:color w:val="auto"/>
              </w:rPr>
            </w:pPr>
          </w:p>
        </w:tc>
      </w:tr>
      <w:tr>
        <w:trPr>
          <w:trHeight w:val="247"/>
        </w:trPr>
        <w:tc>
          <w:tcPr>
            <w:tcW w:w="5500" w:type="dxa"/>
            <w:vAlign w:val="bottom"/>
          </w:tcPr>
          <w:p>
            <w:pPr>
              <w:spacing w:after="0"/>
              <w:rPr>
                <w:sz w:val="20"/>
                <w:szCs w:val="20"/>
                <w:color w:val="auto"/>
              </w:rPr>
            </w:pPr>
            <w:r>
              <w:rPr>
                <w:rFonts w:ascii="Arial" w:cs="Arial" w:eastAsia="Arial" w:hAnsi="Arial"/>
                <w:sz w:val="18"/>
                <w:szCs w:val="18"/>
                <w:color w:val="auto"/>
              </w:rPr>
              <w:t>Due after 10 years</w:t>
            </w:r>
          </w:p>
        </w:tc>
        <w:tc>
          <w:tcPr>
            <w:tcW w:w="2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1,355</w:t>
            </w:r>
          </w:p>
        </w:tc>
        <w:tc>
          <w:tcPr>
            <w:tcW w:w="46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1,191</w:t>
            </w:r>
          </w:p>
        </w:tc>
        <w:tc>
          <w:tcPr>
            <w:tcW w:w="0" w:type="dxa"/>
            <w:vAlign w:val="bottom"/>
          </w:tcPr>
          <w:p>
            <w:pPr>
              <w:spacing w:after="0"/>
              <w:rPr>
                <w:sz w:val="1"/>
                <w:szCs w:val="1"/>
                <w:color w:val="auto"/>
              </w:rPr>
            </w:pPr>
          </w:p>
        </w:tc>
      </w:tr>
      <w:tr>
        <w:trPr>
          <w:trHeight w:val="23"/>
        </w:trPr>
        <w:tc>
          <w:tcPr>
            <w:tcW w:w="55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5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104,013</w:t>
            </w:r>
          </w:p>
        </w:tc>
        <w:tc>
          <w:tcPr>
            <w:tcW w:w="46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98,860</w:t>
            </w:r>
          </w:p>
        </w:tc>
        <w:tc>
          <w:tcPr>
            <w:tcW w:w="0" w:type="dxa"/>
            <w:vAlign w:val="bottom"/>
          </w:tcPr>
          <w:p>
            <w:pPr>
              <w:spacing w:after="0"/>
              <w:rPr>
                <w:sz w:val="1"/>
                <w:szCs w:val="1"/>
                <w:color w:val="auto"/>
              </w:rPr>
            </w:pPr>
          </w:p>
        </w:tc>
      </w:tr>
      <w:tr>
        <w:trPr>
          <w:trHeight w:val="75"/>
        </w:trPr>
        <w:tc>
          <w:tcPr>
            <w:tcW w:w="5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5 — DERIVATIVES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options and forwards not designated as hedging instruments are also used to manage the variability in foreign exchange rates on certain balance sheet amounts and to manage other foreign currency exposures.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exchange-traded option and futures contracts and over-the -counter swap and option contracts. These contracts are not designated as hedging instruments and are included in “Other contracts” in the tables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Securities held in our equity investments portfolio are subject to market price risk. At times, we may hold options, futures, and swap contracts. These contracts are not designated as hedging instruments and are included in “Other contracts” in the tables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over-the-counter derivatives. As of September 30, 2022, our long-term unsecured debt rating was AAA, and cash investments were in excess of $1.0 billion. As a result, no collateral was required to be posted.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notional amounts of our outstanding derivative instruments measured in U.S. dollar equivalents: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40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60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340" w:type="dxa"/>
            <w:vAlign w:val="bottom"/>
            <w:vMerge w:val="continue"/>
          </w:tcPr>
          <w:p>
            <w:pPr>
              <w:spacing w:after="0"/>
              <w:rPr>
                <w:sz w:val="16"/>
                <w:szCs w:val="16"/>
                <w:color w:val="auto"/>
              </w:rPr>
            </w:pPr>
          </w:p>
        </w:tc>
        <w:tc>
          <w:tcPr>
            <w:tcW w:w="40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60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44"/>
        </w:trPr>
        <w:tc>
          <w:tcPr>
            <w:tcW w:w="4340" w:type="dxa"/>
            <w:vAlign w:val="bottom"/>
            <w:tcBorders>
              <w:bottom w:val="single" w:sz="8" w:color="auto"/>
            </w:tcBorders>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4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 purchased</w:t>
            </w:r>
          </w:p>
        </w:tc>
        <w:tc>
          <w:tcPr>
            <w:tcW w:w="4020" w:type="dxa"/>
            <w:vAlign w:val="bottom"/>
            <w:shd w:val="clear" w:color="auto" w:fill="E5E5E5"/>
          </w:tcPr>
          <w:p>
            <w:pPr>
              <w:jc w:val="right"/>
              <w:ind w:right="139"/>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1,492</w:t>
            </w:r>
          </w:p>
        </w:tc>
        <w:tc>
          <w:tcPr>
            <w:tcW w:w="6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7"/>
        </w:trPr>
        <w:tc>
          <w:tcPr>
            <w:tcW w:w="4340" w:type="dxa"/>
            <w:vAlign w:val="bottom"/>
          </w:tcPr>
          <w:p>
            <w:pPr>
              <w:spacing w:after="0"/>
              <w:rPr>
                <w:sz w:val="20"/>
                <w:szCs w:val="20"/>
                <w:color w:val="auto"/>
              </w:rPr>
            </w:pPr>
            <w:r>
              <w:rPr>
                <w:rFonts w:ascii="Arial" w:cs="Arial" w:eastAsia="Arial" w:hAnsi="Arial"/>
                <w:sz w:val="18"/>
                <w:szCs w:val="18"/>
                <w:color w:val="auto"/>
              </w:rPr>
              <w:t>Interest rate contracts purchased</w:t>
            </w:r>
          </w:p>
        </w:tc>
        <w:tc>
          <w:tcPr>
            <w:tcW w:w="40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1,088</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4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340" w:type="dxa"/>
            <w:vAlign w:val="bottom"/>
          </w:tcPr>
          <w:p>
            <w:pPr>
              <w:spacing w:after="0"/>
              <w:rPr>
                <w:sz w:val="3"/>
                <w:szCs w:val="3"/>
                <w:color w:val="auto"/>
              </w:rPr>
            </w:pPr>
          </w:p>
        </w:tc>
        <w:tc>
          <w:tcPr>
            <w:tcW w:w="4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 purchased</w:t>
            </w:r>
          </w:p>
        </w:tc>
        <w:tc>
          <w:tcPr>
            <w:tcW w:w="40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6,933</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Foreign exchange contracts sold</w:t>
            </w:r>
          </w:p>
        </w:tc>
        <w:tc>
          <w:tcPr>
            <w:tcW w:w="40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11,580</w:t>
            </w:r>
          </w:p>
        </w:tc>
        <w:tc>
          <w:tcPr>
            <w:tcW w:w="6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21,606</w:t>
            </w:r>
          </w:p>
        </w:tc>
        <w:tc>
          <w:tcPr>
            <w:tcW w:w="0" w:type="dxa"/>
            <w:vAlign w:val="bottom"/>
          </w:tcPr>
          <w:p>
            <w:pPr>
              <w:spacing w:after="0"/>
              <w:rPr>
                <w:sz w:val="1"/>
                <w:szCs w:val="1"/>
                <w:color w:val="auto"/>
              </w:rPr>
            </w:pPr>
          </w:p>
        </w:tc>
      </w:tr>
      <w:tr>
        <w:trPr>
          <w:trHeight w:val="203"/>
        </w:trPr>
        <w:tc>
          <w:tcPr>
            <w:tcW w:w="43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contracts purchased</w:t>
            </w:r>
          </w:p>
        </w:tc>
        <w:tc>
          <w:tcPr>
            <w:tcW w:w="4020" w:type="dxa"/>
            <w:vAlign w:val="bottom"/>
            <w:shd w:val="clear" w:color="auto" w:fill="E5E5E5"/>
          </w:tcPr>
          <w:p>
            <w:pPr>
              <w:spacing w:after="0"/>
              <w:rPr>
                <w:sz w:val="17"/>
                <w:szCs w:val="17"/>
                <w:color w:val="auto"/>
              </w:rPr>
            </w:pPr>
          </w:p>
        </w:tc>
        <w:tc>
          <w:tcPr>
            <w:tcW w:w="1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2,568</w:t>
            </w: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47"/>
        </w:trPr>
        <w:tc>
          <w:tcPr>
            <w:tcW w:w="4340" w:type="dxa"/>
            <w:vAlign w:val="bottom"/>
          </w:tcPr>
          <w:p>
            <w:pPr>
              <w:spacing w:after="0"/>
              <w:rPr>
                <w:sz w:val="20"/>
                <w:szCs w:val="20"/>
                <w:color w:val="auto"/>
              </w:rPr>
            </w:pPr>
            <w:r>
              <w:rPr>
                <w:rFonts w:ascii="Arial" w:cs="Arial" w:eastAsia="Arial" w:hAnsi="Arial"/>
                <w:sz w:val="18"/>
                <w:szCs w:val="18"/>
                <w:color w:val="auto"/>
              </w:rPr>
              <w:t>Other contracts sold</w:t>
            </w:r>
          </w:p>
        </w:tc>
        <w:tc>
          <w:tcPr>
            <w:tcW w:w="40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848</w:t>
            </w:r>
          </w:p>
        </w:tc>
        <w:tc>
          <w:tcPr>
            <w:tcW w:w="6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3"/>
        </w:trPr>
        <w:tc>
          <w:tcPr>
            <w:tcW w:w="43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93"/>
        </w:trPr>
        <w:tc>
          <w:tcPr>
            <w:tcW w:w="4340" w:type="dxa"/>
            <w:vAlign w:val="bottom"/>
          </w:tcPr>
          <w:p>
            <w:pPr>
              <w:spacing w:after="0"/>
              <w:rPr>
                <w:sz w:val="24"/>
                <w:szCs w:val="24"/>
                <w:color w:val="auto"/>
              </w:rPr>
            </w:pPr>
          </w:p>
        </w:tc>
        <w:tc>
          <w:tcPr>
            <w:tcW w:w="4020" w:type="dxa"/>
            <w:vAlign w:val="bottom"/>
          </w:tcPr>
          <w:p>
            <w:pPr>
              <w:jc w:val="right"/>
              <w:ind w:right="2579"/>
              <w:spacing w:after="0"/>
              <w:rPr>
                <w:sz w:val="20"/>
                <w:szCs w:val="20"/>
                <w:color w:val="auto"/>
              </w:rPr>
            </w:pPr>
            <w:r>
              <w:rPr>
                <w:rFonts w:ascii="Arial" w:cs="Arial" w:eastAsia="Arial" w:hAnsi="Arial"/>
                <w:sz w:val="14"/>
                <w:szCs w:val="14"/>
                <w:color w:val="auto"/>
              </w:rPr>
              <w:t>15</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34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derivative instruments: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3"/>
                <w:szCs w:val="1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Derivative</w:t>
            </w: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Derivative</w:t>
            </w:r>
          </w:p>
        </w:tc>
        <w:tc>
          <w:tcPr>
            <w:tcW w:w="2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Derivative</w:t>
            </w:r>
          </w:p>
        </w:tc>
        <w:tc>
          <w:tcPr>
            <w:tcW w:w="0" w:type="dxa"/>
            <w:vAlign w:val="bottom"/>
          </w:tcPr>
          <w:p>
            <w:pPr>
              <w:spacing w:after="0"/>
              <w:rPr>
                <w:sz w:val="1"/>
                <w:szCs w:val="1"/>
                <w:color w:val="auto"/>
              </w:rPr>
            </w:pPr>
          </w:p>
        </w:tc>
      </w:tr>
      <w:tr>
        <w:trPr>
          <w:trHeight w:val="186"/>
        </w:trPr>
        <w:tc>
          <w:tcPr>
            <w:tcW w:w="5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Liabilities</w:t>
            </w:r>
          </w:p>
        </w:tc>
        <w:tc>
          <w:tcPr>
            <w:tcW w:w="2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Assets</w:t>
            </w: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45"/>
        </w:trPr>
        <w:tc>
          <w:tcPr>
            <w:tcW w:w="5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3"/>
                <w:szCs w:val="13"/>
                <w:b w:val="1"/>
                <w:bCs w:val="1"/>
                <w:color w:val="auto"/>
              </w:rPr>
              <w:t>Designated as Hedging Instruments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(127)</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598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406</w:t>
            </w:r>
          </w:p>
        </w:tc>
        <w:tc>
          <w:tcPr>
            <w:tcW w:w="1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(482)</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333</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8"/>
                <w:szCs w:val="18"/>
                <w:color w:val="auto"/>
              </w:rPr>
              <w:t>Other contracts</w:t>
            </w:r>
          </w:p>
        </w:tc>
        <w:tc>
          <w:tcPr>
            <w:tcW w:w="28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(153)</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
        </w:trPr>
        <w:tc>
          <w:tcPr>
            <w:tcW w:w="5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5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Gross amounts of derivatives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444</w:t>
            </w:r>
          </w:p>
        </w:tc>
        <w:tc>
          <w:tcPr>
            <w:tcW w:w="1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(762)</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356</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Gross amounts of derivatives offset in the balance sheet</w:t>
            </w:r>
          </w:p>
        </w:tc>
        <w:tc>
          <w:tcPr>
            <w:tcW w:w="28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(158)</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163</w:t>
            </w:r>
          </w:p>
        </w:tc>
        <w:tc>
          <w:tcPr>
            <w:tcW w:w="2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collateral received</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(67)</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980" w:type="dxa"/>
            <w:vAlign w:val="bottom"/>
          </w:tcPr>
          <w:p>
            <w:pPr>
              <w:ind w:left="220"/>
              <w:spacing w:after="0"/>
              <w:rPr>
                <w:sz w:val="20"/>
                <w:szCs w:val="20"/>
                <w:color w:val="auto"/>
              </w:rPr>
            </w:pPr>
            <w:r>
              <w:rPr>
                <w:rFonts w:ascii="Arial" w:cs="Arial" w:eastAsia="Arial" w:hAnsi="Arial"/>
                <w:sz w:val="18"/>
                <w:szCs w:val="18"/>
                <w:color w:val="auto"/>
              </w:rPr>
              <w:t>Net amounts of derivatives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3"/>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Reported as</w:t>
            </w: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9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E5E5E5"/>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271</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218</w:t>
            </w: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assets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00"/>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7"/>
                <w:szCs w:val="17"/>
                <w:color w:val="auto"/>
              </w:rPr>
            </w:pPr>
          </w:p>
        </w:tc>
        <w:tc>
          <w:tcPr>
            <w:tcW w:w="110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(396)</w:t>
            </w:r>
          </w:p>
        </w:tc>
        <w:tc>
          <w:tcPr>
            <w:tcW w:w="280" w:type="dxa"/>
            <w:vAlign w:val="bottom"/>
          </w:tcPr>
          <w:p>
            <w:pPr>
              <w:spacing w:after="0"/>
              <w:rPr>
                <w:sz w:val="17"/>
                <w:szCs w:val="17"/>
                <w:color w:val="auto"/>
              </w:rPr>
            </w:pP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3"/>
        </w:trPr>
        <w:tc>
          <w:tcPr>
            <w:tcW w:w="5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E5E5E5"/>
          </w:tcPr>
          <w:p>
            <w:pPr>
              <w:spacing w:after="0"/>
              <w:rPr>
                <w:sz w:val="17"/>
                <w:szCs w:val="17"/>
                <w:color w:val="auto"/>
              </w:rPr>
            </w:pPr>
          </w:p>
        </w:tc>
        <w:tc>
          <w:tcPr>
            <w:tcW w:w="1100" w:type="dxa"/>
            <w:vAlign w:val="bottom"/>
            <w:gridSpan w:val="2"/>
            <w:shd w:val="clear" w:color="auto" w:fill="E5E5E5"/>
          </w:tcPr>
          <w:p>
            <w:pPr>
              <w:jc w:val="right"/>
              <w:ind w:right="260"/>
              <w:spacing w:after="0" w:line="202" w:lineRule="exact"/>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(270)</w:t>
            </w:r>
          </w:p>
        </w:tc>
        <w:tc>
          <w:tcPr>
            <w:tcW w:w="2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0</w:t>
            </w:r>
          </w:p>
        </w:tc>
        <w:tc>
          <w:tcPr>
            <w:tcW w:w="28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68"/>
        </w:trPr>
        <w:tc>
          <w:tcPr>
            <w:tcW w:w="5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3"/>
        </w:trPr>
        <w:tc>
          <w:tcPr>
            <w:tcW w:w="59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Gross derivative assets and liabilities subject to legally enforceable master netting agreements for which we have elected to offset were $409 million and $759 million, respectively, as of September 30, 2022, and $343 million and $550 million, respectively, as of June 30,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 of our derivatives instruments on a gross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82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1</w:t>
            </w:r>
          </w:p>
        </w:tc>
        <w:tc>
          <w:tcPr>
            <w:tcW w:w="50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3"/>
                <w:szCs w:val="13"/>
                <w:b w:val="1"/>
                <w:bCs w:val="1"/>
                <w:color w:val="auto"/>
              </w:rPr>
              <w:t>Level 2</w:t>
            </w:r>
          </w:p>
        </w:tc>
        <w:tc>
          <w:tcPr>
            <w:tcW w:w="46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3"/>
                <w:szCs w:val="13"/>
                <w:b w:val="1"/>
                <w:bCs w:val="1"/>
                <w:color w:val="auto"/>
              </w:rPr>
              <w:t>Level 3</w:t>
            </w:r>
          </w:p>
        </w:tc>
        <w:tc>
          <w:tcPr>
            <w:tcW w:w="52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r>
      <w:tr>
        <w:trPr>
          <w:trHeight w:val="45"/>
        </w:trPr>
        <w:tc>
          <w:tcPr>
            <w:tcW w:w="354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33"/>
        </w:trPr>
        <w:tc>
          <w:tcPr>
            <w:tcW w:w="3540" w:type="dxa"/>
            <w:vAlign w:val="bottom"/>
          </w:tcPr>
          <w:p>
            <w:pPr>
              <w:spacing w:after="0"/>
              <w:rPr>
                <w:sz w:val="20"/>
                <w:szCs w:val="20"/>
                <w:color w:val="auto"/>
              </w:rPr>
            </w:pPr>
            <w:r>
              <w:rPr>
                <w:rFonts w:ascii="Arial" w:cs="Arial" w:eastAsia="Arial" w:hAnsi="Arial"/>
                <w:sz w:val="13"/>
                <w:szCs w:val="13"/>
                <w:b w:val="1"/>
                <w:bCs w:val="1"/>
                <w:color w:val="auto"/>
              </w:rPr>
              <w:t>September 30, 2022</w:t>
            </w:r>
          </w:p>
        </w:tc>
        <w:tc>
          <w:tcPr>
            <w:tcW w:w="2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35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2"/>
        </w:trPr>
        <w:tc>
          <w:tcPr>
            <w:tcW w:w="3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jc w:val="right"/>
              <w:ind w:right="199"/>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b w:val="1"/>
                <w:bCs w:val="1"/>
                <w:color w:val="auto"/>
              </w:rPr>
              <w:t>0</w:t>
            </w:r>
          </w:p>
        </w:tc>
        <w:tc>
          <w:tcPr>
            <w:tcW w:w="50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b w:val="1"/>
                <w:bCs w:val="1"/>
                <w:color w:val="auto"/>
              </w:rPr>
              <w:t>427</w:t>
            </w:r>
          </w:p>
        </w:tc>
        <w:tc>
          <w:tcPr>
            <w:tcW w:w="46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b w:val="1"/>
                <w:bCs w:val="1"/>
                <w:color w:val="auto"/>
              </w:rPr>
              <w:t>17</w:t>
            </w:r>
          </w:p>
        </w:tc>
        <w:tc>
          <w:tcPr>
            <w:tcW w:w="520" w:type="dxa"/>
            <w:vAlign w:val="bottom"/>
            <w:shd w:val="clear" w:color="auto" w:fill="E5E5E5"/>
          </w:tcPr>
          <w:p>
            <w:pPr>
              <w:jc w:val="right"/>
              <w:ind w:right="23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444</w:t>
            </w:r>
          </w:p>
        </w:tc>
      </w:tr>
      <w:tr>
        <w:trPr>
          <w:trHeight w:val="247"/>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b w:val="1"/>
                <w:bCs w:val="1"/>
                <w:color w:val="auto"/>
              </w:rPr>
              <w:t>0</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(762)</w:t>
            </w:r>
          </w:p>
        </w:tc>
        <w:tc>
          <w:tcPr>
            <w:tcW w:w="4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(762)</w:t>
            </w:r>
          </w:p>
        </w:tc>
      </w:tr>
      <w:tr>
        <w:trPr>
          <w:trHeight w:val="195"/>
        </w:trPr>
        <w:tc>
          <w:tcPr>
            <w:tcW w:w="3540" w:type="dxa"/>
            <w:vAlign w:val="bottom"/>
          </w:tcPr>
          <w:p>
            <w:pPr>
              <w:spacing w:after="0"/>
              <w:rPr>
                <w:sz w:val="20"/>
                <w:szCs w:val="20"/>
                <w:color w:val="auto"/>
              </w:rPr>
            </w:pPr>
            <w:r>
              <w:rPr>
                <w:rFonts w:ascii="Arial" w:cs="Arial" w:eastAsia="Arial" w:hAnsi="Arial"/>
                <w:sz w:val="13"/>
                <w:szCs w:val="13"/>
                <w:b w:val="1"/>
                <w:bCs w:val="1"/>
                <w:color w:val="auto"/>
              </w:rPr>
              <w:t>June 30, 2022</w:t>
            </w:r>
          </w:p>
        </w:tc>
        <w:tc>
          <w:tcPr>
            <w:tcW w:w="2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5"/>
        </w:trPr>
        <w:tc>
          <w:tcPr>
            <w:tcW w:w="35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35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Derivative assets</w:t>
            </w:r>
          </w:p>
        </w:tc>
        <w:tc>
          <w:tcPr>
            <w:tcW w:w="282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1</w:t>
            </w:r>
          </w:p>
        </w:tc>
        <w:tc>
          <w:tcPr>
            <w:tcW w:w="500" w:type="dxa"/>
            <w:vAlign w:val="bottom"/>
            <w:shd w:val="clear" w:color="auto" w:fill="E5E5E5"/>
          </w:tcPr>
          <w:p>
            <w:pPr>
              <w:spacing w:after="0"/>
              <w:rPr>
                <w:sz w:val="17"/>
                <w:szCs w:val="17"/>
                <w:color w:val="auto"/>
              </w:rPr>
            </w:pPr>
          </w:p>
        </w:tc>
        <w:tc>
          <w:tcPr>
            <w:tcW w:w="880" w:type="dxa"/>
            <w:vAlign w:val="bottom"/>
            <w:shd w:val="clear" w:color="auto" w:fill="E5E5E5"/>
          </w:tcPr>
          <w:p>
            <w:pPr>
              <w:jc w:val="right"/>
              <w:ind w:right="55"/>
              <w:spacing w:after="0" w:line="202" w:lineRule="exact"/>
              <w:rPr>
                <w:sz w:val="20"/>
                <w:szCs w:val="20"/>
                <w:color w:val="auto"/>
              </w:rPr>
            </w:pPr>
            <w:r>
              <w:rPr>
                <w:rFonts w:ascii="Arial" w:cs="Arial" w:eastAsia="Arial" w:hAnsi="Arial"/>
                <w:sz w:val="18"/>
                <w:szCs w:val="18"/>
                <w:color w:val="auto"/>
              </w:rPr>
              <w:t>349</w:t>
            </w:r>
          </w:p>
        </w:tc>
        <w:tc>
          <w:tcPr>
            <w:tcW w:w="46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35"/>
              <w:spacing w:after="0" w:line="202" w:lineRule="exact"/>
              <w:rPr>
                <w:sz w:val="20"/>
                <w:szCs w:val="20"/>
                <w:color w:val="auto"/>
              </w:rPr>
            </w:pPr>
            <w:r>
              <w:rPr>
                <w:rFonts w:ascii="Arial" w:cs="Arial" w:eastAsia="Arial" w:hAnsi="Arial"/>
                <w:sz w:val="18"/>
                <w:szCs w:val="18"/>
                <w:color w:val="auto"/>
              </w:rPr>
              <w:t>6</w:t>
            </w:r>
          </w:p>
        </w:tc>
        <w:tc>
          <w:tcPr>
            <w:tcW w:w="52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356</w:t>
            </w: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820" w:type="dxa"/>
            <w:vAlign w:val="bottom"/>
          </w:tcPr>
          <w:p>
            <w:pPr>
              <w:spacing w:after="0"/>
              <w:rPr>
                <w:sz w:val="20"/>
                <w:szCs w:val="20"/>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(551)</w:t>
            </w:r>
          </w:p>
        </w:tc>
        <w:tc>
          <w:tcPr>
            <w:tcW w:w="46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0</w:t>
            </w:r>
          </w:p>
        </w:tc>
        <w:tc>
          <w:tcPr>
            <w:tcW w:w="5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r>
      <w:tr>
        <w:trPr>
          <w:trHeight w:val="31"/>
        </w:trPr>
        <w:tc>
          <w:tcPr>
            <w:tcW w:w="35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593"/>
        </w:trPr>
        <w:tc>
          <w:tcPr>
            <w:tcW w:w="3540" w:type="dxa"/>
            <w:vAlign w:val="bottom"/>
          </w:tcPr>
          <w:p>
            <w:pPr>
              <w:spacing w:after="0"/>
              <w:rPr>
                <w:sz w:val="24"/>
                <w:szCs w:val="24"/>
                <w:color w:val="auto"/>
              </w:rPr>
            </w:pPr>
          </w:p>
        </w:tc>
        <w:tc>
          <w:tcPr>
            <w:tcW w:w="2820" w:type="dxa"/>
            <w:vAlign w:val="bottom"/>
          </w:tcPr>
          <w:p>
            <w:pPr>
              <w:jc w:val="right"/>
              <w:ind w:right="579"/>
              <w:spacing w:after="0"/>
              <w:rPr>
                <w:sz w:val="20"/>
                <w:szCs w:val="20"/>
                <w:color w:val="auto"/>
              </w:rPr>
            </w:pPr>
            <w:r>
              <w:rPr>
                <w:rFonts w:ascii="Arial" w:cs="Arial" w:eastAsia="Arial" w:hAnsi="Arial"/>
                <w:sz w:val="14"/>
                <w:szCs w:val="14"/>
                <w:color w:val="auto"/>
              </w:rPr>
              <w:t>16</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6"/>
        </w:trPr>
        <w:tc>
          <w:tcPr>
            <w:tcW w:w="3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Gains (losses) on derivative instruments recognized in other income (expense), net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580" w:type="dxa"/>
            <w:vAlign w:val="bottom"/>
          </w:tcPr>
          <w:p>
            <w:pPr>
              <w:spacing w:after="0"/>
              <w:rPr>
                <w:sz w:val="16"/>
                <w:szCs w:val="16"/>
                <w:color w:val="auto"/>
              </w:rPr>
            </w:pPr>
          </w:p>
        </w:tc>
        <w:tc>
          <w:tcPr>
            <w:tcW w:w="960" w:type="dxa"/>
            <w:vAlign w:val="bottom"/>
          </w:tcPr>
          <w:p>
            <w:pPr>
              <w:jc w:val="right"/>
              <w:ind w:right="33"/>
              <w:spacing w:after="0"/>
              <w:rPr>
                <w:sz w:val="20"/>
                <w:szCs w:val="20"/>
                <w:color w:val="auto"/>
              </w:rPr>
            </w:pPr>
            <w:r>
              <w:rPr>
                <w:rFonts w:ascii="Arial" w:cs="Arial" w:eastAsia="Arial" w:hAnsi="Arial"/>
                <w:sz w:val="13"/>
                <w:szCs w:val="13"/>
                <w:b w:val="1"/>
                <w:bCs w:val="1"/>
                <w:color w:val="auto"/>
              </w:rPr>
              <w:t>2022</w:t>
            </w:r>
          </w:p>
        </w:tc>
        <w:tc>
          <w:tcPr>
            <w:tcW w:w="7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216"/>
        </w:trPr>
        <w:tc>
          <w:tcPr>
            <w:tcW w:w="7060" w:type="dxa"/>
            <w:vAlign w:val="bottom"/>
          </w:tcPr>
          <w:p>
            <w:pPr>
              <w:spacing w:after="0"/>
              <w:rPr>
                <w:sz w:val="20"/>
                <w:szCs w:val="20"/>
                <w:color w:val="auto"/>
              </w:rPr>
            </w:pPr>
            <w:r>
              <w:rPr>
                <w:rFonts w:ascii="Arial" w:cs="Arial" w:eastAsia="Arial" w:hAnsi="Arial"/>
                <w:sz w:val="13"/>
                <w:szCs w:val="13"/>
                <w:b w:val="1"/>
                <w:bCs w:val="1"/>
                <w:color w:val="auto"/>
              </w:rPr>
              <w:t>Designated as Fair Value Hedging Instruments</w:t>
            </w: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
        </w:trPr>
        <w:tc>
          <w:tcPr>
            <w:tcW w:w="7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15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7060" w:type="dxa"/>
            <w:vAlign w:val="bottom"/>
          </w:tcPr>
          <w:p>
            <w:pPr>
              <w:ind w:left="220"/>
              <w:spacing w:after="0" w:line="202" w:lineRule="exact"/>
              <w:rPr>
                <w:sz w:val="20"/>
                <w:szCs w:val="20"/>
                <w:color w:val="auto"/>
              </w:rPr>
            </w:pPr>
            <w:r>
              <w:rPr>
                <w:rFonts w:ascii="Arial" w:cs="Arial" w:eastAsia="Arial" w:hAnsi="Arial"/>
                <w:sz w:val="18"/>
                <w:szCs w:val="18"/>
                <w:color w:val="auto"/>
              </w:rPr>
              <w:t>Derivatives</w:t>
            </w:r>
          </w:p>
        </w:tc>
        <w:tc>
          <w:tcPr>
            <w:tcW w:w="1580" w:type="dxa"/>
            <w:vAlign w:val="bottom"/>
          </w:tcPr>
          <w:p>
            <w:pPr>
              <w:jc w:val="right"/>
              <w:ind w:right="45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0</w:t>
            </w:r>
          </w:p>
        </w:tc>
        <w:tc>
          <w:tcPr>
            <w:tcW w:w="7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3"/>
        </w:trPr>
        <w:tc>
          <w:tcPr>
            <w:tcW w:w="70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Hedged items</w:t>
            </w:r>
          </w:p>
        </w:tc>
        <w:tc>
          <w:tcPr>
            <w:tcW w:w="158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0</w:t>
            </w:r>
          </w:p>
        </w:tc>
        <w:tc>
          <w:tcPr>
            <w:tcW w:w="7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47"/>
        </w:trPr>
        <w:tc>
          <w:tcPr>
            <w:tcW w:w="7060" w:type="dxa"/>
            <w:vAlign w:val="bottom"/>
          </w:tcPr>
          <w:p>
            <w:pPr>
              <w:ind w:left="220"/>
              <w:spacing w:after="0"/>
              <w:rPr>
                <w:sz w:val="20"/>
                <w:szCs w:val="20"/>
                <w:color w:val="auto"/>
              </w:rPr>
            </w:pPr>
            <w:r>
              <w:rPr>
                <w:rFonts w:ascii="Arial" w:cs="Arial" w:eastAsia="Arial" w:hAnsi="Arial"/>
                <w:sz w:val="18"/>
                <w:szCs w:val="18"/>
                <w:color w:val="auto"/>
              </w:rPr>
              <w:t>Excluded from effectiveness assessment</w:t>
            </w:r>
          </w:p>
        </w:tc>
        <w:tc>
          <w:tcPr>
            <w:tcW w:w="15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0</w:t>
            </w:r>
          </w:p>
        </w:tc>
        <w:tc>
          <w:tcPr>
            <w:tcW w:w="7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3"/>
        </w:trPr>
        <w:tc>
          <w:tcPr>
            <w:tcW w:w="7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 contracts</w:t>
            </w:r>
          </w:p>
        </w:tc>
        <w:tc>
          <w:tcPr>
            <w:tcW w:w="15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03"/>
        </w:trPr>
        <w:tc>
          <w:tcPr>
            <w:tcW w:w="7060" w:type="dxa"/>
            <w:vAlign w:val="bottom"/>
          </w:tcPr>
          <w:p>
            <w:pPr>
              <w:ind w:left="220"/>
              <w:spacing w:after="0" w:line="202" w:lineRule="exact"/>
              <w:rPr>
                <w:sz w:val="20"/>
                <w:szCs w:val="20"/>
                <w:color w:val="auto"/>
              </w:rPr>
            </w:pPr>
            <w:r>
              <w:rPr>
                <w:rFonts w:ascii="Arial" w:cs="Arial" w:eastAsia="Arial" w:hAnsi="Arial"/>
                <w:sz w:val="18"/>
                <w:szCs w:val="18"/>
                <w:color w:val="auto"/>
              </w:rPr>
              <w:t>Derivatives</w:t>
            </w:r>
          </w:p>
        </w:tc>
        <w:tc>
          <w:tcPr>
            <w:tcW w:w="15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7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70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Hedged items</w:t>
            </w:r>
          </w:p>
        </w:tc>
        <w:tc>
          <w:tcPr>
            <w:tcW w:w="158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43</w:t>
            </w:r>
          </w:p>
        </w:tc>
        <w:tc>
          <w:tcPr>
            <w:tcW w:w="7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39"/>
        </w:trPr>
        <w:tc>
          <w:tcPr>
            <w:tcW w:w="70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1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
        </w:trPr>
        <w:tc>
          <w:tcPr>
            <w:tcW w:w="7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158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r>
      <w:tr>
        <w:trPr>
          <w:trHeight w:val="247"/>
        </w:trPr>
        <w:tc>
          <w:tcPr>
            <w:tcW w:w="7060" w:type="dxa"/>
            <w:vAlign w:val="bottom"/>
          </w:tcPr>
          <w:p>
            <w:pPr>
              <w:ind w:left="220"/>
              <w:spacing w:after="0"/>
              <w:rPr>
                <w:sz w:val="20"/>
                <w:szCs w:val="20"/>
                <w:color w:val="auto"/>
              </w:rPr>
            </w:pPr>
            <w:r>
              <w:rPr>
                <w:rFonts w:ascii="Arial" w:cs="Arial" w:eastAsia="Arial" w:hAnsi="Arial"/>
                <w:sz w:val="18"/>
                <w:szCs w:val="18"/>
                <w:color w:val="auto"/>
              </w:rPr>
              <w:t>Amount reclassified from accumulated other comprehensive income (loss)</w:t>
            </w:r>
          </w:p>
        </w:tc>
        <w:tc>
          <w:tcPr>
            <w:tcW w:w="1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7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195"/>
        </w:trPr>
        <w:tc>
          <w:tcPr>
            <w:tcW w:w="7060" w:type="dxa"/>
            <w:vAlign w:val="bottom"/>
          </w:tcPr>
          <w:p>
            <w:pPr>
              <w:spacing w:after="0"/>
              <w:rPr>
                <w:sz w:val="20"/>
                <w:szCs w:val="20"/>
                <w:color w:val="auto"/>
              </w:rPr>
            </w:pPr>
            <w:r>
              <w:rPr>
                <w:rFonts w:ascii="Arial" w:cs="Arial" w:eastAsia="Arial" w:hAnsi="Arial"/>
                <w:sz w:val="13"/>
                <w:szCs w:val="13"/>
                <w:b w:val="1"/>
                <w:bCs w:val="1"/>
                <w:color w:val="auto"/>
              </w:rPr>
              <w:t>Not Designated as Hedging Instruments</w:t>
            </w:r>
          </w:p>
        </w:tc>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4"/>
        </w:trPr>
        <w:tc>
          <w:tcPr>
            <w:tcW w:w="7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70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1580" w:type="dxa"/>
            <w:vAlign w:val="bottom"/>
            <w:shd w:val="clear" w:color="auto" w:fill="E5E5E5"/>
          </w:tcPr>
          <w:p>
            <w:pPr>
              <w:spacing w:after="0"/>
              <w:rPr>
                <w:sz w:val="17"/>
                <w:szCs w:val="17"/>
                <w:color w:val="auto"/>
              </w:rPr>
            </w:pPr>
          </w:p>
        </w:tc>
        <w:tc>
          <w:tcPr>
            <w:tcW w:w="960" w:type="dxa"/>
            <w:vAlign w:val="bottom"/>
            <w:shd w:val="clear" w:color="auto" w:fill="E5E5E5"/>
          </w:tcPr>
          <w:p>
            <w:pPr>
              <w:jc w:val="right"/>
              <w:ind w:right="33"/>
              <w:spacing w:after="0" w:line="202" w:lineRule="exact"/>
              <w:rPr>
                <w:sz w:val="20"/>
                <w:szCs w:val="20"/>
                <w:color w:val="auto"/>
              </w:rPr>
            </w:pPr>
            <w:r>
              <w:rPr>
                <w:rFonts w:ascii="Arial" w:cs="Arial" w:eastAsia="Arial" w:hAnsi="Arial"/>
                <w:sz w:val="18"/>
                <w:szCs w:val="18"/>
                <w:b w:val="1"/>
                <w:bCs w:val="1"/>
                <w:color w:val="auto"/>
              </w:rPr>
              <w:t>240</w:t>
            </w:r>
          </w:p>
        </w:tc>
        <w:tc>
          <w:tcPr>
            <w:tcW w:w="7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177</w:t>
            </w:r>
          </w:p>
        </w:tc>
      </w:tr>
      <w:tr>
        <w:trPr>
          <w:trHeight w:val="247"/>
        </w:trPr>
        <w:tc>
          <w:tcPr>
            <w:tcW w:w="7060" w:type="dxa"/>
            <w:vAlign w:val="bottom"/>
          </w:tcPr>
          <w:p>
            <w:pPr>
              <w:spacing w:after="0"/>
              <w:rPr>
                <w:sz w:val="20"/>
                <w:szCs w:val="20"/>
                <w:color w:val="auto"/>
              </w:rPr>
            </w:pPr>
            <w:r>
              <w:rPr>
                <w:rFonts w:ascii="Arial" w:cs="Arial" w:eastAsia="Arial" w:hAnsi="Arial"/>
                <w:sz w:val="18"/>
                <w:szCs w:val="18"/>
                <w:color w:val="auto"/>
              </w:rPr>
              <w:t>Other contracts</w:t>
            </w:r>
          </w:p>
        </w:tc>
        <w:tc>
          <w:tcPr>
            <w:tcW w:w="15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c>
          <w:tcPr>
            <w:tcW w:w="7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
        </w:trPr>
        <w:tc>
          <w:tcPr>
            <w:tcW w:w="70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Losses, net of tax, on derivative instruments recognized in our consolidated comprehensive income statements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294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3"/>
                <w:szCs w:val="13"/>
                <w:b w:val="1"/>
                <w:bCs w:val="1"/>
                <w:color w:val="auto"/>
              </w:rPr>
              <w:t>Designated as Cash Flow Hedging Instruments</w:t>
            </w: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
        </w:trPr>
        <w:tc>
          <w:tcPr>
            <w:tcW w:w="45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exchange contracts</w:t>
            </w:r>
          </w:p>
        </w:tc>
        <w:tc>
          <w:tcPr>
            <w:tcW w:w="214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r>
      <w:tr>
        <w:trPr>
          <w:trHeight w:val="247"/>
        </w:trPr>
        <w:tc>
          <w:tcPr>
            <w:tcW w:w="4560" w:type="dxa"/>
            <w:vAlign w:val="bottom"/>
          </w:tcPr>
          <w:p>
            <w:pPr>
              <w:ind w:left="220"/>
              <w:spacing w:after="0"/>
              <w:rPr>
                <w:sz w:val="20"/>
                <w:szCs w:val="20"/>
                <w:color w:val="auto"/>
              </w:rPr>
            </w:pPr>
            <w:r>
              <w:rPr>
                <w:rFonts w:ascii="Arial" w:cs="Arial" w:eastAsia="Arial" w:hAnsi="Arial"/>
                <w:sz w:val="18"/>
                <w:szCs w:val="18"/>
                <w:color w:val="auto"/>
              </w:rPr>
              <w:t>Included in effectiveness assessment</w:t>
            </w:r>
          </w:p>
        </w:tc>
        <w:tc>
          <w:tcPr>
            <w:tcW w:w="3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w:t>
            </w: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(10)</w:t>
            </w:r>
          </w:p>
        </w:tc>
      </w:tr>
      <w:tr>
        <w:trPr>
          <w:trHeight w:val="23"/>
        </w:trPr>
        <w:tc>
          <w:tcPr>
            <w:tcW w:w="45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99"/>
        </w:trPr>
        <w:tc>
          <w:tcPr>
            <w:tcW w:w="4560" w:type="dxa"/>
            <w:vAlign w:val="bottom"/>
          </w:tcPr>
          <w:p>
            <w:pPr>
              <w:spacing w:after="0"/>
              <w:rPr>
                <w:sz w:val="24"/>
                <w:szCs w:val="24"/>
                <w:color w:val="auto"/>
              </w:rPr>
            </w:pPr>
          </w:p>
        </w:tc>
        <w:tc>
          <w:tcPr>
            <w:tcW w:w="3780" w:type="dxa"/>
            <w:vAlign w:val="bottom"/>
            <w:gridSpan w:val="3"/>
          </w:tcPr>
          <w:p>
            <w:pPr>
              <w:jc w:val="right"/>
              <w:ind w:right="1640"/>
              <w:spacing w:after="0"/>
              <w:rPr>
                <w:sz w:val="20"/>
                <w:szCs w:val="20"/>
                <w:color w:val="auto"/>
              </w:rPr>
            </w:pPr>
            <w:r>
              <w:rPr>
                <w:rFonts w:ascii="Arial" w:cs="Arial" w:eastAsia="Arial" w:hAnsi="Arial"/>
                <w:sz w:val="18"/>
                <w:szCs w:val="18"/>
                <w:color w:val="auto"/>
                <w:w w:val="98"/>
              </w:rPr>
              <w:t>NOTE 6 — INVENTORIES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9"/>
        </w:trPr>
        <w:tc>
          <w:tcPr>
            <w:tcW w:w="456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21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7"/>
        </w:trPr>
        <w:tc>
          <w:tcPr>
            <w:tcW w:w="45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
        </w:trPr>
        <w:tc>
          <w:tcPr>
            <w:tcW w:w="45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gridSpan w:val="2"/>
          </w:tcPr>
          <w:p>
            <w:pPr>
              <w:spacing w:after="0"/>
              <w:rPr>
                <w:sz w:val="3"/>
                <w:szCs w:val="3"/>
                <w:color w:val="auto"/>
              </w:rPr>
            </w:pPr>
          </w:p>
        </w:tc>
      </w:tr>
      <w:tr>
        <w:trPr>
          <w:trHeight w:val="195"/>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4"/>
          </w:tcPr>
          <w:p>
            <w:pPr>
              <w:ind w:left="420"/>
              <w:spacing w:after="0"/>
              <w:rPr>
                <w:sz w:val="20"/>
                <w:szCs w:val="20"/>
                <w:color w:val="auto"/>
              </w:rPr>
            </w:pPr>
            <w:r>
              <w:rPr>
                <w:rFonts w:ascii="Arial" w:cs="Arial" w:eastAsia="Arial" w:hAnsi="Arial"/>
                <w:sz w:val="13"/>
                <w:szCs w:val="13"/>
                <w:b w:val="1"/>
                <w:bCs w:val="1"/>
                <w:color w:val="auto"/>
              </w:rPr>
              <w:t>June 30,</w:t>
            </w:r>
          </w:p>
        </w:tc>
      </w:tr>
      <w:tr>
        <w:trPr>
          <w:trHeight w:val="186"/>
        </w:trPr>
        <w:tc>
          <w:tcPr>
            <w:tcW w:w="4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r>
      <w:tr>
        <w:trPr>
          <w:trHeight w:val="45"/>
        </w:trPr>
        <w:tc>
          <w:tcPr>
            <w:tcW w:w="45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Raw materials</w:t>
            </w:r>
          </w:p>
        </w:tc>
        <w:tc>
          <w:tcPr>
            <w:tcW w:w="3780" w:type="dxa"/>
            <w:vAlign w:val="bottom"/>
            <w:gridSpan w:val="3"/>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1,143</w:t>
            </w:r>
          </w:p>
        </w:tc>
        <w:tc>
          <w:tcPr>
            <w:tcW w:w="620" w:type="dxa"/>
            <w:vAlign w:val="bottom"/>
            <w:gridSpan w:val="3"/>
            <w:shd w:val="clear" w:color="auto" w:fill="E5E5E5"/>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1,144</w:t>
            </w:r>
          </w:p>
        </w:tc>
        <w:tc>
          <w:tcPr>
            <w:tcW w:w="80" w:type="dxa"/>
            <w:vAlign w:val="bottom"/>
            <w:shd w:val="clear" w:color="auto" w:fill="E5E5E5"/>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82</w:t>
            </w:r>
          </w:p>
        </w:tc>
        <w:tc>
          <w:tcPr>
            <w:tcW w:w="80" w:type="dxa"/>
            <w:vAlign w:val="bottom"/>
          </w:tcPr>
          <w:p>
            <w:pPr>
              <w:spacing w:after="0"/>
              <w:rPr>
                <w:sz w:val="17"/>
                <w:szCs w:val="17"/>
                <w:color w:val="auto"/>
              </w:rPr>
            </w:pPr>
          </w:p>
        </w:tc>
      </w:tr>
      <w:tr>
        <w:trPr>
          <w:trHeight w:val="203"/>
        </w:trPr>
        <w:tc>
          <w:tcPr>
            <w:tcW w:w="45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E5E5E5"/>
          </w:tcPr>
          <w:p>
            <w:pPr>
              <w:spacing w:after="0"/>
              <w:rPr>
                <w:sz w:val="17"/>
                <w:szCs w:val="17"/>
                <w:color w:val="auto"/>
              </w:rPr>
            </w:pPr>
          </w:p>
        </w:tc>
        <w:tc>
          <w:tcPr>
            <w:tcW w:w="13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3,074</w:t>
            </w:r>
          </w:p>
        </w:tc>
        <w:tc>
          <w:tcPr>
            <w:tcW w:w="1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980" w:type="dxa"/>
            <w:vAlign w:val="bottom"/>
            <w:gridSpan w:val="3"/>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2,516</w:t>
            </w:r>
          </w:p>
        </w:tc>
        <w:tc>
          <w:tcPr>
            <w:tcW w:w="80" w:type="dxa"/>
            <w:vAlign w:val="bottom"/>
            <w:shd w:val="clear" w:color="auto" w:fill="E5E5E5"/>
          </w:tcPr>
          <w:p>
            <w:pPr>
              <w:spacing w:after="0"/>
              <w:rPr>
                <w:sz w:val="17"/>
                <w:szCs w:val="17"/>
                <w:color w:val="auto"/>
              </w:rPr>
            </w:pPr>
          </w:p>
        </w:tc>
      </w:tr>
      <w:tr>
        <w:trPr>
          <w:trHeight w:val="68"/>
        </w:trPr>
        <w:tc>
          <w:tcPr>
            <w:tcW w:w="45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81"/>
        </w:trPr>
        <w:tc>
          <w:tcPr>
            <w:tcW w:w="4560" w:type="dxa"/>
            <w:vAlign w:val="bottom"/>
          </w:tcPr>
          <w:p>
            <w:pPr>
              <w:ind w:left="220"/>
              <w:spacing w:after="0"/>
              <w:rPr>
                <w:sz w:val="20"/>
                <w:szCs w:val="20"/>
                <w:color w:val="auto"/>
              </w:rPr>
            </w:pPr>
            <w:r>
              <w:rPr>
                <w:rFonts w:ascii="Arial" w:cs="Arial" w:eastAsia="Arial" w:hAnsi="Arial"/>
                <w:sz w:val="18"/>
                <w:szCs w:val="18"/>
                <w:color w:val="auto"/>
              </w:rPr>
              <w:t>Total</w:t>
            </w:r>
          </w:p>
        </w:tc>
        <w:tc>
          <w:tcPr>
            <w:tcW w:w="3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4,268</w:t>
            </w:r>
          </w:p>
        </w:tc>
        <w:tc>
          <w:tcPr>
            <w:tcW w:w="6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3,742</w:t>
            </w:r>
          </w:p>
        </w:tc>
        <w:tc>
          <w:tcPr>
            <w:tcW w:w="80" w:type="dxa"/>
            <w:vAlign w:val="bottom"/>
          </w:tcPr>
          <w:p>
            <w:pPr>
              <w:spacing w:after="0"/>
              <w:rPr>
                <w:sz w:val="24"/>
                <w:szCs w:val="24"/>
                <w:color w:val="auto"/>
              </w:rPr>
            </w:pPr>
          </w:p>
        </w:tc>
      </w:tr>
      <w:tr>
        <w:trPr>
          <w:trHeight w:val="57"/>
        </w:trPr>
        <w:tc>
          <w:tcPr>
            <w:tcW w:w="45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7 —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Nuance Communications, Inc.</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March 4, 2022, we completed our acquisition of Nuance Communications, Inc. (“Nuance”) for a total purchase price of $ 18.8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purchase price allocation as of the date of acquisition was based on a preliminary valuation and is subject to revision as more detailed analyses are completed and additional information about the fair value of assets acquired and liabilities assumed becomes available.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9640" w:type="dxa"/>
            <w:vAlign w:val="bottom"/>
            <w:gridSpan w:val="3"/>
          </w:tcPr>
          <w:p>
            <w:pPr>
              <w:jc w:val="center"/>
              <w:ind w:left="1536"/>
              <w:spacing w:after="0"/>
              <w:rPr>
                <w:sz w:val="20"/>
                <w:szCs w:val="20"/>
                <w:color w:val="auto"/>
              </w:rPr>
            </w:pPr>
            <w:r>
              <w:rPr>
                <w:rFonts w:ascii="Arial" w:cs="Arial" w:eastAsia="Arial" w:hAnsi="Arial"/>
                <w:sz w:val="13"/>
                <w:szCs w:val="13"/>
                <w:color w:val="auto"/>
              </w:rPr>
              <w:t>PART I</w:t>
            </w: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0"/>
        </w:trPr>
        <w:tc>
          <w:tcPr>
            <w:tcW w:w="5420" w:type="dxa"/>
            <w:vAlign w:val="bottom"/>
          </w:tcPr>
          <w:p>
            <w:pPr>
              <w:spacing w:after="0"/>
              <w:rPr>
                <w:sz w:val="14"/>
                <w:szCs w:val="14"/>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Item 1</w:t>
            </w:r>
          </w:p>
        </w:tc>
        <w:tc>
          <w:tcPr>
            <w:tcW w:w="3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557"/>
        </w:trPr>
        <w:tc>
          <w:tcPr>
            <w:tcW w:w="9640" w:type="dxa"/>
            <w:vAlign w:val="bottom"/>
            <w:gridSpan w:val="3"/>
          </w:tcPr>
          <w:p>
            <w:pPr>
              <w:spacing w:after="0"/>
              <w:rPr>
                <w:sz w:val="20"/>
                <w:szCs w:val="20"/>
                <w:color w:val="auto"/>
              </w:rPr>
            </w:pPr>
            <w:r>
              <w:rPr>
                <w:rFonts w:ascii="Arial" w:cs="Arial" w:eastAsia="Arial" w:hAnsi="Arial"/>
                <w:sz w:val="18"/>
                <w:szCs w:val="18"/>
                <w:color w:val="auto"/>
              </w:rPr>
              <w:t>The major classes of assets and liabilities to which we have preliminarily allocated the purchase price were as follows: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6"/>
        </w:trPr>
        <w:tc>
          <w:tcPr>
            <w:tcW w:w="964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61"/>
        </w:trPr>
        <w:tc>
          <w:tcPr>
            <w:tcW w:w="5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3"/>
        </w:trPr>
        <w:tc>
          <w:tcPr>
            <w:tcW w:w="96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(a)</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16,329</w:t>
            </w:r>
          </w:p>
        </w:tc>
      </w:tr>
      <w:tr>
        <w:trPr>
          <w:trHeight w:val="203"/>
        </w:trPr>
        <w:tc>
          <w:tcPr>
            <w:tcW w:w="964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4,365</w:t>
            </w:r>
          </w:p>
        </w:tc>
      </w:tr>
      <w:tr>
        <w:trPr>
          <w:trHeight w:val="203"/>
        </w:trPr>
        <w:tc>
          <w:tcPr>
            <w:tcW w:w="964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Other assets</w:t>
            </w:r>
          </w:p>
        </w:tc>
        <w:tc>
          <w:tcPr>
            <w:tcW w:w="52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42</w:t>
            </w:r>
          </w:p>
        </w:tc>
      </w:tr>
      <w:tr>
        <w:trPr>
          <w:trHeight w:val="239"/>
        </w:trPr>
        <w:tc>
          <w:tcPr>
            <w:tcW w:w="9640" w:type="dxa"/>
            <w:vAlign w:val="bottom"/>
            <w:gridSpan w:val="3"/>
          </w:tcPr>
          <w:p>
            <w:pPr>
              <w:spacing w:after="0"/>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15"/>
                <w:szCs w:val="15"/>
                <w:color w:val="auto"/>
              </w:rPr>
              <w:t>(b)</w:t>
            </w:r>
          </w:p>
        </w:tc>
        <w:tc>
          <w:tcPr>
            <w:tcW w:w="5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(1,973)</w:t>
            </w:r>
          </w:p>
        </w:tc>
      </w:tr>
      <w:tr>
        <w:trPr>
          <w:trHeight w:val="31"/>
        </w:trPr>
        <w:tc>
          <w:tcPr>
            <w:tcW w:w="5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61"/>
        </w:trPr>
        <w:tc>
          <w:tcPr>
            <w:tcW w:w="5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3"/>
        </w:trPr>
        <w:tc>
          <w:tcPr>
            <w:tcW w:w="9640" w:type="dxa"/>
            <w:vAlign w:val="bottom"/>
            <w:gridSpan w:val="3"/>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520" w:type="dxa"/>
            <w:vAlign w:val="bottom"/>
            <w:shd w:val="clear" w:color="auto" w:fill="E5E5E5"/>
          </w:tcPr>
          <w:p>
            <w:pPr>
              <w:jc w:val="right"/>
              <w:ind w:right="3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18,763</w:t>
            </w:r>
          </w:p>
        </w:tc>
      </w:tr>
      <w:tr>
        <w:trPr>
          <w:trHeight w:val="74"/>
        </w:trPr>
        <w:tc>
          <w:tcPr>
            <w:tcW w:w="5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64" w:lineRule="exact"/>
        <w:rPr>
          <w:sz w:val="20"/>
          <w:szCs w:val="20"/>
          <w:color w:val="auto"/>
        </w:rPr>
      </w:pPr>
    </w:p>
    <w:p>
      <w:pPr>
        <w:ind w:left="540" w:right="20" w:hanging="532"/>
        <w:spacing w:after="0" w:line="24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Goodwill was assigned to our Intelligent Cloud segment and was primarily attributed to increased synergies that are expected to be achieved from the integration of Nuance. None of the goodwill is expected to be deductible for income tax purposes</w:t>
      </w:r>
      <w:r>
        <w:rPr>
          <w:rFonts w:ascii="Arial" w:cs="Arial" w:eastAsia="Arial" w:hAnsi="Arial"/>
          <w:sz w:val="18"/>
          <w:szCs w:val="18"/>
          <w:color w:val="auto"/>
        </w:rPr>
        <w:t>.</w:t>
      </w:r>
    </w:p>
    <w:p>
      <w:pPr>
        <w:ind w:left="540" w:hanging="532"/>
        <w:spacing w:after="0" w:line="25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Includes $986 million of convertible senior notes issued by Nuance in 2015 and 2017, of which $985 million was redeemed as of September 30,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details of the purchase price allocated to the intangible assets acquired: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average life)</w:t>
            </w:r>
          </w:p>
        </w:tc>
        <w:tc>
          <w:tcPr>
            <w:tcW w:w="5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800" w:type="dxa"/>
            <w:vAlign w:val="bottom"/>
            <w:gridSpan w:val="2"/>
          </w:tcPr>
          <w:p>
            <w:pPr>
              <w:jc w:val="center"/>
              <w:ind w:left="878"/>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86"/>
        </w:trPr>
        <w:tc>
          <w:tcPr>
            <w:tcW w:w="7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0" w:type="dxa"/>
            <w:vAlign w:val="bottom"/>
            <w:gridSpan w:val="2"/>
          </w:tcPr>
          <w:p>
            <w:pPr>
              <w:ind w:left="880"/>
              <w:spacing w:after="0"/>
              <w:rPr>
                <w:sz w:val="20"/>
                <w:szCs w:val="20"/>
                <w:color w:val="auto"/>
              </w:rPr>
            </w:pPr>
            <w:r>
              <w:rPr>
                <w:rFonts w:ascii="Arial" w:cs="Arial" w:eastAsia="Arial" w:hAnsi="Arial"/>
                <w:sz w:val="13"/>
                <w:szCs w:val="13"/>
                <w:b w:val="1"/>
                <w:bCs w:val="1"/>
                <w:color w:val="auto"/>
              </w:rPr>
              <w:t>Average Life</w:t>
            </w:r>
          </w:p>
        </w:tc>
        <w:tc>
          <w:tcPr>
            <w:tcW w:w="0" w:type="dxa"/>
            <w:vAlign w:val="bottom"/>
          </w:tcPr>
          <w:p>
            <w:pPr>
              <w:spacing w:after="0"/>
              <w:rPr>
                <w:sz w:val="1"/>
                <w:szCs w:val="1"/>
                <w:color w:val="auto"/>
              </w:rPr>
            </w:pPr>
          </w:p>
        </w:tc>
      </w:tr>
      <w:tr>
        <w:trPr>
          <w:trHeight w:val="45"/>
        </w:trPr>
        <w:tc>
          <w:tcPr>
            <w:tcW w:w="7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7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Customer-related</w:t>
            </w:r>
          </w:p>
        </w:tc>
        <w:tc>
          <w:tcPr>
            <w:tcW w:w="56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2,610</w:t>
            </w:r>
          </w:p>
        </w:tc>
        <w:tc>
          <w:tcPr>
            <w:tcW w:w="1800" w:type="dxa"/>
            <w:vAlign w:val="bottom"/>
            <w:gridSpan w:val="2"/>
            <w:shd w:val="clear" w:color="auto" w:fill="E5E5E5"/>
          </w:tcPr>
          <w:p>
            <w:pPr>
              <w:jc w:val="center"/>
              <w:ind w:left="918"/>
              <w:spacing w:after="0" w:line="202" w:lineRule="exact"/>
              <w:rPr>
                <w:sz w:val="20"/>
                <w:szCs w:val="20"/>
                <w:color w:val="auto"/>
              </w:rPr>
            </w:pPr>
            <w:r>
              <w:rPr>
                <w:rFonts w:ascii="Arial" w:cs="Arial" w:eastAsia="Arial" w:hAnsi="Arial"/>
                <w:sz w:val="18"/>
                <w:szCs w:val="18"/>
                <w:color w:val="auto"/>
              </w:rPr>
              <w:t>9 years</w:t>
            </w:r>
          </w:p>
        </w:tc>
        <w:tc>
          <w:tcPr>
            <w:tcW w:w="0" w:type="dxa"/>
            <w:vAlign w:val="bottom"/>
          </w:tcPr>
          <w:p>
            <w:pPr>
              <w:spacing w:after="0"/>
              <w:rPr>
                <w:sz w:val="1"/>
                <w:szCs w:val="1"/>
                <w:color w:val="auto"/>
              </w:rPr>
            </w:pP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Technology-based</w:t>
            </w:r>
          </w:p>
        </w:tc>
        <w:tc>
          <w:tcPr>
            <w:tcW w:w="5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1,540</w:t>
            </w:r>
          </w:p>
        </w:tc>
        <w:tc>
          <w:tcPr>
            <w:tcW w:w="1800" w:type="dxa"/>
            <w:vAlign w:val="bottom"/>
            <w:gridSpan w:val="2"/>
          </w:tcPr>
          <w:p>
            <w:pPr>
              <w:jc w:val="center"/>
              <w:ind w:left="918"/>
              <w:spacing w:after="0" w:line="202"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3"/>
        </w:trPr>
        <w:tc>
          <w:tcPr>
            <w:tcW w:w="79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Marketing-related</w:t>
            </w:r>
          </w:p>
        </w:tc>
        <w:tc>
          <w:tcPr>
            <w:tcW w:w="56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215</w:t>
            </w:r>
          </w:p>
        </w:tc>
        <w:tc>
          <w:tcPr>
            <w:tcW w:w="1800" w:type="dxa"/>
            <w:vAlign w:val="bottom"/>
            <w:gridSpan w:val="2"/>
            <w:shd w:val="clear" w:color="auto" w:fill="E5E5E5"/>
          </w:tcPr>
          <w:p>
            <w:pPr>
              <w:jc w:val="center"/>
              <w:ind w:left="918"/>
              <w:spacing w:after="0" w:line="202" w:lineRule="exact"/>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68"/>
        </w:trPr>
        <w:tc>
          <w:tcPr>
            <w:tcW w:w="79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790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4,365</w:t>
            </w:r>
          </w:p>
        </w:tc>
        <w:tc>
          <w:tcPr>
            <w:tcW w:w="1800" w:type="dxa"/>
            <w:vAlign w:val="bottom"/>
            <w:gridSpan w:val="2"/>
          </w:tcPr>
          <w:p>
            <w:pPr>
              <w:jc w:val="center"/>
              <w:ind w:left="918"/>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70"/>
        </w:trPr>
        <w:tc>
          <w:tcPr>
            <w:tcW w:w="79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Activision Blizzard, Inc.</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Activision Blizzard is a leader in game development and an interactive entertainment content publisher. The acquisition will accelerate the growth in our gaming business across mobile, PC, console, and cloud and will provide building blocks for the metaverse. The acquisition has been approved by Activision Blizzard’s shareholders, and we expect it to close in fiscal year 2023, subject to the satisfaction of certain regulatory approvals and other customary closing conditions.</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18"/>
          <w:szCs w:val="18"/>
          <w:u w:val="single" w:color="auto"/>
          <w:color w:val="auto"/>
        </w:rPr>
        <w:t>NOTE 8 —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Acquisitions</w:t>
            </w:r>
          </w:p>
        </w:tc>
        <w:tc>
          <w:tcPr>
            <w:tcW w:w="48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4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1700" w:type="dxa"/>
            <w:vAlign w:val="bottom"/>
            <w:gridSpan w:val="2"/>
            <w:shd w:val="clear" w:color="auto" w:fill="E5E5E5"/>
          </w:tcPr>
          <w:p>
            <w:pPr>
              <w:jc w:val="right"/>
              <w:ind w:right="3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24,811</w:t>
            </w:r>
          </w:p>
        </w:tc>
        <w:tc>
          <w:tcPr>
            <w:tcW w:w="3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11</w:t>
            </w:r>
          </w:p>
        </w:tc>
        <w:tc>
          <w:tcPr>
            <w:tcW w:w="480" w:type="dxa"/>
            <w:vAlign w:val="bottom"/>
            <w:shd w:val="clear" w:color="auto" w:fill="E5E5E5"/>
          </w:tcPr>
          <w:p>
            <w:pPr>
              <w:jc w:val="right"/>
              <w:ind w:right="290"/>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(106)</w:t>
            </w:r>
          </w:p>
        </w:tc>
        <w:tc>
          <w:tcPr>
            <w:tcW w:w="20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24,716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1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30,182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w:t>
            </w:r>
          </w:p>
        </w:tc>
        <w:tc>
          <w:tcPr>
            <w:tcW w:w="48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128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12,531</w:t>
            </w:r>
          </w:p>
        </w:tc>
        <w:tc>
          <w:tcPr>
            <w:tcW w:w="1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0</w:t>
            </w:r>
          </w:p>
        </w:tc>
        <w:tc>
          <w:tcPr>
            <w:tcW w:w="4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(54)</w:t>
            </w:r>
          </w:p>
        </w:tc>
        <w:tc>
          <w:tcPr>
            <w:tcW w:w="200" w:type="dxa"/>
            <w:vAlign w:val="bottom"/>
            <w:shd w:val="clear" w:color="auto" w:fill="E5E5E5"/>
          </w:tcPr>
          <w:p>
            <w:pPr>
              <w:spacing w:after="0"/>
              <w:rPr>
                <w:sz w:val="17"/>
                <w:szCs w:val="17"/>
                <w:color w:val="auto"/>
              </w:rPr>
            </w:pPr>
          </w:p>
        </w:tc>
        <w:tc>
          <w:tcPr>
            <w:tcW w:w="1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12,477</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2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240" w:type="dxa"/>
            <w:vAlign w:val="bottom"/>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67,524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w:t>
            </w: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67,459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4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61"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NOTE 9 —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Net</w:t>
            </w:r>
          </w:p>
        </w:tc>
        <w:tc>
          <w:tcPr>
            <w:tcW w:w="4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3"/>
                <w:szCs w:val="13"/>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Accumulated</w:t>
            </w:r>
          </w:p>
        </w:tc>
        <w:tc>
          <w:tcPr>
            <w:tcW w:w="3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1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Carrying</w:t>
            </w:r>
          </w:p>
        </w:tc>
        <w:tc>
          <w:tcPr>
            <w:tcW w:w="400" w:type="dxa"/>
            <w:vAlign w:val="bottom"/>
          </w:tcPr>
          <w:p>
            <w:pPr>
              <w:spacing w:after="0"/>
              <w:rPr>
                <w:sz w:val="12"/>
                <w:szCs w:val="12"/>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Carrying</w:t>
            </w:r>
          </w:p>
        </w:tc>
        <w:tc>
          <w:tcPr>
            <w:tcW w:w="0" w:type="dxa"/>
            <w:vAlign w:val="bottom"/>
          </w:tcPr>
          <w:p>
            <w:pPr>
              <w:spacing w:after="0"/>
              <w:rPr>
                <w:sz w:val="1"/>
                <w:szCs w:val="1"/>
                <w:color w:val="auto"/>
              </w:rPr>
            </w:pPr>
          </w:p>
        </w:tc>
      </w:tr>
      <w:tr>
        <w:trPr>
          <w:trHeight w:val="186"/>
        </w:trPr>
        <w:tc>
          <w:tcPr>
            <w:tcW w:w="19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40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Amortization</w:t>
            </w:r>
          </w:p>
        </w:tc>
        <w:tc>
          <w:tcPr>
            <w:tcW w:w="3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44"/>
        </w:trPr>
        <w:tc>
          <w:tcPr>
            <w:tcW w:w="1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1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September 30,</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Technology-based</w:t>
            </w:r>
          </w:p>
        </w:tc>
        <w:tc>
          <w:tcPr>
            <w:tcW w:w="9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11,409</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(7,253)</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4,156</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11,277</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(6,958)</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4,319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Customer-related</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7,343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(3,407)</w:t>
            </w:r>
          </w:p>
        </w:tc>
        <w:tc>
          <w:tcPr>
            <w:tcW w:w="22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3,936</w:t>
            </w:r>
          </w:p>
        </w:tc>
        <w:tc>
          <w:tcPr>
            <w:tcW w:w="400" w:type="dxa"/>
            <w:vAlign w:val="bottom"/>
          </w:tcPr>
          <w:p>
            <w:pPr>
              <w:spacing w:after="0"/>
              <w:rPr>
                <w:sz w:val="17"/>
                <w:szCs w:val="17"/>
                <w:color w:val="auto"/>
              </w:rPr>
            </w:pPr>
          </w:p>
        </w:tc>
        <w:tc>
          <w:tcPr>
            <w:tcW w:w="11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7,342</w:t>
            </w:r>
          </w:p>
        </w:tc>
        <w:tc>
          <w:tcPr>
            <w:tcW w:w="2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(3,171)</w:t>
            </w: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Marketing-related</w:t>
            </w:r>
          </w:p>
        </w:tc>
        <w:tc>
          <w:tcPr>
            <w:tcW w:w="5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4,941</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(2,237)</w:t>
            </w:r>
          </w:p>
        </w:tc>
        <w:tc>
          <w:tcPr>
            <w:tcW w:w="220" w:type="dxa"/>
            <w:vAlign w:val="bottom"/>
            <w:shd w:val="clear" w:color="auto" w:fill="E5E5E5"/>
          </w:tcPr>
          <w:p>
            <w:pPr>
              <w:spacing w:after="0"/>
              <w:rPr>
                <w:sz w:val="17"/>
                <w:szCs w:val="17"/>
                <w:color w:val="auto"/>
              </w:rPr>
            </w:pP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2,704</w:t>
            </w:r>
          </w:p>
        </w:tc>
        <w:tc>
          <w:tcPr>
            <w:tcW w:w="400" w:type="dxa"/>
            <w:vAlign w:val="bottom"/>
            <w:shd w:val="clear" w:color="auto" w:fill="E5E5E5"/>
          </w:tcPr>
          <w:p>
            <w:pPr>
              <w:spacing w:after="0"/>
              <w:rPr>
                <w:sz w:val="17"/>
                <w:szCs w:val="17"/>
                <w:color w:val="auto"/>
              </w:rPr>
            </w:pPr>
          </w:p>
        </w:tc>
        <w:tc>
          <w:tcPr>
            <w:tcW w:w="11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4,942</w:t>
            </w:r>
          </w:p>
        </w:tc>
        <w:tc>
          <w:tcPr>
            <w:tcW w:w="26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(2,143)</w:t>
            </w:r>
          </w:p>
        </w:tc>
        <w:tc>
          <w:tcPr>
            <w:tcW w:w="3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2,799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80" w:type="dxa"/>
            <w:vAlign w:val="bottom"/>
          </w:tcPr>
          <w:p>
            <w:pPr>
              <w:spacing w:after="0"/>
              <w:rPr>
                <w:sz w:val="20"/>
                <w:szCs w:val="20"/>
                <w:color w:val="auto"/>
              </w:rPr>
            </w:pPr>
            <w:r>
              <w:rPr>
                <w:rFonts w:ascii="Arial" w:cs="Arial" w:eastAsia="Arial" w:hAnsi="Arial"/>
                <w:sz w:val="18"/>
                <w:szCs w:val="18"/>
                <w:color w:val="auto"/>
              </w:rPr>
              <w:t>Contract-based</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w:t>
            </w:r>
          </w:p>
        </w:tc>
        <w:tc>
          <w:tcPr>
            <w:tcW w:w="40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940" w:type="dxa"/>
            <w:vAlign w:val="bottom"/>
            <w:gridSpan w:val="2"/>
            <w:shd w:val="clear" w:color="auto" w:fill="E5E5E5"/>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23,714</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b w:val="1"/>
                <w:bCs w:val="1"/>
                <w:color w:val="auto"/>
              </w:rPr>
              <w:t>(12,906)</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10,808</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23,577</w:t>
            </w:r>
          </w:p>
        </w:tc>
        <w:tc>
          <w:tcPr>
            <w:tcW w:w="260" w:type="dxa"/>
            <w:vAlign w:val="bottom"/>
            <w:shd w:val="clear" w:color="auto" w:fill="E5E5E5"/>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(12,279)</w:t>
            </w:r>
          </w:p>
        </w:tc>
        <w:tc>
          <w:tcPr>
            <w:tcW w:w="380" w:type="dxa"/>
            <w:vAlign w:val="bottom"/>
            <w:shd w:val="clear" w:color="auto" w:fill="E5E5E5"/>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11,298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9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Intangible assets amortization expense was $633 million and $439 million for the three months ended September 30, 2022 and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September 30, 2022:</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5260" w:type="dxa"/>
            <w:vAlign w:val="bottom"/>
          </w:tcPr>
          <w:p>
            <w:pPr>
              <w:spacing w:after="0"/>
              <w:rPr>
                <w:sz w:val="3"/>
                <w:szCs w:val="3"/>
                <w:color w:val="auto"/>
              </w:rPr>
            </w:pPr>
          </w:p>
        </w:tc>
        <w:tc>
          <w:tcPr>
            <w:tcW w:w="4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2023 (excluding the three months ended September 30, 2022)</w:t>
            </w:r>
          </w:p>
        </w:tc>
        <w:tc>
          <w:tcPr>
            <w:tcW w:w="50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2,033</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2,408</w:t>
            </w:r>
          </w:p>
        </w:tc>
        <w:tc>
          <w:tcPr>
            <w:tcW w:w="0" w:type="dxa"/>
            <w:vAlign w:val="bottom"/>
          </w:tcPr>
          <w:p>
            <w:pPr>
              <w:spacing w:after="0"/>
              <w:rPr>
                <w:sz w:val="1"/>
                <w:szCs w:val="1"/>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2025</w:t>
            </w:r>
          </w:p>
        </w:tc>
        <w:tc>
          <w:tcPr>
            <w:tcW w:w="4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1,666</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1,244</w:t>
            </w:r>
          </w:p>
        </w:tc>
        <w:tc>
          <w:tcPr>
            <w:tcW w:w="0" w:type="dxa"/>
            <w:vAlign w:val="bottom"/>
          </w:tcPr>
          <w:p>
            <w:pPr>
              <w:spacing w:after="0"/>
              <w:rPr>
                <w:sz w:val="1"/>
                <w:szCs w:val="1"/>
                <w:color w:val="auto"/>
              </w:rPr>
            </w:pPr>
          </w:p>
        </w:tc>
      </w:tr>
      <w:tr>
        <w:trPr>
          <w:trHeight w:val="203"/>
        </w:trPr>
        <w:tc>
          <w:tcPr>
            <w:tcW w:w="5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2027</w:t>
            </w:r>
          </w:p>
        </w:tc>
        <w:tc>
          <w:tcPr>
            <w:tcW w:w="46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826</w:t>
            </w:r>
          </w:p>
        </w:tc>
        <w:tc>
          <w:tcPr>
            <w:tcW w:w="0" w:type="dxa"/>
            <w:vAlign w:val="bottom"/>
          </w:tcPr>
          <w:p>
            <w:pPr>
              <w:spacing w:after="0"/>
              <w:rPr>
                <w:sz w:val="1"/>
                <w:szCs w:val="1"/>
                <w:color w:val="auto"/>
              </w:rPr>
            </w:pPr>
          </w:p>
        </w:tc>
      </w:tr>
      <w:tr>
        <w:trPr>
          <w:trHeight w:val="247"/>
        </w:trPr>
        <w:tc>
          <w:tcPr>
            <w:tcW w:w="526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2,631</w:t>
            </w:r>
          </w:p>
        </w:tc>
        <w:tc>
          <w:tcPr>
            <w:tcW w:w="0" w:type="dxa"/>
            <w:vAlign w:val="bottom"/>
          </w:tcPr>
          <w:p>
            <w:pPr>
              <w:spacing w:after="0"/>
              <w:rPr>
                <w:sz w:val="1"/>
                <w:szCs w:val="1"/>
                <w:color w:val="auto"/>
              </w:rPr>
            </w:pPr>
          </w:p>
        </w:tc>
      </w:tr>
      <w:tr>
        <w:trPr>
          <w:trHeight w:val="37"/>
        </w:trPr>
        <w:tc>
          <w:tcPr>
            <w:tcW w:w="526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260" w:type="dxa"/>
            <w:vAlign w:val="bottom"/>
          </w:tcPr>
          <w:p>
            <w:pPr>
              <w:spacing w:after="0"/>
              <w:rPr>
                <w:sz w:val="6"/>
                <w:szCs w:val="6"/>
                <w:color w:val="auto"/>
              </w:rPr>
            </w:pPr>
          </w:p>
        </w:tc>
        <w:tc>
          <w:tcPr>
            <w:tcW w:w="4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50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10,808</w:t>
            </w:r>
          </w:p>
        </w:tc>
        <w:tc>
          <w:tcPr>
            <w:tcW w:w="0" w:type="dxa"/>
            <w:vAlign w:val="bottom"/>
          </w:tcPr>
          <w:p>
            <w:pPr>
              <w:spacing w:after="0"/>
              <w:rPr>
                <w:sz w:val="1"/>
                <w:szCs w:val="1"/>
                <w:color w:val="auto"/>
              </w:rPr>
            </w:pPr>
          </w:p>
        </w:tc>
      </w:tr>
      <w:tr>
        <w:trPr>
          <w:trHeight w:val="74"/>
        </w:trPr>
        <w:tc>
          <w:tcPr>
            <w:tcW w:w="5260" w:type="dxa"/>
            <w:vAlign w:val="bottom"/>
          </w:tcPr>
          <w:p>
            <w:pPr>
              <w:spacing w:after="0"/>
              <w:rPr>
                <w:sz w:val="6"/>
                <w:szCs w:val="6"/>
                <w:color w:val="auto"/>
              </w:rPr>
            </w:pPr>
          </w:p>
        </w:tc>
        <w:tc>
          <w:tcPr>
            <w:tcW w:w="4640" w:type="dxa"/>
            <w:vAlign w:val="bottom"/>
            <w:vMerge w:val="restart"/>
          </w:tcPr>
          <w:p>
            <w:pPr>
              <w:jc w:val="right"/>
              <w:ind w:right="4116"/>
              <w:spacing w:after="0"/>
              <w:rPr>
                <w:sz w:val="20"/>
                <w:szCs w:val="20"/>
                <w:color w:val="auto"/>
              </w:rPr>
            </w:pPr>
            <w:r>
              <w:rPr>
                <w:rFonts w:ascii="Arial" w:cs="Arial" w:eastAsia="Arial" w:hAnsi="Arial"/>
                <w:sz w:val="14"/>
                <w:szCs w:val="14"/>
                <w:color w:val="auto"/>
              </w:rPr>
              <w:t>19</w:t>
            </w: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0"/>
        </w:trPr>
        <w:tc>
          <w:tcPr>
            <w:tcW w:w="52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526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10 —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debt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vMerge w:val="restart"/>
          </w:tcPr>
          <w:p>
            <w:pPr>
              <w:spacing w:after="0"/>
              <w:rPr>
                <w:sz w:val="20"/>
                <w:szCs w:val="20"/>
                <w:color w:val="auto"/>
              </w:rPr>
            </w:pPr>
            <w:r>
              <w:rPr>
                <w:rFonts w:ascii="Arial" w:cs="Arial" w:eastAsia="Arial" w:hAnsi="Arial"/>
                <w:sz w:val="13"/>
                <w:szCs w:val="13"/>
                <w:b w:val="1"/>
                <w:bCs w:val="1"/>
                <w:color w:val="auto"/>
              </w:rPr>
              <w:t>(In millions, issuance by calendar year)</w:t>
            </w:r>
          </w:p>
        </w:tc>
        <w:tc>
          <w:tcPr>
            <w:tcW w:w="1440" w:type="dxa"/>
            <w:vAlign w:val="bottom"/>
          </w:tcPr>
          <w:p>
            <w:pPr>
              <w:jc w:val="right"/>
              <w:ind w:right="353"/>
              <w:spacing w:after="0"/>
              <w:rPr>
                <w:sz w:val="20"/>
                <w:szCs w:val="20"/>
                <w:color w:val="auto"/>
              </w:rPr>
            </w:pPr>
            <w:r>
              <w:rPr>
                <w:rFonts w:ascii="Arial" w:cs="Arial" w:eastAsia="Arial" w:hAnsi="Arial"/>
                <w:sz w:val="13"/>
                <w:szCs w:val="13"/>
                <w:b w:val="1"/>
                <w:bCs w:val="1"/>
                <w:color w:val="auto"/>
              </w:rPr>
              <w:t>Maturities</w:t>
            </w:r>
          </w:p>
        </w:tc>
        <w:tc>
          <w:tcPr>
            <w:tcW w:w="1800" w:type="dxa"/>
            <w:vAlign w:val="bottom"/>
          </w:tcPr>
          <w:p>
            <w:pPr>
              <w:jc w:val="right"/>
              <w:ind w:right="393"/>
              <w:spacing w:after="0"/>
              <w:rPr>
                <w:sz w:val="20"/>
                <w:szCs w:val="20"/>
                <w:color w:val="auto"/>
              </w:rPr>
            </w:pPr>
            <w:r>
              <w:rPr>
                <w:rFonts w:ascii="Arial" w:cs="Arial" w:eastAsia="Arial" w:hAnsi="Arial"/>
                <w:sz w:val="13"/>
                <w:szCs w:val="13"/>
                <w:b w:val="1"/>
                <w:bCs w:val="1"/>
                <w:color w:val="auto"/>
              </w:rPr>
              <w:t>Stated Interest</w:t>
            </w:r>
          </w:p>
        </w:tc>
        <w:tc>
          <w:tcPr>
            <w:tcW w:w="1720" w:type="dxa"/>
            <w:vAlign w:val="bottom"/>
          </w:tcPr>
          <w:p>
            <w:pPr>
              <w:jc w:val="right"/>
              <w:ind w:right="193"/>
              <w:spacing w:after="0"/>
              <w:rPr>
                <w:sz w:val="20"/>
                <w:szCs w:val="20"/>
                <w:color w:val="auto"/>
              </w:rPr>
            </w:pPr>
            <w:r>
              <w:rPr>
                <w:rFonts w:ascii="Arial" w:cs="Arial" w:eastAsia="Arial" w:hAnsi="Arial"/>
                <w:sz w:val="13"/>
                <w:szCs w:val="13"/>
                <w:b w:val="1"/>
                <w:bCs w:val="1"/>
                <w:color w:val="auto"/>
              </w:rPr>
              <w:t>Effective Interest</w:t>
            </w:r>
          </w:p>
        </w:tc>
        <w:tc>
          <w:tcPr>
            <w:tcW w:w="38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3520" w:type="dxa"/>
            <w:vAlign w:val="bottom"/>
            <w:vMerge w:val="continue"/>
          </w:tcPr>
          <w:p>
            <w:pPr>
              <w:spacing w:after="0"/>
              <w:rPr>
                <w:sz w:val="16"/>
                <w:szCs w:val="16"/>
                <w:color w:val="auto"/>
              </w:rPr>
            </w:pPr>
          </w:p>
        </w:tc>
        <w:tc>
          <w:tcPr>
            <w:tcW w:w="1440" w:type="dxa"/>
            <w:vAlign w:val="bottom"/>
          </w:tcPr>
          <w:p>
            <w:pPr>
              <w:jc w:val="right"/>
              <w:ind w:right="193"/>
              <w:spacing w:after="0"/>
              <w:rPr>
                <w:sz w:val="20"/>
                <w:szCs w:val="20"/>
                <w:color w:val="auto"/>
              </w:rPr>
            </w:pPr>
            <w:r>
              <w:rPr>
                <w:rFonts w:ascii="Arial" w:cs="Arial" w:eastAsia="Arial" w:hAnsi="Arial"/>
                <w:sz w:val="13"/>
                <w:szCs w:val="13"/>
                <w:b w:val="1"/>
                <w:bCs w:val="1"/>
                <w:color w:val="auto"/>
              </w:rPr>
              <w:t>(calendar year)</w:t>
            </w:r>
          </w:p>
        </w:tc>
        <w:tc>
          <w:tcPr>
            <w:tcW w:w="1800" w:type="dxa"/>
            <w:vAlign w:val="bottom"/>
          </w:tcPr>
          <w:p>
            <w:pPr>
              <w:jc w:val="right"/>
              <w:ind w:right="713"/>
              <w:spacing w:after="0"/>
              <w:rPr>
                <w:sz w:val="20"/>
                <w:szCs w:val="20"/>
                <w:color w:val="auto"/>
              </w:rPr>
            </w:pPr>
            <w:r>
              <w:rPr>
                <w:rFonts w:ascii="Arial" w:cs="Arial" w:eastAsia="Arial" w:hAnsi="Arial"/>
                <w:sz w:val="13"/>
                <w:szCs w:val="13"/>
                <w:b w:val="1"/>
                <w:bCs w:val="1"/>
                <w:color w:val="auto"/>
              </w:rPr>
              <w:t>Rate</w:t>
            </w:r>
          </w:p>
        </w:tc>
        <w:tc>
          <w:tcPr>
            <w:tcW w:w="1720" w:type="dxa"/>
            <w:vAlign w:val="bottom"/>
          </w:tcPr>
          <w:p>
            <w:pPr>
              <w:jc w:val="right"/>
              <w:ind w:right="593"/>
              <w:spacing w:after="0"/>
              <w:rPr>
                <w:sz w:val="20"/>
                <w:szCs w:val="20"/>
                <w:color w:val="auto"/>
              </w:rPr>
            </w:pPr>
            <w:r>
              <w:rPr>
                <w:rFonts w:ascii="Arial" w:cs="Arial" w:eastAsia="Arial" w:hAnsi="Arial"/>
                <w:sz w:val="13"/>
                <w:szCs w:val="13"/>
                <w:b w:val="1"/>
                <w:bCs w:val="1"/>
                <w:color w:val="auto"/>
              </w:rPr>
              <w:t>Rate</w:t>
            </w:r>
          </w:p>
        </w:tc>
        <w:tc>
          <w:tcPr>
            <w:tcW w:w="3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45"/>
        </w:trPr>
        <w:tc>
          <w:tcPr>
            <w:tcW w:w="35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3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2009 issuance of $3.8 billion</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2039</w:t>
            </w:r>
          </w:p>
        </w:tc>
        <w:tc>
          <w:tcPr>
            <w:tcW w:w="180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5.20%</w:t>
            </w:r>
          </w:p>
        </w:tc>
        <w:tc>
          <w:tcPr>
            <w:tcW w:w="17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5.24%</w:t>
            </w:r>
          </w:p>
        </w:tc>
        <w:tc>
          <w:tcPr>
            <w:tcW w:w="38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520</w:t>
            </w:r>
          </w:p>
        </w:tc>
        <w:tc>
          <w:tcPr>
            <w:tcW w:w="3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2010 issuance of $4.8 billion</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2040</w:t>
            </w:r>
          </w:p>
        </w:tc>
        <w:tc>
          <w:tcPr>
            <w:tcW w:w="180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4.50%</w:t>
            </w:r>
          </w:p>
        </w:tc>
        <w:tc>
          <w:tcPr>
            <w:tcW w:w="17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4.57%</w:t>
            </w:r>
          </w:p>
        </w:tc>
        <w:tc>
          <w:tcPr>
            <w:tcW w:w="3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2011 issuance of $2.3 billion</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2041</w:t>
            </w:r>
          </w:p>
        </w:tc>
        <w:tc>
          <w:tcPr>
            <w:tcW w:w="180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5.30%</w:t>
            </w:r>
          </w:p>
        </w:tc>
        <w:tc>
          <w:tcPr>
            <w:tcW w:w="17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5.36%</w:t>
            </w: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718</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2012 issuance of $2.3 billion</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2022 – 2042</w:t>
            </w:r>
          </w:p>
        </w:tc>
        <w:tc>
          <w:tcPr>
            <w:tcW w:w="180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2.13% – 3.50%</w:t>
            </w:r>
          </w:p>
        </w:tc>
        <w:tc>
          <w:tcPr>
            <w:tcW w:w="17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2.24%–3.57%</w:t>
            </w:r>
          </w:p>
        </w:tc>
        <w:tc>
          <w:tcPr>
            <w:tcW w:w="3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1,204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2013 issuance of $5.2 billion</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2023 – 2043</w:t>
            </w:r>
          </w:p>
        </w:tc>
        <w:tc>
          <w:tcPr>
            <w:tcW w:w="180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2.38% – 4.88%</w:t>
            </w:r>
          </w:p>
        </w:tc>
        <w:tc>
          <w:tcPr>
            <w:tcW w:w="17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2.47%–4.92%</w:t>
            </w: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2,814</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2013 issuance of €4.1 billion</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2028 – 2033</w:t>
            </w:r>
          </w:p>
        </w:tc>
        <w:tc>
          <w:tcPr>
            <w:tcW w:w="180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2.63% – 3.13%</w:t>
            </w:r>
          </w:p>
        </w:tc>
        <w:tc>
          <w:tcPr>
            <w:tcW w:w="17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2.69%–3.22%</w:t>
            </w:r>
          </w:p>
        </w:tc>
        <w:tc>
          <w:tcPr>
            <w:tcW w:w="3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2,251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2015 issuance of $23.8 billion</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2025 – 2055</w:t>
            </w:r>
          </w:p>
        </w:tc>
        <w:tc>
          <w:tcPr>
            <w:tcW w:w="180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2.70% – 4.75%</w:t>
            </w:r>
          </w:p>
        </w:tc>
        <w:tc>
          <w:tcPr>
            <w:tcW w:w="17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2.77%–4.78%</w:t>
            </w: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9,805</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2016 issuance of $19.8 billion</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2026 – 2056</w:t>
            </w:r>
          </w:p>
        </w:tc>
        <w:tc>
          <w:tcPr>
            <w:tcW w:w="180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2.40% – 3.95%</w:t>
            </w:r>
          </w:p>
        </w:tc>
        <w:tc>
          <w:tcPr>
            <w:tcW w:w="17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2.46%–4.03%</w:t>
            </w:r>
          </w:p>
        </w:tc>
        <w:tc>
          <w:tcPr>
            <w:tcW w:w="3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9,430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2017 issuance of $17.0 billion</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2027 – 2057</w:t>
            </w:r>
          </w:p>
        </w:tc>
        <w:tc>
          <w:tcPr>
            <w:tcW w:w="180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3.30% – 4.50%</w:t>
            </w:r>
          </w:p>
        </w:tc>
        <w:tc>
          <w:tcPr>
            <w:tcW w:w="17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3.38%–4.53%</w:t>
            </w: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8,945</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2020 issuance of $10.0 billion</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b w:val="1"/>
                <w:bCs w:val="1"/>
                <w:color w:val="auto"/>
              </w:rPr>
              <w:t>2060</w:t>
            </w:r>
          </w:p>
        </w:tc>
        <w:tc>
          <w:tcPr>
            <w:tcW w:w="1800" w:type="dxa"/>
            <w:vAlign w:val="bottom"/>
          </w:tcPr>
          <w:p>
            <w:pPr>
              <w:jc w:val="right"/>
              <w:ind w:right="273"/>
              <w:spacing w:after="0" w:line="202" w:lineRule="exact"/>
              <w:rPr>
                <w:sz w:val="20"/>
                <w:szCs w:val="20"/>
                <w:color w:val="auto"/>
              </w:rPr>
            </w:pPr>
            <w:r>
              <w:rPr>
                <w:rFonts w:ascii="Arial" w:cs="Arial" w:eastAsia="Arial" w:hAnsi="Arial"/>
                <w:sz w:val="18"/>
                <w:szCs w:val="18"/>
                <w:b w:val="1"/>
                <w:bCs w:val="1"/>
                <w:color w:val="auto"/>
              </w:rPr>
              <w:t>2.68%</w:t>
            </w:r>
          </w:p>
        </w:tc>
        <w:tc>
          <w:tcPr>
            <w:tcW w:w="1720" w:type="dxa"/>
            <w:vAlign w:val="bottom"/>
          </w:tcPr>
          <w:p>
            <w:pPr>
              <w:jc w:val="right"/>
              <w:ind w:right="133"/>
              <w:spacing w:after="0" w:line="202" w:lineRule="exact"/>
              <w:rPr>
                <w:sz w:val="20"/>
                <w:szCs w:val="20"/>
                <w:color w:val="auto"/>
              </w:rPr>
            </w:pPr>
            <w:r>
              <w:rPr>
                <w:rFonts w:ascii="Arial" w:cs="Arial" w:eastAsia="Arial" w:hAnsi="Arial"/>
                <w:sz w:val="18"/>
                <w:szCs w:val="18"/>
                <w:b w:val="1"/>
                <w:bCs w:val="1"/>
                <w:color w:val="auto"/>
              </w:rPr>
              <w:t>2.68%</w:t>
            </w:r>
          </w:p>
        </w:tc>
        <w:tc>
          <w:tcPr>
            <w:tcW w:w="38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10,000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2021 issuance of $8.2 billion</w:t>
            </w:r>
          </w:p>
        </w:tc>
        <w:tc>
          <w:tcPr>
            <w:tcW w:w="1440" w:type="dxa"/>
            <w:vAlign w:val="bottom"/>
            <w:shd w:val="clear" w:color="auto" w:fill="E5E5E5"/>
          </w:tcPr>
          <w:p>
            <w:pPr>
              <w:jc w:val="right"/>
              <w:ind w:right="153"/>
              <w:spacing w:after="0" w:line="202" w:lineRule="exact"/>
              <w:rPr>
                <w:sz w:val="20"/>
                <w:szCs w:val="20"/>
                <w:color w:val="auto"/>
              </w:rPr>
            </w:pPr>
            <w:r>
              <w:rPr>
                <w:rFonts w:ascii="Arial" w:cs="Arial" w:eastAsia="Arial" w:hAnsi="Arial"/>
                <w:sz w:val="18"/>
                <w:szCs w:val="18"/>
                <w:b w:val="1"/>
                <w:bCs w:val="1"/>
                <w:color w:val="auto"/>
              </w:rPr>
              <w:t>2062</w:t>
            </w:r>
          </w:p>
        </w:tc>
        <w:tc>
          <w:tcPr>
            <w:tcW w:w="1800" w:type="dxa"/>
            <w:vAlign w:val="bottom"/>
            <w:shd w:val="clear" w:color="auto" w:fill="E5E5E5"/>
          </w:tcPr>
          <w:p>
            <w:pPr>
              <w:jc w:val="right"/>
              <w:ind w:right="273"/>
              <w:spacing w:after="0" w:line="202" w:lineRule="exact"/>
              <w:rPr>
                <w:sz w:val="20"/>
                <w:szCs w:val="20"/>
                <w:color w:val="auto"/>
              </w:rPr>
            </w:pPr>
            <w:r>
              <w:rPr>
                <w:rFonts w:ascii="Arial" w:cs="Arial" w:eastAsia="Arial" w:hAnsi="Arial"/>
                <w:sz w:val="18"/>
                <w:szCs w:val="18"/>
                <w:b w:val="1"/>
                <w:bCs w:val="1"/>
                <w:color w:val="auto"/>
              </w:rPr>
              <w:t>3.04%</w:t>
            </w:r>
          </w:p>
        </w:tc>
        <w:tc>
          <w:tcPr>
            <w:tcW w:w="1720" w:type="dxa"/>
            <w:vAlign w:val="bottom"/>
            <w:shd w:val="clear" w:color="auto" w:fill="E5E5E5"/>
          </w:tcPr>
          <w:p>
            <w:pPr>
              <w:jc w:val="right"/>
              <w:ind w:right="133"/>
              <w:spacing w:after="0" w:line="202" w:lineRule="exact"/>
              <w:rPr>
                <w:sz w:val="20"/>
                <w:szCs w:val="20"/>
                <w:color w:val="auto"/>
              </w:rPr>
            </w:pPr>
            <w:r>
              <w:rPr>
                <w:rFonts w:ascii="Arial" w:cs="Arial" w:eastAsia="Arial" w:hAnsi="Arial"/>
                <w:sz w:val="18"/>
                <w:szCs w:val="18"/>
                <w:b w:val="1"/>
                <w:bCs w:val="1"/>
                <w:color w:val="auto"/>
              </w:rPr>
              <w:t>3.04%</w:t>
            </w: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8,185</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68"/>
        </w:trPr>
        <w:tc>
          <w:tcPr>
            <w:tcW w:w="35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20" w:type="dxa"/>
            <w:vAlign w:val="bottom"/>
          </w:tcPr>
          <w:p>
            <w:pPr>
              <w:ind w:left="220"/>
              <w:spacing w:after="0"/>
              <w:rPr>
                <w:sz w:val="20"/>
                <w:szCs w:val="20"/>
                <w:color w:val="auto"/>
              </w:rPr>
            </w:pPr>
            <w:r>
              <w:rPr>
                <w:rFonts w:ascii="Arial" w:cs="Arial" w:eastAsia="Arial" w:hAnsi="Arial"/>
                <w:sz w:val="18"/>
                <w:szCs w:val="18"/>
                <w:color w:val="auto"/>
              </w:rPr>
              <w:t>Total face value</w:t>
            </w:r>
          </w:p>
        </w:tc>
        <w:tc>
          <w:tcPr>
            <w:tcW w:w="1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54,358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55,511</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Unamortized discount and issuance costs</w:t>
            </w:r>
          </w:p>
        </w:tc>
        <w:tc>
          <w:tcPr>
            <w:tcW w:w="1440" w:type="dxa"/>
            <w:vAlign w:val="bottom"/>
            <w:shd w:val="clear" w:color="auto" w:fill="E5E5E5"/>
          </w:tcPr>
          <w:p>
            <w:pPr>
              <w:spacing w:after="0"/>
              <w:rPr>
                <w:sz w:val="17"/>
                <w:szCs w:val="17"/>
                <w:color w:val="auto"/>
              </w:rPr>
            </w:pPr>
          </w:p>
        </w:tc>
        <w:tc>
          <w:tcPr>
            <w:tcW w:w="1800" w:type="dxa"/>
            <w:vAlign w:val="bottom"/>
            <w:shd w:val="clear" w:color="auto" w:fill="E5E5E5"/>
          </w:tcPr>
          <w:p>
            <w:pPr>
              <w:spacing w:after="0"/>
              <w:rPr>
                <w:sz w:val="17"/>
                <w:szCs w:val="17"/>
                <w:color w:val="auto"/>
              </w:rPr>
            </w:pPr>
          </w:p>
        </w:tc>
        <w:tc>
          <w:tcPr>
            <w:tcW w:w="17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(461)</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 xml:space="preserve">Hedge fair value adjustments </w:t>
            </w:r>
            <w:r>
              <w:rPr>
                <w:rFonts w:ascii="Arial" w:cs="Arial" w:eastAsia="Arial" w:hAnsi="Arial"/>
                <w:sz w:val="15"/>
                <w:szCs w:val="15"/>
                <w:color w:val="auto"/>
              </w:rPr>
              <w:t>(a)</w:t>
            </w: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Premium on debt exchange</w:t>
            </w:r>
          </w:p>
        </w:tc>
        <w:tc>
          <w:tcPr>
            <w:tcW w:w="1440" w:type="dxa"/>
            <w:vAlign w:val="bottom"/>
            <w:shd w:val="clear" w:color="auto" w:fill="E5E5E5"/>
          </w:tcPr>
          <w:p>
            <w:pPr>
              <w:spacing w:after="0"/>
              <w:rPr>
                <w:sz w:val="17"/>
                <w:szCs w:val="17"/>
                <w:color w:val="auto"/>
              </w:rPr>
            </w:pPr>
          </w:p>
        </w:tc>
        <w:tc>
          <w:tcPr>
            <w:tcW w:w="1800" w:type="dxa"/>
            <w:vAlign w:val="bottom"/>
            <w:shd w:val="clear" w:color="auto" w:fill="E5E5E5"/>
          </w:tcPr>
          <w:p>
            <w:pPr>
              <w:spacing w:after="0"/>
              <w:rPr>
                <w:sz w:val="17"/>
                <w:szCs w:val="17"/>
                <w:color w:val="auto"/>
              </w:rPr>
            </w:pPr>
          </w:p>
        </w:tc>
        <w:tc>
          <w:tcPr>
            <w:tcW w:w="17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(5,164)</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68"/>
        </w:trPr>
        <w:tc>
          <w:tcPr>
            <w:tcW w:w="35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35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4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48,622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49,781</w:t>
            </w:r>
          </w:p>
        </w:tc>
        <w:tc>
          <w:tcPr>
            <w:tcW w:w="0" w:type="dxa"/>
            <w:vAlign w:val="bottom"/>
          </w:tcPr>
          <w:p>
            <w:pPr>
              <w:spacing w:after="0"/>
              <w:rPr>
                <w:sz w:val="1"/>
                <w:szCs w:val="1"/>
                <w:color w:val="auto"/>
              </w:rPr>
            </w:pPr>
          </w:p>
        </w:tc>
      </w:tr>
      <w:tr>
        <w:trPr>
          <w:trHeight w:val="203"/>
        </w:trPr>
        <w:tc>
          <w:tcPr>
            <w:tcW w:w="352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1440" w:type="dxa"/>
            <w:vAlign w:val="bottom"/>
            <w:shd w:val="clear" w:color="auto" w:fill="E5E5E5"/>
          </w:tcPr>
          <w:p>
            <w:pPr>
              <w:spacing w:after="0"/>
              <w:rPr>
                <w:sz w:val="17"/>
                <w:szCs w:val="17"/>
                <w:color w:val="auto"/>
              </w:rPr>
            </w:pPr>
          </w:p>
        </w:tc>
        <w:tc>
          <w:tcPr>
            <w:tcW w:w="1800" w:type="dxa"/>
            <w:vAlign w:val="bottom"/>
            <w:shd w:val="clear" w:color="auto" w:fill="E5E5E5"/>
          </w:tcPr>
          <w:p>
            <w:pPr>
              <w:spacing w:after="0"/>
              <w:rPr>
                <w:sz w:val="17"/>
                <w:szCs w:val="17"/>
                <w:color w:val="auto"/>
              </w:rPr>
            </w:pPr>
          </w:p>
        </w:tc>
        <w:tc>
          <w:tcPr>
            <w:tcW w:w="17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116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(3,248)</w:t>
            </w:r>
          </w:p>
        </w:tc>
        <w:tc>
          <w:tcPr>
            <w:tcW w:w="10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68"/>
        </w:trPr>
        <w:tc>
          <w:tcPr>
            <w:tcW w:w="35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35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45,374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34925</wp:posOffset>
            </wp:positionV>
            <wp:extent cx="15690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127" w:lineRule="exact"/>
        <w:rPr>
          <w:sz w:val="20"/>
          <w:szCs w:val="20"/>
          <w:color w:val="auto"/>
        </w:rPr>
      </w:pPr>
    </w:p>
    <w:p>
      <w:pPr>
        <w:ind w:left="540" w:hanging="487"/>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Refer to Note 5 – Derivatives for further information on the interest rate swaps related to fixed-rate debt.</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2022 and June 30, 2022, the estimated fair value of long-term debt, including the current portion, was $46.1 billion and $50.9 billion, respectively. The estimated fair values are based on Level 2 inputs.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Debt in the table above is comprised of senior unsecured obligations and ranks equally with our other outstanding obligations. Interest is paid semi-annually, except for the Euro-denominated debt, which is paid annually.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maturities of our long-term debt, including the current portion, as of September 30, 2022:</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4"/>
        </w:trPr>
        <w:tc>
          <w:tcPr>
            <w:tcW w:w="9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03"/>
        </w:trPr>
        <w:tc>
          <w:tcPr>
            <w:tcW w:w="9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2023 (excluding the three months ended September 30, 2022)</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1,750</w:t>
            </w: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5,250</w:t>
            </w:r>
          </w:p>
        </w:tc>
      </w:tr>
      <w:tr>
        <w:trPr>
          <w:trHeight w:val="203"/>
        </w:trPr>
        <w:tc>
          <w:tcPr>
            <w:tcW w:w="9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2025</w:t>
            </w: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2,250</w:t>
            </w:r>
          </w:p>
        </w:tc>
      </w:tr>
      <w:tr>
        <w:trPr>
          <w:trHeight w:val="203"/>
        </w:trPr>
        <w:tc>
          <w:tcPr>
            <w:tcW w:w="97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3,000</w:t>
            </w:r>
          </w:p>
        </w:tc>
      </w:tr>
      <w:tr>
        <w:trPr>
          <w:trHeight w:val="203"/>
        </w:trPr>
        <w:tc>
          <w:tcPr>
            <w:tcW w:w="97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2027</w:t>
            </w: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8,000</w:t>
            </w:r>
          </w:p>
        </w:tc>
      </w:tr>
      <w:tr>
        <w:trPr>
          <w:trHeight w:val="247"/>
        </w:trPr>
        <w:tc>
          <w:tcPr>
            <w:tcW w:w="978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34,108</w:t>
            </w:r>
          </w:p>
        </w:tc>
      </w:tr>
      <w:tr>
        <w:trPr>
          <w:trHeight w:val="23"/>
        </w:trPr>
        <w:tc>
          <w:tcPr>
            <w:tcW w:w="9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61"/>
        </w:trPr>
        <w:tc>
          <w:tcPr>
            <w:tcW w:w="9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03"/>
        </w:trPr>
        <w:tc>
          <w:tcPr>
            <w:tcW w:w="97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54,358</w:t>
            </w:r>
          </w:p>
        </w:tc>
      </w:tr>
      <w:tr>
        <w:trPr>
          <w:trHeight w:val="75"/>
        </w:trPr>
        <w:tc>
          <w:tcPr>
            <w:tcW w:w="97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11 —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effective tax rate was 19% and 0% for the three months ended September 30, 2022 and 2021, respectively. The increase in our effective tax rate for the current quarter compared to the prior year was primarily due to a $3.3 billion net income tax benefit in the first quarter of fiscal year 2022 related to the transfer of intangible properties and a decrease in tax benefits relating to stock-based compensation.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tax.</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2022, primarily due to earnings taxed at lower rates in foreign jurisdictions resulting from producing and distributing our products and services through our foreign regional operations center in Ireland.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2022 and June 30, 2022, unrecognized tax benefits and other income tax liabilities were $16.7 billion and $16.3 billion, respectively, and are included in long-term income taxes in our consolidated balance sheets.</w:t>
      </w:r>
    </w:p>
    <w:p>
      <w:pPr>
        <w:spacing w:after="0" w:line="1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September 30,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2022, some of which are currently under audit by local tax authorities. The resolution of each of these audits is not expected to be material to our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12 — UNEARNED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 by segment was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ind w:left="220"/>
              <w:spacing w:after="0"/>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45"/>
        </w:trPr>
        <w:tc>
          <w:tcPr>
            <w:tcW w:w="46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36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22,405</w:t>
            </w:r>
          </w:p>
        </w:tc>
        <w:tc>
          <w:tcPr>
            <w:tcW w:w="5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24,558</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17,294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19,371</w:t>
            </w:r>
          </w:p>
        </w:tc>
        <w:tc>
          <w:tcPr>
            <w:tcW w:w="0" w:type="dxa"/>
            <w:vAlign w:val="bottom"/>
          </w:tcPr>
          <w:p>
            <w:pPr>
              <w:spacing w:after="0"/>
              <w:rPr>
                <w:sz w:val="1"/>
                <w:szCs w:val="1"/>
                <w:color w:val="auto"/>
              </w:rPr>
            </w:pP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33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2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4,190</w:t>
            </w: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gridSpan w:val="2"/>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660" w:type="dxa"/>
            <w:vAlign w:val="bottom"/>
          </w:tcPr>
          <w:p>
            <w:pPr>
              <w:ind w:left="22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43,889</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48,408</w:t>
            </w:r>
          </w:p>
        </w:tc>
        <w:tc>
          <w:tcPr>
            <w:tcW w:w="0" w:type="dxa"/>
            <w:vAlign w:val="bottom"/>
          </w:tcPr>
          <w:p>
            <w:pPr>
              <w:spacing w:after="0"/>
              <w:rPr>
                <w:sz w:val="1"/>
                <w:szCs w:val="1"/>
                <w:color w:val="auto"/>
              </w:rPr>
            </w:pPr>
          </w:p>
        </w:tc>
      </w:tr>
      <w:tr>
        <w:trPr>
          <w:trHeight w:val="63"/>
        </w:trPr>
        <w:tc>
          <w:tcPr>
            <w:tcW w:w="4660" w:type="dxa"/>
            <w:vAlign w:val="bottom"/>
            <w:vMerge w:val="restart"/>
          </w:tcPr>
          <w:p>
            <w:pPr>
              <w:spacing w:after="0"/>
              <w:rPr>
                <w:sz w:val="20"/>
                <w:szCs w:val="20"/>
                <w:color w:val="auto"/>
              </w:rPr>
            </w:pPr>
            <w:r>
              <w:rPr>
                <w:rFonts w:ascii="Arial" w:cs="Arial" w:eastAsia="Arial" w:hAnsi="Arial"/>
                <w:sz w:val="18"/>
                <w:szCs w:val="18"/>
                <w:color w:val="auto"/>
              </w:rPr>
              <w:t>Changes in unearned revenue were as follows:</w:t>
            </w:r>
          </w:p>
        </w:tc>
        <w:tc>
          <w:tcPr>
            <w:tcW w:w="33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3"/>
        </w:trPr>
        <w:tc>
          <w:tcPr>
            <w:tcW w:w="466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6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66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r>
              <w:rPr>
                <w:rFonts w:ascii="Arial" w:cs="Arial" w:eastAsia="Arial" w:hAnsi="Arial"/>
                <w:sz w:val="13"/>
                <w:szCs w:val="13"/>
                <w:b w:val="1"/>
                <w:bCs w:val="1"/>
                <w:color w:val="auto"/>
              </w:rPr>
              <w:t>Three Months Ended September 30, 2022</w:t>
            </w: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6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33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580" w:type="dxa"/>
            <w:vAlign w:val="bottom"/>
            <w:gridSpan w:val="2"/>
            <w:shd w:val="clear" w:color="auto" w:fill="E5E5E5"/>
          </w:tcPr>
          <w:p>
            <w:pPr>
              <w:jc w:val="right"/>
              <w:ind w:right="38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48,408</w:t>
            </w:r>
          </w:p>
        </w:tc>
        <w:tc>
          <w:tcPr>
            <w:tcW w:w="0" w:type="dxa"/>
            <w:vAlign w:val="bottom"/>
          </w:tcPr>
          <w:p>
            <w:pPr>
              <w:spacing w:after="0"/>
              <w:rPr>
                <w:sz w:val="1"/>
                <w:szCs w:val="1"/>
                <w:color w:val="auto"/>
              </w:rPr>
            </w:pPr>
          </w:p>
        </w:tc>
      </w:tr>
      <w:tr>
        <w:trPr>
          <w:trHeight w:val="202"/>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Deferral of revenue</w:t>
            </w:r>
          </w:p>
        </w:tc>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23,577</w:t>
            </w:r>
          </w:p>
        </w:tc>
        <w:tc>
          <w:tcPr>
            <w:tcW w:w="0" w:type="dxa"/>
            <w:vAlign w:val="bottom"/>
          </w:tcPr>
          <w:p>
            <w:pPr>
              <w:spacing w:after="0"/>
              <w:rPr>
                <w:sz w:val="1"/>
                <w:szCs w:val="1"/>
                <w:color w:val="auto"/>
              </w:rPr>
            </w:pPr>
          </w:p>
        </w:tc>
      </w:tr>
      <w:tr>
        <w:trPr>
          <w:trHeight w:val="203"/>
        </w:trPr>
        <w:tc>
          <w:tcPr>
            <w:tcW w:w="46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Recognition of unearned revenue</w:t>
            </w:r>
          </w:p>
        </w:tc>
        <w:tc>
          <w:tcPr>
            <w:tcW w:w="334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16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40"/>
              <w:spacing w:after="0" w:line="202" w:lineRule="exact"/>
              <w:rPr>
                <w:sz w:val="20"/>
                <w:szCs w:val="20"/>
                <w:color w:val="auto"/>
              </w:rPr>
            </w:pPr>
            <w:r>
              <w:rPr>
                <w:rFonts w:ascii="Arial" w:cs="Arial" w:eastAsia="Arial" w:hAnsi="Arial"/>
                <w:sz w:val="18"/>
                <w:szCs w:val="18"/>
                <w:b w:val="1"/>
                <w:bCs w:val="1"/>
                <w:color w:val="auto"/>
              </w:rPr>
              <w:t>(28,096)</w:t>
            </w:r>
          </w:p>
        </w:tc>
        <w:tc>
          <w:tcPr>
            <w:tcW w:w="0" w:type="dxa"/>
            <w:vAlign w:val="bottom"/>
          </w:tcPr>
          <w:p>
            <w:pPr>
              <w:spacing w:after="0"/>
              <w:rPr>
                <w:sz w:val="1"/>
                <w:szCs w:val="1"/>
                <w:color w:val="auto"/>
              </w:rPr>
            </w:pPr>
          </w:p>
        </w:tc>
      </w:tr>
      <w:tr>
        <w:trPr>
          <w:trHeight w:val="68"/>
        </w:trPr>
        <w:tc>
          <w:tcPr>
            <w:tcW w:w="4660" w:type="dxa"/>
            <w:vAlign w:val="bottom"/>
            <w:tcBorders>
              <w:bottom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660" w:type="dxa"/>
            <w:vAlign w:val="bottom"/>
          </w:tcPr>
          <w:p>
            <w:pPr>
              <w:spacing w:after="0"/>
              <w:rPr>
                <w:sz w:val="20"/>
                <w:szCs w:val="20"/>
                <w:color w:val="auto"/>
              </w:rPr>
            </w:pPr>
            <w:r>
              <w:rPr>
                <w:rFonts w:ascii="Arial" w:cs="Arial" w:eastAsia="Arial" w:hAnsi="Arial"/>
                <w:sz w:val="18"/>
                <w:szCs w:val="18"/>
                <w:color w:val="auto"/>
              </w:rPr>
              <w:t>Balance, end of period</w:t>
            </w:r>
          </w:p>
        </w:tc>
        <w:tc>
          <w:tcPr>
            <w:tcW w:w="3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43,889</w:t>
            </w:r>
          </w:p>
        </w:tc>
        <w:tc>
          <w:tcPr>
            <w:tcW w:w="0" w:type="dxa"/>
            <w:vAlign w:val="bottom"/>
          </w:tcPr>
          <w:p>
            <w:pPr>
              <w:spacing w:after="0"/>
              <w:rPr>
                <w:sz w:val="1"/>
                <w:szCs w:val="1"/>
                <w:color w:val="auto"/>
              </w:rPr>
            </w:pPr>
          </w:p>
        </w:tc>
      </w:tr>
      <w:tr>
        <w:trPr>
          <w:trHeight w:val="63"/>
        </w:trPr>
        <w:tc>
          <w:tcPr>
            <w:tcW w:w="4660" w:type="dxa"/>
            <w:vAlign w:val="bottom"/>
          </w:tcPr>
          <w:p>
            <w:pPr>
              <w:spacing w:after="0"/>
              <w:rPr>
                <w:sz w:val="5"/>
                <w:szCs w:val="5"/>
                <w:color w:val="auto"/>
              </w:rPr>
            </w:pPr>
          </w:p>
        </w:tc>
        <w:tc>
          <w:tcPr>
            <w:tcW w:w="3340" w:type="dxa"/>
            <w:vAlign w:val="bottom"/>
            <w:vMerge w:val="restart"/>
          </w:tcPr>
          <w:p>
            <w:pPr>
              <w:jc w:val="right"/>
              <w:ind w:right="2216"/>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9"/>
        </w:trPr>
        <w:tc>
          <w:tcPr>
            <w:tcW w:w="46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466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allocated to remaining performance obligations, which includes unearned revenue and amounts that will be invoiced and recognized as revenue in future periods, was $183 billion as of September 30, 2022, of which $180 billion is related to the commercial portion of revenue. We expect to recognize approximately 45% of this revenue over the next 12 months and the remainder thereafter.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13 — LEASES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operating and finance leases for datacenters, corporate offices, research and development facilities, Microsoft Experience Centers, and certain equipment. Our leases have remaining lease terms of less than 1 year to 19 years, some of which include options to extend the leases for up to 5 years, and some of which include options to terminate the leases within 1 year.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46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cost</w:t>
            </w:r>
          </w:p>
        </w:tc>
        <w:tc>
          <w:tcPr>
            <w:tcW w:w="17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662</w:t>
            </w:r>
          </w:p>
        </w:tc>
        <w:tc>
          <w:tcPr>
            <w:tcW w:w="580" w:type="dxa"/>
            <w:vAlign w:val="bottom"/>
            <w:shd w:val="clear" w:color="auto" w:fill="E5E5E5"/>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588</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686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116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860" w:type="dxa"/>
            <w:vAlign w:val="bottom"/>
            <w:vMerge w:val="continue"/>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Amortization of right-of-use assets</w:t>
            </w:r>
          </w:p>
        </w:tc>
        <w:tc>
          <w:tcPr>
            <w:tcW w:w="17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189</w:t>
            </w:r>
          </w:p>
        </w:tc>
        <w:tc>
          <w:tcPr>
            <w:tcW w:w="580" w:type="dxa"/>
            <w:vAlign w:val="bottom"/>
            <w:shd w:val="clear" w:color="auto" w:fill="E5E5E5"/>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226</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860" w:type="dxa"/>
            <w:vAlign w:val="bottom"/>
          </w:tcPr>
          <w:p>
            <w:pPr>
              <w:ind w:left="220"/>
              <w:spacing w:after="0"/>
              <w:rPr>
                <w:sz w:val="20"/>
                <w:szCs w:val="20"/>
                <w:color w:val="auto"/>
              </w:rPr>
            </w:pPr>
            <w:r>
              <w:rPr>
                <w:rFonts w:ascii="Arial" w:cs="Arial" w:eastAsia="Arial" w:hAnsi="Arial"/>
                <w:sz w:val="18"/>
                <w:szCs w:val="18"/>
                <w:color w:val="auto"/>
              </w:rPr>
              <w:t>Interest on lease liabilities</w:t>
            </w: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113</w:t>
            </w:r>
          </w:p>
        </w:tc>
        <w:tc>
          <w:tcPr>
            <w:tcW w:w="5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68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Total finance lease cost</w:t>
            </w:r>
          </w:p>
        </w:tc>
        <w:tc>
          <w:tcPr>
            <w:tcW w:w="170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302</w:t>
            </w:r>
          </w:p>
        </w:tc>
        <w:tc>
          <w:tcPr>
            <w:tcW w:w="580" w:type="dxa"/>
            <w:vAlign w:val="bottom"/>
            <w:shd w:val="clear" w:color="auto" w:fill="E5E5E5"/>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330</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6860" w:type="dxa"/>
            <w:vAlign w:val="bottom"/>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16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3"/>
        </w:trPr>
        <w:tc>
          <w:tcPr>
            <w:tcW w:w="68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8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8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86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44"/>
        </w:trPr>
        <w:tc>
          <w:tcPr>
            <w:tcW w:w="68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1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700" w:type="dxa"/>
            <w:vAlign w:val="bottom"/>
            <w:gridSpan w:val="2"/>
          </w:tcPr>
          <w:p>
            <w:pPr>
              <w:jc w:val="right"/>
              <w:ind w:right="46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654</w:t>
            </w:r>
          </w:p>
        </w:tc>
        <w:tc>
          <w:tcPr>
            <w:tcW w:w="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3"/>
        </w:trPr>
        <w:tc>
          <w:tcPr>
            <w:tcW w:w="68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cash flows from finance leases</w:t>
            </w:r>
          </w:p>
        </w:tc>
        <w:tc>
          <w:tcPr>
            <w:tcW w:w="11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113</w:t>
            </w:r>
          </w:p>
        </w:tc>
        <w:tc>
          <w:tcPr>
            <w:tcW w:w="580" w:type="dxa"/>
            <w:vAlign w:val="bottom"/>
            <w:shd w:val="clear" w:color="auto" w:fill="E5E5E5"/>
          </w:tcPr>
          <w:p>
            <w:pPr>
              <w:spacing w:after="0"/>
              <w:rPr>
                <w:sz w:val="17"/>
                <w:szCs w:val="17"/>
                <w:color w:val="auto"/>
              </w:rPr>
            </w:pPr>
          </w:p>
        </w:tc>
        <w:tc>
          <w:tcPr>
            <w:tcW w:w="102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7"/>
        </w:trPr>
        <w:tc>
          <w:tcPr>
            <w:tcW w:w="686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256</w:t>
            </w:r>
          </w:p>
        </w:tc>
        <w:tc>
          <w:tcPr>
            <w:tcW w:w="58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8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11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90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leases</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1,189</w:t>
            </w:r>
          </w:p>
        </w:tc>
        <w:tc>
          <w:tcPr>
            <w:tcW w:w="580" w:type="dxa"/>
            <w:vAlign w:val="bottom"/>
          </w:tcPr>
          <w:p>
            <w:pPr>
              <w:spacing w:after="0"/>
              <w:rPr>
                <w:sz w:val="17"/>
                <w:szCs w:val="17"/>
                <w:color w:val="auto"/>
              </w:rPr>
            </w:pPr>
          </w:p>
        </w:tc>
        <w:tc>
          <w:tcPr>
            <w:tcW w:w="10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3"/>
        </w:trPr>
        <w:tc>
          <w:tcPr>
            <w:tcW w:w="686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Finance leases</w:t>
            </w:r>
          </w:p>
        </w:tc>
        <w:tc>
          <w:tcPr>
            <w:tcW w:w="11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611</w:t>
            </w:r>
          </w:p>
        </w:tc>
        <w:tc>
          <w:tcPr>
            <w:tcW w:w="580" w:type="dxa"/>
            <w:vAlign w:val="bottom"/>
            <w:shd w:val="clear" w:color="auto" w:fill="E5E5E5"/>
          </w:tcPr>
          <w:p>
            <w:pPr>
              <w:spacing w:after="0"/>
              <w:rPr>
                <w:sz w:val="17"/>
                <w:szCs w:val="17"/>
                <w:color w:val="auto"/>
              </w:rPr>
            </w:pPr>
          </w:p>
        </w:tc>
        <w:tc>
          <w:tcPr>
            <w:tcW w:w="1020" w:type="dxa"/>
            <w:vAlign w:val="bottom"/>
            <w:gridSpan w:val="3"/>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68"/>
        </w:trPr>
        <w:tc>
          <w:tcPr>
            <w:tcW w:w="68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3"/>
        </w:trPr>
        <w:tc>
          <w:tcPr>
            <w:tcW w:w="6860" w:type="dxa"/>
            <w:vAlign w:val="bottom"/>
          </w:tcPr>
          <w:p>
            <w:pPr>
              <w:ind w:left="5540"/>
              <w:spacing w:after="0"/>
              <w:rPr>
                <w:sz w:val="20"/>
                <w:szCs w:val="20"/>
                <w:color w:val="auto"/>
              </w:rPr>
            </w:pPr>
            <w:r>
              <w:rPr>
                <w:rFonts w:ascii="Arial" w:cs="Arial" w:eastAsia="Arial" w:hAnsi="Arial"/>
                <w:sz w:val="14"/>
                <w:szCs w:val="14"/>
                <w:color w:val="auto"/>
              </w:rPr>
              <w:t>22</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68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 except 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June 30,</w:t>
            </w: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3"/>
                <w:szCs w:val="13"/>
                <w:b w:val="1"/>
                <w:bCs w:val="1"/>
                <w:color w:val="auto"/>
              </w:rPr>
              <w:t>Operating Leases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13,347</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13,148</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2,224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11,660</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13,884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13,717</w:t>
            </w:r>
          </w:p>
        </w:tc>
        <w:tc>
          <w:tcPr>
            <w:tcW w:w="0" w:type="dxa"/>
            <w:vAlign w:val="bottom"/>
          </w:tcPr>
          <w:p>
            <w:pPr>
              <w:spacing w:after="0"/>
              <w:rPr>
                <w:sz w:val="1"/>
                <w:szCs w:val="1"/>
                <w:color w:val="auto"/>
              </w:rPr>
            </w:pPr>
          </w:p>
        </w:tc>
      </w:tr>
      <w:tr>
        <w:trPr>
          <w:trHeight w:val="63"/>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Finance Leases</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17,322</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47"/>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(3,475)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3"/>
        </w:trPr>
        <w:tc>
          <w:tcPr>
            <w:tcW w:w="8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13,847</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14,103</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1,055</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13,575</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13,842</w:t>
            </w:r>
          </w:p>
        </w:tc>
        <w:tc>
          <w:tcPr>
            <w:tcW w:w="0" w:type="dxa"/>
            <w:vAlign w:val="bottom"/>
          </w:tcPr>
          <w:p>
            <w:pPr>
              <w:spacing w:after="0"/>
              <w:rPr>
                <w:sz w:val="1"/>
                <w:szCs w:val="1"/>
                <w:color w:val="auto"/>
              </w:rPr>
            </w:pPr>
          </w:p>
        </w:tc>
      </w:tr>
      <w:tr>
        <w:trPr>
          <w:trHeight w:val="68"/>
        </w:trPr>
        <w:tc>
          <w:tcPr>
            <w:tcW w:w="8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0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14,630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14,902</w:t>
            </w:r>
          </w:p>
        </w:tc>
        <w:tc>
          <w:tcPr>
            <w:tcW w:w="0" w:type="dxa"/>
            <w:vAlign w:val="bottom"/>
          </w:tcPr>
          <w:p>
            <w:pPr>
              <w:spacing w:after="0"/>
              <w:rPr>
                <w:sz w:val="1"/>
                <w:szCs w:val="1"/>
                <w:color w:val="auto"/>
              </w:rPr>
            </w:pPr>
          </w:p>
        </w:tc>
      </w:tr>
      <w:tr>
        <w:trPr>
          <w:trHeight w:val="63"/>
        </w:trPr>
        <w:tc>
          <w:tcPr>
            <w:tcW w:w="8000" w:type="dxa"/>
            <w:vAlign w:val="bottom"/>
            <w:vMerge w:val="restart"/>
          </w:tcPr>
          <w:p>
            <w:pPr>
              <w:spacing w:after="0"/>
              <w:rPr>
                <w:sz w:val="20"/>
                <w:szCs w:val="20"/>
                <w:color w:val="auto"/>
              </w:rPr>
            </w:pPr>
            <w:r>
              <w:rPr>
                <w:rFonts w:ascii="Arial" w:cs="Arial" w:eastAsia="Arial" w:hAnsi="Arial"/>
                <w:sz w:val="13"/>
                <w:szCs w:val="13"/>
                <w:b w:val="1"/>
                <w:bCs w:val="1"/>
                <w:color w:val="auto"/>
              </w:rPr>
              <w:t>Weighted Average Remaining Lease Term</w:t>
            </w: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8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8 years</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47"/>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 years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20"/>
                <w:szCs w:val="20"/>
                <w:color w:val="auto"/>
              </w:rPr>
            </w:pPr>
            <w:r>
              <w:rPr>
                <w:rFonts w:ascii="Arial" w:cs="Arial" w:eastAsia="Arial" w:hAnsi="Arial"/>
                <w:sz w:val="13"/>
                <w:szCs w:val="13"/>
                <w:b w:val="1"/>
                <w:bCs w:val="1"/>
                <w:color w:val="auto"/>
              </w:rPr>
              <w:t>Weighted Average Discount Rate</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7"/>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
        </w:trPr>
        <w:tc>
          <w:tcPr>
            <w:tcW w:w="8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6"/>
        </w:trPr>
        <w:tc>
          <w:tcPr>
            <w:tcW w:w="8000" w:type="dxa"/>
            <w:vAlign w:val="bottom"/>
          </w:tcPr>
          <w:p>
            <w:pPr>
              <w:spacing w:after="0"/>
              <w:rPr>
                <w:sz w:val="20"/>
                <w:szCs w:val="20"/>
                <w:color w:val="auto"/>
              </w:rPr>
            </w:pPr>
            <w:r>
              <w:rPr>
                <w:rFonts w:ascii="Arial" w:cs="Arial" w:eastAsia="Arial" w:hAnsi="Arial"/>
                <w:sz w:val="18"/>
                <w:szCs w:val="18"/>
                <w:color w:val="auto"/>
              </w:rPr>
              <w:t>The following table outlines maturities of our lease liabilities as of September 30, 2022:</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8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00" w:type="dxa"/>
            <w:vAlign w:val="bottom"/>
          </w:tcPr>
          <w:p>
            <w:pPr>
              <w:spacing w:after="0"/>
              <w:rPr>
                <w:sz w:val="20"/>
                <w:szCs w:val="20"/>
                <w:color w:val="auto"/>
              </w:rPr>
            </w:pPr>
            <w:r>
              <w:rPr>
                <w:rFonts w:ascii="Arial" w:cs="Arial" w:eastAsia="Arial" w:hAnsi="Arial"/>
                <w:sz w:val="13"/>
                <w:szCs w:val="13"/>
                <w:b w:val="1"/>
                <w:bCs w:val="1"/>
                <w:color w:val="auto"/>
              </w:rPr>
              <w:t>Year Ending June 30,</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Operating Leases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Finance Leases</w:t>
            </w:r>
          </w:p>
        </w:tc>
        <w:tc>
          <w:tcPr>
            <w:tcW w:w="0" w:type="dxa"/>
            <w:vAlign w:val="bottom"/>
          </w:tcPr>
          <w:p>
            <w:pPr>
              <w:spacing w:after="0"/>
              <w:rPr>
                <w:sz w:val="1"/>
                <w:szCs w:val="1"/>
                <w:color w:val="auto"/>
              </w:rPr>
            </w:pPr>
          </w:p>
        </w:tc>
      </w:tr>
      <w:tr>
        <w:trPr>
          <w:trHeight w:val="44"/>
        </w:trPr>
        <w:tc>
          <w:tcPr>
            <w:tcW w:w="8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360" w:type="dxa"/>
            <w:vAlign w:val="bottom"/>
            <w:gridSpan w:val="2"/>
          </w:tcPr>
          <w:p>
            <w:pPr>
              <w:spacing w:after="0"/>
              <w:rPr>
                <w:sz w:val="3"/>
                <w:szCs w:val="3"/>
                <w:color w:val="auto"/>
              </w:rPr>
            </w:pPr>
          </w:p>
        </w:tc>
        <w:tc>
          <w:tcPr>
            <w:tcW w:w="12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2023 (excluding the three months ended September 30, 2022)</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1,913</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1,107</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2,327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1,480</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2,060</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1,796</w:t>
            </w:r>
          </w:p>
        </w:tc>
        <w:tc>
          <w:tcPr>
            <w:tcW w:w="0" w:type="dxa"/>
            <w:vAlign w:val="bottom"/>
          </w:tcPr>
          <w:p>
            <w:pPr>
              <w:spacing w:after="0"/>
              <w:rPr>
                <w:sz w:val="1"/>
                <w:szCs w:val="1"/>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1,706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1,477</w:t>
            </w: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2027</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1,409</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1,482</w:t>
            </w:r>
          </w:p>
        </w:tc>
        <w:tc>
          <w:tcPr>
            <w:tcW w:w="0" w:type="dxa"/>
            <w:vAlign w:val="bottom"/>
          </w:tcPr>
          <w:p>
            <w:pPr>
              <w:spacing w:after="0"/>
              <w:rPr>
                <w:sz w:val="1"/>
                <w:szCs w:val="1"/>
                <w:color w:val="auto"/>
              </w:rPr>
            </w:pPr>
          </w:p>
        </w:tc>
      </w:tr>
      <w:tr>
        <w:trPr>
          <w:trHeight w:val="247"/>
        </w:trPr>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5,960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10,028</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E5E5E5"/>
          </w:tcPr>
          <w:p>
            <w:pPr>
              <w:spacing w:after="0"/>
              <w:rPr>
                <w:sz w:val="17"/>
                <w:szCs w:val="17"/>
                <w:color w:val="auto"/>
              </w:rPr>
            </w:pP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15,375</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17,370</w:t>
            </w:r>
          </w:p>
        </w:tc>
        <w:tc>
          <w:tcPr>
            <w:tcW w:w="0" w:type="dxa"/>
            <w:vAlign w:val="bottom"/>
          </w:tcPr>
          <w:p>
            <w:pPr>
              <w:spacing w:after="0"/>
              <w:rPr>
                <w:sz w:val="1"/>
                <w:szCs w:val="1"/>
                <w:color w:val="auto"/>
              </w:rPr>
            </w:pPr>
          </w:p>
        </w:tc>
      </w:tr>
      <w:tr>
        <w:trPr>
          <w:trHeight w:val="247"/>
        </w:trPr>
        <w:tc>
          <w:tcPr>
            <w:tcW w:w="800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(2,740)</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0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220" w:type="dxa"/>
            <w:vAlign w:val="bottom"/>
            <w:shd w:val="clear" w:color="auto" w:fill="E5E5E5"/>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13,884</w:t>
            </w:r>
          </w:p>
        </w:tc>
        <w:tc>
          <w:tcPr>
            <w:tcW w:w="36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14,630</w:t>
            </w:r>
          </w:p>
        </w:tc>
        <w:tc>
          <w:tcPr>
            <w:tcW w:w="0" w:type="dxa"/>
            <w:vAlign w:val="bottom"/>
          </w:tcPr>
          <w:p>
            <w:pPr>
              <w:spacing w:after="0"/>
              <w:rPr>
                <w:sz w:val="1"/>
                <w:szCs w:val="1"/>
                <w:color w:val="auto"/>
              </w:rPr>
            </w:pPr>
          </w:p>
        </w:tc>
      </w:tr>
      <w:tr>
        <w:trPr>
          <w:trHeight w:val="75"/>
        </w:trPr>
        <w:tc>
          <w:tcPr>
            <w:tcW w:w="80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2022, we have additional operating and finance leases, primarily for datacenters, that have not yet commenced of $6.5 billion and $ 10.5 billion, respectively. These operating and finance leases will commence between fiscal year 2023 and fiscal year 2028 with lease terms of less than 1 year to 18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14 —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Cell Phone Litigation</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September 30, 2022, we accrued aggregate legal liabilities of $264 million. While we intend to defend these matters vigorously, adverse outcomes that we estimate could reach approximately $500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15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September 18, 2019, our Board of Directors approved a share repurchase program authorizing up to $40.0 billion in share repurchases.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program commenced in February 2020 and was completed in November 2021.</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 As of September 30, 2022, $36.1 billion remained of this $60.0 billion share repurchase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repurchased the following shares of common stock under the share repurchase programs: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3540" w:type="dxa"/>
            <w:vAlign w:val="bottom"/>
          </w:tcPr>
          <w:p>
            <w:pPr>
              <w:jc w:val="right"/>
              <w:ind w:right="21"/>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16"/>
                <w:szCs w:val="16"/>
                <w:color w:val="auto"/>
              </w:rPr>
            </w:pPr>
          </w:p>
        </w:tc>
        <w:tc>
          <w:tcPr>
            <w:tcW w:w="1100" w:type="dxa"/>
            <w:vAlign w:val="bottom"/>
          </w:tcPr>
          <w:p>
            <w:pPr>
              <w:jc w:val="right"/>
              <w:ind w:right="325"/>
              <w:spacing w:after="0"/>
              <w:rPr>
                <w:sz w:val="20"/>
                <w:szCs w:val="20"/>
                <w:color w:val="auto"/>
              </w:rPr>
            </w:pPr>
            <w:r>
              <w:rPr>
                <w:rFonts w:ascii="Arial" w:cs="Arial" w:eastAsia="Arial" w:hAnsi="Arial"/>
                <w:sz w:val="13"/>
                <w:szCs w:val="13"/>
                <w:b w:val="1"/>
                <w:bCs w:val="1"/>
                <w:color w:val="auto"/>
              </w:rPr>
              <w:t>Amount</w:t>
            </w:r>
          </w:p>
        </w:tc>
        <w:tc>
          <w:tcPr>
            <w:tcW w:w="940" w:type="dxa"/>
            <w:vAlign w:val="bottom"/>
          </w:tcPr>
          <w:p>
            <w:pPr>
              <w:jc w:val="right"/>
              <w:ind w:right="21"/>
              <w:spacing w:after="0"/>
              <w:rPr>
                <w:sz w:val="20"/>
                <w:szCs w:val="20"/>
                <w:color w:val="auto"/>
              </w:rPr>
            </w:pPr>
            <w:r>
              <w:rPr>
                <w:rFonts w:ascii="Arial" w:cs="Arial" w:eastAsia="Arial" w:hAnsi="Arial"/>
                <w:sz w:val="13"/>
                <w:szCs w:val="13"/>
                <w:b w:val="1"/>
                <w:bCs w:val="1"/>
                <w:color w:val="auto"/>
              </w:rPr>
              <w:t>Shares</w:t>
            </w:r>
          </w:p>
        </w:tc>
        <w:tc>
          <w:tcPr>
            <w:tcW w:w="400" w:type="dxa"/>
            <w:vAlign w:val="bottom"/>
          </w:tcPr>
          <w:p>
            <w:pPr>
              <w:spacing w:after="0"/>
              <w:rPr>
                <w:sz w:val="16"/>
                <w:szCs w:val="16"/>
                <w:color w:val="auto"/>
              </w:rPr>
            </w:pPr>
          </w:p>
        </w:tc>
        <w:tc>
          <w:tcPr>
            <w:tcW w:w="840" w:type="dxa"/>
            <w:vAlign w:val="bottom"/>
            <w:gridSpan w:val="2"/>
          </w:tcPr>
          <w:p>
            <w:pPr>
              <w:ind w:left="200"/>
              <w:spacing w:after="0"/>
              <w:rPr>
                <w:sz w:val="20"/>
                <w:szCs w:val="20"/>
                <w:color w:val="auto"/>
              </w:rPr>
            </w:pPr>
            <w:r>
              <w:rPr>
                <w:rFonts w:ascii="Arial" w:cs="Arial" w:eastAsia="Arial" w:hAnsi="Arial"/>
                <w:sz w:val="13"/>
                <w:szCs w:val="13"/>
                <w:b w:val="1"/>
                <w:bCs w:val="1"/>
                <w:color w:val="auto"/>
              </w:rPr>
              <w:t>Amount</w:t>
            </w:r>
          </w:p>
        </w:tc>
      </w:tr>
      <w:tr>
        <w:trPr>
          <w:trHeight w:val="45"/>
        </w:trPr>
        <w:tc>
          <w:tcPr>
            <w:tcW w:w="400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32"/>
        </w:trPr>
        <w:tc>
          <w:tcPr>
            <w:tcW w:w="4000" w:type="dxa"/>
            <w:vAlign w:val="bottom"/>
          </w:tcPr>
          <w:p>
            <w:pPr>
              <w:spacing w:after="0"/>
              <w:rPr>
                <w:sz w:val="20"/>
                <w:szCs w:val="20"/>
                <w:color w:val="auto"/>
              </w:rPr>
            </w:pPr>
            <w:r>
              <w:rPr>
                <w:rFonts w:ascii="Arial" w:cs="Arial" w:eastAsia="Arial" w:hAnsi="Arial"/>
                <w:sz w:val="13"/>
                <w:szCs w:val="13"/>
                <w:b w:val="1"/>
                <w:bCs w:val="1"/>
                <w:color w:val="auto"/>
              </w:rPr>
              <w:t>Fiscal Year</w:t>
            </w:r>
          </w:p>
        </w:tc>
        <w:tc>
          <w:tcPr>
            <w:tcW w:w="3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325"/>
              <w:spacing w:after="0"/>
              <w:rPr>
                <w:sz w:val="20"/>
                <w:szCs w:val="20"/>
                <w:color w:val="auto"/>
              </w:rPr>
            </w:pPr>
            <w:r>
              <w:rPr>
                <w:rFonts w:ascii="Arial" w:cs="Arial" w:eastAsia="Arial" w:hAnsi="Arial"/>
                <w:sz w:val="13"/>
                <w:szCs w:val="13"/>
                <w:b w:val="1"/>
                <w:bCs w:val="1"/>
                <w:color w:val="auto"/>
              </w:rPr>
              <w:t>2023</w:t>
            </w: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0"/>
                <w:szCs w:val="20"/>
                <w:color w:val="auto"/>
              </w:rPr>
            </w:pPr>
          </w:p>
        </w:tc>
      </w:tr>
      <w:tr>
        <w:trPr>
          <w:trHeight w:val="45"/>
        </w:trPr>
        <w:tc>
          <w:tcPr>
            <w:tcW w:w="40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40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First Quarter</w:t>
            </w:r>
          </w:p>
        </w:tc>
        <w:tc>
          <w:tcPr>
            <w:tcW w:w="3540" w:type="dxa"/>
            <w:vAlign w:val="bottom"/>
            <w:shd w:val="clear" w:color="auto" w:fill="E5E5E5"/>
          </w:tcPr>
          <w:p>
            <w:pPr>
              <w:jc w:val="right"/>
              <w:ind w:right="21"/>
              <w:spacing w:after="0" w:line="202" w:lineRule="exact"/>
              <w:rPr>
                <w:sz w:val="20"/>
                <w:szCs w:val="20"/>
                <w:color w:val="auto"/>
              </w:rPr>
            </w:pPr>
            <w:r>
              <w:rPr>
                <w:rFonts w:ascii="Arial" w:cs="Arial" w:eastAsia="Arial" w:hAnsi="Arial"/>
                <w:sz w:val="18"/>
                <w:szCs w:val="18"/>
                <w:b w:val="1"/>
                <w:bCs w:val="1"/>
                <w:color w:val="auto"/>
              </w:rPr>
              <w:t>17</w:t>
            </w:r>
          </w:p>
        </w:tc>
        <w:tc>
          <w:tcPr>
            <w:tcW w:w="420" w:type="dxa"/>
            <w:vAlign w:val="bottom"/>
            <w:shd w:val="clear" w:color="auto" w:fill="E5E5E5"/>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325"/>
              <w:spacing w:after="0" w:line="202" w:lineRule="exact"/>
              <w:rPr>
                <w:sz w:val="20"/>
                <w:szCs w:val="20"/>
                <w:color w:val="auto"/>
              </w:rPr>
            </w:pPr>
            <w:r>
              <w:rPr>
                <w:rFonts w:ascii="Arial" w:cs="Arial" w:eastAsia="Arial" w:hAnsi="Arial"/>
                <w:sz w:val="18"/>
                <w:szCs w:val="18"/>
                <w:b w:val="1"/>
                <w:bCs w:val="1"/>
                <w:color w:val="auto"/>
              </w:rPr>
              <w:t>4,600</w:t>
            </w:r>
          </w:p>
        </w:tc>
        <w:tc>
          <w:tcPr>
            <w:tcW w:w="940" w:type="dxa"/>
            <w:vAlign w:val="bottom"/>
            <w:shd w:val="clear" w:color="auto" w:fill="E5E5E5"/>
          </w:tcPr>
          <w:p>
            <w:pPr>
              <w:jc w:val="right"/>
              <w:ind w:right="21"/>
              <w:spacing w:after="0" w:line="202" w:lineRule="exact"/>
              <w:rPr>
                <w:sz w:val="20"/>
                <w:szCs w:val="20"/>
                <w:color w:val="auto"/>
              </w:rPr>
            </w:pPr>
            <w:r>
              <w:rPr>
                <w:rFonts w:ascii="Arial" w:cs="Arial" w:eastAsia="Arial" w:hAnsi="Arial"/>
                <w:sz w:val="18"/>
                <w:szCs w:val="18"/>
                <w:color w:val="auto"/>
              </w:rPr>
              <w:t>21</w:t>
            </w:r>
          </w:p>
        </w:tc>
        <w:tc>
          <w:tcPr>
            <w:tcW w:w="40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6,200</w:t>
            </w:r>
          </w:p>
        </w:tc>
        <w:tc>
          <w:tcPr>
            <w:tcW w:w="120" w:type="dxa"/>
            <w:vAlign w:val="bottom"/>
            <w:shd w:val="clear" w:color="auto" w:fill="E5E5E5"/>
          </w:tcPr>
          <w:p>
            <w:pPr>
              <w:spacing w:after="0"/>
              <w:rPr>
                <w:sz w:val="17"/>
                <w:szCs w:val="17"/>
                <w:color w:val="auto"/>
              </w:rPr>
            </w:pPr>
          </w:p>
        </w:tc>
      </w:tr>
      <w:tr>
        <w:trPr>
          <w:trHeight w:val="68"/>
        </w:trPr>
        <w:tc>
          <w:tcPr>
            <w:tcW w:w="400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repurchases were made using cash resources. Shares repurchased during the first quarter of fiscal year 2023 were under the share repurchase program approved on September 14, 2021. Shares repurchased during the first quarter of fiscal year 2022 were under the share repurchase program approved on September 18, 2019. The above table excludes shares repurchased to settle employee tax withholding related to the vesting of stock awards of $973 million and $1.5 billion for the first quarter of fiscal years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82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Record Date</w:t>
            </w:r>
          </w:p>
        </w:tc>
        <w:tc>
          <w:tcPr>
            <w:tcW w:w="246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Payment Date</w:t>
            </w:r>
          </w:p>
        </w:tc>
        <w:tc>
          <w:tcPr>
            <w:tcW w:w="820" w:type="dxa"/>
            <w:vAlign w:val="bottom"/>
          </w:tcPr>
          <w:p>
            <w:pPr>
              <w:spacing w:after="0"/>
              <w:rPr>
                <w:sz w:val="13"/>
                <w:szCs w:val="13"/>
                <w:color w:val="auto"/>
              </w:rPr>
            </w:pPr>
          </w:p>
        </w:tc>
        <w:tc>
          <w:tcPr>
            <w:tcW w:w="1080" w:type="dxa"/>
            <w:vAlign w:val="bottom"/>
          </w:tcPr>
          <w:p>
            <w:pPr>
              <w:jc w:val="right"/>
              <w:ind w:right="141"/>
              <w:spacing w:after="0"/>
              <w:rPr>
                <w:sz w:val="20"/>
                <w:szCs w:val="20"/>
                <w:color w:val="auto"/>
              </w:rPr>
            </w:pPr>
            <w:r>
              <w:rPr>
                <w:rFonts w:ascii="Arial" w:cs="Arial" w:eastAsia="Arial" w:hAnsi="Arial"/>
                <w:sz w:val="13"/>
                <w:szCs w:val="13"/>
                <w:b w:val="1"/>
                <w:bCs w:val="1"/>
                <w:color w:val="auto"/>
              </w:rPr>
              <w:t>Dividend</w:t>
            </w:r>
          </w:p>
        </w:tc>
        <w:tc>
          <w:tcPr>
            <w:tcW w:w="520" w:type="dxa"/>
            <w:vAlign w:val="bottom"/>
          </w:tcPr>
          <w:p>
            <w:pPr>
              <w:spacing w:after="0"/>
              <w:rPr>
                <w:sz w:val="13"/>
                <w:szCs w:val="1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jc w:val="right"/>
              <w:ind w:right="141"/>
              <w:spacing w:after="0"/>
              <w:rPr>
                <w:sz w:val="20"/>
                <w:szCs w:val="20"/>
                <w:color w:val="auto"/>
              </w:rPr>
            </w:pPr>
            <w:r>
              <w:rPr>
                <w:rFonts w:ascii="Arial" w:cs="Arial" w:eastAsia="Arial" w:hAnsi="Arial"/>
                <w:sz w:val="13"/>
                <w:szCs w:val="13"/>
                <w:b w:val="1"/>
                <w:bCs w:val="1"/>
                <w:color w:val="auto"/>
              </w:rPr>
              <w:t>Per Share</w:t>
            </w:r>
          </w:p>
        </w:tc>
        <w:tc>
          <w:tcPr>
            <w:tcW w:w="5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360" w:type="dxa"/>
            <w:vAlign w:val="bottom"/>
          </w:tcPr>
          <w:p>
            <w:pPr>
              <w:spacing w:after="0"/>
              <w:rPr>
                <w:sz w:val="20"/>
                <w:szCs w:val="20"/>
                <w:color w:val="auto"/>
              </w:rPr>
            </w:pPr>
            <w:r>
              <w:rPr>
                <w:rFonts w:ascii="Arial" w:cs="Arial" w:eastAsia="Arial" w:hAnsi="Arial"/>
                <w:sz w:val="13"/>
                <w:szCs w:val="13"/>
                <w:b w:val="1"/>
                <w:bCs w:val="1"/>
                <w:color w:val="auto"/>
              </w:rPr>
              <w:t>Fiscal Year 2023</w:t>
            </w:r>
          </w:p>
        </w:tc>
        <w:tc>
          <w:tcPr>
            <w:tcW w:w="2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5"/>
        </w:trPr>
        <w:tc>
          <w:tcPr>
            <w:tcW w:w="23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September 20, 2022</w:t>
            </w:r>
          </w:p>
        </w:tc>
        <w:tc>
          <w:tcPr>
            <w:tcW w:w="2820" w:type="dxa"/>
            <w:vAlign w:val="bottom"/>
            <w:shd w:val="clear" w:color="auto" w:fill="E5E5E5"/>
          </w:tcPr>
          <w:p>
            <w:pPr>
              <w:ind w:left="680"/>
              <w:spacing w:after="0" w:line="202" w:lineRule="exact"/>
              <w:rPr>
                <w:sz w:val="20"/>
                <w:szCs w:val="20"/>
                <w:color w:val="auto"/>
              </w:rPr>
            </w:pPr>
            <w:r>
              <w:rPr>
                <w:rFonts w:ascii="Arial" w:cs="Arial" w:eastAsia="Arial" w:hAnsi="Arial"/>
                <w:sz w:val="18"/>
                <w:szCs w:val="18"/>
                <w:b w:val="1"/>
                <w:bCs w:val="1"/>
                <w:color w:val="auto"/>
              </w:rPr>
              <w:t>November 17, 2022</w:t>
            </w:r>
          </w:p>
        </w:tc>
        <w:tc>
          <w:tcPr>
            <w:tcW w:w="246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b w:val="1"/>
                <w:bCs w:val="1"/>
                <w:color w:val="auto"/>
              </w:rPr>
              <w:t>December 8, 2022</w:t>
            </w:r>
          </w:p>
        </w:tc>
        <w:tc>
          <w:tcPr>
            <w:tcW w:w="8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5E5E5"/>
          </w:tcPr>
          <w:p>
            <w:pPr>
              <w:jc w:val="right"/>
              <w:ind w:right="141"/>
              <w:spacing w:after="0" w:line="202" w:lineRule="exact"/>
              <w:rPr>
                <w:sz w:val="20"/>
                <w:szCs w:val="20"/>
                <w:color w:val="auto"/>
              </w:rPr>
            </w:pPr>
            <w:r>
              <w:rPr>
                <w:rFonts w:ascii="Arial" w:cs="Arial" w:eastAsia="Arial" w:hAnsi="Arial"/>
                <w:sz w:val="18"/>
                <w:szCs w:val="18"/>
                <w:b w:val="1"/>
                <w:bCs w:val="1"/>
                <w:color w:val="auto"/>
              </w:rPr>
              <w:t>0.68</w:t>
            </w:r>
          </w:p>
        </w:tc>
        <w:tc>
          <w:tcPr>
            <w:tcW w:w="5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5,071</w:t>
            </w: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r>
              <w:rPr>
                <w:rFonts w:ascii="Arial" w:cs="Arial" w:eastAsia="Arial" w:hAnsi="Arial"/>
                <w:sz w:val="13"/>
                <w:szCs w:val="13"/>
                <w:b w:val="1"/>
                <w:bCs w:val="1"/>
                <w:color w:val="auto"/>
              </w:rPr>
              <w:t>Fiscal Year 2022</w:t>
            </w:r>
          </w:p>
        </w:tc>
        <w:tc>
          <w:tcPr>
            <w:tcW w:w="2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360" w:type="dxa"/>
            <w:vAlign w:val="bottom"/>
          </w:tcPr>
          <w:p>
            <w:pPr>
              <w:spacing w:after="0"/>
              <w:rPr>
                <w:sz w:val="3"/>
                <w:szCs w:val="3"/>
                <w:color w:val="auto"/>
              </w:rPr>
            </w:pPr>
          </w:p>
        </w:tc>
        <w:tc>
          <w:tcPr>
            <w:tcW w:w="28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September 14, 2021</w:t>
            </w:r>
          </w:p>
        </w:tc>
        <w:tc>
          <w:tcPr>
            <w:tcW w:w="2820" w:type="dxa"/>
            <w:vAlign w:val="bottom"/>
            <w:shd w:val="clear" w:color="auto" w:fill="E5E5E5"/>
          </w:tcPr>
          <w:p>
            <w:pPr>
              <w:ind w:left="680"/>
              <w:spacing w:after="0" w:line="202" w:lineRule="exact"/>
              <w:rPr>
                <w:sz w:val="20"/>
                <w:szCs w:val="20"/>
                <w:color w:val="auto"/>
              </w:rPr>
            </w:pPr>
            <w:r>
              <w:rPr>
                <w:rFonts w:ascii="Arial" w:cs="Arial" w:eastAsia="Arial" w:hAnsi="Arial"/>
                <w:sz w:val="18"/>
                <w:szCs w:val="18"/>
                <w:color w:val="auto"/>
              </w:rPr>
              <w:t>November 18, 2021</w:t>
            </w:r>
          </w:p>
        </w:tc>
        <w:tc>
          <w:tcPr>
            <w:tcW w:w="246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December 9, 2021</w:t>
            </w:r>
          </w:p>
        </w:tc>
        <w:tc>
          <w:tcPr>
            <w:tcW w:w="820" w:type="dxa"/>
            <w:vAlign w:val="bottom"/>
            <w:shd w:val="clear" w:color="auto" w:fill="E5E5E5"/>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141"/>
              <w:spacing w:after="0" w:line="202" w:lineRule="exact"/>
              <w:rPr>
                <w:sz w:val="20"/>
                <w:szCs w:val="20"/>
                <w:color w:val="auto"/>
              </w:rPr>
            </w:pPr>
            <w:r>
              <w:rPr>
                <w:rFonts w:ascii="Arial" w:cs="Arial" w:eastAsia="Arial" w:hAnsi="Arial"/>
                <w:sz w:val="18"/>
                <w:szCs w:val="18"/>
                <w:color w:val="auto"/>
              </w:rPr>
              <w:t>0.62</w:t>
            </w:r>
          </w:p>
        </w:tc>
        <w:tc>
          <w:tcPr>
            <w:tcW w:w="5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68"/>
        </w:trPr>
        <w:tc>
          <w:tcPr>
            <w:tcW w:w="236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dividend declared on September 20, 2022 was included in other current liabilities as of September 30, 2022.</w:t>
      </w:r>
    </w:p>
    <w:p>
      <w:pPr>
        <w:spacing w:after="0" w:line="279" w:lineRule="exact"/>
        <w:rPr>
          <w:sz w:val="20"/>
          <w:szCs w:val="20"/>
          <w:color w:val="auto"/>
        </w:rPr>
      </w:pPr>
    </w:p>
    <w:p>
      <w:pPr>
        <w:ind w:left="2560"/>
        <w:spacing w:after="0"/>
        <w:rPr>
          <w:sz w:val="20"/>
          <w:szCs w:val="20"/>
          <w:color w:val="auto"/>
        </w:rPr>
      </w:pPr>
      <w:r>
        <w:rPr>
          <w:rFonts w:ascii="Arial" w:cs="Arial" w:eastAsia="Arial" w:hAnsi="Arial"/>
          <w:sz w:val="18"/>
          <w:szCs w:val="18"/>
          <w:u w:val="single" w:color="auto"/>
          <w:color w:val="auto"/>
        </w:rPr>
        <w:t>NOTE 16 —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accumulated other comprehensive income (loss) by component: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54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3"/>
                <w:szCs w:val="13"/>
                <w:b w:val="1"/>
                <w:bCs w:val="1"/>
                <w:color w:val="auto"/>
              </w:rPr>
              <w:t>Derivatives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7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(13)</w:t>
            </w:r>
          </w:p>
        </w:tc>
        <w:tc>
          <w:tcPr>
            <w:tcW w:w="72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 xml:space="preserve">Unrealized losses, net of tax of </w:t>
            </w:r>
            <w:r>
              <w:rPr>
                <w:rFonts w:ascii="Arial" w:cs="Arial" w:eastAsia="Arial" w:hAnsi="Arial"/>
                <w:sz w:val="18"/>
                <w:szCs w:val="18"/>
                <w:b w:val="1"/>
                <w:bCs w:val="1"/>
                <w:color w:val="auto"/>
              </w:rPr>
              <w:t>$(11)</w:t>
            </w:r>
            <w:r>
              <w:rPr>
                <w:rFonts w:ascii="Arial" w:cs="Arial" w:eastAsia="Arial" w:hAnsi="Arial"/>
                <w:sz w:val="18"/>
                <w:szCs w:val="18"/>
                <w:color w:val="auto"/>
              </w:rPr>
              <w:t xml:space="preserve"> and $(3)</w:t>
            </w:r>
          </w:p>
        </w:tc>
        <w:tc>
          <w:tcPr>
            <w:tcW w:w="5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Reclassification adjustments for losses included in other income (expense), net</w:t>
            </w:r>
          </w:p>
        </w:tc>
        <w:tc>
          <w:tcPr>
            <w:tcW w:w="5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Tax benefit included in provision for income taxes</w:t>
            </w:r>
          </w:p>
        </w:tc>
        <w:tc>
          <w:tcPr>
            <w:tcW w:w="5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7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5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47</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7600" w:type="dxa"/>
            <w:vAlign w:val="bottom"/>
          </w:tcPr>
          <w:p>
            <w:pPr>
              <w:spacing w:after="0"/>
              <w:rPr>
                <w:sz w:val="20"/>
                <w:szCs w:val="20"/>
                <w:color w:val="auto"/>
              </w:rPr>
            </w:pPr>
            <w:r>
              <w:rPr>
                <w:rFonts w:ascii="Arial" w:cs="Arial" w:eastAsia="Arial" w:hAnsi="Arial"/>
                <w:sz w:val="18"/>
                <w:szCs w:val="18"/>
                <w:color w:val="auto"/>
              </w:rPr>
              <w:t xml:space="preserve">Net change related to derivatives, net of tax of </w:t>
            </w:r>
            <w:r>
              <w:rPr>
                <w:rFonts w:ascii="Arial" w:cs="Arial" w:eastAsia="Arial" w:hAnsi="Arial"/>
                <w:sz w:val="18"/>
                <w:szCs w:val="18"/>
                <w:b w:val="1"/>
                <w:bCs w:val="1"/>
                <w:color w:val="auto"/>
              </w:rPr>
              <w:t>$1</w:t>
            </w:r>
            <w:r>
              <w:rPr>
                <w:rFonts w:ascii="Arial" w:cs="Arial" w:eastAsia="Arial" w:hAnsi="Arial"/>
                <w:sz w:val="18"/>
                <w:szCs w:val="18"/>
                <w:color w:val="auto"/>
              </w:rPr>
              <w:t xml:space="preserve"> and $0</w:t>
            </w:r>
          </w:p>
        </w:tc>
        <w:tc>
          <w:tcPr>
            <w:tcW w:w="540" w:type="dxa"/>
            <w:vAlign w:val="bottom"/>
          </w:tcPr>
          <w:p>
            <w:pPr>
              <w:spacing w:after="0"/>
              <w:rPr>
                <w:sz w:val="23"/>
                <w:szCs w:val="2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6"/>
        </w:trPr>
        <w:tc>
          <w:tcPr>
            <w:tcW w:w="76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(6)</w:t>
            </w:r>
          </w:p>
        </w:tc>
        <w:tc>
          <w:tcPr>
            <w:tcW w:w="72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600" w:type="dxa"/>
            <w:vAlign w:val="bottom"/>
          </w:tcPr>
          <w:p>
            <w:pPr>
              <w:spacing w:after="0"/>
              <w:rPr>
                <w:sz w:val="20"/>
                <w:szCs w:val="20"/>
                <w:color w:val="auto"/>
              </w:rPr>
            </w:pPr>
            <w:r>
              <w:rPr>
                <w:rFonts w:ascii="Arial" w:cs="Arial" w:eastAsia="Arial" w:hAnsi="Arial"/>
                <w:sz w:val="13"/>
                <w:szCs w:val="13"/>
                <w:b w:val="1"/>
                <w:bCs w:val="1"/>
                <w:color w:val="auto"/>
              </w:rPr>
              <w:t>Investments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7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(2,138)</w:t>
            </w:r>
          </w:p>
        </w:tc>
        <w:tc>
          <w:tcPr>
            <w:tcW w:w="72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 xml:space="preserve">Unrealized losses, net of tax of </w:t>
            </w:r>
            <w:r>
              <w:rPr>
                <w:rFonts w:ascii="Arial" w:cs="Arial" w:eastAsia="Arial" w:hAnsi="Arial"/>
                <w:sz w:val="18"/>
                <w:szCs w:val="18"/>
                <w:b w:val="1"/>
                <w:bCs w:val="1"/>
                <w:color w:val="auto"/>
              </w:rPr>
              <w:t>$(510)</w:t>
            </w:r>
            <w:r>
              <w:rPr>
                <w:rFonts w:ascii="Arial" w:cs="Arial" w:eastAsia="Arial" w:hAnsi="Arial"/>
                <w:sz w:val="18"/>
                <w:szCs w:val="18"/>
                <w:color w:val="auto"/>
              </w:rPr>
              <w:t xml:space="preserve"> and $(110)</w:t>
            </w:r>
          </w:p>
        </w:tc>
        <w:tc>
          <w:tcPr>
            <w:tcW w:w="5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(1,925)</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Reclassification adjustments for (gains) losses included in other income (expense), net</w:t>
            </w:r>
          </w:p>
        </w:tc>
        <w:tc>
          <w:tcPr>
            <w:tcW w:w="5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35</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Tax expense (benefit) included in provision for income taxes</w:t>
            </w:r>
          </w:p>
        </w:tc>
        <w:tc>
          <w:tcPr>
            <w:tcW w:w="5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
        </w:trPr>
        <w:tc>
          <w:tcPr>
            <w:tcW w:w="7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Amounts reclassified from accumulated other comprehensive income (loss)</w:t>
            </w:r>
          </w:p>
        </w:tc>
        <w:tc>
          <w:tcPr>
            <w:tcW w:w="54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28</w:t>
            </w:r>
          </w:p>
        </w:tc>
        <w:tc>
          <w:tcPr>
            <w:tcW w:w="18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7600" w:type="dxa"/>
            <w:vAlign w:val="bottom"/>
          </w:tcPr>
          <w:p>
            <w:pPr>
              <w:spacing w:after="0"/>
              <w:rPr>
                <w:sz w:val="20"/>
                <w:szCs w:val="20"/>
                <w:color w:val="auto"/>
              </w:rPr>
            </w:pPr>
            <w:r>
              <w:rPr>
                <w:rFonts w:ascii="Arial" w:cs="Arial" w:eastAsia="Arial" w:hAnsi="Arial"/>
                <w:sz w:val="18"/>
                <w:szCs w:val="18"/>
                <w:color w:val="auto"/>
              </w:rPr>
              <w:t xml:space="preserve">Net change related to investments, net of tax of </w:t>
            </w:r>
            <w:r>
              <w:rPr>
                <w:rFonts w:ascii="Arial" w:cs="Arial" w:eastAsia="Arial" w:hAnsi="Arial"/>
                <w:sz w:val="18"/>
                <w:szCs w:val="18"/>
                <w:b w:val="1"/>
                <w:bCs w:val="1"/>
                <w:color w:val="auto"/>
              </w:rPr>
              <w:t>$(503)</w:t>
            </w:r>
            <w:r>
              <w:rPr>
                <w:rFonts w:ascii="Arial" w:cs="Arial" w:eastAsia="Arial" w:hAnsi="Arial"/>
                <w:sz w:val="18"/>
                <w:szCs w:val="18"/>
                <w:color w:val="auto"/>
              </w:rPr>
              <w:t xml:space="preserve"> and $(112)</w:t>
            </w:r>
          </w:p>
        </w:tc>
        <w:tc>
          <w:tcPr>
            <w:tcW w:w="54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(1,897)</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56"/>
        </w:trPr>
        <w:tc>
          <w:tcPr>
            <w:tcW w:w="76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(4,035)</w:t>
            </w:r>
          </w:p>
        </w:tc>
        <w:tc>
          <w:tcPr>
            <w:tcW w:w="72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7600" w:type="dxa"/>
            <w:vAlign w:val="bottom"/>
          </w:tcPr>
          <w:p>
            <w:pPr>
              <w:spacing w:after="0"/>
              <w:rPr>
                <w:sz w:val="20"/>
                <w:szCs w:val="20"/>
                <w:color w:val="auto"/>
              </w:rPr>
            </w:pPr>
            <w:r>
              <w:rPr>
                <w:rFonts w:ascii="Arial" w:cs="Arial" w:eastAsia="Arial" w:hAnsi="Arial"/>
                <w:sz w:val="13"/>
                <w:szCs w:val="13"/>
                <w:b w:val="1"/>
                <w:bCs w:val="1"/>
                <w:color w:val="auto"/>
              </w:rPr>
              <w:t>Translation Adjustments and Other</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7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beginning of period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(2,527)</w:t>
            </w:r>
          </w:p>
        </w:tc>
        <w:tc>
          <w:tcPr>
            <w:tcW w:w="72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47"/>
        </w:trPr>
        <w:tc>
          <w:tcPr>
            <w:tcW w:w="7600" w:type="dxa"/>
            <w:vAlign w:val="bottom"/>
          </w:tcPr>
          <w:p>
            <w:pPr>
              <w:spacing w:after="0"/>
              <w:rPr>
                <w:sz w:val="20"/>
                <w:szCs w:val="20"/>
                <w:color w:val="auto"/>
              </w:rPr>
            </w:pPr>
            <w:r>
              <w:rPr>
                <w:rFonts w:ascii="Arial" w:cs="Arial" w:eastAsia="Arial" w:hAnsi="Arial"/>
                <w:sz w:val="18"/>
                <w:szCs w:val="18"/>
                <w:color w:val="auto"/>
              </w:rPr>
              <w:t xml:space="preserve">Translation adjustments and other, net of tax of </w:t>
            </w:r>
            <w:r>
              <w:rPr>
                <w:rFonts w:ascii="Arial" w:cs="Arial" w:eastAsia="Arial" w:hAnsi="Arial"/>
                <w:sz w:val="18"/>
                <w:szCs w:val="18"/>
                <w:b w:val="1"/>
                <w:bCs w:val="1"/>
                <w:color w:val="auto"/>
              </w:rPr>
              <w:t>$0</w:t>
            </w:r>
            <w:r>
              <w:rPr>
                <w:rFonts w:ascii="Arial" w:cs="Arial" w:eastAsia="Arial" w:hAnsi="Arial"/>
                <w:sz w:val="18"/>
                <w:szCs w:val="18"/>
                <w:color w:val="auto"/>
              </w:rPr>
              <w:t xml:space="preserve"> and $0</w:t>
            </w:r>
          </w:p>
        </w:tc>
        <w:tc>
          <w:tcPr>
            <w:tcW w:w="5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(775)</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
        </w:trPr>
        <w:tc>
          <w:tcPr>
            <w:tcW w:w="7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7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Balance, end of period</w:t>
            </w:r>
          </w:p>
        </w:tc>
        <w:tc>
          <w:tcPr>
            <w:tcW w:w="54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E5E5E5"/>
          </w:tcPr>
          <w:p>
            <w:pPr>
              <w:jc w:val="right"/>
              <w:ind w:right="180"/>
              <w:spacing w:after="0" w:line="202" w:lineRule="exact"/>
              <w:rPr>
                <w:sz w:val="20"/>
                <w:szCs w:val="20"/>
                <w:color w:val="auto"/>
              </w:rPr>
            </w:pPr>
            <w:r>
              <w:rPr>
                <w:rFonts w:ascii="Arial" w:cs="Arial" w:eastAsia="Arial" w:hAnsi="Arial"/>
                <w:sz w:val="18"/>
                <w:szCs w:val="18"/>
                <w:b w:val="1"/>
                <w:bCs w:val="1"/>
                <w:color w:val="auto"/>
              </w:rPr>
              <w:t>(3,302)</w:t>
            </w:r>
          </w:p>
        </w:tc>
        <w:tc>
          <w:tcPr>
            <w:tcW w:w="720" w:type="dxa"/>
            <w:vAlign w:val="bottom"/>
            <w:gridSpan w:val="2"/>
            <w:shd w:val="clear" w:color="auto" w:fill="E5E5E5"/>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E5E5E5"/>
          </w:tcPr>
          <w:p>
            <w:pPr>
              <w:jc w:val="right"/>
              <w:ind w:right="160"/>
              <w:spacing w:after="0" w:line="202" w:lineRule="exact"/>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68"/>
        </w:trPr>
        <w:tc>
          <w:tcPr>
            <w:tcW w:w="76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7600" w:type="dxa"/>
            <w:vAlign w:val="bottom"/>
          </w:tcPr>
          <w:p>
            <w:pPr>
              <w:spacing w:after="0"/>
              <w:rPr>
                <w:sz w:val="20"/>
                <w:szCs w:val="20"/>
                <w:color w:val="auto"/>
              </w:rPr>
            </w:pPr>
            <w:r>
              <w:rPr>
                <w:rFonts w:ascii="Arial" w:cs="Arial" w:eastAsia="Arial" w:hAnsi="Arial"/>
                <w:sz w:val="18"/>
                <w:szCs w:val="18"/>
                <w:color w:val="auto"/>
              </w:rPr>
              <w:t>Accumulated other comprehensive income (loss), end of period</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(7,343)</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63"/>
        </w:trPr>
        <w:tc>
          <w:tcPr>
            <w:tcW w:w="7600" w:type="dxa"/>
            <w:vAlign w:val="bottom"/>
            <w:vMerge w:val="restart"/>
          </w:tcPr>
          <w:p>
            <w:pPr>
              <w:ind w:left="5540"/>
              <w:spacing w:after="0"/>
              <w:rPr>
                <w:sz w:val="20"/>
                <w:szCs w:val="20"/>
                <w:color w:val="auto"/>
              </w:rPr>
            </w:pPr>
            <w:r>
              <w:rPr>
                <w:rFonts w:ascii="Arial" w:cs="Arial" w:eastAsia="Arial" w:hAnsi="Arial"/>
                <w:sz w:val="14"/>
                <w:szCs w:val="14"/>
                <w:color w:val="auto"/>
              </w:rPr>
              <w:t>25</w:t>
            </w: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0"/>
        </w:trPr>
        <w:tc>
          <w:tcPr>
            <w:tcW w:w="7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 17 — SEGMENT INFORMATION AND GEOGRAPHIC DATA</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have recast certain prior period amounts to conform to the way we internally manage and monitor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 described below.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Productivity and Business Processes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5" w:lineRule="exact"/>
        <w:rPr>
          <w:sz w:val="20"/>
          <w:szCs w:val="20"/>
          <w:color w:val="auto"/>
        </w:rPr>
      </w:pPr>
    </w:p>
    <w:p>
      <w:pPr>
        <w:jc w:val="both"/>
        <w:ind w:left="1060" w:hanging="391"/>
        <w:spacing w:after="0" w:line="253"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Office Commercial (Office 365 subscriptions, the Office 365 portion of Microsoft 365 Commercial subscriptions, and Office licensed on-premises), comprising Office, Exchange, SharePoint, Microsoft Teams, Office 365 Security and Compliance, and Microsoft Viva.</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Office Consumer, including Microsoft 365 Consumer subscriptions, Office licensed on-premises, and other Office services.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LinkedIn, including Talent Solutions, Marketing Solutions, Premium Subscriptions, and Sales Solutions.</w:t>
      </w:r>
    </w:p>
    <w:p>
      <w:pPr>
        <w:spacing w:after="0" w:line="63"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Dynamics business solutions, including Dynamics 365, comprising a set of intelligent, cloud-based applications across ERP, CRM, Customer Insights, Power Apps, and Power Automate; and on-premises ERP and CRM applications.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Cloud</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Intelligent Cloud segment consists of our public, private, and hybrid server products and cloud services that can power modern business and developers. This segment primarily comprises:</w:t>
      </w:r>
    </w:p>
    <w:p>
      <w:pPr>
        <w:spacing w:after="0" w:line="5" w:lineRule="exact"/>
        <w:rPr>
          <w:sz w:val="20"/>
          <w:szCs w:val="20"/>
          <w:color w:val="auto"/>
        </w:rPr>
      </w:pPr>
    </w:p>
    <w:p>
      <w:pPr>
        <w:ind w:left="1060" w:hanging="391"/>
        <w:spacing w:after="0" w:line="271"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Server products and cloud services, including Azure and other cloud services; SQL Server, Windows Server, Visual Studio, System Center, and related Client Access Licenses (“CALs”); and Nuance and GitHub.</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Enterprise Services, including Enterprise Support Services, Microsoft Consulting Services, and Nuance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Personal Computing</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More Personal Computing segment consists of products and services that put customers at the center of the experience with our technology. This segment primarily comprises:</w:t>
      </w:r>
    </w:p>
    <w:p>
      <w:pPr>
        <w:spacing w:after="0" w:line="19" w:lineRule="exact"/>
        <w:rPr>
          <w:sz w:val="20"/>
          <w:szCs w:val="20"/>
          <w:color w:val="auto"/>
        </w:rPr>
      </w:pPr>
    </w:p>
    <w:p>
      <w:pPr>
        <w:jc w:val="both"/>
        <w:ind w:left="1060" w:right="20" w:hanging="391"/>
        <w:spacing w:after="0" w:line="253"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Windows, including Windows original equipment manufacturer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Devices, including Surface, HoloLens, and PC accessories.</w:t>
      </w:r>
    </w:p>
    <w:p>
      <w:pPr>
        <w:spacing w:after="0" w:line="63" w:lineRule="exact"/>
        <w:rPr>
          <w:rFonts w:ascii="Arial" w:cs="Arial" w:eastAsia="Arial" w:hAnsi="Arial"/>
          <w:sz w:val="18"/>
          <w:szCs w:val="18"/>
          <w:color w:val="auto"/>
        </w:rPr>
      </w:pPr>
    </w:p>
    <w:p>
      <w:pPr>
        <w:jc w:val="both"/>
        <w:ind w:left="1060" w:hanging="391"/>
        <w:spacing w:after="0" w:line="253"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Gaming, including Xbox hardware and Xbox content and services, comprising first- and third-party content (including games and in-game content), Xbox Game Pass and other subscriptions, Xbox Cloud Gaming, third-party disc royalties, advertising, and other cloud services.</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Search and news advertising.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200" w:lineRule="exact"/>
        <w:rPr>
          <w:sz w:val="20"/>
          <w:szCs w:val="20"/>
          <w:color w:val="auto"/>
        </w:rPr>
      </w:pPr>
    </w:p>
    <w:p>
      <w:pPr>
        <w:spacing w:after="0" w:line="3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certain costs incurred at a corporate level that are identifiable and that benefit our segments are allocated to them. These allocated costs include legal, including settlements and fines, information technology, human resources, finance, excise taxes, field selling, shared facilities services, and customer service and support. Each allocation is measured differently based on the specific facts and circumstances of the costs being allocated.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operating income were as follows during the periods presented:</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57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31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16,465</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15,039</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2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20,325</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27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13,332</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13,366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70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5700" w:type="dxa"/>
            <w:vAlign w:val="bottom"/>
          </w:tcPr>
          <w:p>
            <w:pPr>
              <w:ind w:left="220"/>
              <w:spacing w:after="0"/>
              <w:rPr>
                <w:sz w:val="20"/>
                <w:szCs w:val="20"/>
                <w:color w:val="auto"/>
              </w:rPr>
            </w:pPr>
            <w:r>
              <w:rPr>
                <w:rFonts w:ascii="Arial" w:cs="Arial" w:eastAsia="Arial" w:hAnsi="Arial"/>
                <w:sz w:val="18"/>
                <w:szCs w:val="18"/>
                <w:color w:val="auto"/>
              </w:rPr>
              <w:t>Total</w:t>
            </w:r>
          </w:p>
        </w:tc>
        <w:tc>
          <w:tcPr>
            <w:tcW w:w="3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50,122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570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27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700" w:type="dxa"/>
            <w:vAlign w:val="bottom"/>
            <w:vMerge w:val="continue"/>
          </w:tcPr>
          <w:p>
            <w:pPr>
              <w:spacing w:after="0"/>
              <w:rPr>
                <w:sz w:val="20"/>
                <w:szCs w:val="20"/>
                <w:color w:val="auto"/>
              </w:rPr>
            </w:pPr>
          </w:p>
        </w:tc>
        <w:tc>
          <w:tcPr>
            <w:tcW w:w="2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7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314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8,323</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7,581</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2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8,978</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7,681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274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4,217</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4,976</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70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5700" w:type="dxa"/>
            <w:vAlign w:val="bottom"/>
          </w:tcPr>
          <w:p>
            <w:pPr>
              <w:ind w:left="220"/>
              <w:spacing w:after="0"/>
              <w:rPr>
                <w:sz w:val="20"/>
                <w:szCs w:val="20"/>
                <w:color w:val="auto"/>
              </w:rPr>
            </w:pPr>
            <w:r>
              <w:rPr>
                <w:rFonts w:ascii="Arial" w:cs="Arial" w:eastAsia="Arial" w:hAnsi="Arial"/>
                <w:sz w:val="18"/>
                <w:szCs w:val="18"/>
                <w:color w:val="auto"/>
              </w:rPr>
              <w:t>Total</w:t>
            </w:r>
          </w:p>
        </w:tc>
        <w:tc>
          <w:tcPr>
            <w:tcW w:w="3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21,518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20,238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57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sales to an individual customer or country other than the United States accounted for more than 10% of revenue for the three months ended September 30, 2022 or 2021. Revenue, classified by the major geographic areas in which our customers were located, was as follows:</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3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r>
      <w:tr>
        <w:trPr>
          <w:trHeight w:val="45"/>
        </w:trPr>
        <w:tc>
          <w:tcPr>
            <w:tcW w:w="53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53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15"/>
                <w:szCs w:val="15"/>
                <w:color w:val="auto"/>
              </w:rPr>
              <w:t>(a)</w:t>
            </w:r>
          </w:p>
        </w:tc>
        <w:tc>
          <w:tcPr>
            <w:tcW w:w="34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25,867</w:t>
            </w:r>
          </w:p>
        </w:tc>
        <w:tc>
          <w:tcPr>
            <w:tcW w:w="5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22,830</w:t>
            </w:r>
          </w:p>
        </w:tc>
      </w:tr>
      <w:tr>
        <w:trPr>
          <w:trHeight w:val="247"/>
        </w:trPr>
        <w:tc>
          <w:tcPr>
            <w:tcW w:w="5380" w:type="dxa"/>
            <w:vAlign w:val="bottom"/>
          </w:tcPr>
          <w:p>
            <w:pPr>
              <w:spacing w:after="0"/>
              <w:rPr>
                <w:sz w:val="20"/>
                <w:szCs w:val="20"/>
                <w:color w:val="auto"/>
              </w:rPr>
            </w:pPr>
            <w:r>
              <w:rPr>
                <w:rFonts w:ascii="Arial" w:cs="Arial" w:eastAsia="Arial" w:hAnsi="Arial"/>
                <w:sz w:val="18"/>
                <w:szCs w:val="18"/>
                <w:color w:val="auto"/>
              </w:rPr>
              <w:t>Other countries</w:t>
            </w:r>
          </w:p>
        </w:tc>
        <w:tc>
          <w:tcPr>
            <w:tcW w:w="3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22,487</w:t>
            </w:r>
          </w:p>
        </w:tc>
      </w:tr>
      <w:tr>
        <w:trPr>
          <w:trHeight w:val="23"/>
        </w:trPr>
        <w:tc>
          <w:tcPr>
            <w:tcW w:w="53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61"/>
        </w:trPr>
        <w:tc>
          <w:tcPr>
            <w:tcW w:w="5380" w:type="dxa"/>
            <w:vAlign w:val="bottom"/>
          </w:tcPr>
          <w:p>
            <w:pPr>
              <w:spacing w:after="0"/>
              <w:rPr>
                <w:sz w:val="5"/>
                <w:szCs w:val="5"/>
                <w:color w:val="auto"/>
              </w:rPr>
            </w:pPr>
          </w:p>
        </w:tc>
        <w:tc>
          <w:tcPr>
            <w:tcW w:w="3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03"/>
        </w:trPr>
        <w:tc>
          <w:tcPr>
            <w:tcW w:w="53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50,122</w:t>
            </w:r>
          </w:p>
        </w:tc>
        <w:tc>
          <w:tcPr>
            <w:tcW w:w="5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45,317</w:t>
            </w:r>
          </w:p>
        </w:tc>
      </w:tr>
      <w:tr>
        <w:trPr>
          <w:trHeight w:val="75"/>
        </w:trPr>
        <w:tc>
          <w:tcPr>
            <w:tcW w:w="5380" w:type="dxa"/>
            <w:vAlign w:val="bottom"/>
          </w:tcPr>
          <w:p>
            <w:pPr>
              <w:spacing w:after="0"/>
              <w:rPr>
                <w:sz w:val="6"/>
                <w:szCs w:val="6"/>
                <w:color w:val="auto"/>
              </w:rPr>
            </w:pPr>
          </w:p>
        </w:tc>
        <w:tc>
          <w:tcPr>
            <w:tcW w:w="30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r>
    </w:tbl>
    <w:p>
      <w:pPr>
        <w:spacing w:after="0" w:line="64" w:lineRule="exact"/>
        <w:rPr>
          <w:sz w:val="20"/>
          <w:szCs w:val="20"/>
          <w:color w:val="auto"/>
        </w:rPr>
      </w:pPr>
    </w:p>
    <w:p>
      <w:pPr>
        <w:ind w:left="540" w:right="20" w:hanging="532"/>
        <w:spacing w:after="0" w:line="26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Includes billings to OEMs and certain multinational organizations because of the nature of these businesses and the impracticability of determining the geographic source of the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Revenue, classified by significant product and service offerings, was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637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2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r>
      <w:tr>
        <w:trPr>
          <w:trHeight w:val="44"/>
        </w:trPr>
        <w:tc>
          <w:tcPr>
            <w:tcW w:w="5640" w:type="dxa"/>
            <w:vAlign w:val="bottom"/>
          </w:tcPr>
          <w:p>
            <w:pPr>
              <w:spacing w:after="0"/>
              <w:rPr>
                <w:sz w:val="3"/>
                <w:szCs w:val="3"/>
                <w:color w:val="auto"/>
              </w:rPr>
            </w:pPr>
          </w:p>
        </w:tc>
        <w:tc>
          <w:tcPr>
            <w:tcW w:w="2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Server products and cloud services</w:t>
            </w:r>
          </w:p>
        </w:tc>
        <w:tc>
          <w:tcPr>
            <w:tcW w:w="3200" w:type="dxa"/>
            <w:vAlign w:val="bottom"/>
            <w:gridSpan w:val="2"/>
            <w:shd w:val="clear" w:color="auto" w:fill="E5E5E5"/>
          </w:tcPr>
          <w:p>
            <w:pPr>
              <w:jc w:val="right"/>
              <w:ind w:right="30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18,388</w:t>
            </w:r>
          </w:p>
        </w:tc>
        <w:tc>
          <w:tcPr>
            <w:tcW w:w="4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15,070</w:t>
            </w:r>
          </w:p>
        </w:tc>
        <w:tc>
          <w:tcPr>
            <w:tcW w:w="100" w:type="dxa"/>
            <w:vAlign w:val="bottom"/>
            <w:shd w:val="clear" w:color="auto" w:fill="E5E5E5"/>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Office products and cloud services</w:t>
            </w:r>
          </w:p>
        </w:tc>
        <w:tc>
          <w:tcPr>
            <w:tcW w:w="2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11,548</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10,808</w:t>
            </w:r>
          </w:p>
        </w:tc>
        <w:tc>
          <w:tcPr>
            <w:tcW w:w="100" w:type="dxa"/>
            <w:vAlign w:val="bottom"/>
          </w:tcPr>
          <w:p>
            <w:pPr>
              <w:spacing w:after="0"/>
              <w:rPr>
                <w:sz w:val="17"/>
                <w:szCs w:val="17"/>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Windows</w:t>
            </w:r>
          </w:p>
        </w:tc>
        <w:tc>
          <w:tcPr>
            <w:tcW w:w="2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5,313</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5,674</w:t>
            </w:r>
          </w:p>
        </w:tc>
        <w:tc>
          <w:tcPr>
            <w:tcW w:w="100" w:type="dxa"/>
            <w:vAlign w:val="bottom"/>
            <w:shd w:val="clear" w:color="auto" w:fill="E5E5E5"/>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LinkedIn</w:t>
            </w:r>
          </w:p>
        </w:tc>
        <w:tc>
          <w:tcPr>
            <w:tcW w:w="2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3,663</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3,136</w:t>
            </w:r>
          </w:p>
        </w:tc>
        <w:tc>
          <w:tcPr>
            <w:tcW w:w="100" w:type="dxa"/>
            <w:vAlign w:val="bottom"/>
          </w:tcPr>
          <w:p>
            <w:pPr>
              <w:spacing w:after="0"/>
              <w:rPr>
                <w:sz w:val="17"/>
                <w:szCs w:val="17"/>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Gaming</w:t>
            </w:r>
          </w:p>
        </w:tc>
        <w:tc>
          <w:tcPr>
            <w:tcW w:w="2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3,610</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3,593</w:t>
            </w:r>
          </w:p>
        </w:tc>
        <w:tc>
          <w:tcPr>
            <w:tcW w:w="100" w:type="dxa"/>
            <w:vAlign w:val="bottom"/>
            <w:shd w:val="clear" w:color="auto" w:fill="E5E5E5"/>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Search and news advertising</w:t>
            </w:r>
          </w:p>
        </w:tc>
        <w:tc>
          <w:tcPr>
            <w:tcW w:w="2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2,928</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2,656</w:t>
            </w:r>
          </w:p>
        </w:tc>
        <w:tc>
          <w:tcPr>
            <w:tcW w:w="100" w:type="dxa"/>
            <w:vAlign w:val="bottom"/>
          </w:tcPr>
          <w:p>
            <w:pPr>
              <w:spacing w:after="0"/>
              <w:rPr>
                <w:sz w:val="17"/>
                <w:szCs w:val="17"/>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Enterprise Services</w:t>
            </w:r>
          </w:p>
        </w:tc>
        <w:tc>
          <w:tcPr>
            <w:tcW w:w="2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1,876</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1,791</w:t>
            </w:r>
          </w:p>
        </w:tc>
        <w:tc>
          <w:tcPr>
            <w:tcW w:w="100" w:type="dxa"/>
            <w:vAlign w:val="bottom"/>
            <w:shd w:val="clear" w:color="auto" w:fill="E5E5E5"/>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Devices</w:t>
            </w:r>
          </w:p>
        </w:tc>
        <w:tc>
          <w:tcPr>
            <w:tcW w:w="2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1,448</w:t>
            </w:r>
          </w:p>
        </w:tc>
        <w:tc>
          <w:tcPr>
            <w:tcW w:w="4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1,414</w:t>
            </w:r>
          </w:p>
        </w:tc>
        <w:tc>
          <w:tcPr>
            <w:tcW w:w="100" w:type="dxa"/>
            <w:vAlign w:val="bottom"/>
          </w:tcPr>
          <w:p>
            <w:pPr>
              <w:spacing w:after="0"/>
              <w:rPr>
                <w:sz w:val="17"/>
                <w:szCs w:val="17"/>
                <w:color w:val="auto"/>
              </w:rPr>
            </w:pPr>
          </w:p>
        </w:tc>
      </w:tr>
      <w:tr>
        <w:trPr>
          <w:trHeight w:val="203"/>
        </w:trPr>
        <w:tc>
          <w:tcPr>
            <w:tcW w:w="5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Other</w:t>
            </w:r>
          </w:p>
        </w:tc>
        <w:tc>
          <w:tcPr>
            <w:tcW w:w="2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20"/>
              <w:spacing w:after="0" w:line="202" w:lineRule="exact"/>
              <w:rPr>
                <w:sz w:val="20"/>
                <w:szCs w:val="20"/>
                <w:color w:val="auto"/>
              </w:rPr>
            </w:pPr>
            <w:r>
              <w:rPr>
                <w:rFonts w:ascii="Arial" w:cs="Arial" w:eastAsia="Arial" w:hAnsi="Arial"/>
                <w:sz w:val="18"/>
                <w:szCs w:val="18"/>
                <w:b w:val="1"/>
                <w:bCs w:val="1"/>
                <w:color w:val="auto"/>
              </w:rPr>
              <w:t>1,348</w:t>
            </w:r>
          </w:p>
        </w:tc>
        <w:tc>
          <w:tcPr>
            <w:tcW w:w="40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1,175</w:t>
            </w:r>
          </w:p>
        </w:tc>
        <w:tc>
          <w:tcPr>
            <w:tcW w:w="100" w:type="dxa"/>
            <w:vAlign w:val="bottom"/>
            <w:shd w:val="clear" w:color="auto" w:fill="E5E5E5"/>
          </w:tcPr>
          <w:p>
            <w:pPr>
              <w:spacing w:after="0"/>
              <w:rPr>
                <w:sz w:val="17"/>
                <w:szCs w:val="17"/>
                <w:color w:val="auto"/>
              </w:rPr>
            </w:pPr>
          </w:p>
        </w:tc>
      </w:tr>
      <w:tr>
        <w:trPr>
          <w:trHeight w:val="68"/>
        </w:trPr>
        <w:tc>
          <w:tcPr>
            <w:tcW w:w="5640" w:type="dxa"/>
            <w:vAlign w:val="bottom"/>
            <w:tcBorders>
              <w:bottom w:val="single" w:sz="8" w:color="auto"/>
            </w:tcBorders>
          </w:tcPr>
          <w:p>
            <w:pPr>
              <w:spacing w:after="0"/>
              <w:rPr>
                <w:sz w:val="5"/>
                <w:szCs w:val="5"/>
                <w:color w:val="auto"/>
              </w:rPr>
            </w:pPr>
          </w:p>
        </w:tc>
        <w:tc>
          <w:tcPr>
            <w:tcW w:w="3200" w:type="dxa"/>
            <w:vAlign w:val="bottom"/>
            <w:tcBorders>
              <w:bottom w:val="single" w:sz="8" w:color="auto"/>
            </w:tcBorders>
            <w:gridSpan w:val="2"/>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75"/>
        </w:trPr>
        <w:tc>
          <w:tcPr>
            <w:tcW w:w="5640" w:type="dxa"/>
            <w:vAlign w:val="bottom"/>
          </w:tcPr>
          <w:p>
            <w:pPr>
              <w:ind w:left="220"/>
              <w:spacing w:after="0"/>
              <w:rPr>
                <w:sz w:val="20"/>
                <w:szCs w:val="20"/>
                <w:color w:val="auto"/>
              </w:rPr>
            </w:pPr>
            <w:r>
              <w:rPr>
                <w:rFonts w:ascii="Arial" w:cs="Arial" w:eastAsia="Arial" w:hAnsi="Arial"/>
                <w:sz w:val="18"/>
                <w:szCs w:val="18"/>
                <w:color w:val="auto"/>
              </w:rPr>
              <w:t>Total</w:t>
            </w:r>
          </w:p>
        </w:tc>
        <w:tc>
          <w:tcPr>
            <w:tcW w:w="3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50,122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45,317</w:t>
            </w:r>
          </w:p>
        </w:tc>
        <w:tc>
          <w:tcPr>
            <w:tcW w:w="100" w:type="dxa"/>
            <w:vAlign w:val="bottom"/>
          </w:tcPr>
          <w:p>
            <w:pPr>
              <w:spacing w:after="0"/>
              <w:rPr>
                <w:sz w:val="23"/>
                <w:szCs w:val="23"/>
                <w:color w:val="auto"/>
              </w:rPr>
            </w:pPr>
          </w:p>
        </w:tc>
      </w:tr>
      <w:tr>
        <w:trPr>
          <w:trHeight w:val="63"/>
        </w:trPr>
        <w:tc>
          <w:tcPr>
            <w:tcW w:w="5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Microsoft Cloud revenue, which includes Azure and other cloud services, Office 365 Commercial, the commercial portion of LinkedIn, Dynamics 365, and other commercial cloud properties, was $25.7 billion and $20.7 billion for the three months ended September 30, 2022 and 2021, respectively. These amounts are primarily included in Server products and cloud services, Office products and cloud services, and LinkedIn in the table above.</w:t>
      </w:r>
    </w:p>
    <w:p>
      <w:pPr>
        <w:spacing w:after="0" w:line="12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520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Item 1</w:t>
      </w:r>
    </w:p>
    <w:p>
      <w:pPr>
        <w:spacing w:after="0" w:line="399" w:lineRule="exact"/>
        <w:rPr>
          <w:sz w:val="20"/>
          <w:szCs w:val="20"/>
          <w:color w:val="auto"/>
        </w:rPr>
      </w:pPr>
    </w:p>
    <w:p>
      <w:pPr>
        <w:ind w:right="4600"/>
        <w:spacing w:after="0" w:line="42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Microsoft Corporation </w:t>
      </w:r>
      <w:r>
        <w:rPr>
          <w:rFonts w:ascii="Arial" w:cs="Arial" w:eastAsia="Arial" w:hAnsi="Arial"/>
          <w:sz w:val="18"/>
          <w:szCs w:val="18"/>
          <w:b w:val="1"/>
          <w:bCs w:val="1"/>
          <w:color w:val="auto"/>
        </w:rPr>
        <w:t>Results of Review of Interim Financial Information</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reviewed the accompanying consolidated balance sheet of Microsoft Corporation and subsidiaries (the "Company") as of September 30, 2022, the related consolidated statements of income, comprehensive income, cash flows, and stockholders’ equity for the three-month periods ended September 30, 2022 and 2021,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June 30, 2022, and the related consolidated statements of income, comprehensive income, cash flows, and stockholders' equity for the year then ended (not presented herein); and in our report dated July 28, 2022, we expressed an unqualified opinion on those consolidated financial statements. In our opinion, the information set forth in the accompanying consolidated balance sheet as of June 30, 2022, is fairly stated, in all material respects, in relation to the consolidated balance sheet from which it has been derived.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October 25,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40" w:top="125" w:right="679" w:bottom="1440" w:gutter="0" w:footer="0" w:header="0"/>
        </w:sectPr>
      </w:pPr>
    </w:p>
    <w:bookmarkStart w:id="29" w:name="page30"/>
    <w:bookmarkEnd w:id="29"/>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90" w:lineRule="exact"/>
        <w:rPr>
          <w:sz w:val="20"/>
          <w:szCs w:val="20"/>
          <w:color w:val="auto"/>
        </w:rPr>
      </w:pPr>
    </w:p>
    <w:p>
      <w:pPr>
        <w:jc w:val="center"/>
        <w:ind w:left="340" w:right="380"/>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2022, and our financial statements and the accompanying Notes to Financial Statements (Part I, Item 1 of this Form 10-Q).</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OVERVIEW</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Microsoft is a technology company whose mission is to empower every person and every organization on the planet to achieve more. We strive to create local opportunity, growth, and impact in every country around the world. Our platforms and tools help drive small business productivity, large business competitiveness, and public-sector efficiency. We are creating the platforms and tools that deliver better, faster, and more effective solutions to support new startups, improve educational and health outcomes, and empower human ingenuity.</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generate revenue by offering a wide range of cloud-based and other services to people and businesses; licensing and supporting an array of software products; designing, manufacturing, and selling devices; and delivering relevant online advertising to a global audience. Our most significant expenses are related to compensating employees; designing, manufacturing, marketing, and selling our products and services; datacenter costs in support of our cloud-based services; and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first quarter of fiscal year 2023 compared with the first quarter of fiscal year 2022 included:</w:t>
      </w:r>
    </w:p>
    <w:p>
      <w:pPr>
        <w:spacing w:after="0" w:line="77" w:lineRule="exact"/>
        <w:rPr>
          <w:sz w:val="20"/>
          <w:szCs w:val="20"/>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Microsoft Cloud revenue increased 24% to $25.7 billion.</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7% driven by Office 365 Commercial growth of 11%.</w:t>
      </w:r>
    </w:p>
    <w:p>
      <w:pPr>
        <w:spacing w:after="0" w:line="63"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7% and Microsoft 365 Consumer subscribers increased to 61.3 million.</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LinkedIn revenue increased 17%.</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15% driven by Dynamics 365 growth of 24%.</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22% driven by Azure and other cloud services growth of 35%.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Windows original equipment manufacturer licensing (“Windows OEM”) revenue decreased 15%.</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Windows Commercial products and cloud services revenue increased 8%.</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Xbox content and services revenue decreased 3%.</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Search and news advertising revenue excluding traffic acquisition costs increased 16%.</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Devices revenue increased 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Challenges, and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and influence how users access services in the cloud, and in some cases, the user’s choice of which suite of cloud-based services to use. We must continue to evolve and adapt over an extended time in pace with this changing environment. The investments we are making in infrastructure and devices will continue to increase our operating costs and may decrease our operating margins.</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 Aggregate demand for our software, services, and devices is correlated to global macroeconomic and geopolitical factors, which remain dynamic.</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devices are primarily manufactured by third-party contract manufacturers, some of which contain certain components for which there are very few qualified suppliers. For these components, we have limited near-term flexibility to use other manufacturers if a current vendor becomes unavailable or is unable to meet our requirements. Extended disruptions at these suppliers and/or manufacturers could lead to a similar disruption in our ability to manufacture devices on time to meet consumer demand.</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reduced reported revenue and expenses from our international operations in the first quarter of fiscal year 2023. Refer to Risk Factors (Part II, Item 1A of this Form 10-Q) for a discussion of these factors and other risks.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Estimate</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 Based on the carrying amount of server and network equipment included in property and equipment, net as of June 30, 2022, the effect of this change in estimate for the three months ended September 30, 2022, was an increase in operating income of $1.1 billion and net income of $ 859 million, or $0.12 and $0.11 per basic and diluted share, respectively. It is estimated this change will increase our fiscal year 2023 annual operating income by $3.7 billion.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We have recast certain prior period amounts to conform to the way we internally manage and monitor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Additional information on our reportable segments is contained in Note 17 – Segment Information and Geographic Data of the Notes to Financial Statements (Part I, Item 1 of this Form 10-Q).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Metrics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fiscal year 2023, we made updates to the presentation and method of calculation for certain metrics, most notably expanding our Surface metric into a broader Devices metric to incorporate additional revenue streams, along with other minor changes to align with how we manage our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ind w:left="180"/>
              <w:spacing w:after="0"/>
              <w:rPr>
                <w:sz w:val="20"/>
                <w:szCs w:val="20"/>
                <w:color w:val="auto"/>
              </w:rPr>
            </w:pPr>
            <w:r>
              <w:rPr>
                <w:rFonts w:ascii="Arial" w:cs="Arial" w:eastAsia="Arial" w:hAnsi="Arial"/>
                <w:sz w:val="18"/>
                <w:szCs w:val="18"/>
                <w:color w:val="auto"/>
              </w:rPr>
              <w:t>Commercial remaining performance obligation</w:t>
            </w:r>
          </w:p>
        </w:tc>
        <w:tc>
          <w:tcPr>
            <w:tcW w:w="7060" w:type="dxa"/>
            <w:vAlign w:val="bottom"/>
          </w:tcPr>
          <w:p>
            <w:pPr>
              <w:ind w:left="320"/>
              <w:spacing w:after="0"/>
              <w:rPr>
                <w:sz w:val="20"/>
                <w:szCs w:val="20"/>
                <w:color w:val="auto"/>
              </w:rPr>
            </w:pPr>
            <w:r>
              <w:rPr>
                <w:rFonts w:ascii="Arial" w:cs="Arial" w:eastAsia="Arial" w:hAnsi="Arial"/>
                <w:sz w:val="18"/>
                <w:szCs w:val="18"/>
                <w:color w:val="auto"/>
              </w:rPr>
              <w:t>Commercial portion of revenue allocated to remaining performance obligations,</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which includes unearned revenue and amounts that will be invoiced and recognized</w:t>
            </w:r>
          </w:p>
        </w:tc>
      </w:tr>
      <w:tr>
        <w:trPr>
          <w:trHeight w:val="239"/>
        </w:trPr>
        <w:tc>
          <w:tcPr>
            <w:tcW w:w="4180" w:type="dxa"/>
            <w:vAlign w:val="bottom"/>
          </w:tcPr>
          <w:p>
            <w:pPr>
              <w:spacing w:after="0"/>
              <w:rPr>
                <w:sz w:val="20"/>
                <w:szCs w:val="20"/>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as revenue in future periods</w:t>
            </w:r>
          </w:p>
        </w:tc>
      </w:tr>
      <w:tr>
        <w:trPr>
          <w:trHeight w:val="247"/>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revenue</w:t>
            </w:r>
          </w:p>
        </w:tc>
        <w:tc>
          <w:tcPr>
            <w:tcW w:w="7060" w:type="dxa"/>
            <w:vAlign w:val="bottom"/>
          </w:tcPr>
          <w:p>
            <w:pPr>
              <w:ind w:left="320"/>
              <w:spacing w:after="0"/>
              <w:rPr>
                <w:sz w:val="20"/>
                <w:szCs w:val="20"/>
                <w:color w:val="auto"/>
              </w:rPr>
            </w:pPr>
            <w:r>
              <w:rPr>
                <w:rFonts w:ascii="Arial" w:cs="Arial" w:eastAsia="Arial" w:hAnsi="Arial"/>
                <w:sz w:val="18"/>
                <w:szCs w:val="18"/>
                <w:color w:val="auto"/>
              </w:rPr>
              <w:t>Revenue  from  Azure  and  other  cloud  services,  Office  365  Commercial,  the</w:t>
            </w:r>
          </w:p>
        </w:tc>
      </w:tr>
      <w:tr>
        <w:trPr>
          <w:trHeight w:val="203"/>
        </w:trPr>
        <w:tc>
          <w:tcPr>
            <w:tcW w:w="4180" w:type="dxa"/>
            <w:vAlign w:val="bottom"/>
          </w:tcPr>
          <w:p>
            <w:pPr>
              <w:spacing w:after="0"/>
              <w:rPr>
                <w:sz w:val="17"/>
                <w:szCs w:val="17"/>
                <w:color w:val="auto"/>
              </w:rPr>
            </w:pPr>
          </w:p>
        </w:tc>
        <w:tc>
          <w:tcPr>
            <w:tcW w:w="7060" w:type="dxa"/>
            <w:vAlign w:val="bottom"/>
          </w:tcPr>
          <w:p>
            <w:pPr>
              <w:ind w:left="320"/>
              <w:spacing w:after="0" w:line="202" w:lineRule="exact"/>
              <w:rPr>
                <w:sz w:val="20"/>
                <w:szCs w:val="20"/>
                <w:color w:val="auto"/>
              </w:rPr>
            </w:pPr>
            <w:r>
              <w:rPr>
                <w:rFonts w:ascii="Arial" w:cs="Arial" w:eastAsia="Arial" w:hAnsi="Arial"/>
                <w:sz w:val="18"/>
                <w:szCs w:val="18"/>
                <w:color w:val="auto"/>
              </w:rPr>
              <w:t>commercial  portion  of  LinkedIn,  Dynamics  365,  and  other  commercial  cloud</w:t>
            </w:r>
          </w:p>
        </w:tc>
      </w:tr>
      <w:tr>
        <w:trPr>
          <w:trHeight w:val="239"/>
        </w:trPr>
        <w:tc>
          <w:tcPr>
            <w:tcW w:w="4180" w:type="dxa"/>
            <w:vAlign w:val="bottom"/>
          </w:tcPr>
          <w:p>
            <w:pPr>
              <w:spacing w:after="0"/>
              <w:rPr>
                <w:sz w:val="20"/>
                <w:szCs w:val="20"/>
                <w:color w:val="auto"/>
              </w:rPr>
            </w:pPr>
          </w:p>
        </w:tc>
        <w:tc>
          <w:tcPr>
            <w:tcW w:w="7060" w:type="dxa"/>
            <w:vAlign w:val="bottom"/>
          </w:tcPr>
          <w:p>
            <w:pPr>
              <w:ind w:left="320"/>
              <w:spacing w:after="0"/>
              <w:rPr>
                <w:sz w:val="20"/>
                <w:szCs w:val="20"/>
                <w:color w:val="auto"/>
              </w:rPr>
            </w:pPr>
            <w:r>
              <w:rPr>
                <w:rFonts w:ascii="Arial" w:cs="Arial" w:eastAsia="Arial" w:hAnsi="Arial"/>
                <w:sz w:val="18"/>
                <w:szCs w:val="18"/>
                <w:color w:val="auto"/>
              </w:rPr>
              <w:t>properties</w:t>
            </w:r>
          </w:p>
        </w:tc>
      </w:tr>
      <w:tr>
        <w:trPr>
          <w:trHeight w:val="283"/>
        </w:trPr>
        <w:tc>
          <w:tcPr>
            <w:tcW w:w="4180" w:type="dxa"/>
            <w:vAlign w:val="bottom"/>
          </w:tcPr>
          <w:p>
            <w:pPr>
              <w:ind w:left="180"/>
              <w:spacing w:after="0"/>
              <w:rPr>
                <w:sz w:val="20"/>
                <w:szCs w:val="20"/>
                <w:color w:val="auto"/>
              </w:rPr>
            </w:pPr>
            <w:r>
              <w:rPr>
                <w:rFonts w:ascii="Arial" w:cs="Arial" w:eastAsia="Arial" w:hAnsi="Arial"/>
                <w:sz w:val="18"/>
                <w:szCs w:val="18"/>
                <w:color w:val="auto"/>
              </w:rPr>
              <w:t>Microsoft Cloud gross margin percentage</w:t>
            </w:r>
          </w:p>
        </w:tc>
        <w:tc>
          <w:tcPr>
            <w:tcW w:w="7060" w:type="dxa"/>
            <w:vAlign w:val="bottom"/>
          </w:tcPr>
          <w:p>
            <w:pPr>
              <w:ind w:left="320"/>
              <w:spacing w:after="0"/>
              <w:rPr>
                <w:sz w:val="20"/>
                <w:szCs w:val="20"/>
                <w:color w:val="auto"/>
              </w:rPr>
            </w:pPr>
            <w:r>
              <w:rPr>
                <w:rFonts w:ascii="Arial" w:cs="Arial" w:eastAsia="Arial" w:hAnsi="Arial"/>
                <w:sz w:val="18"/>
                <w:szCs w:val="18"/>
                <w:color w:val="auto"/>
              </w:rPr>
              <w:t>Gross margin percentage for our Microsoft Cloud business</w:t>
            </w:r>
          </w:p>
        </w:tc>
      </w:tr>
      <w:tr>
        <w:trPr>
          <w:trHeight w:val="582"/>
        </w:trPr>
        <w:tc>
          <w:tcPr>
            <w:tcW w:w="4180" w:type="dxa"/>
            <w:vAlign w:val="bottom"/>
          </w:tcPr>
          <w:p>
            <w:pPr>
              <w:spacing w:after="0"/>
              <w:rPr>
                <w:sz w:val="24"/>
                <w:szCs w:val="24"/>
                <w:color w:val="auto"/>
              </w:rPr>
            </w:pPr>
          </w:p>
        </w:tc>
        <w:tc>
          <w:tcPr>
            <w:tcW w:w="7060" w:type="dxa"/>
            <w:vAlign w:val="bottom"/>
          </w:tcPr>
          <w:p>
            <w:pPr>
              <w:ind w:left="1360"/>
              <w:spacing w:after="0"/>
              <w:rPr>
                <w:sz w:val="20"/>
                <w:szCs w:val="20"/>
                <w:color w:val="auto"/>
              </w:rPr>
            </w:pPr>
            <w:r>
              <w:rPr>
                <w:rFonts w:ascii="Arial" w:cs="Arial" w:eastAsia="Arial" w:hAnsi="Arial"/>
                <w:sz w:val="14"/>
                <w:szCs w:val="14"/>
                <w:color w:val="auto"/>
              </w:rPr>
              <w:t>32</w:t>
            </w:r>
          </w:p>
        </w:tc>
      </w:tr>
      <w:tr>
        <w:trPr>
          <w:trHeight w:val="96"/>
        </w:trPr>
        <w:tc>
          <w:tcPr>
            <w:tcW w:w="41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Productivity and Business Processes and Intelligent Cloud</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Metrics related to our Productivity and Business Processes and Intelligent Cloud segments assess the health of our core businesses within these segments. The metrics reflect our cloud and on-premises product strategies and trends.</w:t>
      </w:r>
    </w:p>
    <w:p>
      <w:pPr>
        <w:spacing w:after="0" w:line="127" w:lineRule="exact"/>
        <w:rPr>
          <w:sz w:val="20"/>
          <w:szCs w:val="20"/>
          <w:color w:val="auto"/>
        </w:rPr>
      </w:pPr>
    </w:p>
    <w:p>
      <w:pPr>
        <w:jc w:val="both"/>
        <w:ind w:left="5320" w:hanging="5142"/>
        <w:spacing w:after="0" w:line="244" w:lineRule="auto"/>
        <w:rPr>
          <w:sz w:val="20"/>
          <w:szCs w:val="20"/>
          <w:color w:val="auto"/>
        </w:rPr>
      </w:pPr>
      <w:r>
        <w:rPr>
          <w:rFonts w:ascii="Arial" w:cs="Arial" w:eastAsia="Arial" w:hAnsi="Arial"/>
          <w:sz w:val="18"/>
          <w:szCs w:val="18"/>
          <w:color w:val="auto"/>
        </w:rPr>
        <w:t>Office Commercial products and cloud services revenue growth Revenue from Office Commercial products and cloud services (Office 365 subscriptions, the Office 365 portion of Microsoft 365 Commercial subscriptions, and Office licensed on-premises), comprising Office, Exchange, SharePoint, Microsoft Teams, Office 365 Security and Compliance, and Microsoft Viva</w:t>
      </w:r>
    </w:p>
    <w:p>
      <w:pPr>
        <w:sectPr>
          <w:pgSz w:w="11900" w:h="16838" w:orient="portrait"/>
          <w:cols w:equalWidth="0" w:num="1">
            <w:col w:w="11240"/>
          </w:cols>
          <w:pgMar w:left="320" w:top="125" w:right="339" w:bottom="1440" w:gutter="0" w:footer="0" w:header="0"/>
        </w:sectPr>
      </w:pPr>
    </w:p>
    <w:p>
      <w:pPr>
        <w:spacing w:after="0" w:line="4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Office Consumer products and cloud services revenue growth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Office Consumer products and cloud services, including Microsoft 365 Consumer subscriptions, Office licensed on-premises, and other Office services</w:t>
      </w:r>
    </w:p>
    <w:p>
      <w:pPr>
        <w:spacing w:after="0" w:line="34" w:lineRule="exact"/>
        <w:rPr>
          <w:sz w:val="20"/>
          <w:szCs w:val="20"/>
          <w:color w:val="auto"/>
        </w:rPr>
      </w:pPr>
    </w:p>
    <w:p>
      <w:pPr>
        <w:sectPr>
          <w:pgSz w:w="11900" w:h="16838" w:orient="portrait"/>
          <w:cols w:equalWidth="0" w:num="2">
            <w:col w:w="5080" w:space="24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Office 365 Commercial seat growth</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8"/>
          <w:szCs w:val="18"/>
          <w:color w:val="auto"/>
        </w:rPr>
        <w:t>The number of Office 365 Commercial seats at end of period where seats are paid users covered by an Office 365 Commercial subscription</w:t>
      </w:r>
    </w:p>
    <w:p>
      <w:pPr>
        <w:spacing w:after="0" w:line="19"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Microsoft 365 Consumer subscribers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number of Microsoft 365 Consumer subscribers at end of period</w:t>
      </w:r>
    </w:p>
    <w:p>
      <w:pPr>
        <w:spacing w:after="0" w:line="88"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Dynamics products and cloud services revenue growth</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8"/>
          <w:szCs w:val="18"/>
          <w:color w:val="auto"/>
        </w:rPr>
        <w:t>Revenue from Dynamics products and cloud services, including Dynamics 365, comprising a set of intelligent, cloud-based applications across ERP, CRM, Customer Insights, Power Apps, and Power Automate; and on-premises ERP and CRM applications</w:t>
      </w:r>
    </w:p>
    <w:p>
      <w:pPr>
        <w:spacing w:after="0" w:line="39"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LinkedIn revenue growth</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Revenue from LinkedIn, including Talent Solutions, Marketing Solutions, Premium Subscriptions, and Sales Solutions</w:t>
      </w:r>
    </w:p>
    <w:p>
      <w:pPr>
        <w:spacing w:after="0" w:line="19"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Server products and cloud services revenue growth</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18"/>
          <w:szCs w:val="18"/>
          <w:color w:val="auto"/>
        </w:rPr>
        <w:t>Revenue from Server products and cloud services, including Azure and other cloud services; SQL Server, Windows Server, Visual Studio, System Center, and related Client Access Licenses (“CALs”); and Nuance and GitHub</w:t>
      </w:r>
    </w:p>
    <w:p>
      <w:pPr>
        <w:spacing w:after="0" w:line="200" w:lineRule="exact"/>
        <w:rPr>
          <w:sz w:val="20"/>
          <w:szCs w:val="20"/>
          <w:color w:val="auto"/>
        </w:rPr>
      </w:pPr>
    </w:p>
    <w:p>
      <w:pPr>
        <w:sectPr>
          <w:pgSz w:w="11900" w:h="16838" w:orient="portrait"/>
          <w:cols w:equalWidth="0" w:num="2">
            <w:col w:w="4600" w:space="720"/>
            <w:col w:w="5920"/>
          </w:cols>
          <w:pgMar w:left="320" w:top="125"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More Personal Computing</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ectPr>
          <w:pgSz w:w="11900" w:h="16838" w:orient="portrait"/>
          <w:cols w:equalWidth="0" w:num="1">
            <w:col w:w="11240"/>
          </w:cols>
          <w:pgMar w:left="320" w:top="125" w:right="339" w:bottom="1440" w:gutter="0" w:footer="0" w:header="0"/>
          <w:type w:val="continuous"/>
        </w:sectPr>
      </w:pPr>
    </w:p>
    <w:p>
      <w:pPr>
        <w:spacing w:after="0" w:line="16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Windows OEM revenue growth</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from sales of Windows Pro and non-Pro licenses sold through the OEM channel</w:t>
      </w:r>
    </w:p>
    <w:p>
      <w:pPr>
        <w:spacing w:after="0" w:line="19" w:lineRule="exact"/>
        <w:rPr>
          <w:sz w:val="20"/>
          <w:szCs w:val="20"/>
          <w:color w:val="auto"/>
        </w:rPr>
      </w:pPr>
    </w:p>
    <w:p>
      <w:pPr>
        <w:sectPr>
          <w:pgSz w:w="11900" w:h="16838" w:orient="portrait"/>
          <w:cols w:equalWidth="0" w:num="2">
            <w:col w:w="4860" w:space="720"/>
            <w:col w:w="5660"/>
          </w:cols>
          <w:pgMar w:left="320" w:top="125" w:right="339" w:bottom="1440" w:gutter="0" w:footer="0" w:header="0"/>
          <w:type w:val="continuous"/>
        </w:sectPr>
      </w:pPr>
    </w:p>
    <w:p>
      <w:pPr>
        <w:jc w:val="both"/>
        <w:ind w:left="5580" w:hanging="5412"/>
        <w:spacing w:after="0" w:line="253" w:lineRule="auto"/>
        <w:rPr>
          <w:sz w:val="20"/>
          <w:szCs w:val="20"/>
          <w:color w:val="auto"/>
        </w:rPr>
      </w:pPr>
      <w:r>
        <w:rPr>
          <w:rFonts w:ascii="Arial" w:cs="Arial" w:eastAsia="Arial" w:hAnsi="Arial"/>
          <w:sz w:val="18"/>
          <w:szCs w:val="18"/>
          <w:color w:val="auto"/>
        </w:rPr>
        <w:t>Windows Commercial products and cloud services revenue growth Revenue from Windows Commercial products and cloud services, comprising volume licensing of the Windows operating system, Windows cloud services, and other Windows commercial offerings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ind w:left="180"/>
              <w:spacing w:after="0"/>
              <w:rPr>
                <w:sz w:val="20"/>
                <w:szCs w:val="20"/>
                <w:color w:val="auto"/>
              </w:rPr>
            </w:pPr>
            <w:r>
              <w:rPr>
                <w:rFonts w:ascii="Arial" w:cs="Arial" w:eastAsia="Arial" w:hAnsi="Arial"/>
                <w:sz w:val="18"/>
                <w:szCs w:val="18"/>
                <w:color w:val="auto"/>
              </w:rPr>
              <w:t>Devices revenue growth</w:t>
            </w:r>
          </w:p>
        </w:tc>
        <w:tc>
          <w:tcPr>
            <w:tcW w:w="6200" w:type="dxa"/>
            <w:vAlign w:val="bottom"/>
          </w:tcPr>
          <w:p>
            <w:pPr>
              <w:ind w:left="540"/>
              <w:spacing w:after="0"/>
              <w:rPr>
                <w:sz w:val="20"/>
                <w:szCs w:val="20"/>
                <w:color w:val="auto"/>
              </w:rPr>
            </w:pPr>
            <w:r>
              <w:rPr>
                <w:rFonts w:ascii="Arial" w:cs="Arial" w:eastAsia="Arial" w:hAnsi="Arial"/>
                <w:sz w:val="18"/>
                <w:szCs w:val="18"/>
                <w:color w:val="auto"/>
              </w:rPr>
              <w:t>Revenue  from  Devices,  including  Surface,  HoloLens,  and  PC</w:t>
            </w:r>
          </w:p>
        </w:tc>
      </w:tr>
      <w:tr>
        <w:trPr>
          <w:trHeight w:val="239"/>
        </w:trPr>
        <w:tc>
          <w:tcPr>
            <w:tcW w:w="5040" w:type="dxa"/>
            <w:vAlign w:val="bottom"/>
          </w:tcPr>
          <w:p>
            <w:pPr>
              <w:spacing w:after="0"/>
              <w:rPr>
                <w:sz w:val="20"/>
                <w:szCs w:val="20"/>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accessories</w:t>
            </w:r>
          </w:p>
        </w:tc>
      </w:tr>
      <w:tr>
        <w:trPr>
          <w:trHeight w:val="247"/>
        </w:trPr>
        <w:tc>
          <w:tcPr>
            <w:tcW w:w="5040" w:type="dxa"/>
            <w:vAlign w:val="bottom"/>
          </w:tcPr>
          <w:p>
            <w:pPr>
              <w:ind w:left="180"/>
              <w:spacing w:after="0"/>
              <w:rPr>
                <w:sz w:val="20"/>
                <w:szCs w:val="20"/>
                <w:color w:val="auto"/>
              </w:rPr>
            </w:pPr>
            <w:r>
              <w:rPr>
                <w:rFonts w:ascii="Arial" w:cs="Arial" w:eastAsia="Arial" w:hAnsi="Arial"/>
                <w:sz w:val="18"/>
                <w:szCs w:val="18"/>
                <w:color w:val="auto"/>
              </w:rPr>
              <w:t>Xbox content and services revenue growth</w:t>
            </w:r>
          </w:p>
        </w:tc>
        <w:tc>
          <w:tcPr>
            <w:tcW w:w="6200" w:type="dxa"/>
            <w:vAlign w:val="bottom"/>
          </w:tcPr>
          <w:p>
            <w:pPr>
              <w:ind w:left="540"/>
              <w:spacing w:after="0"/>
              <w:rPr>
                <w:sz w:val="20"/>
                <w:szCs w:val="20"/>
                <w:color w:val="auto"/>
              </w:rPr>
            </w:pPr>
            <w:r>
              <w:rPr>
                <w:rFonts w:ascii="Arial" w:cs="Arial" w:eastAsia="Arial" w:hAnsi="Arial"/>
                <w:sz w:val="18"/>
                <w:szCs w:val="18"/>
                <w:color w:val="auto"/>
              </w:rPr>
              <w:t>Revenue from Xbox content and services, comprising first- and third-</w:t>
            </w:r>
          </w:p>
        </w:tc>
      </w:tr>
      <w:tr>
        <w:trPr>
          <w:trHeight w:val="203"/>
        </w:trPr>
        <w:tc>
          <w:tcPr>
            <w:tcW w:w="5040" w:type="dxa"/>
            <w:vAlign w:val="bottom"/>
          </w:tcPr>
          <w:p>
            <w:pPr>
              <w:spacing w:after="0"/>
              <w:rPr>
                <w:sz w:val="17"/>
                <w:szCs w:val="17"/>
                <w:color w:val="auto"/>
              </w:rPr>
            </w:pPr>
          </w:p>
        </w:tc>
        <w:tc>
          <w:tcPr>
            <w:tcW w:w="6200" w:type="dxa"/>
            <w:vAlign w:val="bottom"/>
          </w:tcPr>
          <w:p>
            <w:pPr>
              <w:ind w:left="540"/>
              <w:spacing w:after="0" w:line="202" w:lineRule="exact"/>
              <w:rPr>
                <w:sz w:val="20"/>
                <w:szCs w:val="20"/>
                <w:color w:val="auto"/>
              </w:rPr>
            </w:pPr>
            <w:r>
              <w:rPr>
                <w:rFonts w:ascii="Arial" w:cs="Arial" w:eastAsia="Arial" w:hAnsi="Arial"/>
                <w:sz w:val="18"/>
                <w:szCs w:val="18"/>
                <w:color w:val="auto"/>
              </w:rPr>
              <w:t>party content (including games and in-game content), Xbox Game</w:t>
            </w:r>
          </w:p>
        </w:tc>
      </w:tr>
      <w:tr>
        <w:trPr>
          <w:trHeight w:val="203"/>
        </w:trPr>
        <w:tc>
          <w:tcPr>
            <w:tcW w:w="5040" w:type="dxa"/>
            <w:vAlign w:val="bottom"/>
          </w:tcPr>
          <w:p>
            <w:pPr>
              <w:spacing w:after="0"/>
              <w:rPr>
                <w:sz w:val="17"/>
                <w:szCs w:val="17"/>
                <w:color w:val="auto"/>
              </w:rPr>
            </w:pPr>
          </w:p>
        </w:tc>
        <w:tc>
          <w:tcPr>
            <w:tcW w:w="6200" w:type="dxa"/>
            <w:vAlign w:val="bottom"/>
          </w:tcPr>
          <w:p>
            <w:pPr>
              <w:ind w:left="540"/>
              <w:spacing w:after="0" w:line="202" w:lineRule="exact"/>
              <w:rPr>
                <w:sz w:val="20"/>
                <w:szCs w:val="20"/>
                <w:color w:val="auto"/>
              </w:rPr>
            </w:pPr>
            <w:r>
              <w:rPr>
                <w:rFonts w:ascii="Arial" w:cs="Arial" w:eastAsia="Arial" w:hAnsi="Arial"/>
                <w:sz w:val="18"/>
                <w:szCs w:val="18"/>
                <w:color w:val="auto"/>
              </w:rPr>
              <w:t>Pass and other subscriptions, Xbox Cloud Gaming, third-party disc</w:t>
            </w:r>
          </w:p>
        </w:tc>
      </w:tr>
      <w:tr>
        <w:trPr>
          <w:trHeight w:val="239"/>
        </w:trPr>
        <w:tc>
          <w:tcPr>
            <w:tcW w:w="5040" w:type="dxa"/>
            <w:vAlign w:val="bottom"/>
          </w:tcPr>
          <w:p>
            <w:pPr>
              <w:spacing w:after="0"/>
              <w:rPr>
                <w:sz w:val="20"/>
                <w:szCs w:val="20"/>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royalties, advertising, and other cloud services</w:t>
            </w:r>
          </w:p>
        </w:tc>
      </w:tr>
      <w:tr>
        <w:trPr>
          <w:trHeight w:val="247"/>
        </w:trPr>
        <w:tc>
          <w:tcPr>
            <w:tcW w:w="5040" w:type="dxa"/>
            <w:vAlign w:val="bottom"/>
          </w:tcPr>
          <w:p>
            <w:pPr>
              <w:ind w:left="180"/>
              <w:spacing w:after="0"/>
              <w:rPr>
                <w:sz w:val="20"/>
                <w:szCs w:val="20"/>
                <w:color w:val="auto"/>
              </w:rPr>
            </w:pPr>
            <w:r>
              <w:rPr>
                <w:rFonts w:ascii="Arial" w:cs="Arial" w:eastAsia="Arial" w:hAnsi="Arial"/>
                <w:sz w:val="18"/>
                <w:szCs w:val="18"/>
                <w:color w:val="auto"/>
              </w:rPr>
              <w:t>Search and news advertising revenue (ex TAC) growth</w:t>
            </w:r>
          </w:p>
        </w:tc>
        <w:tc>
          <w:tcPr>
            <w:tcW w:w="6200" w:type="dxa"/>
            <w:vAlign w:val="bottom"/>
          </w:tcPr>
          <w:p>
            <w:pPr>
              <w:ind w:left="540"/>
              <w:spacing w:after="0"/>
              <w:rPr>
                <w:sz w:val="20"/>
                <w:szCs w:val="20"/>
                <w:color w:val="auto"/>
              </w:rPr>
            </w:pPr>
            <w:r>
              <w:rPr>
                <w:rFonts w:ascii="Arial" w:cs="Arial" w:eastAsia="Arial" w:hAnsi="Arial"/>
                <w:sz w:val="18"/>
                <w:szCs w:val="18"/>
                <w:color w:val="auto"/>
              </w:rPr>
              <w:t>Revenue  from  search  and  news  advertising  excluding  traffic</w:t>
            </w:r>
          </w:p>
        </w:tc>
      </w:tr>
      <w:tr>
        <w:trPr>
          <w:trHeight w:val="203"/>
        </w:trPr>
        <w:tc>
          <w:tcPr>
            <w:tcW w:w="5040" w:type="dxa"/>
            <w:vAlign w:val="bottom"/>
          </w:tcPr>
          <w:p>
            <w:pPr>
              <w:spacing w:after="0"/>
              <w:rPr>
                <w:sz w:val="17"/>
                <w:szCs w:val="17"/>
                <w:color w:val="auto"/>
              </w:rPr>
            </w:pPr>
          </w:p>
        </w:tc>
        <w:tc>
          <w:tcPr>
            <w:tcW w:w="6200" w:type="dxa"/>
            <w:vAlign w:val="bottom"/>
          </w:tcPr>
          <w:p>
            <w:pPr>
              <w:ind w:left="540"/>
              <w:spacing w:after="0" w:line="202" w:lineRule="exact"/>
              <w:rPr>
                <w:sz w:val="20"/>
                <w:szCs w:val="20"/>
                <w:color w:val="auto"/>
              </w:rPr>
            </w:pPr>
            <w:r>
              <w:rPr>
                <w:rFonts w:ascii="Arial" w:cs="Arial" w:eastAsia="Arial" w:hAnsi="Arial"/>
                <w:sz w:val="18"/>
                <w:szCs w:val="18"/>
                <w:color w:val="auto"/>
              </w:rPr>
              <w:t>acquisition costs (“TAC”) paid to Bing Ads network publishers and</w:t>
            </w:r>
          </w:p>
        </w:tc>
      </w:tr>
      <w:tr>
        <w:trPr>
          <w:trHeight w:val="239"/>
        </w:trPr>
        <w:tc>
          <w:tcPr>
            <w:tcW w:w="5040" w:type="dxa"/>
            <w:vAlign w:val="bottom"/>
          </w:tcPr>
          <w:p>
            <w:pPr>
              <w:spacing w:after="0"/>
              <w:rPr>
                <w:sz w:val="20"/>
                <w:szCs w:val="20"/>
                <w:color w:val="auto"/>
              </w:rPr>
            </w:pPr>
          </w:p>
        </w:tc>
        <w:tc>
          <w:tcPr>
            <w:tcW w:w="6200" w:type="dxa"/>
            <w:vAlign w:val="bottom"/>
          </w:tcPr>
          <w:p>
            <w:pPr>
              <w:ind w:left="540"/>
              <w:spacing w:after="0"/>
              <w:rPr>
                <w:sz w:val="20"/>
                <w:szCs w:val="20"/>
                <w:color w:val="auto"/>
              </w:rPr>
            </w:pPr>
            <w:r>
              <w:rPr>
                <w:rFonts w:ascii="Arial" w:cs="Arial" w:eastAsia="Arial" w:hAnsi="Arial"/>
                <w:sz w:val="18"/>
                <w:szCs w:val="18"/>
                <w:color w:val="auto"/>
              </w:rPr>
              <w:t>news partners</w:t>
            </w:r>
          </w:p>
        </w:tc>
      </w:tr>
      <w:tr>
        <w:trPr>
          <w:trHeight w:val="582"/>
        </w:trPr>
        <w:tc>
          <w:tcPr>
            <w:tcW w:w="5040" w:type="dxa"/>
            <w:vAlign w:val="bottom"/>
          </w:tcPr>
          <w:p>
            <w:pPr>
              <w:spacing w:after="0"/>
              <w:rPr>
                <w:sz w:val="24"/>
                <w:szCs w:val="24"/>
                <w:color w:val="auto"/>
              </w:rPr>
            </w:pPr>
          </w:p>
        </w:tc>
        <w:tc>
          <w:tcPr>
            <w:tcW w:w="6200" w:type="dxa"/>
            <w:vAlign w:val="bottom"/>
          </w:tcPr>
          <w:p>
            <w:pPr>
              <w:ind w:left="500"/>
              <w:spacing w:after="0"/>
              <w:rPr>
                <w:sz w:val="20"/>
                <w:szCs w:val="20"/>
                <w:color w:val="auto"/>
              </w:rPr>
            </w:pPr>
            <w:r>
              <w:rPr>
                <w:rFonts w:ascii="Arial" w:cs="Arial" w:eastAsia="Arial" w:hAnsi="Arial"/>
                <w:sz w:val="14"/>
                <w:szCs w:val="14"/>
                <w:color w:val="auto"/>
              </w:rPr>
              <w:t>33</w:t>
            </w:r>
          </w:p>
        </w:tc>
      </w:tr>
      <w:tr>
        <w:trPr>
          <w:trHeight w:val="96"/>
        </w:trPr>
        <w:tc>
          <w:tcPr>
            <w:tcW w:w="5040" w:type="dxa"/>
            <w:vAlign w:val="bottom"/>
            <w:tcBorders>
              <w:bottom w:val="single" w:sz="8" w:color="9A9A9A"/>
            </w:tcBorders>
          </w:tcPr>
          <w:p>
            <w:pPr>
              <w:spacing w:after="0"/>
              <w:rPr>
                <w:sz w:val="8"/>
                <w:szCs w:val="8"/>
                <w:color w:val="auto"/>
              </w:rPr>
            </w:pPr>
          </w:p>
        </w:tc>
        <w:tc>
          <w:tcPr>
            <w:tcW w:w="6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 and per share amounts)</w:t>
            </w:r>
          </w:p>
        </w:tc>
        <w:tc>
          <w:tcPr>
            <w:tcW w:w="1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right"/>
              <w:ind w:right="397"/>
              <w:spacing w:after="0"/>
              <w:rPr>
                <w:sz w:val="20"/>
                <w:szCs w:val="20"/>
                <w:color w:val="auto"/>
              </w:rPr>
            </w:pPr>
            <w:r>
              <w:rPr>
                <w:rFonts w:ascii="Arial" w:cs="Arial" w:eastAsia="Arial" w:hAnsi="Arial"/>
                <w:sz w:val="13"/>
                <w:szCs w:val="13"/>
                <w:b w:val="1"/>
                <w:bCs w:val="1"/>
                <w:color w:val="auto"/>
              </w:rPr>
              <w:t>Three Months Ended</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397"/>
              <w:spacing w:after="0"/>
              <w:rPr>
                <w:sz w:val="20"/>
                <w:szCs w:val="20"/>
                <w:color w:val="auto"/>
              </w:rPr>
            </w:pPr>
            <w:r>
              <w:rPr>
                <w:rFonts w:ascii="Arial" w:cs="Arial" w:eastAsia="Arial" w:hAnsi="Arial"/>
                <w:sz w:val="13"/>
                <w:szCs w:val="13"/>
                <w:b w:val="1"/>
                <w:bCs w:val="1"/>
                <w:color w:val="auto"/>
              </w:rPr>
              <w:t>September 30,</w:t>
            </w:r>
          </w:p>
        </w:tc>
        <w:tc>
          <w:tcPr>
            <w:tcW w:w="13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51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5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20"/>
                <w:szCs w:val="20"/>
                <w:color w:val="auto"/>
              </w:rPr>
            </w:pPr>
          </w:p>
        </w:tc>
        <w:tc>
          <w:tcPr>
            <w:tcW w:w="1820" w:type="dxa"/>
            <w:vAlign w:val="bottom"/>
          </w:tcPr>
          <w:p>
            <w:pPr>
              <w:jc w:val="right"/>
              <w:ind w:right="397"/>
              <w:spacing w:after="0"/>
              <w:rPr>
                <w:sz w:val="20"/>
                <w:szCs w:val="20"/>
                <w:color w:val="auto"/>
              </w:rPr>
            </w:pPr>
            <w:r>
              <w:rPr>
                <w:rFonts w:ascii="Arial" w:cs="Arial" w:eastAsia="Arial" w:hAnsi="Arial"/>
                <w:sz w:val="13"/>
                <w:szCs w:val="13"/>
                <w:b w:val="1"/>
                <w:bCs w:val="1"/>
                <w:color w:val="auto"/>
              </w:rPr>
              <w:t>2021</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Revenue</w:t>
            </w:r>
          </w:p>
        </w:tc>
        <w:tc>
          <w:tcPr>
            <w:tcW w:w="172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50,122</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E5E5E5"/>
          </w:tcPr>
          <w:p>
            <w:pPr>
              <w:jc w:val="right"/>
              <w:ind w:right="397"/>
              <w:spacing w:after="0" w:line="202" w:lineRule="exact"/>
              <w:rPr>
                <w:sz w:val="20"/>
                <w:szCs w:val="20"/>
                <w:color w:val="auto"/>
              </w:rPr>
            </w:pPr>
            <w:r>
              <w:rPr>
                <w:rFonts w:ascii="Arial" w:cs="Arial" w:eastAsia="Arial" w:hAnsi="Arial"/>
                <w:sz w:val="18"/>
                <w:szCs w:val="18"/>
                <w:color w:val="auto"/>
              </w:rPr>
              <w:t>45,317</w:t>
            </w:r>
          </w:p>
        </w:tc>
        <w:tc>
          <w:tcPr>
            <w:tcW w:w="1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172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34,670</w:t>
            </w:r>
          </w:p>
        </w:tc>
        <w:tc>
          <w:tcPr>
            <w:tcW w:w="220" w:type="dxa"/>
            <w:vAlign w:val="bottom"/>
          </w:tcPr>
          <w:p>
            <w:pPr>
              <w:spacing w:after="0"/>
              <w:rPr>
                <w:sz w:val="17"/>
                <w:szCs w:val="17"/>
                <w:color w:val="auto"/>
              </w:rPr>
            </w:pPr>
          </w:p>
        </w:tc>
        <w:tc>
          <w:tcPr>
            <w:tcW w:w="1820" w:type="dxa"/>
            <w:vAlign w:val="bottom"/>
          </w:tcPr>
          <w:p>
            <w:pPr>
              <w:jc w:val="right"/>
              <w:ind w:right="397"/>
              <w:spacing w:after="0" w:line="202" w:lineRule="exact"/>
              <w:rPr>
                <w:sz w:val="20"/>
                <w:szCs w:val="20"/>
                <w:color w:val="auto"/>
              </w:rPr>
            </w:pPr>
            <w:r>
              <w:rPr>
                <w:rFonts w:ascii="Arial" w:cs="Arial" w:eastAsia="Arial" w:hAnsi="Arial"/>
                <w:sz w:val="18"/>
                <w:szCs w:val="18"/>
                <w:color w:val="auto"/>
              </w:rPr>
              <w:t>31,671</w:t>
            </w: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5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Operating income</w:t>
            </w:r>
          </w:p>
        </w:tc>
        <w:tc>
          <w:tcPr>
            <w:tcW w:w="17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21,518</w:t>
            </w:r>
          </w:p>
        </w:tc>
        <w:tc>
          <w:tcPr>
            <w:tcW w:w="220" w:type="dxa"/>
            <w:vAlign w:val="bottom"/>
            <w:shd w:val="clear" w:color="auto" w:fill="E5E5E5"/>
          </w:tcPr>
          <w:p>
            <w:pPr>
              <w:spacing w:after="0"/>
              <w:rPr>
                <w:sz w:val="17"/>
                <w:szCs w:val="17"/>
                <w:color w:val="auto"/>
              </w:rPr>
            </w:pPr>
          </w:p>
        </w:tc>
        <w:tc>
          <w:tcPr>
            <w:tcW w:w="1820" w:type="dxa"/>
            <w:vAlign w:val="bottom"/>
            <w:shd w:val="clear" w:color="auto" w:fill="E5E5E5"/>
          </w:tcPr>
          <w:p>
            <w:pPr>
              <w:jc w:val="right"/>
              <w:ind w:right="397"/>
              <w:spacing w:after="0" w:line="202" w:lineRule="exact"/>
              <w:rPr>
                <w:sz w:val="20"/>
                <w:szCs w:val="20"/>
                <w:color w:val="auto"/>
              </w:rPr>
            </w:pPr>
            <w:r>
              <w:rPr>
                <w:rFonts w:ascii="Arial" w:cs="Arial" w:eastAsia="Arial" w:hAnsi="Arial"/>
                <w:sz w:val="18"/>
                <w:szCs w:val="18"/>
                <w:color w:val="auto"/>
              </w:rPr>
              <w:t>20,238</w:t>
            </w:r>
          </w:p>
        </w:tc>
        <w:tc>
          <w:tcPr>
            <w:tcW w:w="1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720" w:type="dxa"/>
            <w:vAlign w:val="bottom"/>
          </w:tcPr>
          <w:p>
            <w:pPr>
              <w:spacing w:after="0"/>
              <w:rPr>
                <w:sz w:val="17"/>
                <w:szCs w:val="17"/>
                <w:color w:val="auto"/>
              </w:rPr>
            </w:pPr>
          </w:p>
        </w:tc>
        <w:tc>
          <w:tcPr>
            <w:tcW w:w="106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17,556</w:t>
            </w:r>
          </w:p>
        </w:tc>
        <w:tc>
          <w:tcPr>
            <w:tcW w:w="220" w:type="dxa"/>
            <w:vAlign w:val="bottom"/>
          </w:tcPr>
          <w:p>
            <w:pPr>
              <w:spacing w:after="0"/>
              <w:rPr>
                <w:sz w:val="17"/>
                <w:szCs w:val="17"/>
                <w:color w:val="auto"/>
              </w:rPr>
            </w:pPr>
          </w:p>
        </w:tc>
        <w:tc>
          <w:tcPr>
            <w:tcW w:w="1820" w:type="dxa"/>
            <w:vAlign w:val="bottom"/>
          </w:tcPr>
          <w:p>
            <w:pPr>
              <w:jc w:val="right"/>
              <w:ind w:right="397"/>
              <w:spacing w:after="0" w:line="202" w:lineRule="exact"/>
              <w:rPr>
                <w:sz w:val="20"/>
                <w:szCs w:val="20"/>
                <w:color w:val="auto"/>
              </w:rPr>
            </w:pPr>
            <w:r>
              <w:rPr>
                <w:rFonts w:ascii="Arial" w:cs="Arial" w:eastAsia="Arial" w:hAnsi="Arial"/>
                <w:sz w:val="18"/>
                <w:szCs w:val="18"/>
                <w:color w:val="auto"/>
              </w:rPr>
              <w:t>20,505</w:t>
            </w: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Diluted earnings per share</w:t>
            </w:r>
          </w:p>
        </w:tc>
        <w:tc>
          <w:tcPr>
            <w:tcW w:w="17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2.35</w:t>
            </w:r>
          </w:p>
        </w:tc>
        <w:tc>
          <w:tcPr>
            <w:tcW w:w="220" w:type="dxa"/>
            <w:vAlign w:val="bottom"/>
            <w:shd w:val="clear" w:color="auto" w:fill="E5E5E5"/>
          </w:tcPr>
          <w:p>
            <w:pPr>
              <w:spacing w:after="0"/>
              <w:rPr>
                <w:sz w:val="17"/>
                <w:szCs w:val="17"/>
                <w:color w:val="auto"/>
              </w:rPr>
            </w:pPr>
          </w:p>
        </w:tc>
        <w:tc>
          <w:tcPr>
            <w:tcW w:w="1820" w:type="dxa"/>
            <w:vAlign w:val="bottom"/>
            <w:shd w:val="clear" w:color="auto" w:fill="E5E5E5"/>
          </w:tcPr>
          <w:p>
            <w:pPr>
              <w:jc w:val="right"/>
              <w:ind w:right="397"/>
              <w:spacing w:after="0" w:line="202" w:lineRule="exact"/>
              <w:rPr>
                <w:sz w:val="20"/>
                <w:szCs w:val="20"/>
                <w:color w:val="auto"/>
              </w:rPr>
            </w:pPr>
            <w:r>
              <w:rPr>
                <w:rFonts w:ascii="Arial" w:cs="Arial" w:eastAsia="Arial" w:hAnsi="Arial"/>
                <w:sz w:val="18"/>
                <w:szCs w:val="18"/>
                <w:color w:val="auto"/>
              </w:rPr>
              <w:t>2.71</w:t>
            </w:r>
          </w:p>
        </w:tc>
        <w:tc>
          <w:tcPr>
            <w:tcW w:w="1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Adjusted net income (non-GAAP)</w:t>
            </w:r>
          </w:p>
        </w:tc>
        <w:tc>
          <w:tcPr>
            <w:tcW w:w="17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b w:val="1"/>
                <w:bCs w:val="1"/>
                <w:color w:val="auto"/>
              </w:rPr>
              <w:t>17,556</w:t>
            </w:r>
          </w:p>
        </w:tc>
        <w:tc>
          <w:tcPr>
            <w:tcW w:w="220" w:type="dxa"/>
            <w:vAlign w:val="bottom"/>
          </w:tcPr>
          <w:p>
            <w:pPr>
              <w:spacing w:after="0"/>
              <w:rPr>
                <w:sz w:val="23"/>
                <w:szCs w:val="23"/>
                <w:color w:val="auto"/>
              </w:rPr>
            </w:pPr>
          </w:p>
        </w:tc>
        <w:tc>
          <w:tcPr>
            <w:tcW w:w="1820" w:type="dxa"/>
            <w:vAlign w:val="bottom"/>
          </w:tcPr>
          <w:p>
            <w:pPr>
              <w:jc w:val="right"/>
              <w:ind w:right="397"/>
              <w:spacing w:after="0"/>
              <w:rPr>
                <w:sz w:val="20"/>
                <w:szCs w:val="20"/>
                <w:color w:val="auto"/>
              </w:rPr>
            </w:pPr>
            <w:r>
              <w:rPr>
                <w:rFonts w:ascii="Arial" w:cs="Arial" w:eastAsia="Arial" w:hAnsi="Arial"/>
                <w:sz w:val="18"/>
                <w:szCs w:val="18"/>
                <w:color w:val="auto"/>
              </w:rPr>
              <w:t>17,214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1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Adjusted diluted earnings per share (non-GAAP)</w:t>
            </w:r>
          </w:p>
        </w:tc>
        <w:tc>
          <w:tcPr>
            <w:tcW w:w="1720" w:type="dxa"/>
            <w:vAlign w:val="bottom"/>
            <w:shd w:val="clear" w:color="auto" w:fill="E5E5E5"/>
          </w:tcPr>
          <w:p>
            <w:pPr>
              <w:spacing w:after="0"/>
              <w:rPr>
                <w:sz w:val="17"/>
                <w:szCs w:val="17"/>
                <w:color w:val="auto"/>
              </w:rPr>
            </w:pPr>
          </w:p>
        </w:tc>
        <w:tc>
          <w:tcPr>
            <w:tcW w:w="1060" w:type="dxa"/>
            <w:vAlign w:val="bottom"/>
            <w:shd w:val="clear" w:color="auto" w:fill="E5E5E5"/>
          </w:tcPr>
          <w:p>
            <w:pPr>
              <w:jc w:val="right"/>
              <w:ind w:right="13"/>
              <w:spacing w:after="0" w:line="202" w:lineRule="exact"/>
              <w:rPr>
                <w:sz w:val="20"/>
                <w:szCs w:val="20"/>
                <w:color w:val="auto"/>
              </w:rPr>
            </w:pPr>
            <w:r>
              <w:rPr>
                <w:rFonts w:ascii="Arial" w:cs="Arial" w:eastAsia="Arial" w:hAnsi="Arial"/>
                <w:sz w:val="18"/>
                <w:szCs w:val="18"/>
                <w:b w:val="1"/>
                <w:bCs w:val="1"/>
                <w:color w:val="auto"/>
              </w:rPr>
              <w:t>2.35</w:t>
            </w:r>
          </w:p>
        </w:tc>
        <w:tc>
          <w:tcPr>
            <w:tcW w:w="220" w:type="dxa"/>
            <w:vAlign w:val="bottom"/>
            <w:shd w:val="clear" w:color="auto" w:fill="E5E5E5"/>
          </w:tcPr>
          <w:p>
            <w:pPr>
              <w:spacing w:after="0"/>
              <w:rPr>
                <w:sz w:val="17"/>
                <w:szCs w:val="17"/>
                <w:color w:val="auto"/>
              </w:rPr>
            </w:pPr>
          </w:p>
        </w:tc>
        <w:tc>
          <w:tcPr>
            <w:tcW w:w="1820" w:type="dxa"/>
            <w:vAlign w:val="bottom"/>
            <w:shd w:val="clear" w:color="auto" w:fill="E5E5E5"/>
          </w:tcPr>
          <w:p>
            <w:pPr>
              <w:jc w:val="right"/>
              <w:ind w:right="397"/>
              <w:spacing w:after="0" w:line="202" w:lineRule="exact"/>
              <w:rPr>
                <w:sz w:val="20"/>
                <w:szCs w:val="20"/>
                <w:color w:val="auto"/>
              </w:rPr>
            </w:pPr>
            <w:r>
              <w:rPr>
                <w:rFonts w:ascii="Arial" w:cs="Arial" w:eastAsia="Arial" w:hAnsi="Arial"/>
                <w:sz w:val="18"/>
                <w:szCs w:val="18"/>
                <w:color w:val="auto"/>
              </w:rPr>
              <w:t>2.27</w:t>
            </w:r>
          </w:p>
        </w:tc>
        <w:tc>
          <w:tcPr>
            <w:tcW w:w="132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8"/>
        </w:trPr>
        <w:tc>
          <w:tcPr>
            <w:tcW w:w="51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Adjusted net income and adjusted diluted earnings per share (“EPS”) are non-GAAP financial measures which exclude the net income tax benefit related to transfer of intangible properties in the first quarter of fiscal year 2022. Refer to the Non-GAAP Financial Measures section below for a reconciliation of our financial results reported in accordance with GAAP to non-GAAP financial results. Refer to Note 11 – Income Taxes of the Notes to Financial Statements (Part I, Item 1 of this Form 10-Q) for further discussion.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Three Months Ended September 30, 2021</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increased $4.8 billion or 11% driven by growth in Intelligent Cloud and Productivity and Business Processes. Intelligent Cloud revenue increased driven by Azure and other cloud services. Productivity and Business Processes revenue increased driven by Office 365 Commercial and LinkedIn. More Personal Computing revenue decreased slightly primarily driven by a decline in Windows, offset in part by growth in Search and news advertising.</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 of revenue increased $1.8 billion or 13% driven by growth in Microsoft Cloud and Gaming, offset in part by a reduction in depreciation expense due to the change in accounting estimate for the useful lives of our server and network equipment.</w:t>
      </w:r>
    </w:p>
    <w:p>
      <w:pPr>
        <w:spacing w:after="0" w:line="10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Gross margin increased $3.0 billion or 9% driven by growth in Intelligent Cloud and Productivity and Business Processes and the change in accounting estimate, offset in part by a decline in More Personal Computing.</w:t>
      </w:r>
    </w:p>
    <w:p>
      <w:pPr>
        <w:spacing w:after="0" w:line="5" w:lineRule="exact"/>
        <w:rPr>
          <w:sz w:val="20"/>
          <w:szCs w:val="20"/>
          <w:color w:val="auto"/>
        </w:rPr>
      </w:pPr>
    </w:p>
    <w:p>
      <w:pPr>
        <w:ind w:left="1060" w:hanging="391"/>
        <w:spacing w:after="0" w:line="271"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margin percentage decreased slightly. Excluding the impact of the change in accounting estimate, gross margin percentage decreased 3 points driven by reductions in More Personal Computing and Intelligent Cloud.</w:t>
      </w:r>
    </w:p>
    <w:p>
      <w:pPr>
        <w:spacing w:after="0" w:line="5" w:lineRule="exact"/>
        <w:rPr>
          <w:rFonts w:ascii="Arial" w:cs="Arial" w:eastAsia="Arial" w:hAnsi="Arial"/>
          <w:sz w:val="18"/>
          <w:szCs w:val="18"/>
          <w:color w:val="auto"/>
        </w:rPr>
      </w:pPr>
    </w:p>
    <w:p>
      <w:pPr>
        <w:jc w:val="both"/>
        <w:ind w:left="1060" w:hanging="391"/>
        <w:spacing w:after="0" w:line="253"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Microsoft Cloud gross margin percentage increased 2 points to 73%. Excluding the impact of the change in accounting estimate, Microsoft Cloud gross margin percentage decreased 1 point driven by sales mix shift to Azure and other cloud services and lower margins in Azure and other cloud services, primarily due to higher energy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$1.7 billion or 15% driven by investments in cloud engineering, LinkedIn, Nuance, and commercial sales.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changes in operating expenses were:</w:t>
      </w:r>
    </w:p>
    <w:p>
      <w:pPr>
        <w:spacing w:after="0" w:line="63" w:lineRule="exact"/>
        <w:rPr>
          <w:sz w:val="20"/>
          <w:szCs w:val="20"/>
          <w:color w:val="auto"/>
        </w:rPr>
      </w:pPr>
    </w:p>
    <w:p>
      <w:pPr>
        <w:ind w:left="1060" w:hanging="391"/>
        <w:spacing w:after="0" w:line="271"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Research and development expenses increased $1.0 billion or 18% driven by investments in cloud engineering and LinkedIn. Research and development included a favorable foreign currency impact of 2%.</w:t>
      </w:r>
    </w:p>
    <w:p>
      <w:pPr>
        <w:spacing w:after="0" w:line="5"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expenses increased $579 million or 13% driven by investments in commercial sales, Nuance, and LinkedIn. Sales and marketing included a favorable foreign currency impact of 4%.</w:t>
      </w:r>
    </w:p>
    <w:p>
      <w:pPr>
        <w:spacing w:after="0" w:line="5"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administrative expenses increased $111 million or 9% driven by investments in corporate functions. General and administrative included a favorable foreign currency impact of 3%.</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Operating income increased $1.3 billion or 6% driven by growth in Intelligent Cloud and Productivity and Business Processes and the change in accounting estimate, offset in part by a decline in More Personal Computing.</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5%, 7%, and 9%, respectively. Cost of revenue and operating expenses both included a favorable foreign currency impact of 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Prior year net income and diluted EPS were positively impacted by the net tax benefit related to the transfer of intangible properties, which resulted in an increase to net income and diluted EPS of $3.3 billion and $0.44,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SEGMENT RESULTS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1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64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17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46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3"/>
                <w:szCs w:val="13"/>
                <w:b w:val="1"/>
                <w:bCs w:val="1"/>
                <w:color w:val="auto"/>
              </w:rPr>
              <w:t>Revenue</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46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218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16,465</w:t>
            </w:r>
          </w:p>
        </w:tc>
        <w:tc>
          <w:tcPr>
            <w:tcW w:w="320" w:type="dxa"/>
            <w:vAlign w:val="bottom"/>
            <w:shd w:val="clear" w:color="auto" w:fill="E5E5E5"/>
          </w:tcPr>
          <w:p>
            <w:pPr>
              <w:jc w:val="right"/>
              <w:ind w:right="135"/>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15,039</w:t>
            </w:r>
          </w:p>
        </w:tc>
        <w:tc>
          <w:tcPr>
            <w:tcW w:w="1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1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20,325</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16,912</w:t>
            </w:r>
          </w:p>
        </w:tc>
        <w:tc>
          <w:tcPr>
            <w:tcW w:w="1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16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13,332</w:t>
            </w:r>
          </w:p>
        </w:tc>
        <w:tc>
          <w:tcPr>
            <w:tcW w:w="32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13,366</w:t>
            </w:r>
          </w:p>
        </w:tc>
        <w:tc>
          <w:tcPr>
            <w:tcW w:w="1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6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640" w:type="dxa"/>
            <w:vAlign w:val="bottom"/>
          </w:tcPr>
          <w:p>
            <w:pPr>
              <w:ind w:left="22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50,122</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45,317</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63"/>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6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4640" w:type="dxa"/>
            <w:vAlign w:val="bottom"/>
            <w:vMerge w:val="continue"/>
          </w:tcPr>
          <w:p>
            <w:pPr>
              <w:spacing w:after="0"/>
              <w:rPr>
                <w:sz w:val="20"/>
                <w:szCs w:val="20"/>
                <w:color w:val="auto"/>
              </w:rPr>
            </w:pPr>
          </w:p>
        </w:tc>
        <w:tc>
          <w:tcPr>
            <w:tcW w:w="1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6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Productivity and Business Processes</w:t>
            </w:r>
          </w:p>
        </w:tc>
        <w:tc>
          <w:tcPr>
            <w:tcW w:w="2180" w:type="dxa"/>
            <w:vAlign w:val="bottom"/>
            <w:gridSpan w:val="2"/>
            <w:shd w:val="clear" w:color="auto" w:fill="E5E5E5"/>
          </w:tcPr>
          <w:p>
            <w:pPr>
              <w:jc w:val="right"/>
              <w:ind w:right="40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8,323</w:t>
            </w:r>
          </w:p>
        </w:tc>
        <w:tc>
          <w:tcPr>
            <w:tcW w:w="320" w:type="dxa"/>
            <w:vAlign w:val="bottom"/>
            <w:shd w:val="clear" w:color="auto" w:fill="E5E5E5"/>
          </w:tcPr>
          <w:p>
            <w:pPr>
              <w:jc w:val="right"/>
              <w:ind w:right="135"/>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7,581</w:t>
            </w:r>
          </w:p>
        </w:tc>
        <w:tc>
          <w:tcPr>
            <w:tcW w:w="1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Intelligent Cloud</w:t>
            </w:r>
          </w:p>
        </w:tc>
        <w:tc>
          <w:tcPr>
            <w:tcW w:w="1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8,978</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7,681</w:t>
            </w:r>
          </w:p>
        </w:tc>
        <w:tc>
          <w:tcPr>
            <w:tcW w:w="1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6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More Personal Computing</w:t>
            </w:r>
          </w:p>
        </w:tc>
        <w:tc>
          <w:tcPr>
            <w:tcW w:w="1680" w:type="dxa"/>
            <w:vAlign w:val="bottom"/>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1200" w:type="dxa"/>
            <w:vAlign w:val="bottom"/>
            <w:gridSpan w:val="2"/>
            <w:shd w:val="clear" w:color="auto" w:fill="E5E5E5"/>
          </w:tcPr>
          <w:p>
            <w:pPr>
              <w:jc w:val="right"/>
              <w:ind w:right="240"/>
              <w:spacing w:after="0" w:line="202" w:lineRule="exact"/>
              <w:rPr>
                <w:sz w:val="20"/>
                <w:szCs w:val="20"/>
                <w:color w:val="auto"/>
              </w:rPr>
            </w:pPr>
            <w:r>
              <w:rPr>
                <w:rFonts w:ascii="Arial" w:cs="Arial" w:eastAsia="Arial" w:hAnsi="Arial"/>
                <w:sz w:val="18"/>
                <w:szCs w:val="18"/>
                <w:b w:val="1"/>
                <w:bCs w:val="1"/>
                <w:color w:val="auto"/>
              </w:rPr>
              <w:t>4,217</w:t>
            </w:r>
          </w:p>
        </w:tc>
        <w:tc>
          <w:tcPr>
            <w:tcW w:w="320" w:type="dxa"/>
            <w:vAlign w:val="bottom"/>
            <w:shd w:val="clear" w:color="auto" w:fill="E5E5E5"/>
          </w:tcPr>
          <w:p>
            <w:pPr>
              <w:spacing w:after="0"/>
              <w:rPr>
                <w:sz w:val="17"/>
                <w:szCs w:val="17"/>
                <w:color w:val="auto"/>
              </w:rPr>
            </w:pPr>
          </w:p>
        </w:tc>
        <w:tc>
          <w:tcPr>
            <w:tcW w:w="11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4,976</w:t>
            </w:r>
          </w:p>
        </w:tc>
        <w:tc>
          <w:tcPr>
            <w:tcW w:w="17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8"/>
        </w:trPr>
        <w:tc>
          <w:tcPr>
            <w:tcW w:w="46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640" w:type="dxa"/>
            <w:vAlign w:val="bottom"/>
          </w:tcPr>
          <w:p>
            <w:pPr>
              <w:ind w:left="22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21,518</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20,238</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46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Three Months Ended September 30, 2021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Productivity and Business Processes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$1.4 billion or 9%.</w:t>
      </w:r>
    </w:p>
    <w:p>
      <w:pPr>
        <w:spacing w:after="0" w:line="63" w:lineRule="exact"/>
        <w:rPr>
          <w:sz w:val="20"/>
          <w:szCs w:val="20"/>
          <w:color w:val="auto"/>
        </w:rPr>
      </w:pPr>
    </w:p>
    <w:p>
      <w:pPr>
        <w:jc w:val="both"/>
        <w:ind w:left="1060" w:hanging="391"/>
        <w:spacing w:after="0" w:line="253"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Commercial products and cloud services revenue increased $633 million or 7%. Office 365 Commercial revenue grew 11% with seat growth of 14%, driven by small and medium business and frontline worker offerings, as well as growth in revenue per user. Office Commercial products revenue declined 28% driven by continued customer shift to cloud offerings.</w:t>
      </w:r>
    </w:p>
    <w:p>
      <w:pPr>
        <w:spacing w:after="0" w:line="20" w:lineRule="exact"/>
        <w:rPr>
          <w:rFonts w:ascii="Arial" w:cs="Arial" w:eastAsia="Arial" w:hAnsi="Arial"/>
          <w:sz w:val="18"/>
          <w:szCs w:val="18"/>
          <w:color w:val="auto"/>
        </w:rPr>
      </w:pPr>
    </w:p>
    <w:p>
      <w:pPr>
        <w:ind w:left="1060" w:right="20" w:hanging="391"/>
        <w:spacing w:after="0" w:line="271"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Office Consumer products and cloud services revenue increased $105 million or 7% driven by Microsoft 365 Consumer subscription revenue. Microsoft 365 Consumer subscribers grew 13% to 61.3 million.</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LinkedIn revenue increased $527 million or 17% driven by Talent Solutions.</w:t>
      </w:r>
    </w:p>
    <w:p>
      <w:pPr>
        <w:spacing w:after="0" w:line="63" w:lineRule="exact"/>
        <w:rPr>
          <w:rFonts w:ascii="Arial" w:cs="Arial" w:eastAsia="Arial" w:hAnsi="Arial"/>
          <w:sz w:val="18"/>
          <w:szCs w:val="18"/>
          <w:color w:val="auto"/>
        </w:rPr>
      </w:pPr>
    </w:p>
    <w:p>
      <w:pPr>
        <w:ind w:left="1060" w:hanging="391"/>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Dynamics products and cloud services revenue increased 15% driven by Dynamics 365 growth of 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$742 million or 10%.</w:t>
      </w:r>
    </w:p>
    <w:p>
      <w:pPr>
        <w:spacing w:after="0" w:line="63" w:lineRule="exact"/>
        <w:rPr>
          <w:sz w:val="20"/>
          <w:szCs w:val="20"/>
          <w:color w:val="auto"/>
        </w:rPr>
      </w:pPr>
    </w:p>
    <w:p>
      <w:pPr>
        <w:jc w:val="both"/>
        <w:ind w:left="1060" w:hanging="391"/>
        <w:spacing w:after="0" w:line="253"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Gross margin increased $1.3 billion or 11% driven by growth in Office 365 Commercial and LinkedIn, as well as the change in accounting estimate. Gross margin percentage increased. Excluding the impact of the change in accounting estimate, gross margin percentage decreased slightly driven by sales mix shift to cloud offerings.</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expenses increased $568 million or 13% driven by investments in LinkedIn and cloud engineering.</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6%, 7%, and 9%, respectively. Operating expenses included a favorable foreign currency impact of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Intelligent Cloud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$3.4 billion or 20%.</w:t>
      </w:r>
    </w:p>
    <w:p>
      <w:pPr>
        <w:spacing w:after="0" w:line="63" w:lineRule="exact"/>
        <w:rPr>
          <w:sz w:val="20"/>
          <w:szCs w:val="20"/>
          <w:color w:val="auto"/>
        </w:rPr>
      </w:pPr>
    </w:p>
    <w:p>
      <w:pPr>
        <w:jc w:val="both"/>
        <w:ind w:left="1060" w:hanging="391"/>
        <w:spacing w:after="0" w:line="253"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Server products and cloud services revenue increased $3.3 billion or 22% driven by Azure and other cloud services. Azure and other cloud services revenue grew 35% driven by growth in our consumption-based services. Server products revenue was relatively unchanged.</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Enterprise Services revenue increased $85 million or 5% driven by growth in Enterprise Support Services.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$1.3 billion or 17%.</w:t>
      </w:r>
    </w:p>
    <w:p>
      <w:pPr>
        <w:spacing w:after="0" w:line="63" w:lineRule="exact"/>
        <w:rPr>
          <w:sz w:val="20"/>
          <w:szCs w:val="20"/>
          <w:color w:val="auto"/>
        </w:rPr>
      </w:pPr>
    </w:p>
    <w:p>
      <w:pPr>
        <w:jc w:val="both"/>
        <w:ind w:left="1060" w:hanging="391"/>
        <w:spacing w:after="0" w:line="24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increased $2.4 billion or 20% driven by growth in Azure and other cloud services and the change in accounting estimate. Gross margin percentage decreased slightly. Excluding the impact of the change in accounting estimate, gross margin percentage decreased 3 points driven by sales mix shift to Azure and other cloud services and lower margins in Azure and other cloud services, primarily due to higher energy costs.</w:t>
      </w:r>
    </w:p>
    <w:p>
      <w:pPr>
        <w:spacing w:after="0" w:line="25" w:lineRule="exact"/>
        <w:rPr>
          <w:rFonts w:ascii="Arial" w:cs="Arial" w:eastAsia="Arial" w:hAnsi="Arial"/>
          <w:sz w:val="18"/>
          <w:szCs w:val="18"/>
          <w:color w:val="auto"/>
        </w:rPr>
      </w:pPr>
    </w:p>
    <w:p>
      <w:pPr>
        <w:ind w:left="1060" w:hanging="391"/>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increased $1.1 billion or 25% driven by investments in Azure and Nuance.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6%, 6%, and 8%, respectively. Operating expenses included a favorable foreign currency impact of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More Personal Computing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slightly.</w:t>
      </w:r>
    </w:p>
    <w:p>
      <w:pPr>
        <w:spacing w:after="0" w:line="77" w:lineRule="exact"/>
        <w:rPr>
          <w:sz w:val="20"/>
          <w:szCs w:val="20"/>
          <w:color w:val="auto"/>
        </w:rPr>
      </w:pPr>
    </w:p>
    <w:p>
      <w:pPr>
        <w:jc w:val="both"/>
        <w:ind w:left="1060" w:hanging="391"/>
        <w:spacing w:after="0" w:line="24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Windows revenue decreased $361 million or 6% driven by a decrease in Windows OEM, offset in part by growth in Windows Commercial. Windows OEM revenue decreased 15% driven by continued deterioration in the PC market, offset in part by 5 points of positive impact from the prior year Windows 11 revenue deferral. Windows Commercial products and cloud services revenue increased 8% driven by demand for Microsoft 365.</w:t>
      </w:r>
    </w:p>
    <w:p>
      <w:pPr>
        <w:spacing w:after="0" w:line="25"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Search and news advertising revenue increased $272 million or 10%. Search and news advertising revenue excluding traffic acquisition costs increased 16% driven by higher search volume and Xandr.</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Devices revenue increased $34 million or 2%.</w:t>
      </w:r>
    </w:p>
    <w:p>
      <w:pPr>
        <w:spacing w:after="0" w:line="63" w:lineRule="exact"/>
        <w:rPr>
          <w:rFonts w:ascii="Arial" w:cs="Arial" w:eastAsia="Arial" w:hAnsi="Arial"/>
          <w:sz w:val="18"/>
          <w:szCs w:val="18"/>
          <w:color w:val="auto"/>
        </w:rPr>
      </w:pPr>
    </w:p>
    <w:p>
      <w:pPr>
        <w:jc w:val="both"/>
        <w:ind w:left="1060" w:hanging="391"/>
        <w:spacing w:after="0" w:line="24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Gaming revenue increased slightly driven by growth in Xbox hardware, offset in part by a decline in Xbox content and services. Xbox hardware revenue increased 13% driven by higher volume and price of consoles sold. Xbox content and services revenue decreased 3% driven by declines in first-party content and in third-party content, with lower engagement hours and higher rate of monetization, offset in part by growth in Xbox Game Pass subscriptions.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$759 million or 15%.</w:t>
      </w:r>
    </w:p>
    <w:p>
      <w:pPr>
        <w:spacing w:after="0" w:line="77" w:lineRule="exact"/>
        <w:rPr>
          <w:sz w:val="20"/>
          <w:szCs w:val="20"/>
          <w:color w:val="auto"/>
        </w:rPr>
      </w:pPr>
    </w:p>
    <w:p>
      <w:pPr>
        <w:ind w:left="1040" w:hanging="371"/>
        <w:spacing w:after="0" w:line="271"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margin decreased $688 million or 9% driven by declines in Windows and Gaming. Gross margin percentage decreased driven by sales mix shift to lower margin businesses.</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increased $71 million or 2% primarily driven by investments in Search and news advertising.</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Revenue, gross margin, and operating income included an unfavorable foreign currency impact of 3%, 5%, and 6%, respectively. Operating expenses included a favorable foreign currency impact of 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40" w:type="dxa"/>
            <w:vAlign w:val="bottom"/>
            <w:gridSpan w:val="2"/>
          </w:tcPr>
          <w:p>
            <w:pPr>
              <w:jc w:val="right"/>
              <w:ind w:right="401"/>
              <w:spacing w:after="0"/>
              <w:rPr>
                <w:sz w:val="20"/>
                <w:szCs w:val="20"/>
                <w:color w:val="auto"/>
              </w:rPr>
            </w:pPr>
            <w:r>
              <w:rPr>
                <w:rFonts w:ascii="Arial" w:cs="Arial" w:eastAsia="Arial" w:hAnsi="Arial"/>
                <w:sz w:val="13"/>
                <w:szCs w:val="13"/>
                <w:b w:val="1"/>
                <w:bCs w:val="1"/>
                <w:color w:val="auto"/>
              </w:rPr>
              <w:t>Three Months Ended</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2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jc w:val="right"/>
              <w:ind w:right="401"/>
              <w:spacing w:after="0"/>
              <w:rPr>
                <w:sz w:val="20"/>
                <w:szCs w:val="20"/>
                <w:color w:val="auto"/>
              </w:rPr>
            </w:pPr>
            <w:r>
              <w:rPr>
                <w:rFonts w:ascii="Arial" w:cs="Arial" w:eastAsia="Arial" w:hAnsi="Arial"/>
                <w:sz w:val="13"/>
                <w:szCs w:val="13"/>
                <w:b w:val="1"/>
                <w:bCs w:val="1"/>
                <w:color w:val="auto"/>
              </w:rPr>
              <w:t>September 30,</w:t>
            </w: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5"/>
        </w:trPr>
        <w:tc>
          <w:tcPr>
            <w:tcW w:w="42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20"/>
                <w:szCs w:val="20"/>
                <w:color w:val="auto"/>
              </w:rPr>
            </w:pPr>
          </w:p>
        </w:tc>
        <w:tc>
          <w:tcPr>
            <w:tcW w:w="1600" w:type="dxa"/>
            <w:vAlign w:val="bottom"/>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426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6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Research and development</w:t>
            </w:r>
          </w:p>
        </w:tc>
        <w:tc>
          <w:tcPr>
            <w:tcW w:w="262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38"/>
              <w:spacing w:after="0" w:line="202" w:lineRule="exact"/>
              <w:rPr>
                <w:sz w:val="20"/>
                <w:szCs w:val="20"/>
                <w:color w:val="auto"/>
              </w:rPr>
            </w:pPr>
            <w:r>
              <w:rPr>
                <w:rFonts w:ascii="Arial" w:cs="Arial" w:eastAsia="Arial" w:hAnsi="Arial"/>
                <w:sz w:val="18"/>
                <w:szCs w:val="18"/>
                <w:b w:val="1"/>
                <w:bCs w:val="1"/>
                <w:color w:val="auto"/>
              </w:rPr>
              <w:t>6,628</w:t>
            </w:r>
          </w:p>
        </w:tc>
        <w:tc>
          <w:tcPr>
            <w:tcW w:w="440" w:type="dxa"/>
            <w:vAlign w:val="bottom"/>
            <w:shd w:val="clear" w:color="auto" w:fill="E5E5E5"/>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E5E5E5"/>
          </w:tcPr>
          <w:p>
            <w:pPr>
              <w:jc w:val="right"/>
              <w:ind w:right="381"/>
              <w:spacing w:after="0" w:line="202" w:lineRule="exact"/>
              <w:rPr>
                <w:sz w:val="20"/>
                <w:szCs w:val="20"/>
                <w:color w:val="auto"/>
              </w:rPr>
            </w:pPr>
            <w:r>
              <w:rPr>
                <w:rFonts w:ascii="Arial" w:cs="Arial" w:eastAsia="Arial" w:hAnsi="Arial"/>
                <w:sz w:val="18"/>
                <w:szCs w:val="18"/>
                <w:color w:val="auto"/>
              </w:rPr>
              <w:t>5,599</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26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26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b w:val="1"/>
                <w:bCs w:val="1"/>
                <w:color w:val="auto"/>
              </w:rPr>
              <w:t>13%</w:t>
            </w:r>
          </w:p>
        </w:tc>
        <w:tc>
          <w:tcPr>
            <w:tcW w:w="440" w:type="dxa"/>
            <w:vAlign w:val="bottom"/>
          </w:tcPr>
          <w:p>
            <w:pPr>
              <w:spacing w:after="0"/>
              <w:rPr>
                <w:sz w:val="21"/>
                <w:szCs w:val="21"/>
                <w:color w:val="auto"/>
              </w:rPr>
            </w:pPr>
          </w:p>
        </w:tc>
        <w:tc>
          <w:tcPr>
            <w:tcW w:w="1600" w:type="dxa"/>
            <w:vAlign w:val="bottom"/>
          </w:tcPr>
          <w:p>
            <w:pPr>
              <w:jc w:val="right"/>
              <w:ind w:right="381"/>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1ppt</w:t>
            </w:r>
          </w:p>
        </w:tc>
        <w:tc>
          <w:tcPr>
            <w:tcW w:w="0" w:type="dxa"/>
            <w:vAlign w:val="bottom"/>
          </w:tcPr>
          <w:p>
            <w:pPr>
              <w:spacing w:after="0"/>
              <w:rPr>
                <w:sz w:val="1"/>
                <w:szCs w:val="1"/>
                <w:color w:val="auto"/>
              </w:rPr>
            </w:pPr>
          </w:p>
        </w:tc>
      </w:tr>
      <w:tr>
        <w:trPr>
          <w:trHeight w:val="23"/>
        </w:trPr>
        <w:tc>
          <w:tcPr>
            <w:tcW w:w="4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include payroll, employee benefits, stock-based compensation expense, and other headcount-related expenses associated with product development. Research and development expenses also include third-party development and programming costs, localization costs incurred to translate software for international markets, and the amortization of purchased software code and services content.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Three Months Ended September 30, 2021</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expenses increased $1.0 billion or 18% driven by investments in cloud engineering and LinkedIn. Research and development included a favorable foreign currency impact of 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right"/>
              <w:ind w:right="404"/>
              <w:spacing w:after="0"/>
              <w:rPr>
                <w:sz w:val="20"/>
                <w:szCs w:val="20"/>
                <w:color w:val="auto"/>
              </w:rPr>
            </w:pPr>
            <w:r>
              <w:rPr>
                <w:rFonts w:ascii="Arial" w:cs="Arial" w:eastAsia="Arial" w:hAnsi="Arial"/>
                <w:sz w:val="13"/>
                <w:szCs w:val="13"/>
                <w:b w:val="1"/>
                <w:bCs w:val="1"/>
                <w:color w:val="auto"/>
              </w:rPr>
              <w:t>Three Months Ended</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2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404"/>
              <w:spacing w:after="0"/>
              <w:rPr>
                <w:sz w:val="20"/>
                <w:szCs w:val="20"/>
                <w:color w:val="auto"/>
              </w:rPr>
            </w:pPr>
            <w:r>
              <w:rPr>
                <w:rFonts w:ascii="Arial" w:cs="Arial" w:eastAsia="Arial" w:hAnsi="Arial"/>
                <w:sz w:val="13"/>
                <w:szCs w:val="13"/>
                <w:b w:val="1"/>
                <w:bCs w:val="1"/>
                <w:color w:val="auto"/>
              </w:rPr>
              <w:t>September 30,</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420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20" w:type="dxa"/>
            <w:vAlign w:val="bottom"/>
          </w:tcPr>
          <w:p>
            <w:pPr>
              <w:jc w:val="right"/>
              <w:ind w:right="38"/>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20"/>
                <w:szCs w:val="20"/>
                <w:color w:val="auto"/>
              </w:rPr>
            </w:pPr>
          </w:p>
        </w:tc>
        <w:tc>
          <w:tcPr>
            <w:tcW w:w="1820" w:type="dxa"/>
            <w:vAlign w:val="bottom"/>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2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Sales and marketing</w:t>
            </w:r>
          </w:p>
        </w:tc>
        <w:tc>
          <w:tcPr>
            <w:tcW w:w="2660" w:type="dxa"/>
            <w:vAlign w:val="bottom"/>
            <w:shd w:val="clear" w:color="auto" w:fill="E5E5E5"/>
          </w:tcPr>
          <w:p>
            <w:pPr>
              <w:jc w:val="right"/>
              <w:ind w:right="35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5E5E5"/>
          </w:tcPr>
          <w:p>
            <w:pPr>
              <w:jc w:val="right"/>
              <w:ind w:right="18"/>
              <w:spacing w:after="0" w:line="202" w:lineRule="exact"/>
              <w:rPr>
                <w:sz w:val="20"/>
                <w:szCs w:val="20"/>
                <w:color w:val="auto"/>
              </w:rPr>
            </w:pPr>
            <w:r>
              <w:rPr>
                <w:rFonts w:ascii="Arial" w:cs="Arial" w:eastAsia="Arial" w:hAnsi="Arial"/>
                <w:sz w:val="18"/>
                <w:szCs w:val="18"/>
                <w:b w:val="1"/>
                <w:bCs w:val="1"/>
                <w:color w:val="auto"/>
              </w:rPr>
              <w:t>5,126</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E5E5E5"/>
          </w:tcPr>
          <w:p>
            <w:pPr>
              <w:jc w:val="right"/>
              <w:ind w:right="404"/>
              <w:spacing w:after="0" w:line="202" w:lineRule="exact"/>
              <w:rPr>
                <w:sz w:val="20"/>
                <w:szCs w:val="20"/>
                <w:color w:val="auto"/>
              </w:rPr>
            </w:pPr>
            <w:r>
              <w:rPr>
                <w:rFonts w:ascii="Arial" w:cs="Arial" w:eastAsia="Arial" w:hAnsi="Arial"/>
                <w:sz w:val="18"/>
                <w:szCs w:val="18"/>
                <w:color w:val="auto"/>
              </w:rPr>
              <w:t>4,547</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20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266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1820" w:type="dxa"/>
            <w:vAlign w:val="bottom"/>
          </w:tcPr>
          <w:p>
            <w:pPr>
              <w:jc w:val="right"/>
              <w:ind w:right="404"/>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0ppt</w:t>
            </w:r>
          </w:p>
        </w:tc>
        <w:tc>
          <w:tcPr>
            <w:tcW w:w="0" w:type="dxa"/>
            <w:vAlign w:val="bottom"/>
          </w:tcPr>
          <w:p>
            <w:pPr>
              <w:spacing w:after="0"/>
              <w:rPr>
                <w:sz w:val="1"/>
                <w:szCs w:val="1"/>
                <w:color w:val="auto"/>
              </w:rPr>
            </w:pPr>
          </w:p>
        </w:tc>
      </w:tr>
      <w:tr>
        <w:trPr>
          <w:trHeight w:val="23"/>
        </w:trPr>
        <w:tc>
          <w:tcPr>
            <w:tcW w:w="4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Three Months Ended September 30, 2021</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Sales and marketing expenses increased $579 million or 13% driven by investments in commercial sales, Nuance, and LinkedIn. Sales and marketing included a favorable foreign currency impact of 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26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jc w:val="right"/>
              <w:ind w:right="404"/>
              <w:spacing w:after="0"/>
              <w:rPr>
                <w:sz w:val="20"/>
                <w:szCs w:val="20"/>
                <w:color w:val="auto"/>
              </w:rPr>
            </w:pPr>
            <w:r>
              <w:rPr>
                <w:rFonts w:ascii="Arial" w:cs="Arial" w:eastAsia="Arial" w:hAnsi="Arial"/>
                <w:sz w:val="13"/>
                <w:szCs w:val="13"/>
                <w:b w:val="1"/>
                <w:bCs w:val="1"/>
                <w:color w:val="auto"/>
              </w:rPr>
              <w:t>Three Months Ended</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2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jc w:val="right"/>
              <w:ind w:right="404"/>
              <w:spacing w:after="0"/>
              <w:rPr>
                <w:sz w:val="20"/>
                <w:szCs w:val="20"/>
                <w:color w:val="auto"/>
              </w:rPr>
            </w:pPr>
            <w:r>
              <w:rPr>
                <w:rFonts w:ascii="Arial" w:cs="Arial" w:eastAsia="Arial" w:hAnsi="Arial"/>
                <w:sz w:val="13"/>
                <w:szCs w:val="13"/>
                <w:b w:val="1"/>
                <w:bCs w:val="1"/>
                <w:color w:val="auto"/>
              </w:rPr>
              <w:t>September 30,</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42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20"/>
                <w:szCs w:val="20"/>
                <w:color w:val="auto"/>
              </w:rPr>
            </w:pPr>
          </w:p>
        </w:tc>
        <w:tc>
          <w:tcPr>
            <w:tcW w:w="1820" w:type="dxa"/>
            <w:vAlign w:val="bottom"/>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42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General and administrative</w:t>
            </w:r>
          </w:p>
        </w:tc>
        <w:tc>
          <w:tcPr>
            <w:tcW w:w="2640" w:type="dxa"/>
            <w:vAlign w:val="bottom"/>
            <w:shd w:val="clear" w:color="auto" w:fill="E5E5E5"/>
          </w:tcPr>
          <w:p>
            <w:pPr>
              <w:jc w:val="right"/>
              <w:ind w:right="37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5E5E5"/>
          </w:tcPr>
          <w:p>
            <w:pPr>
              <w:jc w:val="right"/>
              <w:ind w:right="18"/>
              <w:spacing w:after="0" w:line="202" w:lineRule="exact"/>
              <w:rPr>
                <w:sz w:val="20"/>
                <w:szCs w:val="20"/>
                <w:color w:val="auto"/>
              </w:rPr>
            </w:pPr>
            <w:r>
              <w:rPr>
                <w:rFonts w:ascii="Arial" w:cs="Arial" w:eastAsia="Arial" w:hAnsi="Arial"/>
                <w:sz w:val="18"/>
                <w:szCs w:val="18"/>
                <w:b w:val="1"/>
                <w:bCs w:val="1"/>
                <w:color w:val="auto"/>
              </w:rPr>
              <w:t>1,398</w:t>
            </w:r>
          </w:p>
        </w:tc>
        <w:tc>
          <w:tcPr>
            <w:tcW w:w="2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1820" w:type="dxa"/>
            <w:vAlign w:val="bottom"/>
            <w:shd w:val="clear" w:color="auto" w:fill="E5E5E5"/>
          </w:tcPr>
          <w:p>
            <w:pPr>
              <w:jc w:val="right"/>
              <w:ind w:right="404"/>
              <w:spacing w:after="0" w:line="202" w:lineRule="exact"/>
              <w:rPr>
                <w:sz w:val="20"/>
                <w:szCs w:val="20"/>
                <w:color w:val="auto"/>
              </w:rPr>
            </w:pPr>
            <w:r>
              <w:rPr>
                <w:rFonts w:ascii="Arial" w:cs="Arial" w:eastAsia="Arial" w:hAnsi="Arial"/>
                <w:sz w:val="18"/>
                <w:szCs w:val="18"/>
                <w:color w:val="auto"/>
              </w:rPr>
              <w:t>1,287</w:t>
            </w:r>
          </w:p>
        </w:tc>
        <w:tc>
          <w:tcPr>
            <w:tcW w:w="120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240" w:type="dxa"/>
            <w:vAlign w:val="bottom"/>
          </w:tcPr>
          <w:p>
            <w:pPr>
              <w:spacing w:after="0"/>
              <w:rPr>
                <w:sz w:val="20"/>
                <w:szCs w:val="20"/>
                <w:color w:val="auto"/>
              </w:rPr>
            </w:pPr>
            <w:r>
              <w:rPr>
                <w:rFonts w:ascii="Arial" w:cs="Arial" w:eastAsia="Arial" w:hAnsi="Arial"/>
                <w:sz w:val="18"/>
                <w:szCs w:val="18"/>
                <w:color w:val="auto"/>
              </w:rPr>
              <w:t>As a percent of revenue</w:t>
            </w:r>
          </w:p>
        </w:tc>
        <w:tc>
          <w:tcPr>
            <w:tcW w:w="264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1820" w:type="dxa"/>
            <w:vAlign w:val="bottom"/>
          </w:tcPr>
          <w:p>
            <w:pPr>
              <w:jc w:val="right"/>
              <w:ind w:right="404"/>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0ppt</w:t>
            </w:r>
          </w:p>
        </w:tc>
        <w:tc>
          <w:tcPr>
            <w:tcW w:w="0" w:type="dxa"/>
            <w:vAlign w:val="bottom"/>
          </w:tcPr>
          <w:p>
            <w:pPr>
              <w:spacing w:after="0"/>
              <w:rPr>
                <w:sz w:val="1"/>
                <w:szCs w:val="1"/>
                <w:color w:val="auto"/>
              </w:rPr>
            </w:pPr>
          </w:p>
        </w:tc>
      </w:tr>
      <w:tr>
        <w:trPr>
          <w:trHeight w:val="23"/>
        </w:trPr>
        <w:tc>
          <w:tcPr>
            <w:tcW w:w="4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expenses include payroll, employee benefits, stock-based compensation expense, and other headcount-related expenses associated with finance, legal, facilities, certain human resources and other administrative personnel, certain taxes, and legal and other administrative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Three Months Ended September 30, 2021</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General and administrative expenses increased $111 million or 9% driven by investments in corporate functions. General and administrative included a favorable foreign currency impact of 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OTHER INCOME (EXPENSE),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income (expense), net were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0465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20"/>
                <w:szCs w:val="20"/>
                <w:color w:val="auto"/>
              </w:rPr>
            </w:pPr>
            <w:r>
              <w:rPr>
                <w:rFonts w:ascii="Arial" w:cs="Arial" w:eastAsia="Arial" w:hAnsi="Arial"/>
                <w:sz w:val="13"/>
                <w:szCs w:val="13"/>
                <w:b w:val="1"/>
                <w:bCs w:val="1"/>
                <w:color w:val="auto"/>
              </w:rPr>
              <w:t>Three Months Ended September 30,</w:t>
            </w:r>
          </w:p>
        </w:tc>
        <w:tc>
          <w:tcPr>
            <w:tcW w:w="6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6"/>
                <w:szCs w:val="16"/>
                <w:color w:val="auto"/>
              </w:rPr>
            </w:pPr>
          </w:p>
        </w:tc>
      </w:tr>
      <w:tr>
        <w:trPr>
          <w:trHeight w:val="44"/>
        </w:trPr>
        <w:tc>
          <w:tcPr>
            <w:tcW w:w="7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and dividends income</w:t>
            </w:r>
          </w:p>
        </w:tc>
        <w:tc>
          <w:tcPr>
            <w:tcW w:w="600" w:type="dxa"/>
            <w:vAlign w:val="bottom"/>
            <w:shd w:val="clear" w:color="auto" w:fill="E5E5E5"/>
          </w:tcPr>
          <w:p>
            <w:pPr>
              <w:jc w:val="right"/>
              <w:ind w:right="41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641</w:t>
            </w:r>
          </w:p>
        </w:tc>
        <w:tc>
          <w:tcPr>
            <w:tcW w:w="68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520</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(500)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(539)</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recognized gains on investments</w:t>
            </w:r>
          </w:p>
        </w:tc>
        <w:tc>
          <w:tcPr>
            <w:tcW w:w="6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371</w:t>
            </w:r>
          </w:p>
        </w:tc>
      </w:tr>
      <w:tr>
        <w:trPr>
          <w:trHeight w:val="203"/>
        </w:trPr>
        <w:tc>
          <w:tcPr>
            <w:tcW w:w="7980" w:type="dxa"/>
            <w:vAlign w:val="bottom"/>
          </w:tcPr>
          <w:p>
            <w:pPr>
              <w:spacing w:after="0" w:line="202" w:lineRule="exact"/>
              <w:rPr>
                <w:sz w:val="20"/>
                <w:szCs w:val="20"/>
                <w:color w:val="auto"/>
              </w:rPr>
            </w:pPr>
            <w:r>
              <w:rPr>
                <w:rFonts w:ascii="Arial" w:cs="Arial" w:eastAsia="Arial" w:hAnsi="Arial"/>
                <w:sz w:val="18"/>
                <w:szCs w:val="18"/>
                <w:color w:val="auto"/>
              </w:rPr>
              <w:t>Net gains (losses) on derivatives</w:t>
            </w:r>
          </w:p>
        </w:tc>
        <w:tc>
          <w:tcPr>
            <w:tcW w:w="6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r>
      <w:tr>
        <w:trPr>
          <w:trHeight w:val="203"/>
        </w:trPr>
        <w:tc>
          <w:tcPr>
            <w:tcW w:w="7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Net losses on foreign currency remeasurements</w:t>
            </w:r>
          </w:p>
        </w:tc>
        <w:tc>
          <w:tcPr>
            <w:tcW w:w="6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(78)</w:t>
            </w:r>
          </w:p>
        </w:tc>
        <w:tc>
          <w:tcPr>
            <w:tcW w:w="8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color w:val="auto"/>
              </w:rPr>
              <w:t>(65)</w:t>
            </w:r>
          </w:p>
        </w:tc>
      </w:tr>
      <w:tr>
        <w:trPr>
          <w:trHeight w:val="247"/>
        </w:trPr>
        <w:tc>
          <w:tcPr>
            <w:tcW w:w="7980" w:type="dxa"/>
            <w:vAlign w:val="bottom"/>
          </w:tcPr>
          <w:p>
            <w:pPr>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r>
      <w:tr>
        <w:trPr>
          <w:trHeight w:val="23"/>
        </w:trPr>
        <w:tc>
          <w:tcPr>
            <w:tcW w:w="7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61"/>
        </w:trPr>
        <w:tc>
          <w:tcPr>
            <w:tcW w:w="7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3"/>
        </w:trPr>
        <w:tc>
          <w:tcPr>
            <w:tcW w:w="7980" w:type="dxa"/>
            <w:vAlign w:val="bottom"/>
            <w:shd w:val="clear" w:color="auto" w:fill="E5E5E5"/>
          </w:tcPr>
          <w:p>
            <w:pPr>
              <w:ind w:left="220"/>
              <w:spacing w:after="0" w:line="202" w:lineRule="exact"/>
              <w:rPr>
                <w:sz w:val="20"/>
                <w:szCs w:val="20"/>
                <w:color w:val="auto"/>
              </w:rPr>
            </w:pPr>
            <w:r>
              <w:rPr>
                <w:rFonts w:ascii="Arial" w:cs="Arial" w:eastAsia="Arial" w:hAnsi="Arial"/>
                <w:sz w:val="18"/>
                <w:szCs w:val="18"/>
                <w:color w:val="auto"/>
              </w:rPr>
              <w:t>Total</w:t>
            </w:r>
          </w:p>
        </w:tc>
        <w:tc>
          <w:tcPr>
            <w:tcW w:w="600" w:type="dxa"/>
            <w:vAlign w:val="bottom"/>
            <w:shd w:val="clear" w:color="auto" w:fill="E5E5E5"/>
          </w:tcPr>
          <w:p>
            <w:pPr>
              <w:jc w:val="right"/>
              <w:ind w:right="410"/>
              <w:spacing w:after="0" w:line="202" w:lineRule="exact"/>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b w:val="1"/>
                <w:bCs w:val="1"/>
                <w:color w:val="auto"/>
              </w:rPr>
              <w:t>54</w:t>
            </w:r>
          </w:p>
        </w:tc>
        <w:tc>
          <w:tcPr>
            <w:tcW w:w="680" w:type="dxa"/>
            <w:vAlign w:val="bottom"/>
            <w:gridSpan w:val="2"/>
            <w:shd w:val="clear" w:color="auto" w:fill="E5E5E5"/>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E5E5E5"/>
          </w:tcPr>
          <w:p>
            <w:pPr>
              <w:jc w:val="right"/>
              <w:ind w:right="140"/>
              <w:spacing w:after="0" w:line="202" w:lineRule="exact"/>
              <w:rPr>
                <w:sz w:val="20"/>
                <w:szCs w:val="20"/>
                <w:color w:val="auto"/>
              </w:rPr>
            </w:pPr>
            <w:r>
              <w:rPr>
                <w:rFonts w:ascii="Arial" w:cs="Arial" w:eastAsia="Arial" w:hAnsi="Arial"/>
                <w:sz w:val="18"/>
                <w:szCs w:val="18"/>
                <w:color w:val="auto"/>
              </w:rPr>
              <w:t>286</w:t>
            </w:r>
          </w:p>
        </w:tc>
      </w:tr>
      <w:tr>
        <w:trPr>
          <w:trHeight w:val="74"/>
        </w:trPr>
        <w:tc>
          <w:tcPr>
            <w:tcW w:w="79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with Three Months Ended September 30, 2021</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and dividends income increased due to higher yields, offset in part by lower portfolio balances. Interest expense decreased due to a decrease in outstanding long-term debt due to debt maturities. Net recognized gains on investments decreased primarily due to lower gains on equity securities.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Our effective tax rate was 19% and 0% for the three months ended September 30, 2022 and 2021, respectively. The increase in our effective tax rate for the current quarter compared to the prior year was primarily due to a $3.3 billion net income tax benefit in the first quarter of fiscal year 2022 related to the transfer of intangible properties and a decrease in tax benefits relating to stock-based compensation.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tax.</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effective tax rate was lower than the U.S. federal statutory rate for the three months ended September 30, 2022, primarily due to earnings taxed at lower rates in foreign jurisdictions resulting from producing and distributing our products and services through our foreign regional operations center in Ireland.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September 30, 2022,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and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 in many jurisdictions outside the U.S. Our operations in certain jurisdictions remain subject to examination for tax years 1996 to 2022, some of which are currently under audit by local tax authorities. The resolution of each of these audits is not expected to be material to our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NON-GAAP FINANCIAL MEASURES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Adjusted net income and adjusted diluted EPS are non-GAAP financial measures which exclude the net tax benefit related to the transfer of intangible properties in the first quarter of fiscal year 2022. We believe these non-GAAP measures aid investors by providing additional insight into our operational performance and help clarify trends affecting our business. For comparability of reporting, management considers non-GAAP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our financial results reported in accordance with GAAP to non-GAAP financial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percentages)</w:t>
            </w: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Three Months Ended</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186"/>
        </w:trPr>
        <w:tc>
          <w:tcPr>
            <w:tcW w:w="63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September 30,</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44"/>
        </w:trPr>
        <w:tc>
          <w:tcPr>
            <w:tcW w:w="30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2021</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632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17,556</w:t>
            </w:r>
          </w:p>
        </w:tc>
        <w:tc>
          <w:tcPr>
            <w:tcW w:w="2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20,505</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7"/>
        </w:trPr>
        <w:tc>
          <w:tcPr>
            <w:tcW w:w="6320" w:type="dxa"/>
            <w:vAlign w:val="bottom"/>
            <w:gridSpan w:val="2"/>
          </w:tcPr>
          <w:p>
            <w:pPr>
              <w:spacing w:after="0"/>
              <w:rPr>
                <w:sz w:val="20"/>
                <w:szCs w:val="20"/>
                <w:color w:val="auto"/>
              </w:rPr>
            </w:pPr>
            <w:r>
              <w:rPr>
                <w:rFonts w:ascii="Arial" w:cs="Arial" w:eastAsia="Arial" w:hAnsi="Arial"/>
                <w:sz w:val="18"/>
                <w:szCs w:val="18"/>
                <w:color w:val="auto"/>
              </w:rPr>
              <w:t>Net income tax benefit related to transfer of intangible properties</w:t>
            </w:r>
          </w:p>
        </w:tc>
        <w:tc>
          <w:tcPr>
            <w:tcW w:w="5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(3,291)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3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6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Adjusted net income (non-GAAP)</w:t>
            </w:r>
          </w:p>
        </w:tc>
        <w:tc>
          <w:tcPr>
            <w:tcW w:w="500" w:type="dxa"/>
            <w:vAlign w:val="bottom"/>
            <w:shd w:val="clear" w:color="auto" w:fill="E5E5E5"/>
          </w:tcPr>
          <w:p>
            <w:pPr>
              <w:jc w:val="right"/>
              <w:ind w:right="31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17,556</w:t>
            </w:r>
          </w:p>
        </w:tc>
        <w:tc>
          <w:tcPr>
            <w:tcW w:w="220" w:type="dxa"/>
            <w:vAlign w:val="bottom"/>
            <w:gridSpan w:val="2"/>
            <w:shd w:val="clear" w:color="auto" w:fill="E5E5E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E5E5E5"/>
          </w:tcPr>
          <w:p>
            <w:pPr>
              <w:jc w:val="right"/>
              <w:ind w:right="520"/>
              <w:spacing w:after="0" w:line="202" w:lineRule="exact"/>
              <w:rPr>
                <w:sz w:val="20"/>
                <w:szCs w:val="20"/>
                <w:color w:val="auto"/>
              </w:rPr>
            </w:pPr>
            <w:r>
              <w:rPr>
                <w:rFonts w:ascii="Arial" w:cs="Arial" w:eastAsia="Arial" w:hAnsi="Arial"/>
                <w:sz w:val="18"/>
                <w:szCs w:val="18"/>
                <w:color w:val="auto"/>
              </w:rPr>
              <w:t>17,214</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74"/>
        </w:trPr>
        <w:tc>
          <w:tcPr>
            <w:tcW w:w="6320" w:type="dxa"/>
            <w:vAlign w:val="bottom"/>
            <w:gridSpan w:val="2"/>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63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20"/>
              <w:spacing w:after="0"/>
              <w:rPr>
                <w:sz w:val="20"/>
                <w:szCs w:val="20"/>
                <w:color w:val="auto"/>
              </w:rPr>
            </w:pPr>
            <w:r>
              <w:rPr>
                <w:rFonts w:ascii="Arial" w:cs="Arial" w:eastAsia="Arial" w:hAnsi="Arial"/>
                <w:sz w:val="18"/>
                <w:szCs w:val="18"/>
                <w:color w:val="auto"/>
              </w:rPr>
              <w:t>2.71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6320" w:type="dxa"/>
            <w:vAlign w:val="bottom"/>
            <w:gridSpan w:val="2"/>
            <w:shd w:val="clear" w:color="auto" w:fill="E5E5E5"/>
          </w:tcPr>
          <w:p>
            <w:pPr>
              <w:spacing w:after="0" w:line="202" w:lineRule="exact"/>
              <w:rPr>
                <w:sz w:val="20"/>
                <w:szCs w:val="20"/>
                <w:color w:val="auto"/>
              </w:rPr>
            </w:pPr>
            <w:r>
              <w:rPr>
                <w:rFonts w:ascii="Arial" w:cs="Arial" w:eastAsia="Arial" w:hAnsi="Arial"/>
                <w:sz w:val="18"/>
                <w:szCs w:val="18"/>
                <w:color w:val="auto"/>
              </w:rPr>
              <w:t>Net income tax benefit related to transfer of intangible properties</w:t>
            </w:r>
          </w:p>
        </w:tc>
        <w:tc>
          <w:tcPr>
            <w:tcW w:w="5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E5E5E5"/>
          </w:tcPr>
          <w:p>
            <w:pPr>
              <w:spacing w:after="0"/>
              <w:rPr>
                <w:sz w:val="17"/>
                <w:szCs w:val="17"/>
                <w:color w:val="auto"/>
              </w:rPr>
            </w:pPr>
          </w:p>
        </w:tc>
        <w:tc>
          <w:tcPr>
            <w:tcW w:w="120" w:type="dxa"/>
            <w:vAlign w:val="bottom"/>
            <w:shd w:val="clear" w:color="auto" w:fill="E5E5E5"/>
          </w:tcPr>
          <w:p>
            <w:pPr>
              <w:spacing w:after="0"/>
              <w:rPr>
                <w:sz w:val="17"/>
                <w:szCs w:val="17"/>
                <w:color w:val="auto"/>
              </w:rPr>
            </w:pPr>
          </w:p>
        </w:tc>
        <w:tc>
          <w:tcPr>
            <w:tcW w:w="1860" w:type="dxa"/>
            <w:vAlign w:val="bottom"/>
            <w:gridSpan w:val="2"/>
            <w:shd w:val="clear" w:color="auto" w:fill="E5E5E5"/>
          </w:tcPr>
          <w:p>
            <w:pPr>
              <w:jc w:val="right"/>
              <w:ind w:right="460"/>
              <w:spacing w:after="0" w:line="202" w:lineRule="exact"/>
              <w:rPr>
                <w:sz w:val="20"/>
                <w:szCs w:val="20"/>
                <w:color w:val="auto"/>
              </w:rPr>
            </w:pPr>
            <w:r>
              <w:rPr>
                <w:rFonts w:ascii="Arial" w:cs="Arial" w:eastAsia="Arial" w:hAnsi="Arial"/>
                <w:sz w:val="18"/>
                <w:szCs w:val="18"/>
                <w:color w:val="auto"/>
              </w:rPr>
              <w:t>(0.44)</w:t>
            </w:r>
          </w:p>
        </w:tc>
        <w:tc>
          <w:tcPr>
            <w:tcW w:w="1280" w:type="dxa"/>
            <w:vAlign w:val="bottom"/>
            <w:gridSpan w:val="2"/>
            <w:shd w:val="clear" w:color="auto" w:fill="E5E5E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6320" w:type="dxa"/>
            <w:vAlign w:val="bottom"/>
            <w:tcBorders>
              <w:bottom w:val="single" w:sz="8" w:color="auto"/>
            </w:tcBorders>
            <w:gridSpan w:val="2"/>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320" w:type="dxa"/>
            <w:vAlign w:val="bottom"/>
            <w:gridSpan w:val="2"/>
          </w:tcPr>
          <w:p>
            <w:pPr>
              <w:spacing w:after="0"/>
              <w:rPr>
                <w:sz w:val="20"/>
                <w:szCs w:val="20"/>
                <w:color w:val="auto"/>
              </w:rPr>
            </w:pPr>
            <w:r>
              <w:rPr>
                <w:rFonts w:ascii="Arial" w:cs="Arial" w:eastAsia="Arial" w:hAnsi="Arial"/>
                <w:sz w:val="18"/>
                <w:szCs w:val="18"/>
                <w:color w:val="auto"/>
              </w:rPr>
              <w:t>Adjusted diluted earnings per share (non-GAAP)</w:t>
            </w:r>
          </w:p>
        </w:tc>
        <w:tc>
          <w:tcPr>
            <w:tcW w:w="500" w:type="dxa"/>
            <w:vAlign w:val="bottom"/>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20"/>
              <w:spacing w:after="0"/>
              <w:rPr>
                <w:sz w:val="20"/>
                <w:szCs w:val="20"/>
                <w:color w:val="auto"/>
              </w:rPr>
            </w:pPr>
            <w:r>
              <w:rPr>
                <w:rFonts w:ascii="Arial" w:cs="Arial" w:eastAsia="Arial" w:hAnsi="Arial"/>
                <w:sz w:val="18"/>
                <w:szCs w:val="18"/>
                <w:color w:val="auto"/>
              </w:rPr>
              <w:t>2.27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3"/>
        </w:trPr>
        <w:tc>
          <w:tcPr>
            <w:tcW w:w="300" w:type="dxa"/>
            <w:vAlign w:val="bottom"/>
            <w:vMerge w:val="restart"/>
          </w:tcPr>
          <w:p>
            <w:pPr>
              <w:spacing w:after="0"/>
              <w:rPr>
                <w:sz w:val="20"/>
                <w:szCs w:val="20"/>
                <w:color w:val="auto"/>
              </w:rPr>
            </w:pPr>
            <w:r>
              <w:rPr>
                <w:rFonts w:ascii="Arial" w:cs="Arial" w:eastAsia="Arial" w:hAnsi="Arial"/>
                <w:sz w:val="18"/>
                <w:szCs w:val="18"/>
                <w:color w:val="auto"/>
              </w:rPr>
              <w:t>*</w:t>
            </w:r>
          </w:p>
        </w:tc>
        <w:tc>
          <w:tcPr>
            <w:tcW w:w="6020" w:type="dxa"/>
            <w:vAlign w:val="bottom"/>
            <w:vMerge w:val="restart"/>
          </w:tcPr>
          <w:p>
            <w:pPr>
              <w:ind w:left="240"/>
              <w:spacing w:after="0"/>
              <w:rPr>
                <w:sz w:val="20"/>
                <w:szCs w:val="20"/>
                <w:color w:val="auto"/>
              </w:rPr>
            </w:pPr>
            <w:r>
              <w:rPr>
                <w:rFonts w:ascii="Arial" w:cs="Arial" w:eastAsia="Arial" w:hAnsi="Arial"/>
                <w:sz w:val="18"/>
                <w:szCs w:val="18"/>
                <w:i w:val="1"/>
                <w:iCs w:val="1"/>
                <w:color w:val="auto"/>
              </w:rPr>
              <w:t>Not meaningful.</w:t>
            </w: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300" w:type="dxa"/>
            <w:vAlign w:val="bottom"/>
            <w:vMerge w:val="continue"/>
          </w:tcPr>
          <w:p>
            <w:pPr>
              <w:spacing w:after="0"/>
              <w:rPr>
                <w:sz w:val="24"/>
                <w:szCs w:val="24"/>
                <w:color w:val="auto"/>
              </w:rPr>
            </w:pPr>
          </w:p>
        </w:tc>
        <w:tc>
          <w:tcPr>
            <w:tcW w:w="60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Investments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cash equivalents, and short-term investments totaled $107.3 billion and $104.8 billion as of September 30, 2022 and June 30, 2022, respectively. Equity investments were $6.8 billion and $6.9 billion as of September 30, 2022 and June 30, 2022,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from operations decreased $1.3 billion to $23.2 billion for the three months ended September 30, 2022, mainly due to an increase in cash paid to suppliers and employees and cash used to pay income taxes, offset in part by an increase in cash received from customers. Cash used in financing decreased $ 5.4 billion to $10.9 billion for the three months ended September 30, 2022, mainly due to a $3.8 billion decrease in repayments of debt and a $2.1 billion decrease in common stock repurchases. Cash used in investing decreased $118 million to $3.1 billion for the three months ended September 30, 2022, due to an $857 million decrease in cash used for acquisitions of companies, net of cash acquired, and purchases of intangible and other assets, and a $177 million increase in cash from net investment purchases, sales, and maturities, offset in part by a $473 million increase in additions to property and equipment and a $443 million increase in other investing to facilitate the purchase of components.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Proceeds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Revenue</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9460" w:type="dxa"/>
            <w:vAlign w:val="bottom"/>
            <w:gridSpan w:val="3"/>
          </w:tcPr>
          <w:p>
            <w:pPr>
              <w:ind w:left="5420"/>
              <w:spacing w:after="0"/>
              <w:rPr>
                <w:sz w:val="20"/>
                <w:szCs w:val="20"/>
                <w:color w:val="auto"/>
              </w:rPr>
            </w:pPr>
            <w:r>
              <w:rPr>
                <w:rFonts w:ascii="Arial" w:cs="Arial" w:eastAsia="Arial" w:hAnsi="Arial"/>
                <w:sz w:val="13"/>
                <w:szCs w:val="13"/>
                <w:color w:val="auto"/>
              </w:rPr>
              <w:t>PART I</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0"/>
        </w:trPr>
        <w:tc>
          <w:tcPr>
            <w:tcW w:w="5420" w:type="dxa"/>
            <w:vAlign w:val="bottom"/>
          </w:tcPr>
          <w:p>
            <w:pPr>
              <w:spacing w:after="0"/>
              <w:rPr>
                <w:sz w:val="14"/>
                <w:szCs w:val="14"/>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Item 2</w:t>
            </w:r>
          </w:p>
        </w:tc>
        <w:tc>
          <w:tcPr>
            <w:tcW w:w="3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557"/>
        </w:trPr>
        <w:tc>
          <w:tcPr>
            <w:tcW w:w="9460" w:type="dxa"/>
            <w:vAlign w:val="bottom"/>
            <w:gridSpan w:val="3"/>
          </w:tcPr>
          <w:p>
            <w:pPr>
              <w:spacing w:after="0"/>
              <w:rPr>
                <w:sz w:val="20"/>
                <w:szCs w:val="20"/>
                <w:color w:val="auto"/>
              </w:rPr>
            </w:pPr>
            <w:r>
              <w:rPr>
                <w:rFonts w:ascii="Arial" w:cs="Arial" w:eastAsia="Arial" w:hAnsi="Arial"/>
                <w:sz w:val="18"/>
                <w:szCs w:val="18"/>
                <w:color w:val="auto"/>
              </w:rPr>
              <w:t>The following table outlines the expected future recognition of unearned revenue as of September 30, 2022:</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7"/>
        </w:trPr>
        <w:tc>
          <w:tcPr>
            <w:tcW w:w="9460" w:type="dxa"/>
            <w:vAlign w:val="bottom"/>
            <w:gridSpan w:val="3"/>
          </w:tcPr>
          <w:p>
            <w:pPr>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
        </w:trPr>
        <w:tc>
          <w:tcPr>
            <w:tcW w:w="54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233"/>
        </w:trPr>
        <w:tc>
          <w:tcPr>
            <w:tcW w:w="9460" w:type="dxa"/>
            <w:vAlign w:val="bottom"/>
            <w:gridSpan w:val="3"/>
          </w:tcPr>
          <w:p>
            <w:pPr>
              <w:spacing w:after="0"/>
              <w:rPr>
                <w:sz w:val="20"/>
                <w:szCs w:val="20"/>
                <w:color w:val="auto"/>
              </w:rPr>
            </w:pPr>
            <w:r>
              <w:rPr>
                <w:rFonts w:ascii="Arial" w:cs="Arial" w:eastAsia="Arial" w:hAnsi="Arial"/>
                <w:sz w:val="13"/>
                <w:szCs w:val="13"/>
                <w:b w:val="1"/>
                <w:bCs w:val="1"/>
                <w:color w:val="auto"/>
              </w:rPr>
              <w:t>Three Months Ending</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
        </w:trPr>
        <w:tc>
          <w:tcPr>
            <w:tcW w:w="5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94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December 31, 2022</w:t>
            </w:r>
          </w:p>
        </w:tc>
        <w:tc>
          <w:tcPr>
            <w:tcW w:w="600" w:type="dxa"/>
            <w:vAlign w:val="bottom"/>
            <w:shd w:val="clear" w:color="auto" w:fill="E5E5E5"/>
          </w:tcPr>
          <w:p>
            <w:pPr>
              <w:jc w:val="right"/>
              <w:ind w:right="410"/>
              <w:spacing w:after="0" w:line="202" w:lineRule="exact"/>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18,766</w:t>
            </w:r>
          </w:p>
        </w:tc>
        <w:tc>
          <w:tcPr>
            <w:tcW w:w="120" w:type="dxa"/>
            <w:vAlign w:val="bottom"/>
            <w:shd w:val="clear" w:color="auto" w:fill="E5E5E5"/>
          </w:tcPr>
          <w:p>
            <w:pPr>
              <w:spacing w:after="0"/>
              <w:rPr>
                <w:sz w:val="17"/>
                <w:szCs w:val="17"/>
                <w:color w:val="auto"/>
              </w:rPr>
            </w:pPr>
          </w:p>
        </w:tc>
      </w:tr>
      <w:tr>
        <w:trPr>
          <w:trHeight w:val="203"/>
        </w:trPr>
        <w:tc>
          <w:tcPr>
            <w:tcW w:w="9460" w:type="dxa"/>
            <w:vAlign w:val="bottom"/>
            <w:gridSpan w:val="3"/>
          </w:tcPr>
          <w:p>
            <w:pPr>
              <w:spacing w:after="0" w:line="202" w:lineRule="exact"/>
              <w:rPr>
                <w:sz w:val="20"/>
                <w:szCs w:val="20"/>
                <w:color w:val="auto"/>
              </w:rPr>
            </w:pPr>
            <w:r>
              <w:rPr>
                <w:rFonts w:ascii="Arial" w:cs="Arial" w:eastAsia="Arial" w:hAnsi="Arial"/>
                <w:sz w:val="18"/>
                <w:szCs w:val="18"/>
                <w:color w:val="auto"/>
              </w:rPr>
              <w:t>March 31, 2023</w:t>
            </w:r>
          </w:p>
        </w:tc>
        <w:tc>
          <w:tcPr>
            <w:tcW w:w="6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13,080</w:t>
            </w:r>
          </w:p>
        </w:tc>
        <w:tc>
          <w:tcPr>
            <w:tcW w:w="120" w:type="dxa"/>
            <w:vAlign w:val="bottom"/>
          </w:tcPr>
          <w:p>
            <w:pPr>
              <w:spacing w:after="0"/>
              <w:rPr>
                <w:sz w:val="17"/>
                <w:szCs w:val="17"/>
                <w:color w:val="auto"/>
              </w:rPr>
            </w:pPr>
          </w:p>
        </w:tc>
      </w:tr>
      <w:tr>
        <w:trPr>
          <w:trHeight w:val="203"/>
        </w:trPr>
        <w:tc>
          <w:tcPr>
            <w:tcW w:w="94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June 30, 2023</w:t>
            </w:r>
          </w:p>
        </w:tc>
        <w:tc>
          <w:tcPr>
            <w:tcW w:w="60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7,631</w:t>
            </w:r>
          </w:p>
        </w:tc>
        <w:tc>
          <w:tcPr>
            <w:tcW w:w="120" w:type="dxa"/>
            <w:vAlign w:val="bottom"/>
            <w:shd w:val="clear" w:color="auto" w:fill="E5E5E5"/>
          </w:tcPr>
          <w:p>
            <w:pPr>
              <w:spacing w:after="0"/>
              <w:rPr>
                <w:sz w:val="17"/>
                <w:szCs w:val="17"/>
                <w:color w:val="auto"/>
              </w:rPr>
            </w:pPr>
          </w:p>
        </w:tc>
      </w:tr>
      <w:tr>
        <w:trPr>
          <w:trHeight w:val="203"/>
        </w:trPr>
        <w:tc>
          <w:tcPr>
            <w:tcW w:w="9460" w:type="dxa"/>
            <w:vAlign w:val="bottom"/>
            <w:gridSpan w:val="3"/>
          </w:tcPr>
          <w:p>
            <w:pPr>
              <w:spacing w:after="0" w:line="202" w:lineRule="exact"/>
              <w:rPr>
                <w:sz w:val="20"/>
                <w:szCs w:val="20"/>
                <w:color w:val="auto"/>
              </w:rPr>
            </w:pPr>
            <w:r>
              <w:rPr>
                <w:rFonts w:ascii="Arial" w:cs="Arial" w:eastAsia="Arial" w:hAnsi="Arial"/>
                <w:sz w:val="18"/>
                <w:szCs w:val="18"/>
                <w:color w:val="auto"/>
              </w:rPr>
              <w:t>September 30, 2023</w:t>
            </w:r>
          </w:p>
        </w:tc>
        <w:tc>
          <w:tcPr>
            <w:tcW w:w="6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1,863</w:t>
            </w:r>
          </w:p>
        </w:tc>
        <w:tc>
          <w:tcPr>
            <w:tcW w:w="120" w:type="dxa"/>
            <w:vAlign w:val="bottom"/>
          </w:tcPr>
          <w:p>
            <w:pPr>
              <w:spacing w:after="0"/>
              <w:rPr>
                <w:sz w:val="17"/>
                <w:szCs w:val="17"/>
                <w:color w:val="auto"/>
              </w:rPr>
            </w:pPr>
          </w:p>
        </w:tc>
      </w:tr>
      <w:tr>
        <w:trPr>
          <w:trHeight w:val="203"/>
        </w:trPr>
        <w:tc>
          <w:tcPr>
            <w:tcW w:w="9460" w:type="dxa"/>
            <w:vAlign w:val="bottom"/>
            <w:gridSpan w:val="3"/>
            <w:shd w:val="clear" w:color="auto" w:fill="E5E5E5"/>
          </w:tcPr>
          <w:p>
            <w:pPr>
              <w:spacing w:after="0" w:line="202" w:lineRule="exact"/>
              <w:rPr>
                <w:sz w:val="20"/>
                <w:szCs w:val="20"/>
                <w:color w:val="auto"/>
              </w:rPr>
            </w:pPr>
            <w:r>
              <w:rPr>
                <w:rFonts w:ascii="Arial" w:cs="Arial" w:eastAsia="Arial" w:hAnsi="Arial"/>
                <w:sz w:val="18"/>
                <w:szCs w:val="18"/>
                <w:color w:val="auto"/>
              </w:rPr>
              <w:t>Thereafter</w:t>
            </w:r>
          </w:p>
        </w:tc>
        <w:tc>
          <w:tcPr>
            <w:tcW w:w="60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2,549</w:t>
            </w:r>
          </w:p>
        </w:tc>
        <w:tc>
          <w:tcPr>
            <w:tcW w:w="120" w:type="dxa"/>
            <w:vAlign w:val="bottom"/>
            <w:shd w:val="clear" w:color="auto" w:fill="E5E5E5"/>
          </w:tcPr>
          <w:p>
            <w:pPr>
              <w:spacing w:after="0"/>
              <w:rPr>
                <w:sz w:val="17"/>
                <w:szCs w:val="17"/>
                <w:color w:val="auto"/>
              </w:rPr>
            </w:pPr>
          </w:p>
        </w:tc>
      </w:tr>
      <w:tr>
        <w:trPr>
          <w:trHeight w:val="68"/>
        </w:trPr>
        <w:tc>
          <w:tcPr>
            <w:tcW w:w="54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6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75"/>
        </w:trPr>
        <w:tc>
          <w:tcPr>
            <w:tcW w:w="946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600" w:type="dxa"/>
            <w:vAlign w:val="bottom"/>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43,889</w:t>
            </w:r>
          </w:p>
        </w:tc>
        <w:tc>
          <w:tcPr>
            <w:tcW w:w="120" w:type="dxa"/>
            <w:vAlign w:val="bottom"/>
          </w:tcPr>
          <w:p>
            <w:pPr>
              <w:spacing w:after="0"/>
              <w:rPr>
                <w:sz w:val="23"/>
                <w:szCs w:val="23"/>
                <w:color w:val="auto"/>
              </w:rPr>
            </w:pPr>
          </w:p>
        </w:tc>
      </w:tr>
      <w:tr>
        <w:trPr>
          <w:trHeight w:val="63"/>
        </w:trPr>
        <w:tc>
          <w:tcPr>
            <w:tcW w:w="5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r>
    </w:tbl>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 Item 1 of this Form 10-Q)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and Other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We have paid transition tax of $7.7 billion, which included $1.5 billion during the three months ended September 30, 2022. The remaining transition tax of $10.5 billion is payable over the next three years, with $2.5 billion payable within 12 months.</w:t>
      </w:r>
    </w:p>
    <w:p>
      <w:pPr>
        <w:spacing w:after="0" w:line="1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Provisions enacted in the TCJA related to the capitalization for tax purposes of research and experimental expenditures became effective on July 1, 2022. These provisions require us to capitalize research and experimental expenditures and amortize them on the U.S. tax return over five or fifteen years, depending on where research is conducted. The final foreign tax credit regulations, also effective on July 1, 2022, introduced significant changes to foreign tax credit calculations in the U.S. tax return. While these provisions are not expected to have a material impact on our fiscal year 2023 effective tax rate on a net basis, our cash paid for taxes would increase unless these provisions are postponed or modified through legislative processes.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three months ended September 30, 2022 and 2021, we repurchased 17 million shares and 21 million shares of our common stock for $4.6 billion and $6.2 billion, respectively, through our share repurchase programs. All repurchases were made using cash resources. As of September 30, 2022, $36.1 billion remained of our $60 billion share repurchase program. Refer to Note 15 – Stockholders’ Equity of the Notes to Financial Statements (Part I, Item 1 of this Form 10-Q)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three months ended September 30, 2022 and 2021, our Board of Directors declared quarterly dividends of $ 0.68 per share and $0.62 per share, respectively. We intend to continue returning capital to shareholders in the form of dividends, subject to declaration by our Board of Directors. Refer to Note 15 – Stockholders’ Equity of the Notes to Financial Statements (Part I, Item 1 of this Form 10-Q)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Planned Uses of Capital</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January 18, 2022, we entered into a definitive agreement to acquire Activision Blizzard, Inc. (“Activision Blizzard”) for $95.00 per share in an all-cash transaction valued at $68.7 billion, inclusive of Activision Blizzard’s net cash. The acquisition has been approved by Activision Blizzard’s shareholders, and we expect it to close in fiscal year 2023, subject to the satisfaction of certain regulatory approvals and other customary closing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continue to invest in sales, marketing, product support infrastructure, and existing and advanced areas of technology, as well as continue making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CRITICAL ACCOUNTING ESTIMATES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inventories.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Due to the various benefits from and the nature of our SA program, judgment is required to assess the pattern of delivery, including the exercise pattern of certain benefits across our portfolio of customers.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 Securities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for us)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Contingencies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ind w:left="54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3"/>
          <w:szCs w:val="13"/>
          <w:u w:val="single" w:color="auto"/>
          <w:color w:val="auto"/>
        </w:rPr>
        <w:t>PART I</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Item 3, 4</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RISKS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5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58"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158"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Our fixed-income portfolio is diversified and consists primarily of investment-grade securities. We manage credit exposures relative to broad-based indices to facilitate portfolio diversification.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Securities held in our equity investments portfolio are subject to price risk.</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SENSITIVITY ANALYSIS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sets forth the potential loss in future earnings or fair values, including associated derivatives, resulting from hypothetical changes in relevant market rates or prices: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06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vMerge w:val="restart"/>
          </w:tcPr>
          <w:p>
            <w:pPr>
              <w:spacing w:after="0"/>
              <w:rPr>
                <w:sz w:val="20"/>
                <w:szCs w:val="20"/>
                <w:color w:val="auto"/>
              </w:rPr>
            </w:pPr>
            <w:r>
              <w:rPr>
                <w:rFonts w:ascii="Arial" w:cs="Arial" w:eastAsia="Arial" w:hAnsi="Arial"/>
                <w:sz w:val="13"/>
                <w:szCs w:val="13"/>
                <w:b w:val="1"/>
                <w:bCs w:val="1"/>
                <w:color w:val="auto"/>
              </w:rPr>
              <w:t>Risk Categories</w:t>
            </w:r>
          </w:p>
        </w:tc>
        <w:tc>
          <w:tcPr>
            <w:tcW w:w="520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Hypothetical Change</w:t>
            </w:r>
          </w:p>
        </w:tc>
        <w:tc>
          <w:tcPr>
            <w:tcW w:w="720" w:type="dxa"/>
            <w:vAlign w:val="bottom"/>
          </w:tcPr>
          <w:p>
            <w:pPr>
              <w:spacing w:after="0"/>
              <w:rPr>
                <w:sz w:val="12"/>
                <w:szCs w:val="12"/>
                <w:color w:val="auto"/>
              </w:rPr>
            </w:pPr>
          </w:p>
        </w:tc>
        <w:tc>
          <w:tcPr>
            <w:tcW w:w="1240" w:type="dxa"/>
            <w:vAlign w:val="bottom"/>
          </w:tcPr>
          <w:p>
            <w:pPr>
              <w:jc w:val="right"/>
              <w:ind w:right="36"/>
              <w:spacing w:after="0"/>
              <w:rPr>
                <w:sz w:val="20"/>
                <w:szCs w:val="20"/>
                <w:color w:val="auto"/>
              </w:rPr>
            </w:pPr>
            <w:r>
              <w:rPr>
                <w:rFonts w:ascii="Arial" w:cs="Arial" w:eastAsia="Arial" w:hAnsi="Arial"/>
                <w:sz w:val="13"/>
                <w:szCs w:val="13"/>
                <w:b w:val="1"/>
                <w:bCs w:val="1"/>
                <w:color w:val="auto"/>
              </w:rPr>
              <w:t>September 30,</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Impact</w:t>
            </w:r>
          </w:p>
        </w:tc>
        <w:tc>
          <w:tcPr>
            <w:tcW w:w="0" w:type="dxa"/>
            <w:vAlign w:val="bottom"/>
          </w:tcPr>
          <w:p>
            <w:pPr>
              <w:spacing w:after="0"/>
              <w:rPr>
                <w:sz w:val="1"/>
                <w:szCs w:val="1"/>
                <w:color w:val="auto"/>
              </w:rPr>
            </w:pPr>
          </w:p>
        </w:tc>
      </w:tr>
      <w:tr>
        <w:trPr>
          <w:trHeight w:val="186"/>
        </w:trPr>
        <w:tc>
          <w:tcPr>
            <w:tcW w:w="2980" w:type="dxa"/>
            <w:vAlign w:val="bottom"/>
            <w:vMerge w:val="continue"/>
          </w:tcPr>
          <w:p>
            <w:pPr>
              <w:spacing w:after="0"/>
              <w:rPr>
                <w:sz w:val="16"/>
                <w:szCs w:val="16"/>
                <w:color w:val="auto"/>
              </w:rPr>
            </w:pPr>
          </w:p>
        </w:tc>
        <w:tc>
          <w:tcPr>
            <w:tcW w:w="520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980" w:type="dxa"/>
            <w:vAlign w:val="bottom"/>
          </w:tcPr>
          <w:p>
            <w:pPr>
              <w:spacing w:after="0"/>
              <w:rPr>
                <w:sz w:val="3"/>
                <w:szCs w:val="3"/>
                <w:color w:val="auto"/>
              </w:rPr>
            </w:pPr>
          </w:p>
        </w:tc>
        <w:tc>
          <w:tcPr>
            <w:tcW w:w="5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Foreign currency – Revenue</w:t>
            </w:r>
          </w:p>
        </w:tc>
        <w:tc>
          <w:tcPr>
            <w:tcW w:w="520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10% decrease in foreign exchange rates</w:t>
            </w:r>
          </w:p>
        </w:tc>
        <w:tc>
          <w:tcPr>
            <w:tcW w:w="720" w:type="dxa"/>
            <w:vAlign w:val="bottom"/>
            <w:shd w:val="clear" w:color="auto" w:fill="E5E5E5"/>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(7,829)</w:t>
            </w:r>
          </w:p>
        </w:tc>
        <w:tc>
          <w:tcPr>
            <w:tcW w:w="112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Foreign currency – Investments</w:t>
            </w:r>
          </w:p>
        </w:tc>
        <w:tc>
          <w:tcPr>
            <w:tcW w:w="5200" w:type="dxa"/>
            <w:vAlign w:val="bottom"/>
          </w:tcPr>
          <w:p>
            <w:pPr>
              <w:ind w:left="480"/>
              <w:spacing w:after="0" w:line="202" w:lineRule="exact"/>
              <w:rPr>
                <w:sz w:val="20"/>
                <w:szCs w:val="20"/>
                <w:color w:val="auto"/>
              </w:rPr>
            </w:pPr>
            <w:r>
              <w:rPr>
                <w:rFonts w:ascii="Arial" w:cs="Arial" w:eastAsia="Arial" w:hAnsi="Arial"/>
                <w:sz w:val="18"/>
                <w:szCs w:val="18"/>
                <w:color w:val="auto"/>
              </w:rPr>
              <w:t>10% decrease in foreign exchange rates</w:t>
            </w:r>
          </w:p>
        </w:tc>
        <w:tc>
          <w:tcPr>
            <w:tcW w:w="7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(94)</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Interest rate</w:t>
            </w:r>
          </w:p>
        </w:tc>
        <w:tc>
          <w:tcPr>
            <w:tcW w:w="520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100 basis point increase in U.S. treasury interest rates</w:t>
            </w:r>
          </w:p>
        </w:tc>
        <w:tc>
          <w:tcPr>
            <w:tcW w:w="7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(2,274)</w:t>
            </w:r>
          </w:p>
        </w:tc>
        <w:tc>
          <w:tcPr>
            <w:tcW w:w="112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Credit</w:t>
            </w:r>
          </w:p>
        </w:tc>
        <w:tc>
          <w:tcPr>
            <w:tcW w:w="5200" w:type="dxa"/>
            <w:vAlign w:val="bottom"/>
          </w:tcPr>
          <w:p>
            <w:pPr>
              <w:ind w:left="480"/>
              <w:spacing w:after="0" w:line="202" w:lineRule="exact"/>
              <w:rPr>
                <w:sz w:val="20"/>
                <w:szCs w:val="20"/>
                <w:color w:val="auto"/>
              </w:rPr>
            </w:pPr>
            <w:r>
              <w:rPr>
                <w:rFonts w:ascii="Arial" w:cs="Arial" w:eastAsia="Arial" w:hAnsi="Arial"/>
                <w:sz w:val="18"/>
                <w:szCs w:val="18"/>
                <w:color w:val="auto"/>
              </w:rPr>
              <w:t>100 basis point increase in credit spreads</w:t>
            </w:r>
          </w:p>
        </w:tc>
        <w:tc>
          <w:tcPr>
            <w:tcW w:w="7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(326)</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03"/>
        </w:trPr>
        <w:tc>
          <w:tcPr>
            <w:tcW w:w="298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Equity</w:t>
            </w:r>
          </w:p>
        </w:tc>
        <w:tc>
          <w:tcPr>
            <w:tcW w:w="5200" w:type="dxa"/>
            <w:vAlign w:val="bottom"/>
            <w:shd w:val="clear" w:color="auto" w:fill="E5E5E5"/>
          </w:tcPr>
          <w:p>
            <w:pPr>
              <w:ind w:left="480"/>
              <w:spacing w:after="0" w:line="202" w:lineRule="exact"/>
              <w:rPr>
                <w:sz w:val="20"/>
                <w:szCs w:val="20"/>
                <w:color w:val="auto"/>
              </w:rPr>
            </w:pPr>
            <w:r>
              <w:rPr>
                <w:rFonts w:ascii="Arial" w:cs="Arial" w:eastAsia="Arial" w:hAnsi="Arial"/>
                <w:sz w:val="18"/>
                <w:szCs w:val="18"/>
                <w:color w:val="auto"/>
              </w:rPr>
              <w:t>10% decrease in equity market prices</w:t>
            </w:r>
          </w:p>
        </w:tc>
        <w:tc>
          <w:tcPr>
            <w:tcW w:w="720" w:type="dxa"/>
            <w:vAlign w:val="bottom"/>
            <w:shd w:val="clear" w:color="auto" w:fill="E5E5E5"/>
          </w:tcPr>
          <w:p>
            <w:pPr>
              <w:spacing w:after="0"/>
              <w:rPr>
                <w:sz w:val="17"/>
                <w:szCs w:val="17"/>
                <w:color w:val="auto"/>
              </w:rPr>
            </w:pPr>
          </w:p>
        </w:tc>
        <w:tc>
          <w:tcPr>
            <w:tcW w:w="12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(617)</w:t>
            </w:r>
          </w:p>
        </w:tc>
        <w:tc>
          <w:tcPr>
            <w:tcW w:w="1120" w:type="dxa"/>
            <w:vAlign w:val="bottom"/>
            <w:gridSpan w:val="2"/>
            <w:shd w:val="clear" w:color="auto" w:fill="E5E5E5"/>
          </w:tcPr>
          <w:p>
            <w:pPr>
              <w:ind w:left="60"/>
              <w:spacing w:after="0" w:line="202" w:lineRule="exact"/>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68"/>
        </w:trPr>
        <w:tc>
          <w:tcPr>
            <w:tcW w:w="298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ITEM 4. CONTROLS AND PROCEDURES</w:t>
      </w:r>
    </w:p>
    <w:p>
      <w:pPr>
        <w:spacing w:after="0" w:line="162"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Item 1, 1A</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 LEGAL PROCEEDINGS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Refer to Note 14 – Contingencies of the Notes to Financial Statements (Part I, Item 1 of this Form 10-Q) for information regarding legal proceedings in which we are involved.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1A. RISK FACTORS</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STRATEGIC AND COMPETITIVE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face intense competition across all markets for our products and services, which may lead to lower revenue or operating margins.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technology sector</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among platform-based ecosystems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25" w:lineRule="exact"/>
        <w:rPr>
          <w:sz w:val="20"/>
          <w:szCs w:val="20"/>
          <w:color w:val="auto"/>
        </w:rPr>
      </w:pPr>
    </w:p>
    <w:p>
      <w:pPr>
        <w:jc w:val="both"/>
        <w:ind w:left="1060" w:hanging="391"/>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80" w:lineRule="exact"/>
        <w:rPr>
          <w:sz w:val="20"/>
          <w:szCs w:val="20"/>
          <w:color w:val="auto"/>
        </w:rPr>
      </w:pPr>
    </w:p>
    <w:p>
      <w:pPr>
        <w:jc w:val="both"/>
        <w:ind w:left="1060" w:hanging="391"/>
        <w:spacing w:after="0" w:line="239"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34" w:lineRule="exact"/>
        <w:rPr>
          <w:rFonts w:ascii="Arial" w:cs="Arial" w:eastAsia="Arial" w:hAnsi="Arial"/>
          <w:sz w:val="18"/>
          <w:szCs w:val="18"/>
          <w:color w:val="auto"/>
        </w:rPr>
      </w:pPr>
    </w:p>
    <w:p>
      <w:pPr>
        <w:jc w:val="both"/>
        <w:ind w:left="1060" w:hanging="391"/>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 competition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Companies compete with us based on a growing variety of business models.</w:t>
      </w:r>
    </w:p>
    <w:p>
      <w:pPr>
        <w:spacing w:after="0" w:line="77" w:lineRule="exact"/>
        <w:rPr>
          <w:sz w:val="20"/>
          <w:szCs w:val="20"/>
          <w:color w:val="auto"/>
        </w:rPr>
      </w:pPr>
    </w:p>
    <w:p>
      <w:pPr>
        <w:jc w:val="both"/>
        <w:ind w:left="1060" w:hanging="391"/>
        <w:spacing w:after="0" w:line="24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Even as we transition more of our business to infrastructure-,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27" w:lineRule="exact"/>
        <w:rPr>
          <w:rFonts w:ascii="Arial" w:cs="Arial" w:eastAsia="Arial" w:hAnsi="Arial"/>
          <w:sz w:val="18"/>
          <w:szCs w:val="18"/>
          <w:color w:val="auto"/>
        </w:rPr>
      </w:pPr>
    </w:p>
    <w:p>
      <w:pPr>
        <w:jc w:val="both"/>
        <w:ind w:left="1060" w:hanging="391"/>
        <w:spacing w:after="0" w:line="253"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20" w:lineRule="exact"/>
        <w:rPr>
          <w:rFonts w:ascii="Arial" w:cs="Arial" w:eastAsia="Arial" w:hAnsi="Arial"/>
          <w:sz w:val="18"/>
          <w:szCs w:val="18"/>
          <w:color w:val="auto"/>
        </w:rPr>
      </w:pPr>
    </w:p>
    <w:p>
      <w:pPr>
        <w:jc w:val="both"/>
        <w:ind w:left="1060" w:hanging="391"/>
        <w:spacing w:after="0" w:line="253"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Some companies compete with us by modifying and then distributing open source software at little or no cost to end users, and earning revenue on advertising or integrated products and services. These firms do not bear the full costs of research and development for the open source software. Some open source software mimics the features and functionality of our products.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increasing focus on cloud-based services presents execution and competitive risks. </w:t>
      </w:r>
      <w:r>
        <w:rPr>
          <w:rFonts w:ascii="Arial" w:cs="Arial" w:eastAsia="Arial" w:hAnsi="Arial"/>
          <w:sz w:val="18"/>
          <w:szCs w:val="18"/>
          <w:color w:val="auto"/>
        </w:rPr>
        <w:t>A growing part of our business involves</w:t>
      </w:r>
      <w:r>
        <w:rPr>
          <w:rFonts w:ascii="Arial" w:cs="Arial" w:eastAsia="Arial" w:hAnsi="Arial"/>
          <w:sz w:val="18"/>
          <w:szCs w:val="18"/>
          <w:b w:val="1"/>
          <w:bCs w:val="1"/>
          <w:color w:val="auto"/>
        </w:rPr>
        <w:t xml:space="preserve"> </w:t>
      </w:r>
      <w:r>
        <w:rPr>
          <w:rFonts w:ascii="Arial" w:cs="Arial" w:eastAsia="Arial" w:hAnsi="Arial"/>
          <w:sz w:val="18"/>
          <w:szCs w:val="18"/>
          <w:color w:val="auto"/>
        </w:rPr>
        <w:t>cloud-based services available across the spectrum of computing devices. Our strategic vision is to compete and grow by building best-in-class platforms and productivity services for an intelligent cloud and an intelligent edge infused with artificial intelligence (“AI”).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We are devoting significant resources to develop and deploy our cloud-based strategies. The Windows ecosystem must continue to evolve with this changing environment. We embrace cultural and organizational changes to drive accountability and eliminate obstacles to innovation. Our intelligent cloud and intelligent edge worldview is connected with the growth of the Internet of Things (“IoT”), a network of distributed and interconnected devices employing sensors, data, and computing capabilities, including AI. Our success in the IoT will depend on the level of adoption of our offerings such as Azure, Azure Stack, Azure IoT Edge, and Azure Sphere. We may not establish market share sufficient to achieve scale necessary to meet our business objectives.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20" w:lineRule="exact"/>
        <w:rPr>
          <w:sz w:val="20"/>
          <w:szCs w:val="20"/>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bring to market compelling cloud-based experiences that generate increasing traffic and market share.</w:t>
      </w:r>
    </w:p>
    <w:p>
      <w:pPr>
        <w:spacing w:after="0" w:line="103"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enhance the attractiveness of our cloud platforms to third-party developers.</w:t>
      </w:r>
    </w:p>
    <w:p>
      <w:pPr>
        <w:spacing w:after="0" w:line="103"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Ensuring our cloud-based services meet the reliability expectations of our customers and maintain the security of their data as well as help them meet their own compliance needs.</w:t>
      </w:r>
    </w:p>
    <w:p>
      <w:pPr>
        <w:spacing w:after="0" w:line="5"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Making our suite of cloud-based services platform-agnostic, available on a wide range of devices and ecosystems, including those of our competitors.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Some users may engage in fraudulent or abusive activities through our cloud-based services. These include unauthorized use of accounts through stolen credentials, use of stolen credit cards or other payment vehicles, failure to pay for services accessed, or other activities that violate our terms of service such as cryptocurrency mining or launching cyberattacks. If our efforts to detect such violations or our actions to control these types of fraud and abuse are not effective, we may experience adverse impacts to our revenue or incur reputational damage.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RISKS RELATING TO THE EVOLUTION OF OUR BUSINESS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We make significant investments in products and services that may not achieve expected returns. </w:t>
      </w:r>
      <w:r>
        <w:rPr>
          <w:rFonts w:ascii="Arial" w:cs="Arial" w:eastAsia="Arial" w:hAnsi="Arial"/>
          <w:sz w:val="18"/>
          <w:szCs w:val="18"/>
          <w:color w:val="auto"/>
        </w:rPr>
        <w:t>We will continue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investments in research, development, and marketing for existing products, services, and technologies, including the Windows operating system, Microsoft 365, Bing, SQL Server, Windows Server, Azure, Office 365, Xbox, LinkedIn, and other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Edge and Bing, that drive post-sale monetization opportunities. Our data handling practices across our products and services will continue to be under scrutiny. Perceptions of mismanagement, driven by regulatory activity or negative public reaction to our practices or product experiences, could negatively impact product and feature adoption, product design, and product quality.</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Acquisitions, joint ventures, and strategic alliances may have an adverse effect on our business. </w:t>
      </w:r>
      <w:r>
        <w:rPr>
          <w:rFonts w:ascii="Arial" w:cs="Arial" w:eastAsia="Arial" w:hAnsi="Arial"/>
          <w:sz w:val="18"/>
          <w:szCs w:val="18"/>
          <w:color w:val="auto"/>
        </w:rPr>
        <w:t>We expect to continue making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acquisitions and entering into joint ventures and strategic alliances as part of our long-term business strategy. For example, in March 2021 we completed our acquisition of ZeniMax Media Inc. </w:t>
      </w:r>
      <w:r>
        <w:rPr>
          <w:rFonts w:ascii="Arial" w:cs="Arial" w:eastAsia="Arial" w:hAnsi="Arial"/>
          <w:sz w:val="18"/>
          <w:szCs w:val="18"/>
          <w:color w:val="212529"/>
        </w:rPr>
        <w:t>for $8.1 billion, and in March 2022 we completed our acquisition of Nuance</w:t>
      </w:r>
      <w:r>
        <w:rPr>
          <w:rFonts w:ascii="Arial" w:cs="Arial" w:eastAsia="Arial" w:hAnsi="Arial"/>
          <w:sz w:val="18"/>
          <w:szCs w:val="18"/>
          <w:color w:val="auto"/>
        </w:rPr>
        <w:t xml:space="preserve"> </w:t>
      </w:r>
      <w:r>
        <w:rPr>
          <w:rFonts w:ascii="Arial" w:cs="Arial" w:eastAsia="Arial" w:hAnsi="Arial"/>
          <w:sz w:val="18"/>
          <w:szCs w:val="18"/>
          <w:color w:val="212529"/>
        </w:rPr>
        <w:t xml:space="preserve">Communications, Inc. for $18.8 billion. In January 2022 we announced a definitive agreement to acquire Activision Blizzard, Inc. for $68.7 </w:t>
      </w:r>
      <w:r>
        <w:rPr>
          <w:rFonts w:ascii="Arial" w:cs="Arial" w:eastAsia="Arial" w:hAnsi="Arial"/>
          <w:sz w:val="18"/>
          <w:szCs w:val="18"/>
          <w:color w:val="000000"/>
        </w:rPr>
        <w:t>billion. These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as well as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If our goodwill or amortizable intangible assets become impaired, we may be required to record a significant charge to earnings. </w:t>
      </w:r>
      <w:r>
        <w:rPr>
          <w:rFonts w:ascii="Arial" w:cs="Arial" w:eastAsia="Arial" w:hAnsi="Arial"/>
          <w:sz w:val="18"/>
          <w:szCs w:val="18"/>
          <w:color w:val="auto"/>
        </w:rPr>
        <w:t>We acquire other companies and intangible assets and may not realize all the economic benefit from those acquisitions,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CYBERSECURITY, DATA PRIVACY, AND PLATFORM ABUSE RISKS</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Cyberattacks and security vulnerabilities could lead to reduced revenue, increased costs, liability claims, or harm to our reputation or competitive position.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information technology</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Nation-state and state-sponsored actors can deploy significant resources to plan and carry out exploits. Nation-state attacks against us or our customers may intensify during periods of intense diplomatic or armed conflict, such as the ongoing conflict in Ukraine. Inadequate account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Cyberthreats are constantly evolving and becoming increasingly sophisticated and complex, increasing the difficulty of detecting and successfully defending against them. We may have no current capability to detect certain vulnerabilities,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subject us to ransomware attacks, require us to allocate more resources to improve technologies or remediate the impacts of attacks, or otherwise adversely affect our business.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cyberattacks uncovered in late 2020 known as “Solorigate” or “Nobelium” are an example of a supply chain attack where malware was introduced to a software provider’s customers, including us, through software updates. The attackers were later able to create false credentials that appeared legitimate to certain customers’ systems. We may be targets of further attacks similar to Solorigate/Nobelium as both a supplier and consumer of IT.</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Our business policies and internal security controls may not keep pace with these changes as new threats emerge, or emerging cybersecurity regulations in jurisdictions worldwide.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of our products, services, devices, and customers’ data</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Cyberattacks such as Solorigate/Nobelium may adversely impact our customers even if our production services are not directly compromised. We are committed to notifying our customers whose systems have been impacted as we become aware and have available information and actions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deployment of defensive measures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defend against security threats to our internal IT systems, our cloud-based services, and our customers’ systems, we must continuously engineer more secure products and services, enhance security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products and services.</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Disclosure and misuse of personal data could result in liability and harm our reputation. </w:t>
      </w:r>
      <w:r>
        <w:rPr>
          <w:rFonts w:ascii="Arial" w:cs="Arial" w:eastAsia="Arial" w:hAnsi="Arial"/>
          <w:sz w:val="18"/>
          <w:szCs w:val="18"/>
          <w:color w:val="auto"/>
        </w:rPr>
        <w:t>As we continue to grow the number, breadth,</w:t>
      </w:r>
      <w:r>
        <w:rPr>
          <w:rFonts w:ascii="Arial" w:cs="Arial" w:eastAsia="Arial" w:hAnsi="Arial"/>
          <w:sz w:val="18"/>
          <w:szCs w:val="18"/>
          <w:b w:val="1"/>
          <w:bCs w:val="1"/>
          <w:color w:val="auto"/>
        </w:rPr>
        <w:t xml:space="preserve"> </w:t>
      </w:r>
      <w:r>
        <w:rPr>
          <w:rFonts w:ascii="Arial" w:cs="Arial" w:eastAsia="Arial" w:hAnsi="Arial"/>
          <w:sz w:val="18"/>
          <w:szCs w:val="18"/>
          <w:color w:val="auto"/>
        </w:rPr>
        <w:t>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We may not be able to protect information in our products and services from use by others</w:t>
      </w:r>
      <w:r>
        <w:rPr>
          <w:rFonts w:ascii="Arial" w:cs="Arial" w:eastAsia="Arial" w:hAnsi="Arial"/>
          <w:sz w:val="18"/>
          <w:szCs w:val="18"/>
          <w:color w:val="auto"/>
        </w:rPr>
        <w:t>. LinkedIn and other Microsoft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our platforms may harm our reputation or user engagement.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professional, marketplace, and gaming platform abuses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digital safety abuses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hosted consumer services as well as our enterprise services may be used to disseminate harmful or illegal content in violation of our terms or applicable law. We may not proactively discover such content due to scale, the limitations of existing technologies, and conflicting legal frameworks. When discovered by users,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The development of the IoT presents security, privacy, and execution risks. </w:t>
      </w:r>
      <w:r>
        <w:rPr>
          <w:rFonts w:ascii="Arial" w:cs="Arial" w:eastAsia="Arial" w:hAnsi="Arial"/>
          <w:sz w:val="18"/>
          <w:szCs w:val="18"/>
          <w:color w:val="auto"/>
        </w:rPr>
        <w:t>To support the growth of the intelligent cloud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intelligent edge, we are developing products, services, and technologies to power the IoT.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Issues in the development and use of AI may result in reputational harm or liability</w:t>
      </w:r>
      <w:r>
        <w:rPr>
          <w:rFonts w:ascii="Arial" w:cs="Arial" w:eastAsia="Arial" w:hAnsi="Arial"/>
          <w:sz w:val="18"/>
          <w:szCs w:val="18"/>
          <w:color w:val="auto"/>
        </w:rPr>
        <w:t>. We are building AI into many of our offerings,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productivity services, and we are also making first- and third-party AI available for our customers to use in solutions that they build. We expect these elements of our business to grow. We envision a future in which AI operating in our devices, applications, and the cloud helps our customers be more productive in their work and personal lives. As with many innovations, AI presents risks and challenges that could affect its adoption, and therefore our business. AI algorithms may be flawed. Datasets may be insufficient or contain biased information. Ineffective or inadequate AI development or deployment practices by Microsoft or others could result in incidents that impair the acceptance of AI solutions or cause harm to individuals or society. These deficiencies and other failures of AI systems could subject us to competitive harm, regulatory action, legal liability, including under new proposed legislation regulating AI in jurisdictions such as the European Union (“EU”), and brand or reputational harm. Some AI scenarios present ethical issues. If we enable or offer AI solutions that are controversial because of their impact on human rights, privacy, employment, or other social, economic, or political issues, we may experience brand or reputational harm.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OPERATIONAL RISKS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8"/>
          <w:szCs w:val="18"/>
          <w:color w:val="auto"/>
        </w:rPr>
        <w:t>Our increasing user traffic, growth in services, and the complexity of our products and services demand more computing</w:t>
      </w:r>
      <w:r>
        <w:rPr>
          <w:rFonts w:ascii="Arial" w:cs="Arial" w:eastAsia="Arial" w:hAnsi="Arial"/>
          <w:sz w:val="18"/>
          <w:szCs w:val="18"/>
          <w:b w:val="1"/>
          <w:bCs w:val="1"/>
          <w:color w:val="auto"/>
        </w:rPr>
        <w:t xml:space="preserve"> </w:t>
      </w:r>
      <w:r>
        <w:rPr>
          <w:rFonts w:ascii="Arial" w:cs="Arial" w:eastAsia="Arial" w:hAnsi="Arial"/>
          <w:sz w:val="18"/>
          <w:szCs w:val="18"/>
          <w:color w:val="auto"/>
        </w:rPr>
        <w:t>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and networking supplies, the cost or availability of which could be adversely affected by a variety of factors, including the transition to a clean energy economy and geopolitical disruptions. These demands continue to increase as we introduce new products and services and support the growth of existing services such as Bing, Azure, Microsoft Account services, Microsoft 365, Microsoft Teams, Dynamics 365, OneDrive, SharePoint Online, Skype, Xbox, and Outlook.com.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insufficient or unavailable power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We may experience quality or supply problems. </w:t>
      </w:r>
      <w:r>
        <w:rPr>
          <w:rFonts w:ascii="Arial" w:cs="Arial" w:eastAsia="Arial" w:hAnsi="Arial"/>
          <w:sz w:val="18"/>
          <w:szCs w:val="18"/>
          <w:color w:val="auto"/>
        </w:rPr>
        <w:t>Our hardware products such as Xbox consoles, Surface devices, and other devices we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limited suppliers for certain device and datacenter components. Our competitors use some of the same suppliers and their demand for hardware components can affect the capacity available to us.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LEGAL, REGULATORY, AND LITIGATION RISKS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Government litigation and regulatory activity relating to competition rules may limit how we design and market our products. </w:t>
      </w:r>
      <w:r>
        <w:rPr>
          <w:rFonts w:ascii="Arial" w:cs="Arial" w:eastAsia="Arial" w:hAnsi="Arial"/>
          <w:sz w:val="18"/>
          <w:szCs w:val="18"/>
          <w:color w:val="auto"/>
        </w:rPr>
        <w:t>As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global software and device maker, government agencies closely scrutinize us under U.S. and foreign competition laws. Governments are actively enforcing competition laws and regulations, and this includes scrutiny in potentially large markets such as the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competition laws. For example, in 2004, the Commission ordered us to create new versions of our Windows operating system that do not include certain multimedia technologies and to provide our competitors with specifications for how to implement certain proprietary Windows communications protocols in their own products. In 2009, the Commission accepted a set of commitments we offered to address the Commission’s concerns relating to competition in web browsing software, including an undertaking to address Commission concerns relating to interoperability. The web browsing commitments expired in 2014. The remaining obligations may limit our ability to innovate in Windows or other products in the future, diminish the developer appeal of the Windows platform, and increase our product development costs. The availability of licenses related to protocols and file formats may enable competitors to develop software products that better mimic the functionality of our products, which could hamper sales of our products.</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2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Government regulatory actions and court decisions such as these may result in fines or hinder our ability to provide the benefits of our software to consumers and businesses, reducing the attractiveness of our products and the revenue that comes from them. New competition law actions could be initiated, potentially using previous actions as precedent. The outcome of such actions, or steps taken to avoid them, could adversely affect us in a variety of ways, including:</w:t>
      </w:r>
    </w:p>
    <w:p>
      <w:pPr>
        <w:spacing w:after="0" w:line="25" w:lineRule="exact"/>
        <w:rPr>
          <w:sz w:val="20"/>
          <w:szCs w:val="20"/>
          <w:color w:val="auto"/>
        </w:rPr>
      </w:pPr>
    </w:p>
    <w:p>
      <w:pPr>
        <w:jc w:val="both"/>
        <w:ind w:left="1060" w:hanging="391"/>
        <w:spacing w:after="0" w:line="253"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to choose between withdrawing products from certain geographies to avoid fines or designing and developing alternative versions of those products to comply with government rulings, which may entail a delay in a product release and removing functionality that customers want or on which developers rely.</w:t>
      </w:r>
    </w:p>
    <w:p>
      <w:pPr>
        <w:spacing w:after="0" w:line="20"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make available licenses to our proprietary technologies on terms that do not reflect their fair market value or do not protect our associated intellectual property.</w:t>
      </w:r>
    </w:p>
    <w:p>
      <w:pPr>
        <w:spacing w:after="0" w:line="5" w:lineRule="exact"/>
        <w:rPr>
          <w:rFonts w:ascii="Arial" w:cs="Arial" w:eastAsia="Arial" w:hAnsi="Arial"/>
          <w:sz w:val="18"/>
          <w:szCs w:val="18"/>
          <w:color w:val="auto"/>
        </w:rPr>
      </w:pPr>
    </w:p>
    <w:p>
      <w:pPr>
        <w:jc w:val="both"/>
        <w:ind w:left="1060" w:hanging="391"/>
        <w:spacing w:after="0" w:line="253"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subject to a variety of ongoing commitments because of court or administrative orders, consent decrees, or other voluntary actions we have taken. If we fail to comply with these commitments, we may incur litigation costs and be subject to substantial fines or other remedial actions.</w:t>
      </w:r>
    </w:p>
    <w:p>
      <w:pPr>
        <w:spacing w:after="0" w:line="20" w:lineRule="exact"/>
        <w:rPr>
          <w:rFonts w:ascii="Arial" w:cs="Arial" w:eastAsia="Arial" w:hAnsi="Arial"/>
          <w:sz w:val="18"/>
          <w:szCs w:val="18"/>
          <w:color w:val="auto"/>
        </w:rPr>
      </w:pPr>
    </w:p>
    <w:p>
      <w:pPr>
        <w:ind w:left="1060" w:hanging="391"/>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realize anticipated Windows post-sale monetization opportunities may be limited.</w:t>
      </w:r>
    </w:p>
    <w:p>
      <w:pPr>
        <w:spacing w:after="0" w:line="103"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scrutiny may inhibit our ability to consummate acquisitions or impose conditions that reduce the ultimate value of such transactions.</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Our global operations subject us to potential consequences under anti-corruption, trade, and other laws and regulations.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may present compliance challenges to the extent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such as Crimea, Cuba, Iran, North Korea, and Syria.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Other regulatory areas that may apply to our products and online services offerings include requirements related to user privacy, telecommunications, data storage and protection, advertising, and online content. For example, some regulators are taking the position that our offerings such as Microsoft Teams and Skype are covered by existing laws regulating telecommunications services, and some new laws, including EU Member State laws under the European Electronic Communications Code, are defining more of our services as regulated telecommunications services. This trend may continue and will result in these offerings being subjected to additional data protection, security, and law enforcement surveillance obligations. Regulators may assert that our collection, use, and management of customer data and other information is inconsistent with their laws and regulations, including laws that apply to the tracking of users via technology such as cookies.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Applying these laws and regulations to our business is often unclear, subject to change over time, and sometimes may conflict from jurisdiction to jurisdiction. Additionally, these laws and governments’ approach to their enforcement, and our products and services, are continuing to evolve. Compliance with these types of regulation may involve significant costs or require changes in products or business practices that result in reduced revenue. Noncompliance could result in the imposition of penalties or orders we stop the alleged noncompliant activity.</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strive to empower all people and organizations to achieve more, and accessibility of our products is an important aspect of this goal. There is increasing pressure from advocacy groups, regulators, competitors, customers, and other stakeholders to make technology more accessible. If our products do not meet customer expectations or global accessibility requirements, we could lose sales opportunities or face regulatory or legal 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8"/>
          <w:szCs w:val="18"/>
          <w:color w:val="auto"/>
        </w:rPr>
        <w:t>The growth of our Internet- and cloud-based services internationally relies</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increasingly on the movement of data across national boundaries. Legal requirements relating to the collection, storage, handling, and transfer of personal data continue to evolve. For example, in July 2020 the Court of Justice of the EU invalidated a framework called Privacy Shield for companies to transfer data from EU member states to the United States. This ruling continues to generate uncertainty about the legal requirements for data transfers from the EU under other legal mechanisms and has resulted in some EU data protection authorities blocking the use of U.S.-based services that involve the transfer of data to the U.S. The U.S. and the EU in March 2022 agreed in principle on a replacement framework for the Privacy Shield, called the EU-U.S. Data Privacy Framework. A failure of the U.S. and EU to finalize the EU-U.S. Data Privacy Framework could compound that uncertainty and result in additional blockages of data transfers. Potential new rules and restrictions on the flow of data across borders could increase the cost and complexity of delivering our products and services in some markets. For example,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will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 GDPR and other data regulations, or if our implementation to comply with the GDPR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monetary penalties (of up to 4% of worldwide revenue in the case of GDPR), private lawsuits, reputational damage, blockage of international data transfers, and loss of customers. The highest fines assessed under GDPR have recently been increasing, especially against large technology companies. Jurisdictions around the world, such as China, India, and states in the U.S. have adopted, or are considering adopting or expanding, laws and regulations imposing obligations regarding the collection, handling, and transfer of personal data.</w:t>
      </w:r>
    </w:p>
    <w:p>
      <w:pPr>
        <w:spacing w:after="0" w:line="1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in gaining insights from data is becoming central to the value of the services we deliver to customers, to our operational efficiency and key opportunities in monetization, customer perceptions of quality, and operational efficiency.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have claims and lawsuits against us that may result in adverse outcomes. </w:t>
      </w:r>
      <w:r>
        <w:rPr>
          <w:rFonts w:ascii="Arial" w:cs="Arial" w:eastAsia="Arial" w:hAnsi="Arial"/>
          <w:sz w:val="18"/>
          <w:szCs w:val="18"/>
          <w:color w:val="auto"/>
        </w:rPr>
        <w:t>We are subject to a variety of claims and lawsuits. These</w:t>
      </w:r>
      <w:r>
        <w:rPr>
          <w:rFonts w:ascii="Arial" w:cs="Arial" w:eastAsia="Arial" w:hAnsi="Arial"/>
          <w:sz w:val="18"/>
          <w:szCs w:val="18"/>
          <w:b w:val="1"/>
          <w:bCs w:val="1"/>
          <w:color w:val="auto"/>
        </w:rPr>
        <w:t xml:space="preserve"> </w:t>
      </w:r>
      <w:r>
        <w:rPr>
          <w:rFonts w:ascii="Arial" w:cs="Arial" w:eastAsia="Arial" w:hAnsi="Arial"/>
          <w:sz w:val="18"/>
          <w:szCs w:val="18"/>
          <w:color w:val="auto"/>
        </w:rPr>
        <w:t>claims may arise from a wide variety of business practices and initiatives, including major new product releases such as Windows, significant business transactions, warranty or product claims, and employment practices.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Our business with government customers may present additional uncertainties. </w:t>
      </w:r>
      <w:r>
        <w:rPr>
          <w:rFonts w:ascii="Arial" w:cs="Arial" w:eastAsia="Arial" w:hAnsi="Arial"/>
          <w:sz w:val="18"/>
          <w:szCs w:val="18"/>
          <w:color w:val="auto"/>
        </w:rPr>
        <w:t>We derive substantial revenue from government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results of operations, financial condition, and reputation.</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We may have additional tax liabilities. </w:t>
      </w:r>
      <w:r>
        <w:rPr>
          <w:rFonts w:ascii="Arial" w:cs="Arial" w:eastAsia="Arial" w:hAnsi="Arial"/>
          <w:sz w:val="18"/>
          <w:szCs w:val="18"/>
          <w:color w:val="auto"/>
        </w:rPr>
        <w:t>We are subject to income taxes in the U.S. and many foreign jurisdictions. Significant judgment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in 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INTELLECTUAL PROPERTY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We may not be able to protect our source code from copying if there is an unauthorized disclosure. </w:t>
      </w:r>
      <w:r>
        <w:rPr>
          <w:rFonts w:ascii="Arial" w:cs="Arial" w:eastAsia="Arial" w:hAnsi="Arial"/>
          <w:sz w:val="18"/>
          <w:szCs w:val="18"/>
          <w:color w:val="auto"/>
        </w:rPr>
        <w:t>Source code, the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commands for our operating systems and other software programs, is critical to our business. Although we license portions of our application and operating system source code to several licensees, we take significant measures to protect the secrecy of large portions of our source code. If our source code leaks, we might lose future trade secret protection for that code. It may then become easier for third parties to compete with our products by copying functionality, which could adversely affect our revenue and operating margins. Unauthorized disclosure of source code also could increase the security risks described elsewhere in these risk factors.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Legal changes, our evolving business model, piracy, and other factors may decrease the value of our intellectual property. </w:t>
      </w:r>
      <w:r>
        <w:rPr>
          <w:rFonts w:ascii="Arial" w:cs="Arial" w:eastAsia="Arial" w:hAnsi="Arial"/>
          <w:sz w:val="18"/>
          <w:szCs w:val="18"/>
          <w:color w:val="auto"/>
        </w:rPr>
        <w:t>Protecting our intellectual property rights and combating unlicensed copying and use of our software and other intellectual property on a global basis is difficult. While piracy adversely affects U.S. revenue, the impact on revenue from outside the U.S. is more significant, particularly countries in which the legal system provides less protection for intellectual property rights. Our revenue in these markets may grow more slowly than the underlying device market. Similarly, the absence of harmonized patent laws makes it more difficult to ensure consistent respect for patent rights. Throughout the world, we educate users about the benefits of licensing genuine products and obtaining indemnification benefits for intellectual property risks, and we educate lawmakers about the advantages of a business climate where intellectual property rights are protected. Reductions in the legal protection for software intellectual property rights could adversely affect revenue.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expend significant resources to patent the intellectual property we create with the expectation that we will generate revenues by incorporating that intellectual property in our products or services or, in some instances, by licensing or cross-licensing our patents to others in return for a royalty and/or increased freedom to operate. Changes in the law may continue to weaken our ability to prevent the use of patented technology or collect revenue for licensing our patents. These include legislative changes and regulatory actions that make it more difficult to obtain injunctions, and the increasing use of legal process to challenge issued patents. Similarly, licensees of our patents may fail to satisfy their obligations to pay us royalties or may contest the scope and extent of their obligations. The royalties we can obtain to monetize our intellectual property may decline because of the evolution of technology, price changes in products using licensed patents, greater value from cross-licensing, or the difficulty of discovering infringements. Finally, our increasing engagement with open source software will also cause us to license our intellectual property rights broadly in certain situations and may negatively impact revenue.</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Third parties may claim we infringe their intellectual property rights. </w:t>
      </w:r>
      <w:r>
        <w:rPr>
          <w:rFonts w:ascii="Arial" w:cs="Arial" w:eastAsia="Arial" w:hAnsi="Arial"/>
          <w:sz w:val="18"/>
          <w:szCs w:val="18"/>
          <w:color w:val="auto"/>
        </w:rPr>
        <w:t>From time to time, others claim we infringe their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rights. The number of these claims may grow because of constant technological change in the markets in which we compete, the extensive patent coverage of existing technologies, the rapid rate of issuance of new patents, and our offering of first-party devices, such as Surface. To resolve these claims, we may enter into royalty and licensing agreements on terms that are less favorable than currently available, stop selling or redesign affected products or services, or pay damages to satisfy indemnification commitments with our customers. These outcomes may cause operating margins to decline. Besides money damages, in some jurisdictions plaintiffs can seek injunctive relief that may limit or prevent importing, marketing, and selling our products or services that have infringing technologies. In some countries, such as Germany, an injunction can be issued before the parties have fully litigated the validity of the underlying patents. We have paid significant amounts to settle claims related to the use of technology and intellectual property rights and to procure intellectual property rights as part of our strategy to manage this risk, and may continue to do so.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RISKS</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If our reputation or our brands are damaged, our business and operating results may be harmed</w:t>
      </w:r>
      <w:r>
        <w:rPr>
          <w:rFonts w:ascii="Arial" w:cs="Arial" w:eastAsia="Arial" w:hAnsi="Arial"/>
          <w:sz w:val="18"/>
          <w:szCs w:val="18"/>
          <w:color w:val="auto"/>
        </w:rPr>
        <w:t>. Our reputation and brands are</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44" w:lineRule="exact"/>
        <w:rPr>
          <w:sz w:val="20"/>
          <w:szCs w:val="20"/>
          <w:color w:val="auto"/>
        </w:rPr>
      </w:pPr>
    </w:p>
    <w:p>
      <w:pPr>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introduction of new features, products, services, or terms of service that customers, users, or partners do not like.</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scrutiny of our decisions regarding user privacy, data practices, or content.</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Data security breaches, compliance failures, or actions of partners or individual employees.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Adverse economic or market conditions may harm our business. </w:t>
      </w:r>
      <w:r>
        <w:rPr>
          <w:rFonts w:ascii="Arial" w:cs="Arial" w:eastAsia="Arial" w:hAnsi="Arial"/>
          <w:sz w:val="18"/>
          <w:szCs w:val="18"/>
          <w:color w:val="auto"/>
        </w:rPr>
        <w:t>Worsening economic conditions, including inflation, recession,</w:t>
      </w:r>
      <w:r>
        <w:rPr>
          <w:rFonts w:ascii="Arial" w:cs="Arial" w:eastAsia="Arial" w:hAnsi="Arial"/>
          <w:sz w:val="18"/>
          <w:szCs w:val="18"/>
          <w:b w:val="1"/>
          <w:bCs w:val="1"/>
          <w:color w:val="auto"/>
        </w:rPr>
        <w:t xml:space="preserve"> </w:t>
      </w:r>
      <w:r>
        <w:rPr>
          <w:rFonts w:ascii="Arial" w:cs="Arial" w:eastAsia="Arial" w:hAnsi="Arial"/>
          <w:sz w:val="18"/>
          <w:szCs w:val="18"/>
          <w:color w:val="auto"/>
        </w:rPr>
        <w:t>pandemic, or other 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12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Catastrophic events or geopolitical conditions may disrupt our business. </w:t>
      </w:r>
      <w:r>
        <w:rPr>
          <w:rFonts w:ascii="Arial" w:cs="Arial" w:eastAsia="Arial" w:hAnsi="Arial"/>
          <w:sz w:val="18"/>
          <w:szCs w:val="18"/>
          <w:color w:val="auto"/>
        </w:rPr>
        <w:t>A disruption or failure of our systems or operations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Abrupt political change, terrorist activity, and armed conflict, such as the ongoing conflict in Ukraine, pose a risk of general economic disruption in affected countries, which may increase our operating costs and negatively impact our ability to sell to and collect from customers in affected markets.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occurrence of regional epidemics or a global pandemic, such as COVID-19, may adversely affect our operations, financial condition, and results of operations. The COVID-19 pandemic has had widespread, rapidly evolving, and unpredictable impacts on global society, economies, financial markets, and business practices.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w:t>
      </w:r>
    </w:p>
    <w:p>
      <w:pPr>
        <w:spacing w:after="0" w:line="12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Measures to contain a global pandemic may intensify other risks described in these Risk Factors. Any of these measures may adversely impact our ability to:</w:t>
      </w:r>
    </w:p>
    <w:p>
      <w:pPr>
        <w:spacing w:after="0" w:line="5" w:lineRule="exact"/>
        <w:rPr>
          <w:sz w:val="20"/>
          <w:szCs w:val="20"/>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our operations infrastructure, including the reliability and adequate capacity of cloud services.</w:t>
      </w:r>
    </w:p>
    <w:p>
      <w:pPr>
        <w:spacing w:after="0" w:line="76"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Satisfy our contractual and regulatory compliance obligations as we adapt to changing usage patterns, such as through datacenter load balancing.</w:t>
      </w:r>
    </w:p>
    <w:p>
      <w:pPr>
        <w:spacing w:after="0" w:line="5"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Ensure a high-quality and consistent supply chain and manufacturing operations for our hardware devices and datacenter operations.</w:t>
      </w:r>
    </w:p>
    <w:p>
      <w:pPr>
        <w:spacing w:after="0" w:line="5" w:lineRule="exact"/>
        <w:rPr>
          <w:rFonts w:ascii="Arial" w:cs="Arial" w:eastAsia="Arial" w:hAnsi="Arial"/>
          <w:sz w:val="18"/>
          <w:szCs w:val="18"/>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Effectively manage our international operations through changes in trade practices and policies.</w:t>
      </w:r>
    </w:p>
    <w:p>
      <w:pPr>
        <w:spacing w:after="0" w:line="103" w:lineRule="exact"/>
        <w:rPr>
          <w:rFonts w:ascii="Arial" w:cs="Arial" w:eastAsia="Arial" w:hAnsi="Arial"/>
          <w:sz w:val="18"/>
          <w:szCs w:val="18"/>
          <w:color w:val="auto"/>
        </w:rPr>
      </w:pPr>
    </w:p>
    <w:p>
      <w:pPr>
        <w:ind w:left="1060" w:hanging="391"/>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Hire and deploy people where we most need them.</w:t>
      </w:r>
    </w:p>
    <w:p>
      <w:pPr>
        <w:spacing w:after="0" w:line="103" w:lineRule="exact"/>
        <w:rPr>
          <w:rFonts w:ascii="Arial" w:cs="Arial" w:eastAsia="Arial" w:hAnsi="Arial"/>
          <w:sz w:val="18"/>
          <w:szCs w:val="18"/>
          <w:color w:val="auto"/>
        </w:rPr>
      </w:pPr>
    </w:p>
    <w:p>
      <w:pPr>
        <w:ind w:left="1060" w:hanging="391"/>
        <w:spacing w:after="0" w:line="271"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Sustain the effectiveness and productivity of our operations, including our sales, marketing, engineering, and distribution functions.</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may incur increased costs to effectively manage these aspects of our business. If we are unsuccessful, it may adversely impact our revenues, cash flows, market share growth, and reputation.</w:t>
      </w:r>
    </w:p>
    <w:p>
      <w:pPr>
        <w:spacing w:after="0" w:line="10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Item 1A</w:t>
      </w:r>
    </w:p>
    <w:p>
      <w:pPr>
        <w:spacing w:after="0" w:line="3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Our global business exposes us to operational and economic risks. </w:t>
      </w:r>
      <w:r>
        <w:rPr>
          <w:rFonts w:ascii="Arial" w:cs="Arial" w:eastAsia="Arial" w:hAnsi="Arial"/>
          <w:sz w:val="18"/>
          <w:szCs w:val="18"/>
          <w:color w:val="auto"/>
        </w:rPr>
        <w:t>Our customers are located throughout the world and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our 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Our business depends on our ability to attract and retain talented employees. </w:t>
      </w:r>
      <w:r>
        <w:rPr>
          <w:rFonts w:ascii="Arial" w:cs="Arial" w:eastAsia="Arial" w:hAnsi="Arial"/>
          <w:sz w:val="18"/>
          <w:szCs w:val="18"/>
          <w:color w:val="auto"/>
        </w:rPr>
        <w:t>Our business is based on successfully attracting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primarily non-unionized, but we have several unions and works councils outside of the United States. In the U.S., there has been a general increase in workers exercising their right to form or join a union. While Microsoft has not received such petitions in the U.S., the unionization of significant employee populations could result in higher costs and other operational changes necessary to respond to changing conditions and to establish new relationships with worker representatives.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ind w:left="5400"/>
        <w:spacing w:after="0"/>
        <w:rPr>
          <w:sz w:val="20"/>
          <w:szCs w:val="20"/>
          <w:color w:val="auto"/>
        </w:rPr>
      </w:pPr>
      <w:r>
        <w:rPr>
          <w:rFonts w:ascii="Arial" w:cs="Arial" w:eastAsia="Arial" w:hAnsi="Arial"/>
          <w:sz w:val="13"/>
          <w:szCs w:val="13"/>
          <w:u w:val="single" w:color="auto"/>
          <w:color w:val="auto"/>
        </w:rPr>
        <w:t>PART II</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Item 2</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2" w:lineRule="exact"/>
        <w:rPr>
          <w:sz w:val="20"/>
          <w:szCs w:val="20"/>
          <w:color w:val="auto"/>
        </w:rPr>
      </w:pPr>
    </w:p>
    <w:p>
      <w:pPr>
        <w:ind w:left="3880"/>
        <w:spacing w:after="0"/>
        <w:rPr>
          <w:sz w:val="20"/>
          <w:szCs w:val="20"/>
          <w:color w:val="auto"/>
        </w:rPr>
      </w:pPr>
      <w:r>
        <w:rPr>
          <w:rFonts w:ascii="Arial" w:cs="Arial" w:eastAsia="Arial" w:hAnsi="Arial"/>
          <w:sz w:val="18"/>
          <w:szCs w:val="18"/>
          <w:u w:val="single" w:color="auto"/>
          <w:color w:val="auto"/>
        </w:rPr>
        <w:t>SHARE REPURCHASES AND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monthly share repurchases for the first quarter of fiscal year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 Number</w:t>
            </w:r>
          </w:p>
        </w:tc>
        <w:tc>
          <w:tcPr>
            <w:tcW w:w="320" w:type="dxa"/>
            <w:vAlign w:val="bottom"/>
          </w:tcPr>
          <w:p>
            <w:pPr>
              <w:spacing w:after="0"/>
              <w:rPr>
                <w:sz w:val="13"/>
                <w:szCs w:val="1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Approximate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of Shares</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Dollar Value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Total Number</w:t>
            </w:r>
          </w:p>
        </w:tc>
        <w:tc>
          <w:tcPr>
            <w:tcW w:w="580" w:type="dxa"/>
            <w:vAlign w:val="bottom"/>
          </w:tcPr>
          <w:p>
            <w:pPr>
              <w:spacing w:after="0"/>
              <w:rPr>
                <w:sz w:val="12"/>
                <w:szCs w:val="12"/>
                <w:color w:val="auto"/>
              </w:rPr>
            </w:pPr>
          </w:p>
        </w:tc>
        <w:tc>
          <w:tcPr>
            <w:tcW w:w="136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Average</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Purchased as</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Shares That May</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Part of Publicly</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Yet Be Purchased</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of Shares</w:t>
            </w:r>
          </w:p>
        </w:tc>
        <w:tc>
          <w:tcPr>
            <w:tcW w:w="580" w:type="dxa"/>
            <w:vAlign w:val="bottom"/>
          </w:tcPr>
          <w:p>
            <w:pPr>
              <w:spacing w:after="0"/>
              <w:rPr>
                <w:sz w:val="12"/>
                <w:szCs w:val="12"/>
                <w:color w:val="auto"/>
              </w:rPr>
            </w:pPr>
          </w:p>
        </w:tc>
        <w:tc>
          <w:tcPr>
            <w:tcW w:w="1360" w:type="dxa"/>
            <w:vAlign w:val="bottom"/>
          </w:tcPr>
          <w:p>
            <w:pPr>
              <w:jc w:val="right"/>
              <w:ind w:right="261"/>
              <w:spacing w:after="0"/>
              <w:rPr>
                <w:sz w:val="20"/>
                <w:szCs w:val="20"/>
                <w:color w:val="auto"/>
              </w:rPr>
            </w:pPr>
            <w:r>
              <w:rPr>
                <w:rFonts w:ascii="Arial" w:cs="Arial" w:eastAsia="Arial" w:hAnsi="Arial"/>
                <w:sz w:val="13"/>
                <w:szCs w:val="13"/>
                <w:b w:val="1"/>
                <w:bCs w:val="1"/>
                <w:color w:val="auto"/>
              </w:rPr>
              <w:t>Price Paid</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Announced Plans</w:t>
            </w:r>
          </w:p>
        </w:tc>
        <w:tc>
          <w:tcPr>
            <w:tcW w:w="320" w:type="dxa"/>
            <w:vAlign w:val="bottom"/>
          </w:tcPr>
          <w:p>
            <w:pPr>
              <w:spacing w:after="0"/>
              <w:rPr>
                <w:sz w:val="12"/>
                <w:szCs w:val="12"/>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Under the Plans</w:t>
            </w: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Purchased</w:t>
            </w:r>
          </w:p>
        </w:tc>
        <w:tc>
          <w:tcPr>
            <w:tcW w:w="580" w:type="dxa"/>
            <w:vAlign w:val="bottom"/>
          </w:tcPr>
          <w:p>
            <w:pPr>
              <w:spacing w:after="0"/>
              <w:rPr>
                <w:sz w:val="16"/>
                <w:szCs w:val="16"/>
                <w:color w:val="auto"/>
              </w:rPr>
            </w:pPr>
          </w:p>
        </w:tc>
        <w:tc>
          <w:tcPr>
            <w:tcW w:w="1360" w:type="dxa"/>
            <w:vAlign w:val="bottom"/>
          </w:tcPr>
          <w:p>
            <w:pPr>
              <w:jc w:val="right"/>
              <w:ind w:right="261"/>
              <w:spacing w:after="0"/>
              <w:rPr>
                <w:sz w:val="20"/>
                <w:szCs w:val="20"/>
                <w:color w:val="auto"/>
              </w:rPr>
            </w:pPr>
            <w:r>
              <w:rPr>
                <w:rFonts w:ascii="Arial" w:cs="Arial" w:eastAsia="Arial" w:hAnsi="Arial"/>
                <w:sz w:val="13"/>
                <w:szCs w:val="13"/>
                <w:b w:val="1"/>
                <w:bCs w:val="1"/>
                <w:color w:val="auto"/>
              </w:rPr>
              <w:t>Per Share</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Programs</w:t>
            </w:r>
          </w:p>
        </w:tc>
        <w:tc>
          <w:tcPr>
            <w:tcW w:w="320" w:type="dxa"/>
            <w:vAlign w:val="bottom"/>
          </w:tcPr>
          <w:p>
            <w:pPr>
              <w:spacing w:after="0"/>
              <w:rPr>
                <w:sz w:val="16"/>
                <w:szCs w:val="16"/>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or Programs</w:t>
            </w:r>
          </w:p>
        </w:tc>
        <w:tc>
          <w:tcPr>
            <w:tcW w:w="0" w:type="dxa"/>
            <w:vAlign w:val="bottom"/>
          </w:tcPr>
          <w:p>
            <w:pPr>
              <w:spacing w:after="0"/>
              <w:rPr>
                <w:sz w:val="1"/>
                <w:szCs w:val="1"/>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4"/>
        </w:trPr>
        <w:tc>
          <w:tcPr>
            <w:tcW w:w="47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July 1, 2022 – July 31, 2022</w:t>
            </w:r>
          </w:p>
        </w:tc>
        <w:tc>
          <w:tcPr>
            <w:tcW w:w="14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9,204,200</w:t>
            </w:r>
          </w:p>
        </w:tc>
        <w:tc>
          <w:tcPr>
            <w:tcW w:w="580" w:type="dxa"/>
            <w:vAlign w:val="bottom"/>
            <w:shd w:val="clear" w:color="auto" w:fill="E5E5E5"/>
          </w:tcPr>
          <w:p>
            <w:pPr>
              <w:jc w:val="right"/>
              <w:ind w:right="250"/>
              <w:spacing w:after="0" w:line="202" w:lineRule="exact"/>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E5E5E5"/>
          </w:tcPr>
          <w:p>
            <w:pPr>
              <w:jc w:val="right"/>
              <w:ind w:right="261"/>
              <w:spacing w:after="0" w:line="202" w:lineRule="exact"/>
              <w:rPr>
                <w:sz w:val="20"/>
                <w:szCs w:val="20"/>
                <w:color w:val="auto"/>
              </w:rPr>
            </w:pPr>
            <w:r>
              <w:rPr>
                <w:rFonts w:ascii="Arial" w:cs="Arial" w:eastAsia="Arial" w:hAnsi="Arial"/>
                <w:sz w:val="18"/>
                <w:szCs w:val="18"/>
                <w:b w:val="1"/>
                <w:bCs w:val="1"/>
                <w:color w:val="auto"/>
              </w:rPr>
              <w:t>260.53</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9,204,200</w:t>
            </w: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38,311</w:t>
            </w: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August 1, 2022 – August 31, 2022</w:t>
            </w:r>
          </w:p>
        </w:tc>
        <w:tc>
          <w:tcPr>
            <w:tcW w:w="14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5,570,365</w:t>
            </w:r>
          </w:p>
        </w:tc>
        <w:tc>
          <w:tcPr>
            <w:tcW w:w="580" w:type="dxa"/>
            <w:vAlign w:val="bottom"/>
          </w:tcPr>
          <w:p>
            <w:pPr>
              <w:spacing w:after="0"/>
              <w:rPr>
                <w:sz w:val="17"/>
                <w:szCs w:val="17"/>
                <w:color w:val="auto"/>
              </w:rPr>
            </w:pPr>
          </w:p>
        </w:tc>
        <w:tc>
          <w:tcPr>
            <w:tcW w:w="1360" w:type="dxa"/>
            <w:vAlign w:val="bottom"/>
          </w:tcPr>
          <w:p>
            <w:pPr>
              <w:jc w:val="right"/>
              <w:ind w:right="261"/>
              <w:spacing w:after="0" w:line="202" w:lineRule="exact"/>
              <w:rPr>
                <w:sz w:val="20"/>
                <w:szCs w:val="20"/>
                <w:color w:val="auto"/>
              </w:rPr>
            </w:pPr>
            <w:r>
              <w:rPr>
                <w:rFonts w:ascii="Arial" w:cs="Arial" w:eastAsia="Arial" w:hAnsi="Arial"/>
                <w:sz w:val="18"/>
                <w:szCs w:val="18"/>
                <w:b w:val="1"/>
                <w:bCs w:val="1"/>
                <w:color w:val="auto"/>
              </w:rPr>
              <w:t>283.04</w:t>
            </w:r>
          </w:p>
        </w:tc>
        <w:tc>
          <w:tcPr>
            <w:tcW w:w="13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5,570,365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36,735</w:t>
            </w:r>
          </w:p>
        </w:tc>
        <w:tc>
          <w:tcPr>
            <w:tcW w:w="0" w:type="dxa"/>
            <w:vAlign w:val="bottom"/>
          </w:tcPr>
          <w:p>
            <w:pPr>
              <w:spacing w:after="0"/>
              <w:rPr>
                <w:sz w:val="1"/>
                <w:szCs w:val="1"/>
                <w:color w:val="auto"/>
              </w:rPr>
            </w:pPr>
          </w:p>
        </w:tc>
      </w:tr>
      <w:tr>
        <w:trPr>
          <w:trHeight w:val="203"/>
        </w:trPr>
        <w:tc>
          <w:tcPr>
            <w:tcW w:w="4740" w:type="dxa"/>
            <w:vAlign w:val="bottom"/>
            <w:shd w:val="clear" w:color="auto" w:fill="E5E5E5"/>
          </w:tcPr>
          <w:p>
            <w:pPr>
              <w:spacing w:after="0" w:line="202" w:lineRule="exact"/>
              <w:rPr>
                <w:sz w:val="20"/>
                <w:szCs w:val="20"/>
                <w:color w:val="auto"/>
              </w:rPr>
            </w:pPr>
            <w:r>
              <w:rPr>
                <w:rFonts w:ascii="Arial" w:cs="Arial" w:eastAsia="Arial" w:hAnsi="Arial"/>
                <w:sz w:val="18"/>
                <w:szCs w:val="18"/>
                <w:color w:val="auto"/>
              </w:rPr>
              <w:t>September 1, 2022 – September 30, 2022</w:t>
            </w:r>
          </w:p>
        </w:tc>
        <w:tc>
          <w:tcPr>
            <w:tcW w:w="1480" w:type="dxa"/>
            <w:vAlign w:val="bottom"/>
            <w:gridSpan w:val="2"/>
            <w:shd w:val="clear" w:color="auto" w:fill="E5E5E5"/>
          </w:tcPr>
          <w:p>
            <w:pPr>
              <w:jc w:val="right"/>
              <w:ind w:right="120"/>
              <w:spacing w:after="0" w:line="202" w:lineRule="exact"/>
              <w:rPr>
                <w:sz w:val="20"/>
                <w:szCs w:val="20"/>
                <w:color w:val="auto"/>
              </w:rPr>
            </w:pPr>
            <w:r>
              <w:rPr>
                <w:rFonts w:ascii="Arial" w:cs="Arial" w:eastAsia="Arial" w:hAnsi="Arial"/>
                <w:sz w:val="18"/>
                <w:szCs w:val="18"/>
                <w:b w:val="1"/>
                <w:bCs w:val="1"/>
                <w:color w:val="auto"/>
              </w:rPr>
              <w:t>2,518,385</w:t>
            </w:r>
          </w:p>
        </w:tc>
        <w:tc>
          <w:tcPr>
            <w:tcW w:w="580" w:type="dxa"/>
            <w:vAlign w:val="bottom"/>
            <w:shd w:val="clear" w:color="auto" w:fill="E5E5E5"/>
          </w:tcPr>
          <w:p>
            <w:pPr>
              <w:spacing w:after="0"/>
              <w:rPr>
                <w:sz w:val="17"/>
                <w:szCs w:val="17"/>
                <w:color w:val="auto"/>
              </w:rPr>
            </w:pPr>
          </w:p>
        </w:tc>
        <w:tc>
          <w:tcPr>
            <w:tcW w:w="1360" w:type="dxa"/>
            <w:vAlign w:val="bottom"/>
            <w:shd w:val="clear" w:color="auto" w:fill="E5E5E5"/>
          </w:tcPr>
          <w:p>
            <w:pPr>
              <w:jc w:val="right"/>
              <w:ind w:right="261"/>
              <w:spacing w:after="0" w:line="202" w:lineRule="exact"/>
              <w:rPr>
                <w:sz w:val="20"/>
                <w:szCs w:val="20"/>
                <w:color w:val="auto"/>
              </w:rPr>
            </w:pPr>
            <w:r>
              <w:rPr>
                <w:rFonts w:ascii="Arial" w:cs="Arial" w:eastAsia="Arial" w:hAnsi="Arial"/>
                <w:sz w:val="18"/>
                <w:szCs w:val="18"/>
                <w:b w:val="1"/>
                <w:bCs w:val="1"/>
                <w:color w:val="auto"/>
              </w:rPr>
              <w:t>248.32</w:t>
            </w:r>
          </w:p>
        </w:tc>
        <w:tc>
          <w:tcPr>
            <w:tcW w:w="13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b w:val="1"/>
                <w:bCs w:val="1"/>
                <w:color w:val="auto"/>
              </w:rPr>
              <w:t>2,518,385</w:t>
            </w:r>
          </w:p>
        </w:tc>
        <w:tc>
          <w:tcPr>
            <w:tcW w:w="10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1320" w:type="dxa"/>
            <w:vAlign w:val="bottom"/>
            <w:gridSpan w:val="2"/>
            <w:shd w:val="clear" w:color="auto" w:fill="E5E5E5"/>
          </w:tcPr>
          <w:p>
            <w:pPr>
              <w:jc w:val="right"/>
              <w:ind w:right="80"/>
              <w:spacing w:after="0" w:line="202" w:lineRule="exact"/>
              <w:rPr>
                <w:sz w:val="20"/>
                <w:szCs w:val="20"/>
                <w:color w:val="auto"/>
              </w:rPr>
            </w:pPr>
            <w:r>
              <w:rPr>
                <w:rFonts w:ascii="Arial" w:cs="Arial" w:eastAsia="Arial" w:hAnsi="Arial"/>
                <w:sz w:val="18"/>
                <w:szCs w:val="18"/>
                <w:b w:val="1"/>
                <w:bCs w:val="1"/>
                <w:color w:val="auto"/>
              </w:rPr>
              <w:t>36,109</w:t>
            </w:r>
          </w:p>
        </w:tc>
        <w:tc>
          <w:tcPr>
            <w:tcW w:w="0" w:type="dxa"/>
            <w:vAlign w:val="bottom"/>
          </w:tcPr>
          <w:p>
            <w:pPr>
              <w:spacing w:after="0"/>
              <w:rPr>
                <w:sz w:val="1"/>
                <w:szCs w:val="1"/>
                <w:color w:val="auto"/>
              </w:rPr>
            </w:pPr>
          </w:p>
        </w:tc>
      </w:tr>
      <w:tr>
        <w:trPr>
          <w:trHeight w:val="68"/>
        </w:trPr>
        <w:tc>
          <w:tcPr>
            <w:tcW w:w="47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47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17,292,950</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17,292,950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47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declared the following dividends during the first quarter of fiscal year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Declaration Date</w:t>
            </w:r>
          </w:p>
        </w:tc>
        <w:tc>
          <w:tcPr>
            <w:tcW w:w="278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Record Date</w:t>
            </w:r>
          </w:p>
        </w:tc>
        <w:tc>
          <w:tcPr>
            <w:tcW w:w="24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Payment Date</w:t>
            </w:r>
          </w:p>
        </w:tc>
        <w:tc>
          <w:tcPr>
            <w:tcW w:w="920" w:type="dxa"/>
            <w:vAlign w:val="bottom"/>
          </w:tcPr>
          <w:p>
            <w:pPr>
              <w:spacing w:after="0"/>
              <w:rPr>
                <w:sz w:val="13"/>
                <w:szCs w:val="13"/>
                <w:color w:val="auto"/>
              </w:rPr>
            </w:pPr>
          </w:p>
        </w:tc>
        <w:tc>
          <w:tcPr>
            <w:tcW w:w="1100" w:type="dxa"/>
            <w:vAlign w:val="bottom"/>
          </w:tcPr>
          <w:p>
            <w:pPr>
              <w:jc w:val="right"/>
              <w:ind w:right="45"/>
              <w:spacing w:after="0"/>
              <w:rPr>
                <w:sz w:val="20"/>
                <w:szCs w:val="20"/>
                <w:color w:val="auto"/>
              </w:rPr>
            </w:pPr>
            <w:r>
              <w:rPr>
                <w:rFonts w:ascii="Arial" w:cs="Arial" w:eastAsia="Arial" w:hAnsi="Arial"/>
                <w:sz w:val="13"/>
                <w:szCs w:val="13"/>
                <w:b w:val="1"/>
                <w:bCs w:val="1"/>
                <w:color w:val="auto"/>
              </w:rPr>
              <w:t>Dividend</w:t>
            </w:r>
          </w:p>
        </w:tc>
        <w:tc>
          <w:tcPr>
            <w:tcW w:w="500" w:type="dxa"/>
            <w:vAlign w:val="bottom"/>
          </w:tcPr>
          <w:p>
            <w:pPr>
              <w:spacing w:after="0"/>
              <w:rPr>
                <w:sz w:val="13"/>
                <w:szCs w:val="13"/>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86"/>
        </w:trPr>
        <w:tc>
          <w:tcPr>
            <w:tcW w:w="238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jc w:val="right"/>
              <w:ind w:right="45"/>
              <w:spacing w:after="0"/>
              <w:rPr>
                <w:sz w:val="20"/>
                <w:szCs w:val="20"/>
                <w:color w:val="auto"/>
              </w:rPr>
            </w:pPr>
            <w:r>
              <w:rPr>
                <w:rFonts w:ascii="Arial" w:cs="Arial" w:eastAsia="Arial" w:hAnsi="Arial"/>
                <w:sz w:val="13"/>
                <w:szCs w:val="13"/>
                <w:b w:val="1"/>
                <w:bCs w:val="1"/>
                <w:color w:val="auto"/>
              </w:rPr>
              <w:t>Per Share</w:t>
            </w:r>
          </w:p>
        </w:tc>
        <w:tc>
          <w:tcPr>
            <w:tcW w:w="5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38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44"/>
        </w:trPr>
        <w:tc>
          <w:tcPr>
            <w:tcW w:w="238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380" w:type="dxa"/>
            <w:vAlign w:val="bottom"/>
            <w:shd w:val="clear" w:color="auto" w:fill="E5E5E5"/>
          </w:tcPr>
          <w:p>
            <w:pPr>
              <w:spacing w:after="0" w:line="202" w:lineRule="exact"/>
              <w:rPr>
                <w:sz w:val="20"/>
                <w:szCs w:val="20"/>
                <w:color w:val="auto"/>
              </w:rPr>
            </w:pPr>
            <w:r>
              <w:rPr>
                <w:rFonts w:ascii="Arial" w:cs="Arial" w:eastAsia="Arial" w:hAnsi="Arial"/>
                <w:sz w:val="18"/>
                <w:szCs w:val="18"/>
                <w:b w:val="1"/>
                <w:bCs w:val="1"/>
                <w:color w:val="auto"/>
              </w:rPr>
              <w:t>September 20, 2022</w:t>
            </w:r>
          </w:p>
        </w:tc>
        <w:tc>
          <w:tcPr>
            <w:tcW w:w="2780" w:type="dxa"/>
            <w:vAlign w:val="bottom"/>
            <w:shd w:val="clear" w:color="auto" w:fill="E5E5E5"/>
          </w:tcPr>
          <w:p>
            <w:pPr>
              <w:ind w:left="680"/>
              <w:spacing w:after="0" w:line="202" w:lineRule="exact"/>
              <w:rPr>
                <w:sz w:val="20"/>
                <w:szCs w:val="20"/>
                <w:color w:val="auto"/>
              </w:rPr>
            </w:pPr>
            <w:r>
              <w:rPr>
                <w:rFonts w:ascii="Arial" w:cs="Arial" w:eastAsia="Arial" w:hAnsi="Arial"/>
                <w:sz w:val="18"/>
                <w:szCs w:val="18"/>
                <w:b w:val="1"/>
                <w:bCs w:val="1"/>
                <w:color w:val="auto"/>
              </w:rPr>
              <w:t>November 17, 2022</w:t>
            </w:r>
          </w:p>
        </w:tc>
        <w:tc>
          <w:tcPr>
            <w:tcW w:w="2460" w:type="dxa"/>
            <w:vAlign w:val="bottom"/>
            <w:shd w:val="clear" w:color="auto" w:fill="E5E5E5"/>
          </w:tcPr>
          <w:p>
            <w:pPr>
              <w:ind w:left="460"/>
              <w:spacing w:after="0" w:line="202" w:lineRule="exact"/>
              <w:rPr>
                <w:sz w:val="20"/>
                <w:szCs w:val="20"/>
                <w:color w:val="auto"/>
              </w:rPr>
            </w:pPr>
            <w:r>
              <w:rPr>
                <w:rFonts w:ascii="Arial" w:cs="Arial" w:eastAsia="Arial" w:hAnsi="Arial"/>
                <w:sz w:val="18"/>
                <w:szCs w:val="18"/>
                <w:b w:val="1"/>
                <w:bCs w:val="1"/>
                <w:color w:val="auto"/>
              </w:rPr>
              <w:t>December 8, 2022</w:t>
            </w:r>
          </w:p>
        </w:tc>
        <w:tc>
          <w:tcPr>
            <w:tcW w:w="920" w:type="dxa"/>
            <w:vAlign w:val="bottom"/>
            <w:shd w:val="clear" w:color="auto" w:fill="E5E5E5"/>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5E5E5"/>
          </w:tcPr>
          <w:p>
            <w:pPr>
              <w:jc w:val="right"/>
              <w:ind w:right="45"/>
              <w:spacing w:after="0" w:line="202" w:lineRule="exact"/>
              <w:rPr>
                <w:sz w:val="20"/>
                <w:szCs w:val="20"/>
                <w:color w:val="auto"/>
              </w:rPr>
            </w:pPr>
            <w:r>
              <w:rPr>
                <w:rFonts w:ascii="Arial" w:cs="Arial" w:eastAsia="Arial" w:hAnsi="Arial"/>
                <w:sz w:val="18"/>
                <w:szCs w:val="18"/>
                <w:b w:val="1"/>
                <w:bCs w:val="1"/>
                <w:color w:val="auto"/>
              </w:rPr>
              <w:t>0.68</w:t>
            </w:r>
          </w:p>
        </w:tc>
        <w:tc>
          <w:tcPr>
            <w:tcW w:w="500" w:type="dxa"/>
            <w:vAlign w:val="bottom"/>
            <w:shd w:val="clear" w:color="auto" w:fill="E5E5E5"/>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E5E5E5"/>
          </w:tcPr>
          <w:p>
            <w:pPr>
              <w:jc w:val="right"/>
              <w:ind w:right="60"/>
              <w:spacing w:after="0" w:line="202" w:lineRule="exact"/>
              <w:rPr>
                <w:sz w:val="20"/>
                <w:szCs w:val="20"/>
                <w:color w:val="auto"/>
              </w:rPr>
            </w:pPr>
            <w:r>
              <w:rPr>
                <w:rFonts w:ascii="Arial" w:cs="Arial" w:eastAsia="Arial" w:hAnsi="Arial"/>
                <w:sz w:val="18"/>
                <w:szCs w:val="18"/>
                <w:b w:val="1"/>
                <w:bCs w:val="1"/>
                <w:color w:val="auto"/>
              </w:rPr>
              <w:t>5,071</w:t>
            </w:r>
          </w:p>
        </w:tc>
        <w:tc>
          <w:tcPr>
            <w:tcW w:w="0" w:type="dxa"/>
            <w:vAlign w:val="bottom"/>
          </w:tcPr>
          <w:p>
            <w:pPr>
              <w:spacing w:after="0"/>
              <w:rPr>
                <w:sz w:val="1"/>
                <w:szCs w:val="1"/>
                <w:color w:val="auto"/>
              </w:rPr>
            </w:pPr>
          </w:p>
        </w:tc>
      </w:tr>
      <w:tr>
        <w:trPr>
          <w:trHeight w:val="68"/>
        </w:trPr>
        <w:tc>
          <w:tcPr>
            <w:tcW w:w="238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returned $9.7 billion to shareholders in the form of share repurchases and dividends in the first quarter of fiscal year 2023. Refer to Note 15 – Stockholders’ Equity of the Notes to Financial Statements (Part I, Item 1 of this Form 10-Q) for further discussion regarding share repurchases and dividends.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0080" w:type="dxa"/>
            <w:vAlign w:val="bottom"/>
            <w:gridSpan w:val="8"/>
          </w:tcPr>
          <w:p>
            <w:pPr>
              <w:jc w:val="center"/>
              <w:ind w:right="1100"/>
              <w:spacing w:after="0"/>
              <w:rPr>
                <w:sz w:val="20"/>
                <w:szCs w:val="20"/>
                <w:color w:val="auto"/>
              </w:rPr>
            </w:pPr>
            <w:r>
              <w:rPr>
                <w:rFonts w:ascii="Arial" w:cs="Arial" w:eastAsia="Arial" w:hAnsi="Arial"/>
                <w:sz w:val="13"/>
                <w:szCs w:val="13"/>
                <w:color w:val="auto"/>
              </w:rPr>
              <w:t>PART II</w:t>
            </w:r>
          </w:p>
        </w:tc>
      </w:tr>
      <w:tr>
        <w:trPr>
          <w:trHeight w:val="170"/>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rPr>
              <w:t>Item 6</w:t>
            </w: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660"/>
        </w:trPr>
        <w:tc>
          <w:tcPr>
            <w:tcW w:w="1140" w:type="dxa"/>
            <w:vAlign w:val="bottom"/>
          </w:tcPr>
          <w:p>
            <w:pPr>
              <w:spacing w:after="0"/>
              <w:rPr>
                <w:sz w:val="24"/>
                <w:szCs w:val="24"/>
                <w:color w:val="auto"/>
              </w:rPr>
            </w:pPr>
          </w:p>
        </w:tc>
        <w:tc>
          <w:tcPr>
            <w:tcW w:w="10080" w:type="dxa"/>
            <w:vAlign w:val="bottom"/>
            <w:gridSpan w:val="8"/>
          </w:tcPr>
          <w:p>
            <w:pPr>
              <w:jc w:val="center"/>
              <w:ind w:right="1100"/>
              <w:spacing w:after="0"/>
              <w:rPr>
                <w:sz w:val="20"/>
                <w:szCs w:val="20"/>
                <w:color w:val="auto"/>
              </w:rPr>
            </w:pPr>
            <w:r>
              <w:rPr>
                <w:rFonts w:ascii="Arial" w:cs="Arial" w:eastAsia="Arial" w:hAnsi="Arial"/>
                <w:sz w:val="22"/>
                <w:szCs w:val="22"/>
                <w:b w:val="1"/>
                <w:bCs w:val="1"/>
                <w:color w:val="auto"/>
                <w:w w:val="98"/>
              </w:rPr>
              <w:t>ITEM 6. EXHIBITS</w:t>
            </w: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10.28*</w:t>
            </w:r>
          </w:p>
        </w:tc>
        <w:tc>
          <w:tcPr>
            <w:tcW w:w="6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9"/>
              </w:rPr>
              <w:t>Form of Stock Award Agreement Under the Microsoft Corporation 2017 Stock Plan</w:t>
            </w:r>
          </w:p>
        </w:tc>
        <w:tc>
          <w:tcPr>
            <w:tcW w:w="3500" w:type="dxa"/>
            <w:vAlign w:val="bottom"/>
            <w:gridSpan w:val="4"/>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10.29*</w:t>
            </w:r>
          </w:p>
        </w:tc>
        <w:tc>
          <w:tcPr>
            <w:tcW w:w="76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Form of Performance Stock Award Agreement Under the Microsoft Corporation 2017 Stock Plan</w:t>
            </w:r>
          </w:p>
        </w:tc>
        <w:tc>
          <w:tcPr>
            <w:tcW w:w="2420" w:type="dxa"/>
            <w:vAlign w:val="bottom"/>
            <w:gridSpan w:val="3"/>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15.1</w:t>
            </w:r>
          </w:p>
        </w:tc>
        <w:tc>
          <w:tcPr>
            <w:tcW w:w="43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Letter regarding unaudited interim financial information</w:t>
            </w:r>
          </w:p>
        </w:tc>
        <w:tc>
          <w:tcPr>
            <w:tcW w:w="5720" w:type="dxa"/>
            <w:vAlign w:val="bottom"/>
            <w:gridSpan w:val="6"/>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2280" w:type="dxa"/>
            <w:vAlign w:val="bottom"/>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77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2340" w:type="dxa"/>
            <w:vAlign w:val="bottom"/>
            <w:gridSpan w:val="2"/>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78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Certification of Chief Executive Officer Pursuant to Section 906 of the Sarbanes-Oxley Act of 2002</w:t>
            </w:r>
          </w:p>
        </w:tc>
        <w:tc>
          <w:tcPr>
            <w:tcW w:w="2280" w:type="dxa"/>
            <w:vAlign w:val="bottom"/>
          </w:tcPr>
          <w:p>
            <w:pPr>
              <w:spacing w:after="0"/>
              <w:rPr>
                <w:sz w:val="24"/>
                <w:szCs w:val="24"/>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77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Financial Officer Pursuant to Section 906 of the Sarbanes-Oxley Act of 2002</w:t>
            </w:r>
          </w:p>
        </w:tc>
        <w:tc>
          <w:tcPr>
            <w:tcW w:w="2340" w:type="dxa"/>
            <w:vAlign w:val="bottom"/>
            <w:gridSpan w:val="2"/>
          </w:tcPr>
          <w:p>
            <w:pPr>
              <w:spacing w:after="0"/>
              <w:rPr>
                <w:sz w:val="24"/>
                <w:szCs w:val="24"/>
                <w:color w:val="auto"/>
              </w:rPr>
            </w:pPr>
          </w:p>
        </w:tc>
      </w:tr>
      <w:tr>
        <w:trPr>
          <w:trHeight w:val="312"/>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Instance Document–the instance document does not appear in the Interactive Data File as its XBRL tags are</w:t>
            </w:r>
          </w:p>
        </w:tc>
      </w:tr>
      <w:tr>
        <w:trPr>
          <w:trHeight w:val="239"/>
        </w:trPr>
        <w:tc>
          <w:tcPr>
            <w:tcW w:w="1140" w:type="dxa"/>
            <w:vAlign w:val="bottom"/>
          </w:tcPr>
          <w:p>
            <w:pPr>
              <w:spacing w:after="0"/>
              <w:rPr>
                <w:sz w:val="20"/>
                <w:szCs w:val="20"/>
                <w:color w:val="auto"/>
              </w:rPr>
            </w:pPr>
          </w:p>
        </w:tc>
        <w:tc>
          <w:tcPr>
            <w:tcW w:w="1008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80" w:type="dxa"/>
            <w:vAlign w:val="bottom"/>
            <w:gridSpan w:val="8"/>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bl>
    <w:p>
      <w:pPr>
        <w:spacing w:after="0" w:line="182"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Indicates a management contract or compensatory plan or arrangement.</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Furnished, not filed.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ICROSOFT</w:t>
      </w:r>
      <w:r>
        <w:rPr>
          <w:rFonts w:ascii="Arial" w:cs="Arial" w:eastAsia="Arial" w:hAnsi="Arial"/>
          <w:sz w:val="18"/>
          <w:szCs w:val="18"/>
          <w:color w:val="auto"/>
        </w:rPr>
        <w:t xml:space="preserve"> C</w:t>
      </w:r>
      <w:r>
        <w:rPr>
          <w:rFonts w:ascii="Arial" w:cs="Arial" w:eastAsia="Arial" w:hAnsi="Arial"/>
          <w:sz w:val="13"/>
          <w:szCs w:val="13"/>
          <w:color w:val="auto"/>
        </w:rPr>
        <w:t>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LICE</w:t>
      </w:r>
      <w:r>
        <w:rPr>
          <w:rFonts w:ascii="Arial" w:cs="Arial" w:eastAsia="Arial" w:hAnsi="Arial"/>
          <w:sz w:val="18"/>
          <w:szCs w:val="18"/>
          <w:color w:val="auto"/>
        </w:rPr>
        <w:t xml:space="preserve"> L. J</w:t>
      </w:r>
      <w:r>
        <w:rPr>
          <w:rFonts w:ascii="Arial" w:cs="Arial" w:eastAsia="Arial" w:hAnsi="Arial"/>
          <w:sz w:val="13"/>
          <w:szCs w:val="13"/>
          <w:color w:val="auto"/>
        </w:rPr>
        <w:t>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0462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Alice L. Jolla</w:t>
      </w:r>
    </w:p>
    <w:p>
      <w:pPr>
        <w:spacing w:after="0"/>
        <w:rPr>
          <w:sz w:val="20"/>
          <w:szCs w:val="20"/>
          <w:color w:val="auto"/>
        </w:rPr>
      </w:pPr>
      <w:r>
        <w:rPr>
          <w:rFonts w:ascii="Arial" w:cs="Arial" w:eastAsia="Arial" w:hAnsi="Arial"/>
          <w:sz w:val="18"/>
          <w:szCs w:val="18"/>
          <w:color w:val="auto"/>
        </w:rPr>
        <w:t>Corporate Vice President and Chief Accounting Officer (Duly Authorized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October 25, 2022</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20"/>
          </w:cols>
          <w:pgMar w:left="320" w:top="580"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u w:val="single" w:color="auto"/>
          <w:color w:val="auto"/>
        </w:rPr>
        <w:t>Exhibit 10.28</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AWARD AGREEMENT 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MICROSOFT CORPORATION 2017 STOCK PLAN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Award Number </w:t>
      </w:r>
      <w:r>
        <w:rPr>
          <w:rFonts w:ascii="Arial" w:cs="Arial" w:eastAsia="Arial" w:hAnsi="Arial"/>
          <w:sz w:val="18"/>
          <w:szCs w:val="18"/>
          <w:b w:val="1"/>
          <w:bCs w:val="1"/>
          <w:color w:val="auto"/>
        </w:rPr>
        <w:t>&lt;&lt;GrantIdentifier&gt;&gt;</w:t>
      </w:r>
    </w:p>
    <w:p>
      <w:pPr>
        <w:spacing w:after="0" w:line="185" w:lineRule="exact"/>
        <w:rPr>
          <w:sz w:val="20"/>
          <w:szCs w:val="20"/>
          <w:color w:val="auto"/>
        </w:rPr>
      </w:pPr>
    </w:p>
    <w:p>
      <w:pPr>
        <w:jc w:val="both"/>
        <w:ind w:firstLine="8"/>
        <w:spacing w:after="0" w:line="247" w:lineRule="auto"/>
        <w:tabs>
          <w:tab w:leader="none" w:pos="2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This Award Agreement sets forth the terms and conditions of an award (the “Award”) of Stock Awards (“SAs”) awarded to </w:t>
      </w:r>
      <w:r>
        <w:rPr>
          <w:rFonts w:ascii="Arial" w:cs="Arial" w:eastAsia="Arial" w:hAnsi="Arial"/>
          <w:sz w:val="18"/>
          <w:szCs w:val="18"/>
          <w:b w:val="1"/>
          <w:bCs w:val="1"/>
          <w:color w:val="auto"/>
        </w:rPr>
        <w:t>&lt;&lt;FullName&gt;&gt;</w:t>
      </w:r>
      <w:r>
        <w:rPr>
          <w:rFonts w:ascii="Arial" w:cs="Arial" w:eastAsia="Arial" w:hAnsi="Arial"/>
          <w:sz w:val="18"/>
          <w:szCs w:val="18"/>
          <w:color w:val="auto"/>
        </w:rPr>
        <w:t xml:space="preserve"> (“Awardee”) by Microsoft Corporation (the “Company”) in the exercise of its sole discretion under the Microsoft Corporation 2017 Stock Plan (the “Plan”) on </w:t>
      </w:r>
      <w:r>
        <w:rPr>
          <w:rFonts w:ascii="Arial" w:cs="Arial" w:eastAsia="Arial" w:hAnsi="Arial"/>
          <w:sz w:val="18"/>
          <w:szCs w:val="18"/>
          <w:b w:val="1"/>
          <w:bCs w:val="1"/>
          <w:color w:val="auto"/>
        </w:rPr>
        <w:t>&lt;&lt;GrantDate&gt;&gt;</w:t>
      </w:r>
      <w:r>
        <w:rPr>
          <w:rFonts w:ascii="Arial" w:cs="Arial" w:eastAsia="Arial" w:hAnsi="Arial"/>
          <w:sz w:val="18"/>
          <w:szCs w:val="18"/>
          <w:color w:val="auto"/>
        </w:rPr>
        <w:t xml:space="preserve"> (the “Award Date”). Capitalized terms used but not defined in this Award Agreement shall have the meanings assigned to them in the Plan.</w:t>
      </w:r>
    </w:p>
    <w:p>
      <w:pPr>
        <w:spacing w:after="0" w:line="133"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w:t>
      </w:r>
    </w:p>
    <w:p>
      <w:pPr>
        <w:spacing w:after="0" w:line="171"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number of SAs subject to the Award (the “SAs”) is </w:t>
      </w:r>
      <w:r>
        <w:rPr>
          <w:rFonts w:ascii="Arial" w:cs="Arial" w:eastAsia="Arial" w:hAnsi="Arial"/>
          <w:sz w:val="18"/>
          <w:szCs w:val="18"/>
          <w:b w:val="1"/>
          <w:bCs w:val="1"/>
          <w:color w:val="auto"/>
        </w:rPr>
        <w:t>&lt;&lt;Granted SAs&gt;&gt;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280" w:firstLine="8"/>
        <w:spacing w:after="0" w:line="253"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SAs represent the Company’s unfunded and unsecured promise to issue Common Shares at a future date, subject to the terms of this Award Agreement and the Plan. Awardee has no rights under the SAs other than the rights of a general unsecured creditor of the Company.</w:t>
      </w:r>
    </w:p>
    <w:p>
      <w:pPr>
        <w:spacing w:after="0" w:line="128"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Vesting of SAs</w:t>
      </w:r>
      <w:r>
        <w:rPr>
          <w:rFonts w:ascii="Arial" w:cs="Arial" w:eastAsia="Arial" w:hAnsi="Arial"/>
          <w:sz w:val="18"/>
          <w:szCs w:val="18"/>
          <w:color w:val="auto"/>
        </w:rPr>
        <w:t>.</w:t>
      </w:r>
    </w:p>
    <w:p>
      <w:pPr>
        <w:spacing w:after="0" w:line="171" w:lineRule="exact"/>
        <w:rPr>
          <w:sz w:val="20"/>
          <w:szCs w:val="20"/>
          <w:color w:val="auto"/>
        </w:rPr>
      </w:pPr>
    </w:p>
    <w:p>
      <w:pPr>
        <w:ind w:right="560" w:firstLine="8"/>
        <w:spacing w:after="0" w:line="271"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the terms of this Award Agreement and the Plan and provided that Awardee remains continuously employed through the vesting dates set out below, the SAs shall vest as follows: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[Schedule for Executive Incentive Plan awards]</w:t>
      </w:r>
    </w:p>
    <w:p>
      <w:pPr>
        <w:spacing w:after="0" w:line="237" w:lineRule="exact"/>
        <w:rPr>
          <w:sz w:val="20"/>
          <w:szCs w:val="20"/>
          <w:color w:val="auto"/>
        </w:rPr>
      </w:pPr>
    </w:p>
    <w:tbl>
      <w:tblPr>
        <w:tblLayout w:type="fixed"/>
        <w:tblInd w:w="2550" w:type="dxa"/>
        <w:tblCellMar>
          <w:top w:w="0" w:type="dxa"/>
          <w:left w:w="0" w:type="dxa"/>
          <w:bottom w:w="0" w:type="dxa"/>
          <w:right w:w="0" w:type="dxa"/>
        </w:tblCellMar>
      </w:tblPr>
      <w:tr>
        <w:trPr>
          <w:trHeight w:val="197"/>
        </w:trPr>
        <w:tc>
          <w:tcPr>
            <w:tcW w:w="438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Vesting Date</w:t>
            </w:r>
          </w:p>
        </w:tc>
        <w:tc>
          <w:tcPr>
            <w:tcW w:w="1820" w:type="dxa"/>
            <w:vAlign w:val="bottom"/>
            <w:tcBorders>
              <w:top w:val="single" w:sz="8" w:color="auto"/>
              <w:right w:val="single" w:sz="8" w:color="auto"/>
            </w:tcBorders>
          </w:tcPr>
          <w:p>
            <w:pPr>
              <w:ind w:left="100"/>
              <w:spacing w:after="0" w:line="197"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39"/>
        </w:trPr>
        <w:tc>
          <w:tcPr>
            <w:tcW w:w="4380" w:type="dxa"/>
            <w:vAlign w:val="bottom"/>
            <w:tcBorders>
              <w:left w:val="single" w:sz="8" w:color="auto"/>
              <w:right w:val="single" w:sz="8" w:color="auto"/>
            </w:tcBorders>
            <w:vMerge w:val="continue"/>
          </w:tcPr>
          <w:p>
            <w:pPr>
              <w:spacing w:after="0"/>
              <w:rPr>
                <w:sz w:val="12"/>
                <w:szCs w:val="12"/>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of SAs</w:t>
            </w:r>
          </w:p>
        </w:tc>
        <w:tc>
          <w:tcPr>
            <w:tcW w:w="0" w:type="dxa"/>
            <w:vAlign w:val="bottom"/>
          </w:tcPr>
          <w:p>
            <w:pPr>
              <w:spacing w:after="0"/>
              <w:rPr>
                <w:sz w:val="1"/>
                <w:szCs w:val="1"/>
                <w:color w:val="auto"/>
              </w:rPr>
            </w:pPr>
          </w:p>
        </w:tc>
      </w:tr>
      <w:tr>
        <w:trPr>
          <w:trHeight w:val="83"/>
        </w:trPr>
        <w:tc>
          <w:tcPr>
            <w:tcW w:w="438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380" w:type="dxa"/>
            <w:vAlign w:val="bottom"/>
            <w:tcBorders>
              <w:left w:val="single" w:sz="8" w:color="auto"/>
              <w:right w:val="single" w:sz="8" w:color="auto"/>
            </w:tcBorders>
          </w:tcPr>
          <w:p>
            <w:pPr>
              <w:ind w:left="120"/>
              <w:spacing w:after="0" w:line="177" w:lineRule="exact"/>
              <w:rPr>
                <w:sz w:val="20"/>
                <w:szCs w:val="20"/>
                <w:color w:val="auto"/>
              </w:rPr>
            </w:pPr>
            <w:r>
              <w:rPr>
                <w:rFonts w:ascii="Arial" w:cs="Arial" w:eastAsia="Arial" w:hAnsi="Arial"/>
                <w:sz w:val="18"/>
                <w:szCs w:val="18"/>
                <w:color w:val="auto"/>
              </w:rPr>
              <w:t>The Determination Date, as defined under Section</w:t>
            </w: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2(b) above or, if later, the August 31 following the</w:t>
            </w:r>
          </w:p>
        </w:tc>
        <w:tc>
          <w:tcPr>
            <w:tcW w:w="18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1"/>
        </w:trPr>
        <w:tc>
          <w:tcPr>
            <w:tcW w:w="4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Performance Period</w:t>
            </w: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[___________] (“18 month Vest Date”)</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91"/>
        </w:trPr>
        <w:tc>
          <w:tcPr>
            <w:tcW w:w="4380" w:type="dxa"/>
            <w:vAlign w:val="bottom"/>
            <w:tcBorders>
              <w:left w:val="single" w:sz="8" w:color="auto"/>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3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i w:val="1"/>
                <w:iCs w:val="1"/>
                <w:color w:val="auto"/>
              </w:rPr>
              <w:t>Each 6-month anniversary of the 18 month Vest</w:t>
            </w:r>
          </w:p>
        </w:tc>
        <w:tc>
          <w:tcPr>
            <w:tcW w:w="18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4380" w:type="dxa"/>
            <w:vAlign w:val="bottom"/>
            <w:tcBorders>
              <w:left w:val="single" w:sz="8" w:color="auto"/>
              <w:bottom w:val="single" w:sz="8" w:color="auto"/>
              <w:right w:val="single" w:sz="8" w:color="auto"/>
            </w:tcBorders>
          </w:tcPr>
          <w:p>
            <w:pPr>
              <w:ind w:left="120"/>
              <w:spacing w:after="0" w:line="203" w:lineRule="exact"/>
              <w:rPr>
                <w:sz w:val="20"/>
                <w:szCs w:val="20"/>
                <w:color w:val="auto"/>
              </w:rPr>
            </w:pPr>
            <w:r>
              <w:rPr>
                <w:rFonts w:ascii="Arial" w:cs="Arial" w:eastAsia="Arial" w:hAnsi="Arial"/>
                <w:sz w:val="18"/>
                <w:szCs w:val="18"/>
                <w:i w:val="1"/>
                <w:iCs w:val="1"/>
                <w:color w:val="auto"/>
              </w:rPr>
              <w:t>Date</w:t>
            </w:r>
          </w:p>
        </w:tc>
        <w:tc>
          <w:tcPr>
            <w:tcW w:w="1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Vesting will not occur before the first NASDAQ Stock Market regular trading day that is on or after the applicable vesting date.</w:t>
      </w:r>
    </w:p>
    <w:p>
      <w:pPr>
        <w:spacing w:after="0" w:line="171" w:lineRule="exact"/>
        <w:rPr>
          <w:sz w:val="20"/>
          <w:szCs w:val="20"/>
          <w:color w:val="auto"/>
        </w:rPr>
      </w:pPr>
    </w:p>
    <w:p>
      <w:pPr>
        <w:ind w:right="260" w:firstLine="8"/>
        <w:spacing w:after="0" w:line="253"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Awardee agrees that the SAs subject to this Award Agreement, and other incentive or performance-based compensation Awardee receives or has received from the Company, shall be subject to the Company’s executive compensation recovery policy, as amended from time to time.</w:t>
      </w:r>
    </w:p>
    <w:p>
      <w:pPr>
        <w:spacing w:after="0" w:line="128" w:lineRule="exact"/>
        <w:rPr>
          <w:rFonts w:ascii="Arial" w:cs="Arial" w:eastAsia="Arial" w:hAnsi="Arial"/>
          <w:sz w:val="18"/>
          <w:szCs w:val="18"/>
          <w:color w:val="auto"/>
        </w:rPr>
      </w:pPr>
    </w:p>
    <w:p>
      <w:pPr>
        <w:ind w:right="120" w:firstLine="8"/>
        <w:spacing w:after="0" w:line="241"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AWARDEE’S RIGHTS IN THE SAs SHALL BE AFFECTED, WITH REGARD TO BOTH VESTING SCHEDULE AND TERMINATION, BY LEAVES OF ABSENCE, CHANGES IN THE NUMBER OF HOURS WORKED, PARTIAL DISABILITY, AND OTHER CHANGES IN AWARDEE’S EMPLOYMENT STATUS AS PROVIDED IN THE COMPANY’S CURRENT POLICIES FOR THESE</w:t>
      </w:r>
    </w:p>
    <w:p>
      <w:pPr>
        <w:spacing w:after="0" w:line="1" w:lineRule="exact"/>
        <w:rPr>
          <w:rFonts w:ascii="Arial" w:cs="Arial" w:eastAsia="Arial" w:hAnsi="Arial"/>
          <w:sz w:val="18"/>
          <w:szCs w:val="18"/>
          <w:color w:val="auto"/>
        </w:rPr>
      </w:pPr>
    </w:p>
    <w:p>
      <w:pPr>
        <w:ind w:right="500"/>
        <w:spacing w:after="0"/>
        <w:rPr>
          <w:rFonts w:ascii="Arial" w:cs="Arial" w:eastAsia="Arial" w:hAnsi="Arial"/>
          <w:sz w:val="18"/>
          <w:szCs w:val="18"/>
          <w:color w:val="auto"/>
        </w:rPr>
      </w:pPr>
      <w:r>
        <w:rPr>
          <w:rFonts w:ascii="Arial" w:cs="Arial" w:eastAsia="Arial" w:hAnsi="Arial"/>
          <w:sz w:val="18"/>
          <w:szCs w:val="18"/>
          <w:color w:val="auto"/>
        </w:rPr>
        <w:t>MATTERS. ACCOMPANYING THIS AWARD AGREEMENT IS A CURRENT COPY OF THESE POLICIES. THESE POLICIES MAY CHANGE FROM TIME TO TIME WITHOUT NOTICE IN THE COMPANY’S SOLE DISCRETION, AND AWARDEE’S RIGHTS WILL BE GOVERNED BY THE POLICIES IN EFFECT AT THE TIME OF ANY EMPLOYMENT STATUS CHANGE. E-MAIL "BENEFITS" FOR A COPY OF THE MOST CURRENT POLICIES.</w:t>
      </w:r>
    </w:p>
    <w:p>
      <w:pPr>
        <w:spacing w:after="0" w:line="153" w:lineRule="exact"/>
        <w:rPr>
          <w:sz w:val="20"/>
          <w:szCs w:val="20"/>
          <w:color w:val="auto"/>
        </w:rPr>
      </w:pPr>
    </w:p>
    <w:p>
      <w:pPr>
        <w:ind w:right="60" w:firstLine="8"/>
        <w:spacing w:after="0" w:line="271"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terminated earlier under Section 4, 5 or 6 below, an Awardee’s rights under this Award Agreement with respect to the SAs under this Award Agreement shall terminate at the time the SAs are converted into Common Shares and distributed to Awardee.</w:t>
      </w:r>
    </w:p>
    <w:p>
      <w:pPr>
        <w:spacing w:after="0" w:line="113" w:lineRule="exact"/>
        <w:rPr>
          <w:rFonts w:ascii="Arial" w:cs="Arial" w:eastAsia="Arial" w:hAnsi="Arial"/>
          <w:sz w:val="18"/>
          <w:szCs w:val="18"/>
          <w:color w:val="auto"/>
        </w:rPr>
      </w:pPr>
    </w:p>
    <w:p>
      <w:pPr>
        <w:ind w:right="60" w:firstLine="8"/>
        <w:spacing w:after="0" w:line="244"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of Awardee's Status as a Participant</w:t>
      </w:r>
      <w:r>
        <w:rPr>
          <w:rFonts w:ascii="Arial" w:cs="Arial" w:eastAsia="Arial" w:hAnsi="Arial"/>
          <w:sz w:val="18"/>
          <w:szCs w:val="18"/>
          <w:color w:val="auto"/>
        </w:rPr>
        <w:t>. Except as otherwise specified in Section 5, 6 and 7 below, in the event of termination of Awardee's Continuous Status as a Participant (as that term is defined in Section 2(j) of the Plan), Awardee’s rights under this Award Agreement in any unvested SAs shall terminate. For the avoidance of doubt, an Awardee’s Continuous Status as a Participant terminates at the time Awardee’s actual employer ceases to be the Company or a “Subsidiary” of the Company, as that term is defined in Section 2(y) of the Plan, and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4" w:name="page65"/>
    <w:bookmarkEnd w:id="64"/>
    <w:p>
      <w:pPr>
        <w:ind w:right="280"/>
        <w:spacing w:after="0" w:line="271" w:lineRule="auto"/>
        <w:rPr>
          <w:sz w:val="20"/>
          <w:szCs w:val="20"/>
          <w:color w:val="auto"/>
        </w:rPr>
      </w:pPr>
      <w:r>
        <w:rPr>
          <w:rFonts w:ascii="Arial" w:cs="Arial" w:eastAsia="Arial" w:hAnsi="Arial"/>
          <w:sz w:val="18"/>
          <w:szCs w:val="18"/>
          <w:color w:val="auto"/>
        </w:rPr>
        <w:t>otherwise specified in Section 5, 6 and 7 below, no person shall have any rights as an Awardee under this Award Agreement unless he or she is in Continuous Status as a Participant on the Award Date.</w:t>
      </w:r>
    </w:p>
    <w:p>
      <w:pPr>
        <w:spacing w:after="0" w:line="127" w:lineRule="exact"/>
        <w:rPr>
          <w:sz w:val="20"/>
          <w:szCs w:val="20"/>
          <w:color w:val="auto"/>
        </w:rPr>
      </w:pPr>
    </w:p>
    <w:p>
      <w:pPr>
        <w:jc w:val="both"/>
        <w:ind w:right="40" w:firstLine="8"/>
        <w:spacing w:after="0" w:line="253"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Disability of Awardee</w:t>
      </w:r>
      <w:r>
        <w:rPr>
          <w:rFonts w:ascii="Arial" w:cs="Arial" w:eastAsia="Arial" w:hAnsi="Arial"/>
          <w:sz w:val="18"/>
          <w:szCs w:val="18"/>
          <w:color w:val="auto"/>
        </w:rPr>
        <w:t>. Notwithstanding the provisions of Section 5 above, in the event of termination of Awardee's Continuous Status as a Participant as a result of total and permanent disability (as that term is defined in Section 12(c) of the Plan), outstanding unvested SAs under this Award Agreement shall become immediately vested.</w:t>
      </w:r>
    </w:p>
    <w:p>
      <w:pPr>
        <w:spacing w:after="0" w:line="128" w:lineRule="exact"/>
        <w:rPr>
          <w:rFonts w:ascii="Arial" w:cs="Arial" w:eastAsia="Arial" w:hAnsi="Arial"/>
          <w:sz w:val="18"/>
          <w:szCs w:val="18"/>
          <w:color w:val="auto"/>
        </w:rPr>
      </w:pPr>
    </w:p>
    <w:p>
      <w:pPr>
        <w:ind w:right="520" w:firstLine="8"/>
        <w:spacing w:after="0" w:line="271" w:lineRule="auto"/>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Death of Awardee</w:t>
      </w:r>
      <w:r>
        <w:rPr>
          <w:rFonts w:ascii="Arial" w:cs="Arial" w:eastAsia="Arial" w:hAnsi="Arial"/>
          <w:sz w:val="18"/>
          <w:szCs w:val="18"/>
          <w:color w:val="auto"/>
        </w:rPr>
        <w:t>. Notwithstanding the provisions of Section 5 above, if Awardee is, at the time of death, in Continuous Status as a Participant, outstanding unvested SAs under this Award Agreement shall become immediately vested.</w:t>
      </w:r>
    </w:p>
    <w:p>
      <w:pPr>
        <w:spacing w:after="0" w:line="113" w:lineRule="exact"/>
        <w:rPr>
          <w:rFonts w:ascii="Arial" w:cs="Arial" w:eastAsia="Arial" w:hAnsi="Arial"/>
          <w:sz w:val="18"/>
          <w:szCs w:val="18"/>
          <w:color w:val="auto"/>
        </w:rPr>
      </w:pPr>
    </w:p>
    <w:p>
      <w:pPr>
        <w:ind w:left="200" w:hanging="192"/>
        <w:spacing w:after="0"/>
        <w:tabs>
          <w:tab w:leader="none" w:pos="2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Vesting after termination of Employment</w:t>
      </w:r>
      <w:r>
        <w:rPr>
          <w:rFonts w:ascii="Arial" w:cs="Arial" w:eastAsia="Arial" w:hAnsi="Arial"/>
          <w:sz w:val="18"/>
          <w:szCs w:val="18"/>
          <w:color w:val="auto"/>
        </w:rPr>
        <w:t>.</w:t>
      </w:r>
    </w:p>
    <w:p>
      <w:pPr>
        <w:spacing w:after="0" w:line="18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 xml:space="preserve">[For Executive Incentive Plan awards] </w:t>
      </w:r>
      <w:r>
        <w:rPr>
          <w:rFonts w:ascii="Arial" w:cs="Arial" w:eastAsia="Arial" w:hAnsi="Arial"/>
          <w:sz w:val="18"/>
          <w:szCs w:val="18"/>
          <w:u w:val="single" w:color="auto"/>
          <w:color w:val="auto"/>
        </w:rPr>
        <w:t>Retirement</w:t>
      </w:r>
      <w:r>
        <w:rPr>
          <w:rFonts w:ascii="Arial" w:cs="Arial" w:eastAsia="Arial" w:hAnsi="Arial"/>
          <w:sz w:val="18"/>
          <w:szCs w:val="18"/>
          <w:color w:val="auto"/>
        </w:rPr>
        <w:t>. Notwithstanding the provisions of Section 4 above, in the event of Awardee's Retirement, Awardee shall be treated as continuously employed through the vesting dates in Section 2(a) above. For this purpose, "Retirement" means termination of employment with the Company or a Subsidiary after the earlier of (a) age 65, or (b) attaining age 55 and 15 years of Continuous Service, provided that immediately prior to termination of employment Awardee is employed by Microsoft (or a Subsidiary) in the United States.</w:t>
      </w:r>
    </w:p>
    <w:p>
      <w:pPr>
        <w:spacing w:after="0" w:line="136"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This Section 7 will only apply to a Retirement if (a) the Retirement occurs more than one year after the Award Date, (b) Awardee executes a release in conjunction with the Retirement in the form provided by the Company, and (c) Awardee’s employment does not terminate due to misconduct (as determined in the sole discretion of the Company’s senior corporate officer in charge of the Human Resources department), including but not limited to misconduct in violation of Company policy and misconduct that adversely affects the Company’s interests or reputation.</w:t>
      </w:r>
    </w:p>
    <w:p>
      <w:pPr>
        <w:spacing w:after="0" w:line="13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For purposes of this Section 7, “Continuous Service” means that Awardee has continuously remained an employee of the Company or a Subsidiary, measured from Awardee’s “most recent hire date” as reflected in the Company records. For an Awardee who became an employee of the Company following the acquisition of his or her employer by the Company or a Subsidiary, service with the acquired employer shall count toward Continuous Service, and Continuous Service shall be measured from Awardee’s acquired company hire date as reflected in the Company’s records.</w:t>
      </w:r>
    </w:p>
    <w:p>
      <w:pPr>
        <w:spacing w:after="0" w:line="14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If the Awardee dies after an eligible Retirement under this Section 7, then any shares that would, but for the Awardee’s death, be distributed pursuant to this Section 7 on vesting dates that follow the Awardee’s death shall be immediately vested and distributed in accordance with this Award Agreement.]</w:t>
      </w:r>
    </w:p>
    <w:p>
      <w:pPr>
        <w:spacing w:after="0" w:line="12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 Awardee may vest in shares following Awardee’s termination of employment to the extent provided in a Company severance benefit plan, including the Senior Executive Severance Benefit Plan. In no event, however, shall any accelerated or continued vesting under a Company severance benefit plan change the time of payment specified under this Award Agreement.</w:t>
      </w:r>
    </w:p>
    <w:p>
      <w:pPr>
        <w:spacing w:after="0" w:line="128" w:lineRule="exact"/>
        <w:rPr>
          <w:sz w:val="20"/>
          <w:szCs w:val="20"/>
          <w:color w:val="auto"/>
        </w:rPr>
      </w:pPr>
    </w:p>
    <w:p>
      <w:pPr>
        <w:ind w:right="100" w:firstLine="8"/>
        <w:spacing w:after="0" w:line="244" w:lineRule="auto"/>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Value of Unvested SAs</w:t>
      </w:r>
      <w:r>
        <w:rPr>
          <w:rFonts w:ascii="Arial" w:cs="Arial" w:eastAsia="Arial" w:hAnsi="Arial"/>
          <w:sz w:val="18"/>
          <w:szCs w:val="18"/>
          <w:color w:val="auto"/>
        </w:rPr>
        <w:t>. In consideration of the award of these SAs, Awardee agrees that upon and following termination of Awardee's Continuous Status as a Participant for any reason (whether or not in breach of applicable laws), and regardless of whether Awardee is terminated with or without cause, notice, or pre-termination procedure or whether Awardee asserts or prevails on a claim that Awardee’s employment was terminable only for cause or only with notice or pre-termination procedure, any unvested SAs under this Award Agreement shall be deemed to have a value of zero dollars ($0.00).</w:t>
      </w:r>
    </w:p>
    <w:p>
      <w:pPr>
        <w:spacing w:after="0" w:line="149" w:lineRule="exact"/>
        <w:rPr>
          <w:rFonts w:ascii="Arial" w:cs="Arial" w:eastAsia="Arial" w:hAnsi="Arial"/>
          <w:sz w:val="18"/>
          <w:szCs w:val="18"/>
          <w:color w:val="auto"/>
        </w:rPr>
      </w:pPr>
    </w:p>
    <w:p>
      <w:pPr>
        <w:ind w:left="200" w:hanging="192"/>
        <w:spacing w:after="0"/>
        <w:tabs>
          <w:tab w:leader="none" w:pos="2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Conversion of SAs to Common Shares; Responsibility for Taxes</w:t>
      </w:r>
      <w:r>
        <w:rPr>
          <w:rFonts w:ascii="Arial" w:cs="Arial" w:eastAsia="Arial" w:hAnsi="Arial"/>
          <w:sz w:val="18"/>
          <w:szCs w:val="18"/>
          <w:color w:val="auto"/>
        </w:rPr>
        <w:t>.</w:t>
      </w:r>
    </w:p>
    <w:p>
      <w:pPr>
        <w:spacing w:after="0" w:line="171" w:lineRule="exact"/>
        <w:rPr>
          <w:sz w:val="20"/>
          <w:szCs w:val="20"/>
          <w:color w:val="auto"/>
        </w:rPr>
      </w:pPr>
    </w:p>
    <w:p>
      <w:pPr>
        <w:ind w:firstLine="8"/>
        <w:spacing w:after="0" w:line="239"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Provided Awardee has satisfied the requirements of Section 9(b) below, on the vesting of any SAs, the vested SAs shall be converted into an equivalent number of Common Shares that will be distributed to Awardee (or Awardee’s legal representative, if applicable) within 90 days after the date of the vesting event. Notwithstanding the foregoing, if accelerated vesting of an SA occurs pursuant to a provision of the Plan not addressed in this Award Agreement, distribution of the related Common Share shall not occur until the date distribution would have occurred under this Award Agreement absent this accelerated vesting. The distribution to Awardee (Awardee’s legal representative, if applicable) of Common Shares in respect of the vested SAs shall be evidenced by means that the Company determines to be appropriate. In the event ownership or issuance of Common Shares is not feasible due to applicable exchange controls, securities regulations, tax laws or other provisions of applicable law, as determined by the Company in its sole discretion, Awardee (Awardee’s legal representative, if applicable) shall receive cash proceeds in an amount equal to the value of the Common Shares otherwise distributable to Awardee, 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by the Company in its sole discretion, net of amounts withheld in satisfaction of the requirements of Section 9(b) below.</w:t>
      </w:r>
    </w:p>
    <w:p>
      <w:pPr>
        <w:spacing w:after="0" w:line="185" w:lineRule="exact"/>
        <w:rPr>
          <w:sz w:val="20"/>
          <w:szCs w:val="20"/>
          <w:color w:val="auto"/>
        </w:rPr>
      </w:pPr>
    </w:p>
    <w:p>
      <w:pPr>
        <w:ind w:firstLine="8"/>
        <w:spacing w:after="0" w:line="239" w:lineRule="auto"/>
        <w:tabs>
          <w:tab w:leader="none" w:pos="2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Regardless of any action the Company or Awardee’s actual employer takes with respect to any or all income tax (including federal, state and local taxes), social insurance, payroll tax, payment on account, or other tax-related withholding items (“Tax-Related Items”) that arise in connection with the SAs, Awardee acknowledges and agrees that the ultimate liability for any Tax-Related Items determined by the Company in its discretion to be legally due by Awardee, is and remains Awardee’s responsibility. Awardee acknowledges and agrees that the Company and/or Awardee’s actual employer (i) make no representations or undertakings regarding the treatment of any Tax-Related Items in connection with any aspect of the SAs, including the grant of the SAs, the vesting of SAs, the conversion of SAs into Common Shares or the receipt of an equivalent cash payment, the subsequent sale of any Common Shares acquired and the receipt of any dividends; and (ii) do not commit to and are under no obligation to structure the terms of the grant or any aspect of the SAs to reduce or eliminate Awardee’s liability for any Tax-Related Items.</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Prior to the relevant taxable or tax-withholding event, as applicable, Awardee shall pay, or make adequate arrangements satisfactory to the Company or to Awardee’s actual employer (in their sole discretion) to satisfy all obligations for Tax-Related Items. In this regard, Awardee authorizes the Company or Awardee’s actual employer to withhold all applicable Tax-Related Items from Awardee’s wages or other cash compensation payable to Awardee by the Company or Awardee’s actual employer. Alternatively, or in addition, the Company or Awardee’s actual employer may, in their sole discretion, and without notice to or authorization by Awardee, (i) sell or arrange for the sale of Common Shares to be issued upon the vesting of SAs or other event to satisfy the withholding obligation, and/or (ii) withhold in Common Shares, provided that the Company and Awardee’s actual employer shall withhold only the amount of shares necessary to satisfy the minimum withholding amount or such other amount determined by the Company as not resulting in negative accounting consequences for the Company. Awardee will be deemed to have been issued the full number of Common Shares subject to the SAs, notwithstanding that a number of whole vested Common Shares are held back solely for the purpose of paying the Tax-Related Items. Awardee shall pay to the Company or to Awardee’s actual employer any amount of Tax-Related Items that the Company or Awardee’s actual employer may be required to withhold as a result of Awardee’s receipt of SAs, the vesting of SAs, or the conversion of vested SAs to Common Shares that cannot be satisfied by the means described in this paragraph. Except where applicable legal or regulatory provisions prohibit and notwithstanding anything in the Plan to the contrary, the standard process for the payment of an Awardee’s Tax-Related Items shall be for the Company or Awardee’s actual employer to withhold in Common Shares only to the amount of shares necessary to satisfy the minimum withholding amount or such other amount determined by the Company as not resulting in negative accounting consequences for the Company. The Company may refuse to deliver Common Shares to Awardee if Awardee fails to comply with Awardee’s obligation in connection with the Tax-Related Items as described in this section 9.</w:t>
      </w:r>
    </w:p>
    <w:p>
      <w:pPr>
        <w:spacing w:after="0" w:line="141" w:lineRule="exact"/>
        <w:rPr>
          <w:sz w:val="20"/>
          <w:szCs w:val="20"/>
          <w:color w:val="auto"/>
        </w:rPr>
      </w:pPr>
    </w:p>
    <w:p>
      <w:pPr>
        <w:ind w:right="560" w:firstLine="8"/>
        <w:spacing w:after="0" w:line="271"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lieu of issuing fractional Common Shares, on the vesting of a fraction of an SA, the Company shall round the shares down to the nearest whole share and any such share that represents a fraction of a SA will be included in a subsequent vest date.</w:t>
      </w:r>
    </w:p>
    <w:p>
      <w:pPr>
        <w:spacing w:after="0" w:line="126" w:lineRule="exact"/>
        <w:rPr>
          <w:rFonts w:ascii="Arial" w:cs="Arial" w:eastAsia="Arial" w:hAnsi="Arial"/>
          <w:sz w:val="18"/>
          <w:szCs w:val="18"/>
          <w:color w:val="auto"/>
        </w:rPr>
      </w:pPr>
    </w:p>
    <w:p>
      <w:pPr>
        <w:ind w:right="40" w:firstLine="8"/>
        <w:spacing w:after="0" w:line="247"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Until the distribution to Awardee of the Common Shares in respect of the vested SAs is evidenced by deposit in Awardee’s brokerage account, Awardee shall have no right to vote or receive dividends or any other rights as a shareholder with respect to such Common Shares, notwithstanding the vesting of SAs. No adjustment will be made for a dividend or other right for which the record date is prior to the date Awardee is recorded as the owner of the Common Shares, except as provided in Section 14 of the Plan.</w:t>
      </w:r>
    </w:p>
    <w:p>
      <w:pPr>
        <w:spacing w:after="0" w:line="133" w:lineRule="exact"/>
        <w:rPr>
          <w:rFonts w:ascii="Arial" w:cs="Arial" w:eastAsia="Arial" w:hAnsi="Arial"/>
          <w:sz w:val="18"/>
          <w:szCs w:val="18"/>
          <w:color w:val="auto"/>
        </w:rPr>
      </w:pPr>
    </w:p>
    <w:p>
      <w:pPr>
        <w:jc w:val="both"/>
        <w:ind w:right="60" w:firstLine="8"/>
        <w:spacing w:after="0" w:line="253" w:lineRule="auto"/>
        <w:tabs>
          <w:tab w:leader="none" w:pos="2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accepting the Award of SAs evidenced by this Award Agreement, Awardee agrees not to sell any of the Common Shares received on account of vested SAs at a time when applicable laws or Company policies prohibit a sale. This restriction shall apply so long as Awardee is an Employee, Consultant or outside director of the Company or a Subsidiary of the Company.</w:t>
      </w:r>
    </w:p>
    <w:p>
      <w:pPr>
        <w:spacing w:after="0" w:line="196"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Notwithstanding any other provision of this Award Agreement, the Company may, in its sole discretion, withhold applicable taxes by withholding fractional Shares.</w:t>
      </w:r>
    </w:p>
    <w:p>
      <w:pPr>
        <w:spacing w:after="0" w:line="113" w:lineRule="exact"/>
        <w:rPr>
          <w:sz w:val="20"/>
          <w:szCs w:val="20"/>
          <w:color w:val="auto"/>
        </w:rPr>
      </w:pPr>
    </w:p>
    <w:p>
      <w:pPr>
        <w:ind w:right="80" w:firstLine="8"/>
        <w:spacing w:after="0" w:line="253"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Non-Transferability of SAs</w:t>
      </w:r>
      <w:r>
        <w:rPr>
          <w:rFonts w:ascii="Arial" w:cs="Arial" w:eastAsia="Arial" w:hAnsi="Arial"/>
          <w:sz w:val="18"/>
          <w:szCs w:val="18"/>
          <w:color w:val="auto"/>
        </w:rPr>
        <w:t>. Awardee’s right in the SAs awarded under this Award Agreement and any interest therein may not be sold, pledged, assigned, hypothecated, transferred, or disposed of in any manner, other than by will or by the laws of descent or distribution. SAs shall not be subject to execution, attachment or other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Acknowledgment of Nature of Plan and SAs</w:t>
      </w:r>
      <w:r>
        <w:rPr>
          <w:rFonts w:ascii="Arial" w:cs="Arial" w:eastAsia="Arial" w:hAnsi="Arial"/>
          <w:sz w:val="18"/>
          <w:szCs w:val="18"/>
          <w:color w:val="auto"/>
        </w:rPr>
        <w:t>. In accepting the Award, Awardee acknowledges that:</w:t>
      </w:r>
    </w:p>
    <w:p>
      <w:pPr>
        <w:spacing w:after="0" w:line="185" w:lineRule="exact"/>
        <w:rPr>
          <w:sz w:val="20"/>
          <w:szCs w:val="20"/>
          <w:color w:val="auto"/>
        </w:rPr>
      </w:pPr>
    </w:p>
    <w:p>
      <w:pPr>
        <w:ind w:right="80" w:firstLine="8"/>
        <w:spacing w:after="0" w:line="271"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as provided in the Plan;</w:t>
      </w:r>
    </w:p>
    <w:p>
      <w:pPr>
        <w:spacing w:after="0" w:line="113" w:lineRule="exact"/>
        <w:rPr>
          <w:rFonts w:ascii="Arial" w:cs="Arial" w:eastAsia="Arial" w:hAnsi="Arial"/>
          <w:sz w:val="18"/>
          <w:szCs w:val="18"/>
          <w:color w:val="auto"/>
        </w:rPr>
      </w:pPr>
    </w:p>
    <w:p>
      <w:pPr>
        <w:ind w:right="140" w:firstLine="8"/>
        <w:spacing w:after="0" w:line="271"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Award of SAs is voluntary and occasional and does not create any contractual or other right to receive future awards of SAs or other awards, or benefits in lieu of SAs even if SAs have been awarded repeatedly in the past;</w:t>
      </w:r>
    </w:p>
    <w:p>
      <w:pPr>
        <w:spacing w:after="0" w:line="113"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decisions with respect to SAs or other future awards, if any, will be at the sole discretion of the Company;</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Awardee’s participation in the Plan is voluntary;</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future value of the underlying Common Shares is unknown and cannot be predicted with certainty;</w:t>
      </w:r>
    </w:p>
    <w:p>
      <w:pPr>
        <w:spacing w:after="0" w:line="171" w:lineRule="exact"/>
        <w:rPr>
          <w:rFonts w:ascii="Arial" w:cs="Arial" w:eastAsia="Arial" w:hAnsi="Arial"/>
          <w:sz w:val="18"/>
          <w:szCs w:val="18"/>
          <w:color w:val="auto"/>
        </w:rPr>
      </w:pPr>
    </w:p>
    <w:p>
      <w:pPr>
        <w:ind w:left="220" w:hanging="212"/>
        <w:spacing w:after="0"/>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Awardee receives Common Shares, the value of the Common Shares acquired on vesting of SAs may increase or decrease in value;</w:t>
      </w:r>
    </w:p>
    <w:p>
      <w:pPr>
        <w:spacing w:after="0" w:line="184" w:lineRule="exact"/>
        <w:rPr>
          <w:rFonts w:ascii="Arial" w:cs="Arial" w:eastAsia="Arial" w:hAnsi="Arial"/>
          <w:sz w:val="18"/>
          <w:szCs w:val="18"/>
          <w:color w:val="auto"/>
        </w:rPr>
      </w:pPr>
    </w:p>
    <w:p>
      <w:pPr>
        <w:ind w:right="60" w:firstLine="8"/>
        <w:spacing w:after="0"/>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notwithstanding any terms or conditions of the Plan to the contrary and consistent with Section 4 above, in the event of termination of Awardee's Continuous Status as a Participant under circumstances where Section 7 above does not apply (whether or not in breach of applicable laws), Awardee's right to receive SAs and vest under the Plan, if any, will terminate effective as of the date that Awardee is no longer actively employed and will not be extended by any notice period mandated under applicable law. Awardee's right to receive Common Shares pursuant to any SAs after termination of Continuous Status as a Participant, if any, will be calculated as of the date of termination of Awardee's active employment and will not be extended by any notice period mandated under applicable law. The senior corporate officer in charge of the Human Resources department shall have the exclusive discretion to determine when Awardee is no longer actively employed for purposes of the award of SAs; and</w:t>
      </w:r>
    </w:p>
    <w:p>
      <w:pPr>
        <w:spacing w:after="0" w:line="139" w:lineRule="exact"/>
        <w:rPr>
          <w:rFonts w:ascii="Arial" w:cs="Arial" w:eastAsia="Arial" w:hAnsi="Arial"/>
          <w:sz w:val="18"/>
          <w:szCs w:val="18"/>
          <w:color w:val="auto"/>
        </w:rPr>
      </w:pPr>
    </w:p>
    <w:p>
      <w:pPr>
        <w:ind w:right="60" w:firstLine="8"/>
        <w:spacing w:after="0" w:line="247" w:lineRule="auto"/>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Awardee acknowledges and agrees that, regardless of whether Awardee is terminated with or without cause, notice or pre-termination procedure or whether Awardee asserts or prevails on a claim that Awardee’s employment was terminable only for cause or only with notice or pre-termination procedure, Awardee has no right to, and will not bring any legal claim or action for, (a) any damages for any portion of any SAs that have been vested and converted into Common Shares, or (b) termination of any unvested SAs under this Award Agreement.</w:t>
      </w:r>
    </w:p>
    <w:p>
      <w:pPr>
        <w:spacing w:after="0" w:line="133" w:lineRule="exact"/>
        <w:rPr>
          <w:sz w:val="20"/>
          <w:szCs w:val="20"/>
          <w:color w:val="auto"/>
        </w:rPr>
      </w:pPr>
    </w:p>
    <w:p>
      <w:pPr>
        <w:ind w:right="80" w:firstLine="8"/>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 Employment Right</w:t>
      </w:r>
      <w:r>
        <w:rPr>
          <w:rFonts w:ascii="Arial" w:cs="Arial" w:eastAsia="Arial" w:hAnsi="Arial"/>
          <w:sz w:val="18"/>
          <w:szCs w:val="18"/>
          <w:color w:val="auto"/>
        </w:rPr>
        <w:t>. Awardee acknowledges that neither the fact of this Award of SAs nor any provision of this Award Agreement or the Plan or the policies adopted pursuant to the Plan shall confer upon Awardee any right with respect to employment or continuation of current employment with the Company or with Awardee’s actual employer, or to employment that is not terminable at will. Awardee further acknowledges and agrees that neither the Plan nor this Award of SAs makes Awardee's employment with the Company or Awardee’s actual employer for any minimum or fixed period, and that this employment is subject to the mutual consent of Awardee and the Company or Awardee’s actual employer, and may be terminated by either Awardee or the Company or Awardee’s actual employer at any time, for any reason or no reason, with or without cause or notice or any kind of pre- or post-termination warning, discipline or procedure.</w:t>
      </w:r>
    </w:p>
    <w:p>
      <w:pPr>
        <w:spacing w:after="0" w:line="157" w:lineRule="exact"/>
        <w:rPr>
          <w:rFonts w:ascii="Arial" w:cs="Arial" w:eastAsia="Arial" w:hAnsi="Arial"/>
          <w:sz w:val="18"/>
          <w:szCs w:val="18"/>
          <w:color w:val="auto"/>
        </w:rPr>
      </w:pPr>
    </w:p>
    <w:p>
      <w:pPr>
        <w:ind w:firstLine="8"/>
        <w:spacing w:after="0" w:line="244"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otherwise expressly provided in the Plan, the authority to manage and control the operation and administration of this Award Agreement shall be vested in the Committee, and the Committee shall have all powers and discretion with respect to this Award Agreement as it has with respect to the Plan. Any interpretation of the Award Agreement by the Committee and any decision made by the Committee with respect to the Award Agreement shall be final and binding on all parties. References to the Committee in this Award Agreement shall be read to include a reference to any delegate of the Committee acting within the scope of his or her delegation.</w:t>
      </w:r>
    </w:p>
    <w:p>
      <w:pPr>
        <w:spacing w:after="0" w:line="135" w:lineRule="exact"/>
        <w:rPr>
          <w:rFonts w:ascii="Arial" w:cs="Arial" w:eastAsia="Arial" w:hAnsi="Arial"/>
          <w:sz w:val="18"/>
          <w:szCs w:val="18"/>
          <w:color w:val="auto"/>
        </w:rPr>
      </w:pPr>
    </w:p>
    <w:p>
      <w:pPr>
        <w:ind w:right="160" w:firstLine="8"/>
        <w:spacing w:after="0" w:line="253"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This Award Agreement shall be subject to the terms of the Plan and, if applicable, the Executive Incentive Plan, and this Award Agreement is subject to all interpretations, amendments, rules and regulations promulgated by the Committee from time to time pursuant to the Plan and, if applicable, the Executive Incentive Plan.</w:t>
      </w:r>
    </w:p>
    <w:p>
      <w:pPr>
        <w:spacing w:after="0" w:line="128" w:lineRule="exact"/>
        <w:rPr>
          <w:rFonts w:ascii="Arial" w:cs="Arial" w:eastAsia="Arial" w:hAnsi="Arial"/>
          <w:sz w:val="18"/>
          <w:szCs w:val="18"/>
          <w:color w:val="auto"/>
        </w:rPr>
      </w:pPr>
    </w:p>
    <w:p>
      <w:pPr>
        <w:ind w:right="240" w:firstLine="8"/>
        <w:spacing w:after="0" w:line="253"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written notices provided for in this Award Agreement that are sent by mail shall be deemed received three business days after mailing, but not later than the date of actual receipt. Notices shall be directed, if to Awardee, at Awardee’s address indicated by the Company’s records and, if to the Company, at the Company’s principal executive office.</w:t>
      </w:r>
    </w:p>
    <w:p>
      <w:pPr>
        <w:spacing w:after="0" w:line="141" w:lineRule="exact"/>
        <w:rPr>
          <w:rFonts w:ascii="Arial" w:cs="Arial" w:eastAsia="Arial" w:hAnsi="Arial"/>
          <w:sz w:val="18"/>
          <w:szCs w:val="18"/>
          <w:color w:val="auto"/>
        </w:rPr>
      </w:pPr>
    </w:p>
    <w:p>
      <w:pPr>
        <w:ind w:right="60" w:firstLine="8"/>
        <w:spacing w:after="0" w:line="271"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SAs awarded under the Plan or future SAs that may be awarded under the Plan by electronic means or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7" w:name="page68"/>
    <w:bookmarkEnd w:id="67"/>
    <w:p>
      <w:pPr>
        <w:ind w:right="40"/>
        <w:spacing w:after="0" w:line="253" w:lineRule="auto"/>
        <w:rPr>
          <w:sz w:val="20"/>
          <w:szCs w:val="20"/>
          <w:color w:val="auto"/>
        </w:rPr>
      </w:pPr>
      <w:r>
        <w:rPr>
          <w:rFonts w:ascii="Arial" w:cs="Arial" w:eastAsia="Arial" w:hAnsi="Arial"/>
          <w:sz w:val="18"/>
          <w:szCs w:val="18"/>
          <w:color w:val="auto"/>
        </w:rPr>
        <w:t>Awardee’s consent to participate in the Plan by electronic means. Awardee hereby consents to receive such documents by electronic delivery and agrees to participate in the Plan through an on-line or electronic system established and maintained by the Company or another third party designated by the Company.</w:t>
      </w:r>
    </w:p>
    <w:p>
      <w:pPr>
        <w:spacing w:after="0" w:line="142" w:lineRule="exact"/>
        <w:rPr>
          <w:sz w:val="20"/>
          <w:szCs w:val="20"/>
          <w:color w:val="auto"/>
        </w:rPr>
      </w:pPr>
    </w:p>
    <w:p>
      <w:pPr>
        <w:ind w:right="80" w:firstLine="8"/>
        <w:spacing w:after="0" w:line="244"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By Awardee's acceptance of this Award Agreement in the manner prescribed by the Company, Awardee acknowledges that Awardee has received and has read, understood and accepted all the terms, conditions and restrictions of this Award Agreement, the Plan, and the current policies referenced in Sections 2(b) and 2(c) above. Awardee understands and agrees that this Award Agreement is subject to all the terms, conditions, and restrictions stated in this Award Agreement and in the other documents referenced in the preceding sentence, as the latter may be amended from time to time in the Company’s sole discretion.</w:t>
      </w:r>
    </w:p>
    <w:p>
      <w:pPr>
        <w:spacing w:after="0" w:line="135" w:lineRule="exact"/>
        <w:rPr>
          <w:rFonts w:ascii="Arial" w:cs="Arial" w:eastAsia="Arial" w:hAnsi="Arial"/>
          <w:sz w:val="18"/>
          <w:szCs w:val="18"/>
          <w:color w:val="auto"/>
        </w:rPr>
      </w:pPr>
    </w:p>
    <w:p>
      <w:pPr>
        <w:ind w:right="200" w:firstLine="8"/>
        <w:spacing w:after="0" w:line="271"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 These SAs have been awarded pursuant to the Plan and this Award of SAs has been approved by the Compensation Committee of the Board of Directors or the Board of Directors.</w:t>
      </w:r>
    </w:p>
    <w:p>
      <w:pPr>
        <w:spacing w:after="0" w:line="113" w:lineRule="exact"/>
        <w:rPr>
          <w:rFonts w:ascii="Arial" w:cs="Arial" w:eastAsia="Arial" w:hAnsi="Arial"/>
          <w:sz w:val="18"/>
          <w:szCs w:val="18"/>
          <w:color w:val="auto"/>
        </w:rPr>
      </w:pPr>
    </w:p>
    <w:p>
      <w:pPr>
        <w:jc w:val="both"/>
        <w:ind w:right="180" w:firstLine="8"/>
        <w:spacing w:after="0" w:line="253"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shall be governed by the laws of the State of Washington, U.S.A., without regard to Washington laws that might cause other law to govern under applicable principles of conflicts of law. The venue for any litigation related to this Award Agreement will be in King County, Washington.</w:t>
      </w:r>
    </w:p>
    <w:p>
      <w:pPr>
        <w:spacing w:after="0" w:line="141" w:lineRule="exact"/>
        <w:rPr>
          <w:rFonts w:ascii="Arial" w:cs="Arial" w:eastAsia="Arial" w:hAnsi="Arial"/>
          <w:sz w:val="18"/>
          <w:szCs w:val="18"/>
          <w:color w:val="auto"/>
        </w:rPr>
      </w:pPr>
    </w:p>
    <w:p>
      <w:pPr>
        <w:jc w:val="both"/>
        <w:ind w:right="40" w:firstLine="8"/>
        <w:spacing w:after="0" w:line="244"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that could be deemed null and void shall first be construed, interpreted or revised retroactively to permit this Award Agreement to be construed so as to foster the intent of this Award Agreement and the Plan.</w:t>
      </w:r>
    </w:p>
    <w:p>
      <w:pPr>
        <w:spacing w:after="0" w:line="135" w:lineRule="exact"/>
        <w:rPr>
          <w:rFonts w:ascii="Arial" w:cs="Arial" w:eastAsia="Arial" w:hAnsi="Arial"/>
          <w:sz w:val="18"/>
          <w:szCs w:val="18"/>
          <w:color w:val="auto"/>
        </w:rPr>
      </w:pPr>
    </w:p>
    <w:p>
      <w:pPr>
        <w:ind w:firstLine="8"/>
        <w:spacing w:after="0" w:line="242"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Complete Award Agreement and Amendment</w:t>
      </w:r>
      <w:r>
        <w:rPr>
          <w:rFonts w:ascii="Arial" w:cs="Arial" w:eastAsia="Arial" w:hAnsi="Arial"/>
          <w:sz w:val="18"/>
          <w:szCs w:val="18"/>
          <w:color w:val="auto"/>
        </w:rPr>
        <w:t>. This Award Agreement (including the policies referenced in Sections 2(b) and 2(c)) and the Plan constitute the entire agreement between Awardee and the Company regarding SAs. Any prior agreements, commitments or negotiations concerning these SAs are superseded. This Award Agreement may be amended only by written agreement of Awardee and the Company, without consent of any other person, provided that no consent is necessary to an amendment that in the reasonable judgment of the Committee confers a benefit on Awardee. Awardee agrees not to rely on any oral information regarding this Award of SAs or any written materials not identified in this Section 21.</w:t>
      </w:r>
    </w:p>
    <w:p>
      <w:pPr>
        <w:spacing w:after="0" w:line="138" w:lineRule="exact"/>
        <w:rPr>
          <w:rFonts w:ascii="Arial" w:cs="Arial" w:eastAsia="Arial" w:hAnsi="Arial"/>
          <w:sz w:val="18"/>
          <w:szCs w:val="18"/>
          <w:color w:val="auto"/>
        </w:rPr>
      </w:pPr>
    </w:p>
    <w:p>
      <w:pPr>
        <w:ind w:right="40" w:firstLine="8"/>
        <w:spacing w:after="0" w:line="253"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Award Agreement shall be interpreted, operated, and administered in a manner so as not to subject Awardee to the assessment of additional taxes or interest under Code section 409A, and this Award Agreement shall be amended as the Company, in its sole discretion, determines is necessary and appropriate to avoid the application of any such taxes or interest.</w:t>
      </w:r>
    </w:p>
    <w:p>
      <w:pPr>
        <w:sectPr>
          <w:pgSz w:w="11900" w:h="16838" w:orient="portrait"/>
          <w:cols w:equalWidth="0" w:num="1">
            <w:col w:w="11220"/>
          </w:cols>
          <w:pgMar w:left="320" w:top="526"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u w:val="single" w:color="auto"/>
          <w:color w:val="auto"/>
        </w:rPr>
        <w:t>Exhibit 10.29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STOCK AWARD AGREEMENT 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MICROSOFT CORPORATION 2017 STOCK PLAN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Award Number ______________</w:t>
      </w:r>
    </w:p>
    <w:p>
      <w:pPr>
        <w:spacing w:after="0" w:line="185"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 xml:space="preserve">This Award Agreement sets forth the terms and conditions of an award (the “Award”) of performance stock awards (“PSAs”) awarded to </w:t>
      </w:r>
      <w:r>
        <w:rPr>
          <w:rFonts w:ascii="Arial" w:cs="Arial" w:eastAsia="Arial" w:hAnsi="Arial"/>
          <w:sz w:val="18"/>
          <w:szCs w:val="18"/>
          <w:b w:val="1"/>
          <w:bCs w:val="1"/>
          <w:color w:val="auto"/>
        </w:rPr>
        <w:t xml:space="preserve">&lt;&lt;FullName&gt;&gt; </w:t>
      </w:r>
      <w:r>
        <w:rPr>
          <w:rFonts w:ascii="Arial" w:cs="Arial" w:eastAsia="Arial" w:hAnsi="Arial"/>
          <w:sz w:val="18"/>
          <w:szCs w:val="18"/>
          <w:color w:val="auto"/>
        </w:rPr>
        <w:t>(“Awardee”) by Microsoft Corporation (the “Company”) in the exercise of its sole discretion under the Microsoft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2017 Stock Plan (the “Plan”) and pursuant to the Microsoft Corporation Executive Incentive Plan on </w:t>
      </w:r>
      <w:r>
        <w:rPr>
          <w:rFonts w:ascii="Arial" w:cs="Arial" w:eastAsia="Arial" w:hAnsi="Arial"/>
          <w:sz w:val="18"/>
          <w:szCs w:val="18"/>
          <w:b w:val="1"/>
          <w:bCs w:val="1"/>
          <w:color w:val="auto"/>
        </w:rPr>
        <w:t>&lt;&lt;GrantDate&gt;&gt;</w:t>
      </w:r>
      <w:r>
        <w:rPr>
          <w:rFonts w:ascii="Arial" w:cs="Arial" w:eastAsia="Arial" w:hAnsi="Arial"/>
          <w:sz w:val="18"/>
          <w:szCs w:val="18"/>
          <w:color w:val="auto"/>
        </w:rPr>
        <w:t xml:space="preserve"> (the “Award Date”). Capitalized terms used but not defined in this Award Agreement shall have the meanings assigned to them in the Plan.</w:t>
      </w:r>
    </w:p>
    <w:p>
      <w:pPr>
        <w:spacing w:after="0" w:line="133"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w:t>
      </w:r>
    </w:p>
    <w:p>
      <w:pPr>
        <w:spacing w:after="0" w:line="171" w:lineRule="exact"/>
        <w:rPr>
          <w:sz w:val="20"/>
          <w:szCs w:val="20"/>
          <w:color w:val="auto"/>
        </w:rPr>
      </w:pPr>
    </w:p>
    <w:p>
      <w:pPr>
        <w:ind w:right="120" w:firstLine="8"/>
        <w:spacing w:after="0" w:line="244"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Award is earned over a performance period beginning ______ and ending ___________ (the “Performance Period”). Under the Award, the number of shares that may be earned at target performance for the Performance Period is </w:t>
      </w:r>
      <w:r>
        <w:rPr>
          <w:rFonts w:ascii="Arial" w:cs="Arial" w:eastAsia="Arial" w:hAnsi="Arial"/>
          <w:sz w:val="18"/>
          <w:szCs w:val="18"/>
          <w:b w:val="1"/>
          <w:bCs w:val="1"/>
          <w:color w:val="auto"/>
        </w:rPr>
        <w:t>&lt;&lt;</w:t>
      </w:r>
      <w:r>
        <w:rPr>
          <w:rFonts w:ascii="Arial" w:cs="Arial" w:eastAsia="Arial" w:hAnsi="Arial"/>
          <w:sz w:val="18"/>
          <w:szCs w:val="18"/>
          <w:b w:val="1"/>
          <w:bCs w:val="1"/>
          <w:i w:val="1"/>
          <w:iCs w:val="1"/>
          <w:color w:val="auto"/>
        </w:rPr>
        <w:t>TargetShares&gt;&gt;</w:t>
      </w:r>
      <w:r>
        <w:rPr>
          <w:rFonts w:ascii="Arial" w:cs="Arial" w:eastAsia="Arial" w:hAnsi="Arial"/>
          <w:sz w:val="18"/>
          <w:szCs w:val="18"/>
          <w:color w:val="auto"/>
        </w:rPr>
        <w:t xml:space="preserve"> (“Target Award”), and the maximum number of shares that may be earned for the Performance Period is 300% of the Target Award. At the end of the Performance Period, the Committee (as that term is defined in Section 2(f) of the Plan) will determine the number of PSAs earned under the Award as set forth in Section 2 (these earned PSAs are the “Earned PSAs”).</w:t>
      </w:r>
    </w:p>
    <w:p>
      <w:pPr>
        <w:spacing w:after="0" w:line="149" w:lineRule="exact"/>
        <w:rPr>
          <w:rFonts w:ascii="Arial" w:cs="Arial" w:eastAsia="Arial" w:hAnsi="Arial"/>
          <w:sz w:val="18"/>
          <w:szCs w:val="18"/>
          <w:color w:val="auto"/>
        </w:rPr>
      </w:pPr>
    </w:p>
    <w:p>
      <w:pPr>
        <w:ind w:right="160" w:firstLine="8"/>
        <w:spacing w:after="0" w:line="253" w:lineRule="auto"/>
        <w:tabs>
          <w:tab w:leader="none" w:pos="2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PSAs represent the Company’s unfunded and unsecured promise to issue Common Shares at a future date, subject to the terms of this Award Agreement and the Plan. Awardee has no rights under the PSAs other than the rights of a general unsecured creditor of the Company.</w:t>
      </w:r>
    </w:p>
    <w:p>
      <w:pPr>
        <w:spacing w:after="0" w:line="128" w:lineRule="exact"/>
        <w:rPr>
          <w:sz w:val="20"/>
          <w:szCs w:val="20"/>
          <w:color w:val="auto"/>
        </w:rPr>
      </w:pPr>
    </w:p>
    <w:p>
      <w:pPr>
        <w:ind w:left="200" w:hanging="192"/>
        <w:spacing w:after="0"/>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Earned PSAs</w:t>
      </w:r>
      <w:r>
        <w:rPr>
          <w:rFonts w:ascii="Arial" w:cs="Arial" w:eastAsia="Arial" w:hAnsi="Arial"/>
          <w:sz w:val="18"/>
          <w:szCs w:val="18"/>
          <w:color w:val="auto"/>
        </w:rPr>
        <w:t>.</w:t>
      </w:r>
    </w:p>
    <w:p>
      <w:pPr>
        <w:spacing w:after="0" w:line="171" w:lineRule="exact"/>
        <w:rPr>
          <w:sz w:val="20"/>
          <w:szCs w:val="20"/>
          <w:color w:val="auto"/>
        </w:rPr>
      </w:pPr>
    </w:p>
    <w:p>
      <w:pPr>
        <w:ind w:right="20" w:firstLine="8"/>
        <w:spacing w:after="0" w:line="253"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Within 90 days following the close of the Performance Period, the Committee shall determine the number of Earned PSAs pursuant to Schedule A; provided that in no event may the number of Earned PSAs exceed the maximum amount specified in Section 1(a). The date the Committee makes the determination of the number of Earned PSAs is the “Determination Date” for the Performance Period.</w:t>
      </w:r>
    </w:p>
    <w:p>
      <w:pPr>
        <w:spacing w:after="0" w:line="142"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Vesting of PSAs</w:t>
      </w:r>
      <w:r>
        <w:rPr>
          <w:rFonts w:ascii="Arial" w:cs="Arial" w:eastAsia="Arial" w:hAnsi="Arial"/>
          <w:sz w:val="18"/>
          <w:szCs w:val="18"/>
          <w:color w:val="auto"/>
        </w:rPr>
        <w:t>.</w:t>
      </w:r>
    </w:p>
    <w:p>
      <w:pPr>
        <w:spacing w:after="0" w:line="171" w:lineRule="exact"/>
        <w:rPr>
          <w:sz w:val="20"/>
          <w:szCs w:val="20"/>
          <w:color w:val="auto"/>
        </w:rPr>
      </w:pPr>
    </w:p>
    <w:p>
      <w:pPr>
        <w:ind w:right="260" w:firstLine="8"/>
        <w:spacing w:after="0" w:line="253"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Earned PSAs shall vest on the first NASDAQ Stock Market regular trading day that is on or after the Determination Date, subject to the terms of this Award Agreement and the Plan and provided that Awardee remains continuously employed through the last day of the Performance Period.</w:t>
      </w:r>
    </w:p>
    <w:p>
      <w:pPr>
        <w:spacing w:after="0" w:line="128" w:lineRule="exact"/>
        <w:rPr>
          <w:rFonts w:ascii="Arial" w:cs="Arial" w:eastAsia="Arial" w:hAnsi="Arial"/>
          <w:sz w:val="18"/>
          <w:szCs w:val="18"/>
          <w:color w:val="auto"/>
        </w:rPr>
      </w:pPr>
    </w:p>
    <w:p>
      <w:pPr>
        <w:ind w:right="260" w:firstLine="8"/>
        <w:spacing w:after="0" w:line="253" w:lineRule="auto"/>
        <w:tabs>
          <w:tab w:leader="none" w:pos="27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Awardee agrees that the PSAs subject to this Award Agreement, and other incentive or performance-based compensation Awardee receives or has received from the Company, shall be subject to the Company’s executive compensation recovery policy, as amended from time to time.</w:t>
      </w:r>
    </w:p>
    <w:p>
      <w:pPr>
        <w:spacing w:after="0" w:line="142" w:lineRule="exact"/>
        <w:rPr>
          <w:sz w:val="20"/>
          <w:szCs w:val="20"/>
          <w:color w:val="auto"/>
        </w:rPr>
      </w:pPr>
    </w:p>
    <w:p>
      <w:pPr>
        <w:ind w:right="120" w:firstLine="8"/>
        <w:spacing w:after="0" w:line="301" w:lineRule="auto"/>
        <w:tabs>
          <w:tab w:leader="none" w:pos="20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Unless terminated earlier under Section 5, 6 or 7 below, an Awardee’s rights under this Award Agreement with respect to the PSAs under this Award Agreement shall terminate at the time the PSAs are converted into Common Shares and distributed to Awardee.</w:t>
      </w:r>
    </w:p>
    <w:p>
      <w:pPr>
        <w:spacing w:after="0" w:line="90" w:lineRule="exact"/>
        <w:rPr>
          <w:rFonts w:ascii="Arial" w:cs="Arial" w:eastAsia="Arial" w:hAnsi="Arial"/>
          <w:sz w:val="17"/>
          <w:szCs w:val="17"/>
          <w:color w:val="auto"/>
        </w:rPr>
      </w:pPr>
    </w:p>
    <w:p>
      <w:pPr>
        <w:ind w:right="60" w:firstLine="8"/>
        <w:spacing w:after="0" w:line="242" w:lineRule="auto"/>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 of Awardee's Status as a Participant</w:t>
      </w:r>
      <w:r>
        <w:rPr>
          <w:rFonts w:ascii="Arial" w:cs="Arial" w:eastAsia="Arial" w:hAnsi="Arial"/>
          <w:sz w:val="18"/>
          <w:szCs w:val="18"/>
          <w:color w:val="auto"/>
        </w:rPr>
        <w:t>. Except as otherwise specified in Section 6 or 7 below, in the event of termination of Awardee's Continuous Status as a Participant (as that term is defined in Section 2(j) of the Plan), Awardee’s rights under this Award Agreement in any unvested PSAs shall terminate. For the avoidance of doubt, an Awardee’s Continuous Status as a Participant terminates at the time Awardee’s actual employer ceases to be the Company or a “Subsidiary” of the Company, as that term is defined in Section 2(y) of the Plan, and except as otherwise specified in Section 6 or 7 below, no person shall have any rights as an Awardee under this Award Agreement unless he or she is in Continuous Status as a Participant on 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9" w:name="page70"/>
    <w:bookmarkEnd w:id="69"/>
    <w:p>
      <w:pPr>
        <w:ind w:left="200" w:hanging="192"/>
        <w:spacing w:after="0"/>
        <w:tabs>
          <w:tab w:leader="none" w:pos="20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Disability or Death of Awardee</w:t>
      </w:r>
      <w:r>
        <w:rPr>
          <w:rFonts w:ascii="Arial" w:cs="Arial" w:eastAsia="Arial" w:hAnsi="Arial"/>
          <w:sz w:val="18"/>
          <w:szCs w:val="18"/>
          <w:color w:val="auto"/>
        </w:rPr>
        <w:t>.</w:t>
      </w:r>
    </w:p>
    <w:p>
      <w:pPr>
        <w:spacing w:after="0" w:line="171" w:lineRule="exact"/>
        <w:rPr>
          <w:sz w:val="20"/>
          <w:szCs w:val="20"/>
          <w:color w:val="auto"/>
        </w:rPr>
      </w:pPr>
    </w:p>
    <w:p>
      <w:pPr>
        <w:jc w:val="both"/>
        <w:ind w:right="40" w:firstLine="8"/>
        <w:spacing w:after="0" w:line="253"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the provisions of Section 5 above, in the event of termination of Awardee's Continuous Status as a Participant as a result of total and permanent disability (as that term is defined in Section 12(c) of the Plan) before the end of the Performance Period, the Awardee shall become immediately vested in the Target Award.</w:t>
      </w:r>
    </w:p>
    <w:p>
      <w:pPr>
        <w:spacing w:after="0" w:line="141" w:lineRule="exact"/>
        <w:rPr>
          <w:rFonts w:ascii="Arial" w:cs="Arial" w:eastAsia="Arial" w:hAnsi="Arial"/>
          <w:sz w:val="18"/>
          <w:szCs w:val="18"/>
          <w:color w:val="auto"/>
        </w:rPr>
      </w:pPr>
    </w:p>
    <w:p>
      <w:pPr>
        <w:ind w:right="160" w:firstLine="8"/>
        <w:spacing w:after="0" w:line="247" w:lineRule="auto"/>
        <w:tabs>
          <w:tab w:leader="none" w:pos="2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the provisions of Section 5 above, if at the time of Awardee’s death before the end of the Performance Period he or she is in Continuous Status as a Participant (including pursuant to Section 7(a) below), the Awardee shall become immediately vested in the Target Award. If Awardee vests in the Target Award pursuant to Section 6(b), then no vesting shall occur pursuant to the Retirement vesting provisions of Section 7(a).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7. Vesting after termination of employment.</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Retirement. Notwithstanding the provisions of Section 5 above, in the event of Awardee's Retirement, Awardee shall be treated as continuously employed through the vesting date in Section 3(a) above; provided that any Earned PSAs shall be prorated, so that the number of PSAs that vest shall be calculated by multiplying the number of Earned PSAs by (i) the number of calendar months in which Awardee was in Continuous Service (including partial months) from the beginning of the Performance Period to the date of Awardee’s Retirement, divided by (ii) the number of calendar months (including partial months) in the Performance Period. For this purpose, "Retirement" means termination of employment with the Company or a Subsidiary after the earlier of (a) age 65, or (b) attaining age 55 and 15 years of Continuous Service, provided that immediately prior to termination of employment Awardee is employed by Microsoft (or a Subsidiary) in the United States.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This Section 7 will only apply to a Retirement if (i) the Retirement occurs more than one year after the beginning of the Performance Period,</w:t>
      </w:r>
    </w:p>
    <w:p>
      <w:pPr>
        <w:spacing w:after="0" w:line="14" w:lineRule="exact"/>
        <w:rPr>
          <w:sz w:val="20"/>
          <w:szCs w:val="20"/>
          <w:color w:val="auto"/>
        </w:rPr>
      </w:pPr>
    </w:p>
    <w:p>
      <w:pPr>
        <w:ind w:right="40" w:firstLine="8"/>
        <w:spacing w:after="0"/>
        <w:tabs>
          <w:tab w:leader="none" w:pos="2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Awardee executes a release in conjunction with the Retirement in the form provided by the Company, and (iii) Awardee’s employment does not terminate due to misconduct (as determined in the sole discretion of the Company’s senior corporate officer in charge of the Human Resources department), including but not limited to misconduct in violation of Company policy and misconduct that adversely affects the Company’s interests or reputation.</w:t>
      </w:r>
    </w:p>
    <w:p>
      <w:pPr>
        <w:spacing w:after="0" w:line="14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For purposes of this Section 7, “Continuous Service” means that Awardee has continuously remained an employee of the Company or a Subsidiary, measured from Awardee’s “most recent hire date” as reflected in the Company records. For an Awardee who became an employee of the Company following the acquisition of his or her employer by the Company or a Subsidiary, service with the acquired employer shall count toward Continuous Service, and Continuous Service shall be measured from Awardee’s acquired company hire date as reflected in the Company’s records.</w:t>
      </w:r>
    </w:p>
    <w:p>
      <w:pPr>
        <w:spacing w:after="0" w:line="136" w:lineRule="exact"/>
        <w:rPr>
          <w:sz w:val="20"/>
          <w:szCs w:val="20"/>
          <w:color w:val="auto"/>
        </w:rPr>
      </w:pPr>
    </w:p>
    <w:p>
      <w:pPr>
        <w:jc w:val="both"/>
        <w:ind w:right="140" w:firstLine="8"/>
        <w:spacing w:after="0" w:line="253" w:lineRule="auto"/>
        <w:tabs>
          <w:tab w:leader="none" w:pos="27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Awardee may vest in PSAs following Awardee’s termination of employment to the extent provided in a Company severance benefit plan, including the Senior Executive Severance Benefit Plan. In no event, however, shall any accelerated or continued vesting under a Company severance benefit plan change the time of payment specified under this Award Agreement.</w:t>
      </w:r>
    </w:p>
    <w:p>
      <w:pPr>
        <w:spacing w:after="0" w:line="142" w:lineRule="exact"/>
        <w:rPr>
          <w:sz w:val="20"/>
          <w:szCs w:val="20"/>
          <w:color w:val="auto"/>
        </w:rPr>
      </w:pPr>
    </w:p>
    <w:p>
      <w:pPr>
        <w:ind w:firstLine="8"/>
        <w:spacing w:after="0" w:line="244" w:lineRule="auto"/>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Value of Unvested PSAs</w:t>
      </w:r>
      <w:r>
        <w:rPr>
          <w:rFonts w:ascii="Arial" w:cs="Arial" w:eastAsia="Arial" w:hAnsi="Arial"/>
          <w:sz w:val="18"/>
          <w:szCs w:val="18"/>
          <w:color w:val="auto"/>
        </w:rPr>
        <w:t>. In consideration of the award of these PSAs, Awardee agrees that upon and following termination of Awardee's Continuous Status as a Participant for any reason (whether or not in breach of applicable laws), and regardless of whether Awardee is terminated with or without cause, notice, or pre-termination procedure or whether Awardee asserts or prevails on a claim that Awardee’s employment was terminable only for cause or only with notice or pre-termination procedure, any unvested PSAs under this Award Agreement shall be deemed to have a value of zero dollars ($0.00).</w:t>
      </w:r>
    </w:p>
    <w:p>
      <w:pPr>
        <w:spacing w:after="0" w:line="135" w:lineRule="exact"/>
        <w:rPr>
          <w:rFonts w:ascii="Arial" w:cs="Arial" w:eastAsia="Arial" w:hAnsi="Arial"/>
          <w:sz w:val="18"/>
          <w:szCs w:val="18"/>
          <w:color w:val="auto"/>
        </w:rPr>
      </w:pPr>
    </w:p>
    <w:p>
      <w:pPr>
        <w:ind w:left="200" w:hanging="192"/>
        <w:spacing w:after="0"/>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Conversion of PSAs to Common Shares; Responsibility for Taxes</w:t>
      </w:r>
      <w:r>
        <w:rPr>
          <w:rFonts w:ascii="Arial" w:cs="Arial" w:eastAsia="Arial" w:hAnsi="Arial"/>
          <w:sz w:val="18"/>
          <w:szCs w:val="18"/>
          <w:color w:val="auto"/>
        </w:rPr>
        <w:t>.</w:t>
      </w:r>
    </w:p>
    <w:p>
      <w:pPr>
        <w:spacing w:after="0" w:line="171" w:lineRule="exact"/>
        <w:rPr>
          <w:sz w:val="20"/>
          <w:szCs w:val="20"/>
          <w:color w:val="auto"/>
        </w:rPr>
      </w:pPr>
    </w:p>
    <w:p>
      <w:pPr>
        <w:ind w:right="20" w:firstLine="8"/>
        <w:spacing w:after="0"/>
        <w:tabs>
          <w:tab w:leader="none" w:pos="27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Provided Awardee has satisfied the requirements of Section 9(b) below, on the vesting of any Earned PSAs, the vested Earned PSAs shall be converted into an equivalent number of Common Shares that will be distributed to Awardee (or Awardee’s legal representative, if applicable) within 60 days after the date of the vesting event (but in no event prior to the Determination Date, except in the event of accelerated vesting under Section 6 above). Notwithstanding the foregoing, if accelerated vesting of a PSA occurs pursuant to a provision of the Plan not addressed in this Award Agreement, to the extent required by Code section 409A, distribution of the related Common Share shall not occur until the date distribution would have occurred under this Award Agreement absent this accelerated vesting. The distribution to Awardee (or Awardee’s legal representative, if applicable) of Common Shares in respect of the vested Earned PSAs shall be evidenced by means that the Company determines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0" w:name="page71"/>
    <w:bookmarkEnd w:id="70"/>
    <w:p>
      <w:pPr>
        <w:ind w:right="100"/>
        <w:spacing w:after="0" w:line="244" w:lineRule="auto"/>
        <w:rPr>
          <w:sz w:val="20"/>
          <w:szCs w:val="20"/>
          <w:color w:val="auto"/>
        </w:rPr>
      </w:pPr>
      <w:r>
        <w:rPr>
          <w:rFonts w:ascii="Arial" w:cs="Arial" w:eastAsia="Arial" w:hAnsi="Arial"/>
          <w:sz w:val="18"/>
          <w:szCs w:val="18"/>
          <w:color w:val="auto"/>
        </w:rPr>
        <w:t>appropriate. In the event ownership or issuance of Common Shares is not feasible due to applicable exchange controls, securities regulations, tax laws or other provisions of applicable law, as determined by the Company in its sole discretion, Awardee (or Awardee’s legal representative, if applicable) shall receive cash proceeds in an amount equal to the value of the Common Shares otherwise distributable to Awardee, as determined by the Company in its sole discretion, net of amounts withheld in satisfaction of the requirements of Section 9(b) below.</w:t>
      </w:r>
    </w:p>
    <w:p>
      <w:pPr>
        <w:spacing w:after="0" w:line="136" w:lineRule="exact"/>
        <w:rPr>
          <w:sz w:val="20"/>
          <w:szCs w:val="20"/>
          <w:color w:val="auto"/>
        </w:rPr>
      </w:pPr>
    </w:p>
    <w:p>
      <w:pPr>
        <w:ind w:right="20" w:firstLine="8"/>
        <w:spacing w:after="0" w:line="239"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Regardless of any action the Company or Awardee’s actual employer takes with respect to any or all income tax (including federal, state and local taxes), social insurance, payroll tax, payment on account, or other tax-related withholding items (“Tax-Related Items”) that arise in connection with the PSAs, Awardee acknowledges and agrees that the ultimate liability for any Tax-Related Items determined by the Company in its discretion to be legally due by Awardee, is and remains Awardee’s responsibility. Awardee acknowledges and agrees that the Company and/or Awardee’s actual employer (i) make no representations or undertakings regarding the treatment of any Tax-Related Items in connection with any aspect of the PSAs, including the grant of the PSAs, the vesting of Earned PSAs, the conversion of Earned PSAs into Common Shares or the receipt of an equivalent cash payment, the subsequent sale of any Common Shares acquired and the receipt of any dividends; and (ii) do not commit to and are under no obligation to structure the terms of the grant or any aspect of the PSAs to reduce or eliminate Awardee’s liability for any Tax-Related Items.</w:t>
      </w:r>
    </w:p>
    <w:p>
      <w:pPr>
        <w:spacing w:after="0" w:line="15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Prior to the relevant taxable or tax-withholding event, as applicable, Awardee shall pay, or make adequate arrangements satisfactory to the Company or to Awardee’s actual employer (in their sole discretion) to satisfy all obligations for Tax-Related Items. In this regard, Awardee authorizes the Company or Awardee’s actual employer to withhold all applicable Tax-Related Items from Awardee’s wages or other cash compensation payable to Awardee by the Company or Awardee’s actual employer. Alternatively, or in addition, the Company or Awardee’s actual employer may, in their sole discretion, and without notice to or authorization by Awardee, (i) sell or arrange for the sale of Common Shares to be issued upon the vesting of Earned PSAs or other event to satisfy the withholding obligation, and/or (ii) withhold in Common Shares, provided that the Company and Awardee’s actual employer shall withhold only the amount of shares necessary to satisfy the minimum withholding amount or such other amount determined by the Company as not resulting in negative accounting consequences for the Company. Awardee will be deemed to have been issued the full number of Common Shares subject to the Earned PSAs, notwithstanding that a number of whole vested Common Shares are held back solely for the purpose of paying the Tax-Related Items. Awardee shall pay to the Company or to Awardee’s actual employer any amount of Tax-Related Items that the Company or Awardee’s actual employer may be required to withhold as a result of Awardee’s receipt of PSAs, the vesting of Earned PSAs, or the conversion of vested Earned PSAs to Common Shares that cannot be satisfied by the means described in this paragraph. Except where applicable legal or regulatory provisions prohibit and notwithstanding anything in the Plan to the contrary, the standard process for the payment of an Awardee’s Tax-Related Items shall be for the Company or Awardee’s actual employer to withhold in Common Shares only to the amount of shares necessary to satisfy the minimum withholding amount or such other amount determined by the Company as not resulting in negative accounting consequences for the Company. The Company may refuse to deliver Common Shares to Awardee if Awardee fails to comply with Awardee’s obligation in connection with the Tax-Related Items as described in this Section 9.</w:t>
      </w:r>
    </w:p>
    <w:p>
      <w:pPr>
        <w:spacing w:after="0" w:line="141" w:lineRule="exact"/>
        <w:rPr>
          <w:sz w:val="20"/>
          <w:szCs w:val="20"/>
          <w:color w:val="auto"/>
        </w:rPr>
      </w:pPr>
    </w:p>
    <w:p>
      <w:pPr>
        <w:ind w:right="140" w:firstLine="8"/>
        <w:spacing w:after="0" w:line="271"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lieu of issuing fractional Common Shares, on the vesting of a fraction of an Earned PSA, the Company shall round the shares down to the nearest whole share.</w:t>
      </w:r>
    </w:p>
    <w:p>
      <w:pPr>
        <w:spacing w:after="0" w:line="113" w:lineRule="exact"/>
        <w:rPr>
          <w:rFonts w:ascii="Arial" w:cs="Arial" w:eastAsia="Arial" w:hAnsi="Arial"/>
          <w:sz w:val="18"/>
          <w:szCs w:val="18"/>
          <w:color w:val="auto"/>
        </w:rPr>
      </w:pPr>
    </w:p>
    <w:p>
      <w:pPr>
        <w:ind w:right="140" w:firstLine="8"/>
        <w:spacing w:after="0" w:line="247"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Until the distribution to Awardee of the Common Shares in respect of the vested Earned PSAs is evidenced by deposit in Awardee’s brokerage account, Awardee shall have no right to vote or receive dividends or any other rights as a shareholder with respect to such Common Shares, notwithstanding the vesting of Earned PSAs. No adjustment will be made for a dividend or other right for which the record date is prior to the date Awardee is recorded as the owner of the Common Shares, except as provided in Section 14 of the Plan.</w:t>
      </w:r>
    </w:p>
    <w:p>
      <w:pPr>
        <w:spacing w:after="0" w:line="146" w:lineRule="exact"/>
        <w:rPr>
          <w:rFonts w:ascii="Arial" w:cs="Arial" w:eastAsia="Arial" w:hAnsi="Arial"/>
          <w:sz w:val="18"/>
          <w:szCs w:val="18"/>
          <w:color w:val="auto"/>
        </w:rPr>
      </w:pPr>
    </w:p>
    <w:p>
      <w:pPr>
        <w:ind w:firstLine="8"/>
        <w:spacing w:after="0" w:line="253" w:lineRule="auto"/>
        <w:tabs>
          <w:tab w:leader="none" w:pos="2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By accepting the Award of PSAs evidenced by this Award Agreement, Awardee agrees not to sell any of the Common Shares received on account of vested Earned PSAs at a time when applicable laws or Company policies prohibit a sale. This restriction shall apply so long as Awardee is an Employee, Consultant or outside director of the Company or a Subsidiary of the Company.</w:t>
      </w:r>
    </w:p>
    <w:p>
      <w:pPr>
        <w:spacing w:after="0" w:line="128"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Notwithstanding any other provision of this Award Agreement, the Company may, in its sole discretion, withhold applicable taxes by withholding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71" w:name="page72"/>
    <w:bookmarkEnd w:id="71"/>
    <w:p>
      <w:pPr>
        <w:jc w:val="both"/>
        <w:ind w:left="-8" w:firstLine="8"/>
        <w:spacing w:after="0" w:line="253" w:lineRule="auto"/>
        <w:tabs>
          <w:tab w:leader="none" w:pos="29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Non-Transferability of PSAs</w:t>
      </w:r>
      <w:r>
        <w:rPr>
          <w:rFonts w:ascii="Arial" w:cs="Arial" w:eastAsia="Arial" w:hAnsi="Arial"/>
          <w:sz w:val="18"/>
          <w:szCs w:val="18"/>
          <w:color w:val="auto"/>
        </w:rPr>
        <w:t>. Awardee’s right in the PSAs awarded under this Award Agreement and any interest therein may not be sold, pledged, assigned, hypothecated, transferred, or disposed of in any manner, other than by will or by the laws of descent or distribution. PSAs shall not be subject to execution, attachment or other process.</w:t>
      </w:r>
    </w:p>
    <w:p>
      <w:pPr>
        <w:spacing w:after="0" w:line="128" w:lineRule="exact"/>
        <w:rPr>
          <w:rFonts w:ascii="Arial" w:cs="Arial" w:eastAsia="Arial" w:hAnsi="Arial"/>
          <w:sz w:val="18"/>
          <w:szCs w:val="18"/>
          <w:color w:val="auto"/>
        </w:rPr>
      </w:pPr>
    </w:p>
    <w:p>
      <w:pPr>
        <w:ind w:left="292" w:hanging="292"/>
        <w:spacing w:after="0"/>
        <w:tabs>
          <w:tab w:leader="none" w:pos="29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PSAs</w:t>
      </w:r>
      <w:r>
        <w:rPr>
          <w:rFonts w:ascii="Arial" w:cs="Arial" w:eastAsia="Arial" w:hAnsi="Arial"/>
          <w:sz w:val="18"/>
          <w:szCs w:val="18"/>
          <w:color w:val="auto"/>
        </w:rPr>
        <w:t>. In accepting the Award, Awardee acknowledges that:</w:t>
      </w:r>
    </w:p>
    <w:p>
      <w:pPr>
        <w:spacing w:after="0" w:line="185" w:lineRule="exact"/>
        <w:rPr>
          <w:sz w:val="20"/>
          <w:szCs w:val="20"/>
          <w:color w:val="auto"/>
        </w:rPr>
      </w:pPr>
    </w:p>
    <w:p>
      <w:pPr>
        <w:ind w:left="-8" w:right="80" w:firstLine="8"/>
        <w:spacing w:after="0" w:line="271" w:lineRule="auto"/>
        <w:tabs>
          <w:tab w:leader="none" w:pos="2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modified, amended, suspended or terminated by the Company at any time, as provided in the Plan;</w:t>
      </w:r>
    </w:p>
    <w:p>
      <w:pPr>
        <w:spacing w:after="0" w:line="113" w:lineRule="exact"/>
        <w:rPr>
          <w:rFonts w:ascii="Arial" w:cs="Arial" w:eastAsia="Arial" w:hAnsi="Arial"/>
          <w:sz w:val="18"/>
          <w:szCs w:val="18"/>
          <w:color w:val="auto"/>
        </w:rPr>
      </w:pPr>
    </w:p>
    <w:p>
      <w:pPr>
        <w:ind w:left="-8" w:right="360" w:firstLine="8"/>
        <w:spacing w:after="0" w:line="271" w:lineRule="auto"/>
        <w:tabs>
          <w:tab w:leader="none" w:pos="2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Award of PSAs is voluntary and occasional and does not create any contractual or other right to receive future awards of PSAs or other awards, or benefits in lieu of PSAs even if PSAs have been awarded repeatedly in the past;</w:t>
      </w:r>
    </w:p>
    <w:p>
      <w:pPr>
        <w:spacing w:after="0" w:line="113" w:lineRule="exact"/>
        <w:rPr>
          <w:rFonts w:ascii="Arial" w:cs="Arial" w:eastAsia="Arial" w:hAnsi="Arial"/>
          <w:sz w:val="18"/>
          <w:szCs w:val="18"/>
          <w:color w:val="auto"/>
        </w:rPr>
      </w:pPr>
    </w:p>
    <w:p>
      <w:pPr>
        <w:ind w:left="252" w:hanging="252"/>
        <w:spacing w:after="0"/>
        <w:tabs>
          <w:tab w:leader="none" w:pos="2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decisions with respect to PSAs or other future awards, if any, will be at the sole discretion of the Company;</w:t>
      </w:r>
    </w:p>
    <w:p>
      <w:pPr>
        <w:spacing w:after="0" w:line="184" w:lineRule="exact"/>
        <w:rPr>
          <w:rFonts w:ascii="Arial" w:cs="Arial" w:eastAsia="Arial" w:hAnsi="Arial"/>
          <w:sz w:val="18"/>
          <w:szCs w:val="18"/>
          <w:color w:val="auto"/>
        </w:rPr>
      </w:pPr>
    </w:p>
    <w:p>
      <w:pPr>
        <w:ind w:left="272" w:hanging="272"/>
        <w:spacing w:after="0"/>
        <w:tabs>
          <w:tab w:leader="none" w:pos="2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Awardee’s participation in the Plan is voluntary;</w:t>
      </w:r>
    </w:p>
    <w:p>
      <w:pPr>
        <w:spacing w:after="0" w:line="171" w:lineRule="exact"/>
        <w:rPr>
          <w:rFonts w:ascii="Arial" w:cs="Arial" w:eastAsia="Arial" w:hAnsi="Arial"/>
          <w:sz w:val="18"/>
          <w:szCs w:val="18"/>
          <w:color w:val="auto"/>
        </w:rPr>
      </w:pPr>
    </w:p>
    <w:p>
      <w:pPr>
        <w:ind w:left="272" w:hanging="272"/>
        <w:spacing w:after="0"/>
        <w:tabs>
          <w:tab w:leader="none" w:pos="2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future value of the underlying Common Shares is unknown and cannot be predicted with certainty;</w:t>
      </w:r>
    </w:p>
    <w:p>
      <w:pPr>
        <w:spacing w:after="0" w:line="171" w:lineRule="exact"/>
        <w:rPr>
          <w:rFonts w:ascii="Arial" w:cs="Arial" w:eastAsia="Arial" w:hAnsi="Arial"/>
          <w:sz w:val="18"/>
          <w:szCs w:val="18"/>
          <w:color w:val="auto"/>
        </w:rPr>
      </w:pPr>
    </w:p>
    <w:p>
      <w:pPr>
        <w:ind w:left="-8" w:right="40" w:firstLine="8"/>
        <w:spacing w:after="0" w:line="271" w:lineRule="auto"/>
        <w:tabs>
          <w:tab w:leader="none" w:pos="212"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Awardee receives Common Shares, the value of the Common Shares acquired on vesting of Earned PSAs may increase or decrease in value;</w:t>
      </w:r>
    </w:p>
    <w:p>
      <w:pPr>
        <w:spacing w:after="0" w:line="126" w:lineRule="exact"/>
        <w:rPr>
          <w:rFonts w:ascii="Arial" w:cs="Arial" w:eastAsia="Arial" w:hAnsi="Arial"/>
          <w:sz w:val="18"/>
          <w:szCs w:val="18"/>
          <w:color w:val="auto"/>
        </w:rPr>
      </w:pPr>
    </w:p>
    <w:p>
      <w:pPr>
        <w:ind w:left="-8" w:right="180" w:firstLine="8"/>
        <w:spacing w:after="0" w:line="256" w:lineRule="auto"/>
        <w:tabs>
          <w:tab w:leader="none" w:pos="262"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notwithstanding any terms or conditions of the Plan to the contrary and consistent with Section 5 above, in the event of termination of Awardee's Continuous Status as a Participant under circumstances where Section 7 above does not apply (whether or not in breach of applicable laws), Awardee's right to receive PSAs, if any, will terminate effective as of the date that Awardee is no longer actively employed and will not be extended by any notice period mandated under applicable law. Awardee's right to receive Common Shares pursuant to any Earned PSAs after termination of Continuous Status as a Participant, if any, will be calculated as of the date of termination of Awardee's active employment and will not be extended by any notice period mandated under applicable law; or if later, the Determination Date in the event of continued vesting under Section 7 above. The senior corporate officer in charge of the Company’s Human Resources department has the exclusive discretion to determine when Awardee is no longer actively employed for purposes of the award of PSAs; and</w:t>
      </w:r>
    </w:p>
    <w:p>
      <w:pPr>
        <w:spacing w:after="0" w:line="127" w:lineRule="exact"/>
        <w:rPr>
          <w:rFonts w:ascii="Arial" w:cs="Arial" w:eastAsia="Arial" w:hAnsi="Arial"/>
          <w:sz w:val="17"/>
          <w:szCs w:val="17"/>
          <w:color w:val="auto"/>
        </w:rPr>
      </w:pPr>
    </w:p>
    <w:p>
      <w:pPr>
        <w:ind w:left="-8" w:right="60" w:firstLine="8"/>
        <w:spacing w:after="0" w:line="244" w:lineRule="auto"/>
        <w:tabs>
          <w:tab w:leader="none" w:pos="2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Awardee acknowledges and agrees that, regardless of whether Awardee is terminated with or without cause, notice or pre-termination procedure or whether Awardee asserts or prevails on a claim that Awardee’s employment was terminable only for cause or only with notice or pre-termination procedure, Awardee has no right to, and will not bring any legal claim or action for, (a) any damages for any portion of any Earned PSAs that have been vested and converted into Common Shares, or (b) termination of any unvested PSAs under this Award Agreement.</w:t>
      </w:r>
    </w:p>
    <w:p>
      <w:pPr>
        <w:spacing w:after="0" w:line="136" w:lineRule="exact"/>
        <w:rPr>
          <w:sz w:val="20"/>
          <w:szCs w:val="20"/>
          <w:color w:val="auto"/>
        </w:rPr>
      </w:pPr>
    </w:p>
    <w:p>
      <w:pPr>
        <w:ind w:left="-8" w:right="60" w:firstLine="8"/>
        <w:spacing w:after="0"/>
        <w:tabs>
          <w:tab w:leader="none" w:pos="2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Employment Right</w:t>
      </w:r>
      <w:r>
        <w:rPr>
          <w:rFonts w:ascii="Arial" w:cs="Arial" w:eastAsia="Arial" w:hAnsi="Arial"/>
          <w:sz w:val="18"/>
          <w:szCs w:val="18"/>
          <w:color w:val="auto"/>
        </w:rPr>
        <w:t>. Awardee acknowledges that neither the fact of this Award of PSAs nor any provision of this Award Agreement or the Plan or the policies adopted pursuant to the Plan shall confer upon Awardee any right with respect to employment or continuation of current employment with the Company or with Awardee’s actual employer, or to employment that is not terminable at will. Awardee further acknowledges and agrees that neither the Plan nor this Award of PSAs makes Awardee's employment with the Company or Awardee’s actual employer for any minimum or fixed period, and that this employment is subject to the mutual consent of Awardee and the Company or Awardee’s actual employer, and may be terminated by either Awardee or the Company or Awardee’s actual employer at any time, for any reason or no reason, with or without cause or notice or any kind of pre- or post-termination warning, discipline or procedure.</w:t>
      </w:r>
    </w:p>
    <w:p>
      <w:pPr>
        <w:spacing w:after="0" w:line="157" w:lineRule="exact"/>
        <w:rPr>
          <w:rFonts w:ascii="Arial" w:cs="Arial" w:eastAsia="Arial" w:hAnsi="Arial"/>
          <w:sz w:val="18"/>
          <w:szCs w:val="18"/>
          <w:color w:val="auto"/>
        </w:rPr>
      </w:pPr>
    </w:p>
    <w:p>
      <w:pPr>
        <w:ind w:left="-8" w:right="40" w:firstLine="8"/>
        <w:spacing w:after="0" w:line="244" w:lineRule="auto"/>
        <w:tabs>
          <w:tab w:leader="none" w:pos="2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otherwise expressly provided in the Plan, the authority to manage and control the operation and administration of this Award Agreement shall be vested in the Committee, and the Committee shall have all powers and discretion with respect to this Award Agreement as it has with respect to the Plan. Any interpretation of the Award Agreement by the Committee and any decision made by the Committee with respect to the Award Agreement shall be final and binding on all parties. References to the Committee in this Award Agreement shall be read to include a reference to any delegate of the Committee acting within the scope of his or her delegation.</w:t>
      </w:r>
    </w:p>
    <w:p>
      <w:pPr>
        <w:spacing w:after="0" w:line="135" w:lineRule="exact"/>
        <w:rPr>
          <w:rFonts w:ascii="Arial" w:cs="Arial" w:eastAsia="Arial" w:hAnsi="Arial"/>
          <w:sz w:val="18"/>
          <w:szCs w:val="18"/>
          <w:color w:val="auto"/>
        </w:rPr>
      </w:pPr>
    </w:p>
    <w:p>
      <w:pPr>
        <w:ind w:left="-8" w:right="20" w:firstLine="8"/>
        <w:spacing w:after="0" w:line="253" w:lineRule="auto"/>
        <w:tabs>
          <w:tab w:leader="none" w:pos="2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Plan Governs</w:t>
      </w:r>
      <w:r>
        <w:rPr>
          <w:rFonts w:ascii="Arial" w:cs="Arial" w:eastAsia="Arial" w:hAnsi="Arial"/>
          <w:sz w:val="18"/>
          <w:szCs w:val="18"/>
          <w:color w:val="auto"/>
        </w:rPr>
        <w:t>. Except as provided in Schedule A, this Award Agreement shall be subject to the terms of the Plan and the Executive Incentive Plan, and this Award Agreement is subject to all interpretations, amendments, rules and regulations promulgated by the Committee from time to time pursuant to the Plan and the Executive Incentive Plan.</w:t>
      </w:r>
    </w:p>
    <w:p>
      <w:pPr>
        <w:spacing w:after="0" w:line="128" w:lineRule="exact"/>
        <w:rPr>
          <w:rFonts w:ascii="Arial" w:cs="Arial" w:eastAsia="Arial" w:hAnsi="Arial"/>
          <w:sz w:val="18"/>
          <w:szCs w:val="18"/>
          <w:color w:val="auto"/>
        </w:rPr>
      </w:pPr>
    </w:p>
    <w:p>
      <w:pPr>
        <w:ind w:left="-8" w:right="280" w:firstLine="8"/>
        <w:spacing w:after="0" w:line="271" w:lineRule="auto"/>
        <w:tabs>
          <w:tab w:leader="none" w:pos="2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written notices provided for in this Award Agreement that are sent by mail shall be deemed received three business days after mailing, but not later than the date of actual receipt. Notices shall be directed, if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311150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50"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Awardee, at Awardee’s address indicated by the Company’s records and, if to the Company, at the Company’s principal executive office.</w:t>
      </w:r>
    </w:p>
    <w:p>
      <w:pPr>
        <w:spacing w:after="0" w:line="171" w:lineRule="exact"/>
        <w:rPr>
          <w:sz w:val="20"/>
          <w:szCs w:val="20"/>
          <w:color w:val="auto"/>
        </w:rPr>
      </w:pPr>
    </w:p>
    <w:p>
      <w:pPr>
        <w:ind w:firstLine="8"/>
        <w:spacing w:after="0" w:line="247"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PSAs awarded under the Plan or future PSAs that may be awarded under the Plan by electronic means or request Awardee’s consent to participate in the Plan by electronic means. Awardee hereby consents to receive such documents by electronic delivery and agrees to participate in the Plan through an on-line or electronic system established and maintained by the Company or another third party designated by the Company.</w:t>
      </w:r>
    </w:p>
    <w:p>
      <w:pPr>
        <w:spacing w:after="0" w:line="146" w:lineRule="exact"/>
        <w:rPr>
          <w:rFonts w:ascii="Arial" w:cs="Arial" w:eastAsia="Arial" w:hAnsi="Arial"/>
          <w:sz w:val="18"/>
          <w:szCs w:val="18"/>
          <w:color w:val="auto"/>
        </w:rPr>
      </w:pPr>
    </w:p>
    <w:p>
      <w:pPr>
        <w:ind w:right="160" w:firstLine="8"/>
        <w:spacing w:after="0" w:line="244"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By Awardee’s acceptance of this Award Agreement in the manner prescribed by the Company, Awardee acknowledges that Awardee has received and has read, understood and accepted all the terms, conditions and restrictions of this Award Agreement (including the policy referenced in Section 3(b)) and the Plan. Awardee understands and agrees that this Award Agreement is subject to all the terms, conditions, and restrictions stated in this Award Agreement and in the other documents referenced in the preceding sentence, as the latter may be amended from time to time in the Company’s sole discretion.</w:t>
      </w:r>
    </w:p>
    <w:p>
      <w:pPr>
        <w:spacing w:after="0" w:line="135" w:lineRule="exact"/>
        <w:rPr>
          <w:rFonts w:ascii="Arial" w:cs="Arial" w:eastAsia="Arial" w:hAnsi="Arial"/>
          <w:sz w:val="18"/>
          <w:szCs w:val="18"/>
          <w:color w:val="auto"/>
        </w:rPr>
      </w:pPr>
    </w:p>
    <w:p>
      <w:pPr>
        <w:ind w:right="80" w:firstLine="8"/>
        <w:spacing w:after="0" w:line="271"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 These PSAs have been awarded pursuant to the Plan and this Award of PSAs has been approved by the Committee or the Board of Directors.</w:t>
      </w:r>
    </w:p>
    <w:p>
      <w:pPr>
        <w:spacing w:after="0" w:line="113" w:lineRule="exact"/>
        <w:rPr>
          <w:rFonts w:ascii="Arial" w:cs="Arial" w:eastAsia="Arial" w:hAnsi="Arial"/>
          <w:sz w:val="18"/>
          <w:szCs w:val="18"/>
          <w:color w:val="auto"/>
        </w:rPr>
      </w:pPr>
    </w:p>
    <w:p>
      <w:pPr>
        <w:ind w:right="80" w:firstLine="8"/>
        <w:spacing w:after="0" w:line="253" w:lineRule="auto"/>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Governing Law, Venue and Arbitration</w:t>
      </w:r>
      <w:r>
        <w:rPr>
          <w:rFonts w:ascii="Arial" w:cs="Arial" w:eastAsia="Arial" w:hAnsi="Arial"/>
          <w:sz w:val="18"/>
          <w:szCs w:val="18"/>
          <w:color w:val="auto"/>
        </w:rPr>
        <w:t>. This Award Agreement shall be governed by the laws of the State of Washington, U.S.A., without regard to Washington laws that might cause other law to govern under applicable principles of conflicts of law. The venue for any litigation related to this Award Agreement will be in King County, Washington.</w:t>
      </w:r>
    </w:p>
    <w:p>
      <w:pPr>
        <w:spacing w:after="0" w:line="14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Awardee and the Company agree to resolve any dispute, claim, or controversy relating to this Award Agreement between each other, including claims against the Company’s subsidiaries, and the current and former officers, directors, or employees of any of them (collectively “the Company”), in the manner specified in this Section 19. The Company and its affiliates, and Awardee, are referred to below as “parties.”</w:t>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parties agree to first attempt to resolve all disputes through informal negotiations. The party asserting the dispute shall provide written notice to the other party describing with specificity the nature of the dispute. Written notice to Awardee shall be delivered to Awardee’s home address appearing in the Company’s records. Written notice to the Company shall be delivered to the attention of its General Counsel. Within five days after delivery of the written notice, the other party shall respond in writing stating its position.</w:t>
      </w:r>
    </w:p>
    <w:p>
      <w:pPr>
        <w:spacing w:after="0" w:line="13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the parties are unable to resolve the dispute through informal negotiations, the parties agree to resolve all disputes by binding arbitration before a single qualified mutually selected arbitrator in accordance with the National Rules for the Resolution of Employment Disputes of the American Arbitration Association. If the parties are unable to agree on an arbitrator, each party shall select a representative and those two representatives shall select a qualified arbitrator who shall preside over the arbitral proceeding. The party initiating the arbitration normally shall bear the burden of proof and normally must prove any actual damages sought, but these proof issues will be determined by applicable law. The prevailing party shall be entitled to reasonable attorney’s fees and costs to the extent consistent with applicable law. The Company shall pay the arbitration costs, including the administrative fees and the arbitrator’s fees and expenses. The arbitrator shall issue a written decision within fifteen days of the end of the hearing. The decision of the arbitrator shall be final and binding and may be enforced and a judgment entered in any court of competent jurisdiction. The arbitration itself, and all testimony, documents, briefs and arguments therein, shall be kept confidential. This Section 19 shall survive the employer-employee relationship between the Company and Awardee.</w:t>
      </w:r>
    </w:p>
    <w:p>
      <w:pPr>
        <w:spacing w:after="0" w:line="153" w:lineRule="exact"/>
        <w:rPr>
          <w:sz w:val="20"/>
          <w:szCs w:val="20"/>
          <w:color w:val="auto"/>
        </w:rPr>
      </w:pPr>
    </w:p>
    <w:p>
      <w:pPr>
        <w:ind w:right="40" w:firstLine="8"/>
        <w:spacing w:after="0" w:line="244"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that could be deemed null and void shall first be construed, interpreted or revised retroactively to permit this Award Agreement to be construed so as to foster the intent of this Award Agreement and the Plan.</w:t>
      </w:r>
    </w:p>
    <w:p>
      <w:pPr>
        <w:spacing w:after="0" w:line="135" w:lineRule="exact"/>
        <w:rPr>
          <w:rFonts w:ascii="Arial" w:cs="Arial" w:eastAsia="Arial" w:hAnsi="Arial"/>
          <w:sz w:val="18"/>
          <w:szCs w:val="18"/>
          <w:color w:val="auto"/>
        </w:rPr>
      </w:pPr>
    </w:p>
    <w:p>
      <w:pPr>
        <w:ind w:right="100" w:firstLine="8"/>
        <w:spacing w:after="0" w:line="247" w:lineRule="auto"/>
        <w:tabs>
          <w:tab w:leader="none" w:pos="3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Complete Award Agreement and Amendment</w:t>
      </w:r>
      <w:r>
        <w:rPr>
          <w:rFonts w:ascii="Arial" w:cs="Arial" w:eastAsia="Arial" w:hAnsi="Arial"/>
          <w:sz w:val="18"/>
          <w:szCs w:val="18"/>
          <w:color w:val="auto"/>
        </w:rPr>
        <w:t>. This Award Agreement (including the policy referenced in Section 3(b)) and the Plan constitute the entire agreement between Awardee and the Company regarding PSAs. Any prior agreements, commitments or negotiations concerning these PSAs are superseded. This Award Agreement may be amended only by written agreement of Awardee and the Company, without consent of any other person,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sectPr>
      </w:pPr>
    </w:p>
    <w:bookmarkStart w:id="73" w:name="page74"/>
    <w:bookmarkEnd w:id="73"/>
    <w:p>
      <w:pPr>
        <w:ind w:right="280"/>
        <w:spacing w:after="0" w:line="271" w:lineRule="auto"/>
        <w:rPr>
          <w:sz w:val="20"/>
          <w:szCs w:val="20"/>
          <w:color w:val="auto"/>
        </w:rPr>
      </w:pPr>
      <w:r>
        <w:rPr>
          <w:rFonts w:ascii="Arial" w:cs="Arial" w:eastAsia="Arial" w:hAnsi="Arial"/>
          <w:sz w:val="18"/>
          <w:szCs w:val="18"/>
          <w:color w:val="auto"/>
        </w:rPr>
        <w:t>that no consent is necessary to an amendment that in the reasonable judgment of the Committee confers a benefit on Awardee. Awardee agrees not to rely on any oral information regarding this Award of PSAs or any written materials not identified in this Section 21.</w:t>
      </w:r>
    </w:p>
    <w:p>
      <w:pPr>
        <w:spacing w:after="0" w:line="113" w:lineRule="exact"/>
        <w:rPr>
          <w:sz w:val="20"/>
          <w:szCs w:val="20"/>
          <w:color w:val="auto"/>
        </w:rPr>
      </w:pPr>
    </w:p>
    <w:p>
      <w:pPr>
        <w:ind w:firstLine="8"/>
        <w:spacing w:after="0" w:line="247"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Payments under this Award Agreement are intended to be exempt from Code section 409A to the extent they satisfy the “short-term deferral exception” under Code section 409A and otherwise to be compliant with Code section 409A, and this Award Agreement shall be interpreted, operated and administered accordingly. To the extent applicable, each payment under this Award Agreement shall be treated as a separate payment for purposes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50" w:right="37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7"/>
          <w:szCs w:val="17"/>
          <w:b w:val="1"/>
          <w:bCs w:val="1"/>
          <w:color w:val="auto"/>
        </w:rPr>
        <w:t>Schedule A to Performance Stock Award Agreement</w:t>
      </w:r>
    </w:p>
    <w:p>
      <w:pPr>
        <w:sectPr>
          <w:pgSz w:w="11900" w:h="16838" w:orient="portrait"/>
          <w:cols w:equalWidth="0" w:num="1">
            <w:col w:w="9019"/>
          </w:cols>
          <w:pgMar w:left="1440" w:top="526"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be separately approved]</w:t>
      </w:r>
    </w:p>
    <w:p>
      <w:pPr>
        <w:sectPr>
          <w:pgSz w:w="11900" w:h="16838" w:orient="portrait"/>
          <w:cols w:equalWidth="0" w:num="1">
            <w:col w:w="9019"/>
          </w:cols>
          <w:pgMar w:left="1440" w:top="526" w:right="1440" w:bottom="1440" w:gutter="0" w:footer="0" w:header="0"/>
          <w:type w:val="continuous"/>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15.1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October 25,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Microsoft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Microsoft Way</w:t>
      </w:r>
    </w:p>
    <w:p>
      <w:pPr>
        <w:spacing w:after="0"/>
        <w:rPr>
          <w:sz w:val="20"/>
          <w:szCs w:val="20"/>
          <w:color w:val="auto"/>
        </w:rPr>
      </w:pPr>
      <w:r>
        <w:rPr>
          <w:rFonts w:ascii="Arial" w:cs="Arial" w:eastAsia="Arial" w:hAnsi="Arial"/>
          <w:sz w:val="18"/>
          <w:szCs w:val="18"/>
          <w:color w:val="auto"/>
        </w:rPr>
        <w:t>Redmond, WA 98052-6399</w:t>
      </w:r>
    </w:p>
    <w:p>
      <w:pPr>
        <w:spacing w:after="0" w:line="140" w:lineRule="exact"/>
        <w:rPr>
          <w:sz w:val="20"/>
          <w:szCs w:val="20"/>
          <w:color w:val="auto"/>
        </w:rPr>
      </w:pPr>
    </w:p>
    <w:p>
      <w:pPr>
        <w:jc w:val="both"/>
        <w:ind w:right="340"/>
        <w:spacing w:after="0" w:line="247" w:lineRule="auto"/>
        <w:rPr>
          <w:sz w:val="20"/>
          <w:szCs w:val="20"/>
          <w:color w:val="auto"/>
        </w:rPr>
      </w:pPr>
      <w:r>
        <w:rPr>
          <w:rFonts w:ascii="Arial" w:cs="Arial" w:eastAsia="Arial" w:hAnsi="Arial"/>
          <w:sz w:val="18"/>
          <w:szCs w:val="18"/>
          <w:color w:val="auto"/>
        </w:rPr>
        <w:t>We are aware that our report dated October 25, 2022, on our review of the interim financial information of Microsoft Corporation and subsidiaries (“Microsoft”) appearing in Microsoft’s Quarterly Report on Form 10-Q for the quarter ended September 30, 2022, is incorporated by reference in Registration Statement Nos. 333-109185, 333-118764, 333-52852, 333-132100, 333-161516, 333-75243, 333-185757, and 333-221833 on Form S-8 and Registration Statement Nos. 333-240227 and 333-261590 on Form S-3.</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3"/>
          <w:szCs w:val="13"/>
          <w:color w:val="auto"/>
        </w:rPr>
        <w:t>ELOITTE</w:t>
      </w:r>
      <w:r>
        <w:rPr>
          <w:rFonts w:ascii="Arial" w:cs="Arial" w:eastAsia="Arial" w:hAnsi="Arial"/>
          <w:sz w:val="18"/>
          <w:szCs w:val="18"/>
          <w:color w:val="auto"/>
        </w:rPr>
        <w:t xml:space="preserve"> &amp; T</w:t>
      </w:r>
      <w:r>
        <w:rPr>
          <w:rFonts w:ascii="Arial" w:cs="Arial" w:eastAsia="Arial" w:hAnsi="Arial"/>
          <w:sz w:val="13"/>
          <w:szCs w:val="13"/>
          <w:color w:val="auto"/>
        </w:rPr>
        <w:t>OUCHE</w:t>
      </w:r>
      <w:r>
        <w:rPr>
          <w:rFonts w:ascii="Arial" w:cs="Arial" w:eastAsia="Arial" w:hAnsi="Arial"/>
          <w:sz w:val="18"/>
          <w:szCs w:val="18"/>
          <w:color w:val="auto"/>
        </w:rPr>
        <w:t xml:space="preserve">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ectPr>
          <w:pgSz w:w="11900" w:h="16838" w:orient="portrait"/>
          <w:cols w:equalWidth="0" w:num="1">
            <w:col w:w="11020"/>
          </w:cols>
          <w:pgMar w:left="540" w:top="35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Satya Nadella, certify that:</w:t>
      </w:r>
    </w:p>
    <w:p>
      <w:pPr>
        <w:spacing w:after="0" w:line="158"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October 25, 2022</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Amy E. Hood, certify that:</w:t>
      </w:r>
    </w:p>
    <w:p>
      <w:pPr>
        <w:spacing w:after="0" w:line="158" w:lineRule="exact"/>
        <w:rPr>
          <w:sz w:val="20"/>
          <w:szCs w:val="20"/>
          <w:color w:val="auto"/>
        </w:rPr>
      </w:pPr>
    </w:p>
    <w:p>
      <w:pPr>
        <w:ind w:left="200" w:hanging="192"/>
        <w:spacing w:after="0"/>
        <w:tabs>
          <w:tab w:leader="none" w:pos="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Microsoft Corporation;</w:t>
      </w:r>
    </w:p>
    <w:p>
      <w:pPr>
        <w:spacing w:after="0" w:line="157" w:lineRule="exact"/>
        <w:rPr>
          <w:rFonts w:ascii="Arial" w:cs="Arial" w:eastAsia="Arial" w:hAnsi="Arial"/>
          <w:sz w:val="18"/>
          <w:szCs w:val="18"/>
          <w:color w:val="auto"/>
        </w:rPr>
      </w:pPr>
    </w:p>
    <w:p>
      <w:pPr>
        <w:jc w:val="both"/>
        <w:ind w:firstLine="8"/>
        <w:spacing w:after="0" w:line="253" w:lineRule="auto"/>
        <w:tabs>
          <w:tab w:leader="none" w:pos="20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firstLine="8"/>
        <w:spacing w:after="0" w:line="271" w:lineRule="auto"/>
        <w:tabs>
          <w:tab w:leader="none" w:pos="2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Arial" w:cs="Arial" w:eastAsia="Arial" w:hAnsi="Arial"/>
          <w:sz w:val="18"/>
          <w:szCs w:val="18"/>
          <w:color w:val="auto"/>
        </w:rPr>
      </w:pPr>
    </w:p>
    <w:p>
      <w:pPr>
        <w:jc w:val="both"/>
        <w:ind w:firstLine="8"/>
        <w:spacing w:after="0" w:line="253" w:lineRule="auto"/>
        <w:tabs>
          <w:tab w:leader="none" w:pos="2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sz w:val="20"/>
          <w:szCs w:val="20"/>
          <w:color w:val="auto"/>
        </w:rPr>
      </w:pPr>
    </w:p>
    <w:p>
      <w:pPr>
        <w:jc w:val="both"/>
        <w:ind w:right="20" w:firstLine="8"/>
        <w:spacing w:after="0" w:line="253" w:lineRule="auto"/>
        <w:tabs>
          <w:tab w:leader="none" w:pos="253"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8"/>
          <w:szCs w:val="18"/>
          <w:color w:val="auto"/>
        </w:rPr>
      </w:pPr>
    </w:p>
    <w:p>
      <w:pPr>
        <w:jc w:val="both"/>
        <w:ind w:firstLine="8"/>
        <w:spacing w:after="0" w:line="253" w:lineRule="auto"/>
        <w:tabs>
          <w:tab w:leader="none" w:pos="223"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ind w:right="20" w:firstLine="8"/>
        <w:spacing w:after="0" w:line="271" w:lineRule="auto"/>
        <w:tabs>
          <w:tab w:leader="none" w:pos="2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Arial" w:cs="Arial" w:eastAsia="Arial" w:hAnsi="Arial"/>
          <w:sz w:val="18"/>
          <w:szCs w:val="18"/>
          <w:color w:val="auto"/>
        </w:rPr>
      </w:pPr>
    </w:p>
    <w:p>
      <w:pPr>
        <w:jc w:val="both"/>
        <w:ind w:firstLine="8"/>
        <w:spacing w:after="0" w:line="253" w:lineRule="auto"/>
        <w:tabs>
          <w:tab w:leader="none" w:pos="22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sz w:val="20"/>
          <w:szCs w:val="20"/>
          <w:color w:val="auto"/>
        </w:rPr>
      </w:pPr>
    </w:p>
    <w:p>
      <w:pPr>
        <w:jc w:val="both"/>
        <w:ind w:firstLine="8"/>
        <w:spacing w:after="0" w:line="253" w:lineRule="auto"/>
        <w:tabs>
          <w:tab w:leader="none" w:pos="2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5" w:lineRule="exact"/>
        <w:rPr>
          <w:sz w:val="20"/>
          <w:szCs w:val="20"/>
          <w:color w:val="auto"/>
        </w:rPr>
      </w:pPr>
    </w:p>
    <w:p>
      <w:pPr>
        <w:ind w:right="20" w:firstLine="8"/>
        <w:spacing w:after="0" w:line="271" w:lineRule="auto"/>
        <w:tabs>
          <w:tab w:leader="none" w:pos="2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Arial" w:cs="Arial" w:eastAsia="Arial" w:hAnsi="Arial"/>
          <w:sz w:val="18"/>
          <w:szCs w:val="18"/>
          <w:color w:val="auto"/>
        </w:rPr>
      </w:pPr>
    </w:p>
    <w:p>
      <w:pPr>
        <w:ind w:right="20" w:firstLine="8"/>
        <w:spacing w:after="0" w:line="271" w:lineRule="auto"/>
        <w:tabs>
          <w:tab w:leader="none" w:pos="2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25, 2022</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2022, as filed with the Securities and Exchange Commission (the “Report”), Satya Nadella, Chief Executive Officer of the Company, does hereby certify, pursuant to § 906 of the Sarbanes-Oxley Act of 2002 (18 U.S.C. § 1350), that to his knowledge:</w:t>
      </w:r>
    </w:p>
    <w:p>
      <w:pPr>
        <w:spacing w:after="0" w:line="115" w:lineRule="exact"/>
        <w:rPr>
          <w:sz w:val="20"/>
          <w:szCs w:val="20"/>
          <w:color w:val="auto"/>
        </w:rPr>
      </w:pPr>
    </w:p>
    <w:p>
      <w:pPr>
        <w:ind w:left="280" w:hanging="272"/>
        <w:spacing w:after="0"/>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ATYA</w:t>
      </w:r>
      <w:r>
        <w:rPr>
          <w:rFonts w:ascii="Arial" w:cs="Arial" w:eastAsia="Arial" w:hAnsi="Arial"/>
          <w:sz w:val="18"/>
          <w:szCs w:val="18"/>
          <w:color w:val="auto"/>
        </w:rPr>
        <w:t xml:space="preserve"> N</w:t>
      </w:r>
      <w:r>
        <w:rPr>
          <w:rFonts w:ascii="Arial" w:cs="Arial" w:eastAsia="Arial" w:hAnsi="Arial"/>
          <w:sz w:val="13"/>
          <w:szCs w:val="13"/>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Satya Nadella</w:t>
      </w:r>
    </w:p>
    <w:p>
      <w:pPr>
        <w:spacing w:after="0"/>
        <w:rPr>
          <w:sz w:val="20"/>
          <w:szCs w:val="20"/>
          <w:color w:val="auto"/>
        </w:rPr>
      </w:pPr>
      <w:r>
        <w:rPr>
          <w:rFonts w:ascii="Arial" w:cs="Arial" w:eastAsia="Arial" w:hAnsi="Arial"/>
          <w:sz w:val="18"/>
          <w:szCs w:val="18"/>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25, 2022</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ectPr>
          <w:pgSz w:w="11900" w:h="16838" w:orient="portrait"/>
          <w:cols w:equalWidth="0" w:num="1">
            <w:col w:w="11240"/>
          </w:cols>
          <w:pgMar w:left="320" w:top="36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Microsoft Corporation, a Washington corporation (the “Company”), on Form 10-Q for the quarter ended September 30, 2022, as filed with the Securities and Exchange Commission (the “Report”), Amy E. Hood, Chief Financial Officer of the Company, does hereby certify, pursuant to § 906 of the Sarbanes-Oxley Act of 2002 (18 U.S.C. § 1350), that to her knowledge:</w:t>
      </w:r>
    </w:p>
    <w:p>
      <w:pPr>
        <w:spacing w:after="0" w:line="115" w:lineRule="exact"/>
        <w:rPr>
          <w:sz w:val="20"/>
          <w:szCs w:val="20"/>
          <w:color w:val="auto"/>
        </w:rPr>
      </w:pPr>
    </w:p>
    <w:p>
      <w:pPr>
        <w:ind w:left="280" w:hanging="272"/>
        <w:spacing w:after="0"/>
        <w:tabs>
          <w:tab w:leader="none" w:pos="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20" w:firstLine="8"/>
        <w:spacing w:after="0" w:line="271" w:lineRule="auto"/>
        <w:tabs>
          <w:tab w:leader="none" w:pos="28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3"/>
          <w:szCs w:val="13"/>
          <w:color w:val="auto"/>
        </w:rPr>
        <w:t>MY</w:t>
      </w:r>
      <w:r>
        <w:rPr>
          <w:rFonts w:ascii="Arial" w:cs="Arial" w:eastAsia="Arial" w:hAnsi="Arial"/>
          <w:sz w:val="18"/>
          <w:szCs w:val="18"/>
          <w:color w:val="auto"/>
        </w:rPr>
        <w:t xml:space="preserve"> E. H</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460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E. Hood</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October 25, 2022</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Microsoft Corporation and will be retained by Microsoft Corporation and furnished to the Securities and Exchange Commission or its staff upon request.]</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1)"/>
      <w:numFmt w:val="decimal"/>
      <w:start w:val="425"/>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lowerLetter"/>
      <w:start w:val="1"/>
    </w:lvl>
  </w:abstractNum>
  <w:abstractNum w:abstractNumId="10">
    <w:nsid w:val="7A6D8D3C"/>
    <w:multiLevelType w:val="hybridMultilevel"/>
    <w:lvl w:ilvl="0">
      <w:lvlJc w:val="left"/>
      <w:lvlText w:val="(%1)"/>
      <w:numFmt w:val="lowerLetter"/>
      <w:start w:val="1"/>
    </w:lvl>
  </w:abstractNum>
  <w:abstractNum w:abstractNumId="11">
    <w:nsid w:val="4B588F54"/>
    <w:multiLevelType w:val="hybridMultilevel"/>
    <w:lvl w:ilvl="0">
      <w:lvlJc w:val="left"/>
      <w:lvlText w:val="(%1)"/>
      <w:numFmt w:val="lowerLetter"/>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1)"/>
      <w:numFmt w:val="lowerLetter"/>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1)"/>
      <w:numFmt w:val="lowerLetter"/>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decimal"/>
      <w:start w:val="2"/>
    </w:lvl>
  </w:abstractNum>
  <w:abstractNum w:abstractNumId="37">
    <w:nsid w:val="354FE9F9"/>
    <w:multiLevelType w:val="hybridMultilevel"/>
    <w:lvl w:ilvl="0">
      <w:lvlJc w:val="left"/>
      <w:lvlText w:val="(%1)"/>
      <w:numFmt w:val="lowerLetter"/>
      <w:start w:val="1"/>
    </w:lvl>
  </w:abstractNum>
  <w:abstractNum w:abstractNumId="38">
    <w:nsid w:val="15B5AF5C"/>
    <w:multiLevelType w:val="hybridMultilevel"/>
    <w:lvl w:ilvl="0">
      <w:lvlJc w:val="left"/>
      <w:lvlText w:val="(%1)"/>
      <w:numFmt w:val="lowerLetter"/>
      <w:start w:val="2"/>
    </w:lvl>
  </w:abstractNum>
  <w:abstractNum w:abstractNumId="39">
    <w:nsid w:val="741226BB"/>
    <w:multiLevelType w:val="hybridMultilevel"/>
    <w:lvl w:ilvl="0">
      <w:lvlJc w:val="left"/>
      <w:lvlText w:val="%1."/>
      <w:numFmt w:val="decimal"/>
      <w:start w:val="3"/>
    </w:lvl>
  </w:abstractNum>
  <w:abstractNum w:abstractNumId="40">
    <w:nsid w:val="D34B6A8"/>
    <w:multiLevelType w:val="hybridMultilevel"/>
    <w:lvl w:ilvl="0">
      <w:lvlJc w:val="left"/>
      <w:lvlText w:val="%1."/>
      <w:numFmt w:val="decimal"/>
      <w:start w:val="5"/>
    </w:lvl>
  </w:abstractNum>
  <w:abstractNum w:abstractNumId="41">
    <w:nsid w:val="10233C99"/>
    <w:multiLevelType w:val="hybridMultilevel"/>
    <w:lvl w:ilvl="0">
      <w:lvlJc w:val="left"/>
      <w:lvlText w:val="%1."/>
      <w:numFmt w:val="decimal"/>
      <w:start w:val="8"/>
    </w:lvl>
  </w:abstractNum>
  <w:abstractNum w:abstractNumId="42">
    <w:nsid w:val="3F6AB60F"/>
    <w:multiLevelType w:val="hybridMultilevel"/>
    <w:lvl w:ilvl="0">
      <w:lvlJc w:val="left"/>
      <w:lvlText w:val="(%1)"/>
      <w:numFmt w:val="lowerLetter"/>
      <w:start w:val="1"/>
    </w:lvl>
  </w:abstractNum>
  <w:abstractNum w:abstractNumId="43">
    <w:nsid w:val="61574095"/>
    <w:multiLevelType w:val="hybridMultilevel"/>
    <w:lvl w:ilvl="0">
      <w:lvlJc w:val="left"/>
      <w:lvlText w:val="(%1)"/>
      <w:numFmt w:val="lowerLetter"/>
      <w:start w:val="2"/>
    </w:lvl>
  </w:abstractNum>
  <w:abstractNum w:abstractNumId="44">
    <w:nsid w:val="7E0C57B1"/>
    <w:multiLevelType w:val="hybridMultilevel"/>
    <w:lvl w:ilvl="0">
      <w:lvlJc w:val="left"/>
      <w:lvlText w:val="(%1)"/>
      <w:numFmt w:val="lowerLetter"/>
      <w:start w:val="3"/>
    </w:lvl>
  </w:abstractNum>
  <w:abstractNum w:abstractNumId="45">
    <w:nsid w:val="77AE35EB"/>
    <w:multiLevelType w:val="hybridMultilevel"/>
    <w:lvl w:ilvl="0">
      <w:lvlJc w:val="left"/>
      <w:lvlText w:val="%1."/>
      <w:numFmt w:val="decimal"/>
      <w:start w:val="10"/>
    </w:lvl>
  </w:abstractNum>
  <w:abstractNum w:abstractNumId="46">
    <w:nsid w:val="579BE4F1"/>
    <w:multiLevelType w:val="hybridMultilevel"/>
    <w:lvl w:ilvl="0">
      <w:lvlJc w:val="left"/>
      <w:lvlText w:val="(%1)"/>
      <w:numFmt w:val="lowerLetter"/>
      <w:start w:val="1"/>
    </w:lvl>
  </w:abstractNum>
  <w:abstractNum w:abstractNumId="47">
    <w:nsid w:val="310C50B3"/>
    <w:multiLevelType w:val="hybridMultilevel"/>
    <w:lvl w:ilvl="0">
      <w:lvlJc w:val="left"/>
      <w:lvlText w:val="%1."/>
      <w:numFmt w:val="decimal"/>
      <w:start w:val="12"/>
    </w:lvl>
  </w:abstractNum>
  <w:abstractNum w:abstractNumId="48">
    <w:nsid w:val="5FF87E05"/>
    <w:multiLevelType w:val="hybridMultilevel"/>
    <w:lvl w:ilvl="0">
      <w:lvlJc w:val="left"/>
      <w:lvlText w:val="%1."/>
      <w:numFmt w:val="decimal"/>
      <w:start w:val="17"/>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lowerLetter"/>
      <w:start w:val="1"/>
    </w:lvl>
  </w:abstractNum>
  <w:abstractNum w:abstractNumId="51">
    <w:nsid w:val="1DBABF00"/>
    <w:multiLevelType w:val="hybridMultilevel"/>
    <w:lvl w:ilvl="0">
      <w:lvlJc w:val="left"/>
      <w:lvlText w:val="%1."/>
      <w:numFmt w:val="decimal"/>
      <w:start w:val="2"/>
    </w:lvl>
  </w:abstractNum>
  <w:abstractNum w:abstractNumId="52">
    <w:nsid w:val="4AD084E9"/>
    <w:multiLevelType w:val="hybridMultilevel"/>
    <w:lvl w:ilvl="0">
      <w:lvlJc w:val="left"/>
      <w:lvlText w:val="(%1)"/>
      <w:numFmt w:val="lowerLetter"/>
      <w:start w:val="1"/>
    </w:lvl>
  </w:abstractNum>
  <w:abstractNum w:abstractNumId="53">
    <w:nsid w:val="1F48EAA1"/>
    <w:multiLevelType w:val="hybridMultilevel"/>
    <w:lvl w:ilvl="0">
      <w:lvlJc w:val="left"/>
      <w:lvlText w:val="%1."/>
      <w:numFmt w:val="decimal"/>
      <w:start w:val="3"/>
    </w:lvl>
  </w:abstractNum>
  <w:abstractNum w:abstractNumId="54">
    <w:nsid w:val="1381823A"/>
    <w:multiLevelType w:val="hybridMultilevel"/>
    <w:lvl w:ilvl="0">
      <w:lvlJc w:val="left"/>
      <w:lvlText w:val="(%1)"/>
      <w:numFmt w:val="lowerLetter"/>
      <w:start w:val="1"/>
    </w:lvl>
  </w:abstractNum>
  <w:abstractNum w:abstractNumId="55">
    <w:nsid w:val="5DB70AE5"/>
    <w:multiLevelType w:val="hybridMultilevel"/>
    <w:lvl w:ilvl="0">
      <w:lvlJc w:val="left"/>
      <w:lvlText w:val="%1."/>
      <w:numFmt w:val="decimal"/>
      <w:start w:val="4"/>
    </w:lvl>
  </w:abstractNum>
  <w:abstractNum w:abstractNumId="56">
    <w:nsid w:val="100F8FCA"/>
    <w:multiLevelType w:val="hybridMultilevel"/>
    <w:lvl w:ilvl="0">
      <w:lvlJc w:val="left"/>
      <w:lvlText w:val="%1."/>
      <w:numFmt w:val="decimal"/>
      <w:start w:val="6"/>
    </w:lvl>
  </w:abstractNum>
  <w:abstractNum w:abstractNumId="57">
    <w:nsid w:val="6590700B"/>
    <w:multiLevelType w:val="hybridMultilevel"/>
    <w:lvl w:ilvl="0">
      <w:lvlJc w:val="left"/>
      <w:lvlText w:val="(%1)"/>
      <w:numFmt w:val="lowerLetter"/>
      <w:start w:val="1"/>
    </w:lvl>
  </w:abstractNum>
  <w:abstractNum w:abstractNumId="58">
    <w:nsid w:val="15014ACB"/>
    <w:multiLevelType w:val="hybridMultilevel"/>
    <w:lvl w:ilvl="0">
      <w:lvlJc w:val="left"/>
      <w:lvlText w:val="(%1)"/>
      <w:numFmt w:val="lowerRoman"/>
      <w:start w:val="2"/>
    </w:lvl>
  </w:abstractNum>
  <w:abstractNum w:abstractNumId="59">
    <w:nsid w:val="5F5E7FD0"/>
    <w:multiLevelType w:val="hybridMultilevel"/>
    <w:lvl w:ilvl="0">
      <w:lvlJc w:val="left"/>
      <w:lvlText w:val="(%1)"/>
      <w:numFmt w:val="lowerLetter"/>
      <w:start w:val="2"/>
    </w:lvl>
  </w:abstractNum>
  <w:abstractNum w:abstractNumId="60">
    <w:nsid w:val="98A3148"/>
    <w:multiLevelType w:val="hybridMultilevel"/>
    <w:lvl w:ilvl="0">
      <w:lvlJc w:val="left"/>
      <w:lvlText w:val="%1."/>
      <w:numFmt w:val="decimal"/>
      <w:start w:val="8"/>
    </w:lvl>
  </w:abstractNum>
  <w:abstractNum w:abstractNumId="61">
    <w:nsid w:val="799D0247"/>
    <w:multiLevelType w:val="hybridMultilevel"/>
    <w:lvl w:ilvl="0">
      <w:lvlJc w:val="left"/>
      <w:lvlText w:val="(%1)"/>
      <w:numFmt w:val="lowerLetter"/>
      <w:start w:val="1"/>
    </w:lvl>
  </w:abstractNum>
  <w:abstractNum w:abstractNumId="62">
    <w:nsid w:val="6B94764"/>
    <w:multiLevelType w:val="hybridMultilevel"/>
    <w:lvl w:ilvl="0">
      <w:lvlJc w:val="left"/>
      <w:lvlText w:val="(%1)"/>
      <w:numFmt w:val="lowerLetter"/>
      <w:start w:val="2"/>
    </w:lvl>
  </w:abstractNum>
  <w:abstractNum w:abstractNumId="63">
    <w:nsid w:val="42C296BD"/>
    <w:multiLevelType w:val="hybridMultilevel"/>
    <w:lvl w:ilvl="0">
      <w:lvlJc w:val="left"/>
      <w:lvlText w:val="(%1)"/>
      <w:numFmt w:val="lowerLetter"/>
      <w:start w:val="3"/>
    </w:lvl>
  </w:abstractNum>
  <w:abstractNum w:abstractNumId="64">
    <w:nsid w:val="168E121F"/>
    <w:multiLevelType w:val="hybridMultilevel"/>
    <w:lvl w:ilvl="0">
      <w:lvlJc w:val="left"/>
      <w:lvlText w:val="%1."/>
      <w:numFmt w:val="decimal"/>
      <w:start w:val="10"/>
    </w:lvl>
  </w:abstractNum>
  <w:abstractNum w:abstractNumId="65">
    <w:nsid w:val="1EBA5D23"/>
    <w:multiLevelType w:val="hybridMultilevel"/>
    <w:lvl w:ilvl="0">
      <w:lvlJc w:val="left"/>
      <w:lvlText w:val="(%1)"/>
      <w:numFmt w:val="lowerLetter"/>
      <w:start w:val="1"/>
    </w:lvl>
  </w:abstractNum>
  <w:abstractNum w:abstractNumId="66">
    <w:nsid w:val="661E3F1E"/>
    <w:multiLevelType w:val="hybridMultilevel"/>
    <w:lvl w:ilvl="0">
      <w:lvlJc w:val="left"/>
      <w:lvlText w:val="%1."/>
      <w:numFmt w:val="decimal"/>
      <w:start w:val="12"/>
    </w:lvl>
  </w:abstractNum>
  <w:abstractNum w:abstractNumId="67">
    <w:nsid w:val="5DC79EA8"/>
    <w:multiLevelType w:val="hybridMultilevel"/>
    <w:lvl w:ilvl="0">
      <w:lvlJc w:val="left"/>
      <w:lvlText w:val="%1."/>
      <w:numFmt w:val="decimal"/>
      <w:start w:val="16"/>
    </w:lvl>
  </w:abstractNum>
  <w:abstractNum w:abstractNumId="68">
    <w:nsid w:val="540A471C"/>
    <w:multiLevelType w:val="hybridMultilevel"/>
    <w:lvl w:ilvl="0">
      <w:lvlJc w:val="left"/>
      <w:lvlText w:val="%1."/>
      <w:numFmt w:val="decimal"/>
      <w:start w:val="20"/>
    </w:lvl>
  </w:abstractNum>
  <w:abstractNum w:abstractNumId="69">
    <w:nsid w:val="7BD3EE7B"/>
    <w:multiLevelType w:val="hybridMultilevel"/>
    <w:lvl w:ilvl="0">
      <w:lvlJc w:val="left"/>
      <w:lvlText w:val="%1."/>
      <w:numFmt w:val="decimal"/>
      <w:start w:val="22"/>
    </w:lvl>
  </w:abstractNum>
  <w:abstractNum w:abstractNumId="70">
    <w:nsid w:val="51D9C564"/>
    <w:multiLevelType w:val="hybridMultilevel"/>
    <w:lvl w:ilvl="0">
      <w:lvlJc w:val="left"/>
      <w:lvlText w:val="%1."/>
      <w:numFmt w:val="decimal"/>
      <w:start w:val="1"/>
    </w:lvl>
  </w:abstractNum>
  <w:abstractNum w:abstractNumId="71">
    <w:nsid w:val="613EFDC5"/>
    <w:multiLevelType w:val="hybridMultilevel"/>
    <w:lvl w:ilvl="0">
      <w:lvlJc w:val="left"/>
      <w:lvlText w:val="%1)"/>
      <w:numFmt w:val="lowerLetter"/>
      <w:start w:val="1"/>
    </w:lvl>
  </w:abstractNum>
  <w:abstractNum w:abstractNumId="72">
    <w:nsid w:val="BF72B14"/>
    <w:multiLevelType w:val="hybridMultilevel"/>
    <w:lvl w:ilvl="0">
      <w:lvlJc w:val="left"/>
      <w:lvlText w:val="%1."/>
      <w:numFmt w:val="decimal"/>
      <w:start w:val="5"/>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1"/>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5"/>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2022-10-25T15:25:48Z</dcterms:created>
  <dcterms:modified xsi:type="dcterms:W3CDTF">2022-10-25T15:25:48Z</dcterms:modified>
</cp:coreProperties>
</file>