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PRE-EFFECTIVE AMENDMENT</w:t>
      </w:r>
    </w:p>
    <w:p>
      <w:pPr>
        <w:jc w:val="center"/>
        <w:ind w:right="3099"/>
        <w:spacing w:after="0"/>
        <w:rPr>
          <w:sz w:val="20"/>
          <w:szCs w:val="20"/>
          <w:color w:val="auto"/>
        </w:rPr>
      </w:pPr>
      <w:r>
        <w:rPr>
          <w:rFonts w:ascii="Courier New" w:cs="Courier New" w:eastAsia="Courier New" w:hAnsi="Courier New"/>
          <w:sz w:val="15"/>
          <w:szCs w:val="15"/>
          <w:color w:val="auto"/>
        </w:rPr>
        <w:t>NUMBER 1 TO</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REGISTRATION STATEMENT</w:t>
      </w:r>
    </w:p>
    <w:p>
      <w:pPr>
        <w:jc w:val="center"/>
        <w:ind w:right="3259"/>
        <w:spacing w:after="0"/>
        <w:rPr>
          <w:sz w:val="20"/>
          <w:szCs w:val="20"/>
          <w:color w:val="auto"/>
        </w:rPr>
      </w:pPr>
      <w:r>
        <w:rPr>
          <w:rFonts w:ascii="Courier New" w:cs="Courier New" w:eastAsia="Courier New" w:hAnsi="Courier New"/>
          <w:sz w:val="15"/>
          <w:szCs w:val="15"/>
          <w:color w:val="auto"/>
        </w:rPr>
        <w:t>ON FORM S-3</w:t>
      </w:r>
    </w:p>
    <w:p>
      <w:pPr>
        <w:jc w:val="center"/>
        <w:ind w:right="3259"/>
        <w:spacing w:after="0"/>
        <w:rPr>
          <w:sz w:val="20"/>
          <w:szCs w:val="20"/>
          <w:color w:val="auto"/>
        </w:rPr>
      </w:pPr>
      <w:r>
        <w:rPr>
          <w:rFonts w:ascii="Courier New" w:cs="Courier New" w:eastAsia="Courier New" w:hAnsi="Courier New"/>
          <w:sz w:val="15"/>
          <w:szCs w:val="15"/>
          <w:color w:val="auto"/>
        </w:rPr>
        <w:t>Under</w:t>
      </w:r>
    </w:p>
    <w:p>
      <w:pPr>
        <w:jc w:val="center"/>
        <w:ind w:right="3179"/>
        <w:spacing w:after="0" w:line="238" w:lineRule="auto"/>
        <w:rPr>
          <w:sz w:val="20"/>
          <w:szCs w:val="20"/>
          <w:color w:val="auto"/>
        </w:rPr>
      </w:pPr>
      <w:r>
        <w:rPr>
          <w:rFonts w:ascii="Courier New" w:cs="Courier New" w:eastAsia="Courier New" w:hAnsi="Courier New"/>
          <w:sz w:val="15"/>
          <w:szCs w:val="15"/>
          <w:color w:val="auto"/>
        </w:rPr>
        <w:t>THE SECURITIES ACT OF 1933</w:t>
      </w:r>
    </w:p>
    <w:p>
      <w:pPr>
        <w:jc w:val="center"/>
        <w:ind w:right="3259"/>
        <w:spacing w:after="0"/>
        <w:rPr>
          <w:sz w:val="20"/>
          <w:szCs w:val="20"/>
          <w:color w:val="auto"/>
        </w:rPr>
      </w:pPr>
      <w:r>
        <w:rPr>
          <w:rFonts w:ascii="Courier New" w:cs="Courier New" w:eastAsia="Courier New" w:hAnsi="Courier New"/>
          <w:sz w:val="15"/>
          <w:szCs w:val="15"/>
          <w:color w:val="auto"/>
        </w:rPr>
        <w:t>COMMISSION FILE NO. 0-14278</w:t>
      </w:r>
    </w:p>
    <w:p>
      <w:pPr>
        <w:spacing w:after="0" w:line="169"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MICROSOFT CORPORATION</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26" w:right="1440" w:bottom="1440" w:gutter="0" w:footer="0" w:header="0"/>
        </w:sectPr>
      </w:pPr>
    </w:p>
    <w:p>
      <w:pPr>
        <w:spacing w:after="0" w:line="16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WASHINGTON</w:t>
      </w: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91-1144442</w:t>
      </w:r>
    </w:p>
    <w:p>
      <w:pPr>
        <w:ind w:left="2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300" w:space="720"/>
            <w:col w:w="5199"/>
          </w:cols>
          <w:pgMar w:left="240" w:top="226" w:right="1440" w:bottom="1440" w:gutter="0" w:footer="0" w:header="0"/>
          <w:type w:val="continuous"/>
        </w:sectPr>
      </w:pPr>
    </w:p>
    <w:p>
      <w:pPr>
        <w:ind w:left="2820"/>
        <w:spacing w:after="0"/>
        <w:rPr>
          <w:sz w:val="20"/>
          <w:szCs w:val="20"/>
          <w:color w:val="auto"/>
        </w:rPr>
      </w:pPr>
      <w:r>
        <w:rPr>
          <w:rFonts w:ascii="Courier New" w:cs="Courier New" w:eastAsia="Courier New" w:hAnsi="Courier New"/>
          <w:sz w:val="15"/>
          <w:szCs w:val="15"/>
          <w:color w:val="auto"/>
        </w:rPr>
        <w:t>ONE MICROSOFT WAY</w:t>
      </w:r>
    </w:p>
    <w:p>
      <w:pPr>
        <w:ind w:left="2200"/>
        <w:spacing w:after="0"/>
        <w:rPr>
          <w:sz w:val="20"/>
          <w:szCs w:val="20"/>
          <w:color w:val="auto"/>
        </w:rPr>
      </w:pPr>
      <w:r>
        <w:rPr>
          <w:rFonts w:ascii="Courier New" w:cs="Courier New" w:eastAsia="Courier New" w:hAnsi="Courier New"/>
          <w:sz w:val="15"/>
          <w:szCs w:val="15"/>
          <w:color w:val="auto"/>
        </w:rPr>
        <w:t>REDMOND, WASHINGTON 98052-6399</w:t>
      </w:r>
    </w:p>
    <w:p>
      <w:pPr>
        <w:ind w:left="2900"/>
        <w:spacing w:after="0"/>
        <w:rPr>
          <w:sz w:val="20"/>
          <w:szCs w:val="20"/>
          <w:color w:val="auto"/>
        </w:rPr>
      </w:pPr>
      <w:r>
        <w:rPr>
          <w:rFonts w:ascii="Courier New" w:cs="Courier New" w:eastAsia="Courier New" w:hAnsi="Courier New"/>
          <w:sz w:val="15"/>
          <w:szCs w:val="15"/>
          <w:color w:val="auto"/>
        </w:rPr>
        <w:t>(206) 882-8080</w:t>
      </w:r>
    </w:p>
    <w:p>
      <w:pPr>
        <w:ind w:left="1660"/>
        <w:spacing w:after="0" w:line="238" w:lineRule="auto"/>
        <w:rPr>
          <w:sz w:val="20"/>
          <w:szCs w:val="20"/>
          <w:color w:val="auto"/>
        </w:rPr>
      </w:pPr>
      <w:r>
        <w:rPr>
          <w:rFonts w:ascii="Courier New" w:cs="Courier New" w:eastAsia="Courier New" w:hAnsi="Courier New"/>
          <w:sz w:val="15"/>
          <w:szCs w:val="15"/>
          <w:color w:val="auto"/>
        </w:rPr>
        <w:t>(Address, including zip code, and telephone</w:t>
      </w:r>
    </w:p>
    <w:p>
      <w:pPr>
        <w:ind w:left="1220"/>
        <w:spacing w:after="0"/>
        <w:rPr>
          <w:sz w:val="20"/>
          <w:szCs w:val="20"/>
          <w:color w:val="auto"/>
        </w:rPr>
      </w:pPr>
      <w:r>
        <w:rPr>
          <w:rFonts w:ascii="Courier New" w:cs="Courier New" w:eastAsia="Courier New" w:hAnsi="Courier New"/>
          <w:sz w:val="15"/>
          <w:szCs w:val="15"/>
          <w:color w:val="auto"/>
        </w:rPr>
        <w:t>number including area code, of registrant's principal</w:t>
      </w:r>
    </w:p>
    <w:p>
      <w:pPr>
        <w:ind w:left="2820"/>
        <w:spacing w:after="0"/>
        <w:rPr>
          <w:sz w:val="20"/>
          <w:szCs w:val="20"/>
          <w:color w:val="auto"/>
        </w:rPr>
      </w:pPr>
      <w:r>
        <w:rPr>
          <w:rFonts w:ascii="Courier New" w:cs="Courier New" w:eastAsia="Courier New" w:hAnsi="Courier New"/>
          <w:sz w:val="15"/>
          <w:szCs w:val="15"/>
          <w:color w:val="auto"/>
        </w:rPr>
        <w:t>executive office)</w:t>
      </w:r>
    </w:p>
    <w:p>
      <w:pPr>
        <w:spacing w:after="0" w:line="168"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Robert A. Eshelman</w:t>
      </w:r>
    </w:p>
    <w:p>
      <w:pPr>
        <w:ind w:left="2460"/>
        <w:spacing w:after="0"/>
        <w:rPr>
          <w:sz w:val="20"/>
          <w:szCs w:val="20"/>
          <w:color w:val="auto"/>
        </w:rPr>
      </w:pPr>
      <w:r>
        <w:rPr>
          <w:rFonts w:ascii="Courier New" w:cs="Courier New" w:eastAsia="Courier New" w:hAnsi="Courier New"/>
          <w:sz w:val="15"/>
          <w:szCs w:val="15"/>
          <w:color w:val="auto"/>
        </w:rPr>
        <w:t>Associate General Counsel</w:t>
      </w:r>
    </w:p>
    <w:p>
      <w:pPr>
        <w:ind w:left="2820"/>
        <w:spacing w:after="0" w:line="238" w:lineRule="auto"/>
        <w:rPr>
          <w:sz w:val="20"/>
          <w:szCs w:val="20"/>
          <w:color w:val="auto"/>
        </w:rPr>
      </w:pPr>
      <w:r>
        <w:rPr>
          <w:rFonts w:ascii="Courier New" w:cs="Courier New" w:eastAsia="Courier New" w:hAnsi="Courier New"/>
          <w:sz w:val="15"/>
          <w:szCs w:val="15"/>
          <w:color w:val="auto"/>
        </w:rPr>
        <w:t>One Microsoft Way</w:t>
      </w:r>
    </w:p>
    <w:p>
      <w:pPr>
        <w:ind w:left="2200"/>
        <w:spacing w:after="0"/>
        <w:rPr>
          <w:sz w:val="20"/>
          <w:szCs w:val="20"/>
          <w:color w:val="auto"/>
        </w:rPr>
      </w:pPr>
      <w:r>
        <w:rPr>
          <w:rFonts w:ascii="Courier New" w:cs="Courier New" w:eastAsia="Courier New" w:hAnsi="Courier New"/>
          <w:sz w:val="15"/>
          <w:szCs w:val="15"/>
          <w:color w:val="auto"/>
        </w:rPr>
        <w:t>Redmond, Washington 98052-6399</w:t>
      </w:r>
    </w:p>
    <w:p>
      <w:pPr>
        <w:ind w:left="2900"/>
        <w:spacing w:after="0"/>
        <w:rPr>
          <w:sz w:val="20"/>
          <w:szCs w:val="20"/>
          <w:color w:val="auto"/>
        </w:rPr>
      </w:pPr>
      <w:r>
        <w:rPr>
          <w:rFonts w:ascii="Courier New" w:cs="Courier New" w:eastAsia="Courier New" w:hAnsi="Courier New"/>
          <w:sz w:val="15"/>
          <w:szCs w:val="15"/>
          <w:color w:val="auto"/>
        </w:rPr>
        <w:t>(206) 882-8080</w:t>
      </w:r>
    </w:p>
    <w:p>
      <w:pPr>
        <w:ind w:left="1040"/>
        <w:spacing w:after="0" w:line="238" w:lineRule="auto"/>
        <w:rPr>
          <w:sz w:val="20"/>
          <w:szCs w:val="20"/>
          <w:color w:val="auto"/>
        </w:rPr>
      </w:pPr>
      <w:r>
        <w:rPr>
          <w:rFonts w:ascii="Courier New" w:cs="Courier New" w:eastAsia="Courier New" w:hAnsi="Courier New"/>
          <w:sz w:val="15"/>
          <w:szCs w:val="15"/>
          <w:color w:val="auto"/>
        </w:rPr>
        <w:t>(Name, address, including zip code, and telephone number,</w:t>
      </w:r>
    </w:p>
    <w:p>
      <w:pPr>
        <w:ind w:left="166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Copies of all communications to:</w:t>
      </w:r>
    </w:p>
    <w:p>
      <w:pPr>
        <w:ind w:left="2900"/>
        <w:spacing w:after="0"/>
        <w:rPr>
          <w:sz w:val="20"/>
          <w:szCs w:val="20"/>
          <w:color w:val="auto"/>
        </w:rPr>
      </w:pPr>
      <w:r>
        <w:rPr>
          <w:rFonts w:ascii="Courier New" w:cs="Courier New" w:eastAsia="Courier New" w:hAnsi="Courier New"/>
          <w:sz w:val="15"/>
          <w:szCs w:val="15"/>
          <w:color w:val="auto"/>
        </w:rPr>
        <w:t>Richard B. Dodd</w:t>
      </w:r>
    </w:p>
    <w:p>
      <w:pPr>
        <w:ind w:left="2460"/>
        <w:spacing w:after="0"/>
        <w:rPr>
          <w:sz w:val="20"/>
          <w:szCs w:val="20"/>
          <w:color w:val="auto"/>
        </w:rPr>
      </w:pPr>
      <w:r>
        <w:rPr>
          <w:rFonts w:ascii="Courier New" w:cs="Courier New" w:eastAsia="Courier New" w:hAnsi="Courier New"/>
          <w:sz w:val="15"/>
          <w:szCs w:val="15"/>
          <w:color w:val="auto"/>
        </w:rPr>
        <w:t>Christopher H. Cunningham</w:t>
      </w:r>
    </w:p>
    <w:p>
      <w:pPr>
        <w:ind w:left="2640"/>
        <w:spacing w:after="0" w:line="238" w:lineRule="auto"/>
        <w:rPr>
          <w:sz w:val="20"/>
          <w:szCs w:val="20"/>
          <w:color w:val="auto"/>
        </w:rPr>
      </w:pPr>
      <w:r>
        <w:rPr>
          <w:rFonts w:ascii="Courier New" w:cs="Courier New" w:eastAsia="Courier New" w:hAnsi="Courier New"/>
          <w:sz w:val="15"/>
          <w:szCs w:val="15"/>
          <w:color w:val="auto"/>
        </w:rPr>
        <w:t>Preston Gates &amp; Ellis</w:t>
      </w:r>
    </w:p>
    <w:p>
      <w:pPr>
        <w:ind w:left="2640"/>
        <w:spacing w:after="0"/>
        <w:rPr>
          <w:sz w:val="20"/>
          <w:szCs w:val="20"/>
          <w:color w:val="auto"/>
        </w:rPr>
      </w:pPr>
      <w:r>
        <w:rPr>
          <w:rFonts w:ascii="Courier New" w:cs="Courier New" w:eastAsia="Courier New" w:hAnsi="Courier New"/>
          <w:sz w:val="15"/>
          <w:szCs w:val="15"/>
          <w:color w:val="auto"/>
        </w:rPr>
        <w:t>5000 Columbia Center</w:t>
      </w:r>
    </w:p>
    <w:p>
      <w:pPr>
        <w:ind w:left="2820"/>
        <w:spacing w:after="0"/>
        <w:rPr>
          <w:sz w:val="20"/>
          <w:szCs w:val="20"/>
          <w:color w:val="auto"/>
        </w:rPr>
      </w:pPr>
      <w:r>
        <w:rPr>
          <w:rFonts w:ascii="Courier New" w:cs="Courier New" w:eastAsia="Courier New" w:hAnsi="Courier New"/>
          <w:sz w:val="15"/>
          <w:szCs w:val="15"/>
          <w:color w:val="auto"/>
        </w:rPr>
        <w:t>701 Fifth Avenue</w:t>
      </w:r>
    </w:p>
    <w:p>
      <w:pPr>
        <w:ind w:left="2200"/>
        <w:spacing w:after="0" w:line="238" w:lineRule="auto"/>
        <w:rPr>
          <w:sz w:val="20"/>
          <w:szCs w:val="20"/>
          <w:color w:val="auto"/>
        </w:rPr>
      </w:pPr>
      <w:r>
        <w:rPr>
          <w:rFonts w:ascii="Courier New" w:cs="Courier New" w:eastAsia="Courier New" w:hAnsi="Courier New"/>
          <w:sz w:val="15"/>
          <w:szCs w:val="15"/>
          <w:color w:val="auto"/>
        </w:rPr>
        <w:t>Seattle, Washington 98104-7078</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Approximate date of commencement of proposed sale to the public: At such time or times after the effective date of this Registration Statement as the Selling Shareholder shall determine.</w:t>
      </w:r>
    </w:p>
    <w:p>
      <w:pPr>
        <w:spacing w:after="0" w:line="175" w:lineRule="exact"/>
        <w:rPr>
          <w:sz w:val="20"/>
          <w:szCs w:val="20"/>
          <w:color w:val="auto"/>
        </w:rPr>
      </w:pPr>
    </w:p>
    <w:p>
      <w:pPr>
        <w:jc w:val="both"/>
        <w:ind w:right="3259" w:firstLine="793"/>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w:t>
      </w:r>
    </w:p>
    <w:p>
      <w:pPr>
        <w:ind w:left="396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5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/x/</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MICROSOFT CORPORATION</w:t>
      </w:r>
    </w:p>
    <w:p>
      <w:pPr>
        <w:ind w:left="2640"/>
        <w:spacing w:after="0"/>
        <w:rPr>
          <w:sz w:val="20"/>
          <w:szCs w:val="20"/>
          <w:color w:val="auto"/>
        </w:rPr>
      </w:pPr>
      <w:r>
        <w:rPr>
          <w:rFonts w:ascii="Courier New" w:cs="Courier New" w:eastAsia="Courier New" w:hAnsi="Courier New"/>
          <w:sz w:val="15"/>
          <w:szCs w:val="15"/>
          <w:color w:val="auto"/>
        </w:rPr>
        <w:t>953,849 Common Shares</w:t>
      </w:r>
    </w:p>
    <w:p>
      <w:pPr>
        <w:ind w:left="2200"/>
        <w:spacing w:after="0"/>
        <w:rPr>
          <w:sz w:val="20"/>
          <w:szCs w:val="20"/>
          <w:color w:val="auto"/>
        </w:rPr>
      </w:pPr>
      <w:r>
        <w:rPr>
          <w:rFonts w:ascii="Courier New" w:cs="Courier New" w:eastAsia="Courier New" w:hAnsi="Courier New"/>
          <w:sz w:val="15"/>
          <w:szCs w:val="15"/>
          <w:color w:val="auto"/>
        </w:rPr>
        <w:t>Par Value of $.00005 Per Share</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Prospectus relates to up to 953,849 shares of common stock (the "Shares") of Microsoft Corporation, a Washington corporation ("Microsoft"), which may be offered from time to time by the selling shareholders named herein (the "Selling Shareholders"). Microsoft will not receive any of the proceeds from the sale of the Shares. Microsoft will bear the costs relating to the registration of the Shares estimated to be approximately $38,000.</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Shares are registered as a result of a merger (the "Merger") between Microsoft, Bumbershoot, Ltd., a Delaware corporation and wholly owned subsidiary of Microsoft, and Vermeer Technologies, Inc. ("Vermeer"). Pursuant to the Merger, Microsoft agreed to register the Shares received by each Selling Shareholder in the Merger.</w:t>
      </w:r>
    </w:p>
    <w:p>
      <w:pPr>
        <w:spacing w:after="0" w:line="178"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Microsoft has been advised by each Selling Shareholder that he or she expects to offer his or her Shares through brokers and dealers to be selected by him or her from time to time. The Shares may be offered for sale through the Nasdaq Stock Market, in the over-the-counter market, in one or more private transactions, or a combination of such methods of sale, at prices and on terms then prevailing, at prices related to such prices, or at negotiated prices. Certain of the Selling Shareholders may distribute their shares, from time to time, to their limited and/or general partners who may sell Shares pursuant to this Prospectus. Each Selling Shareholder may pledge all or a portion of the Shares owned by him or her as collateral in loan transactions. Upon default by such a Selling Shareholder the pledgee in such loan transaction would have the same rights of sale as the Selling Shareholder under this Prospectus. Each Selling Shareholder may also transfer Shares owned by him by gift and upon any such transfer the donee would have the same rights of sale as such Selling Shareholder under this Prospectus. In addition, any securities covered by this prospectus which qualify for sale pursuant to Rule 144 of the Securities Act of 1933, as amended (the "1933 Act"), may be sold under Rule 144 rather than pursuant to this Prospectus. Finally, each Selling Shareholder and any brokers and dealers through whom sales of the Shares are made may be deemed to be "underwriters" within the meaning of the 1933 Act, and the commissions or discounts and other compensation paid to such persons may be regarded as underwriters' compensation.</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Shares are traded on the Nasdaq Stock Market. The average of the high and low prices of the Shares as reported on the Nasdaq Stock Market on February 7, 1996 was $96.30 per share.</w:t>
      </w:r>
    </w:p>
    <w:p>
      <w:pPr>
        <w:spacing w:after="0" w:line="175" w:lineRule="exact"/>
        <w:rPr>
          <w:sz w:val="20"/>
          <w:szCs w:val="20"/>
          <w:color w:val="auto"/>
        </w:rPr>
      </w:pPr>
    </w:p>
    <w:p>
      <w:pPr>
        <w:ind w:left="160" w:right="3539" w:hanging="175"/>
        <w:spacing w:after="0" w:line="256"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NOR HAS THE COMMISSION PASSED UPON THE ACCURACY OR</w:t>
      </w:r>
    </w:p>
    <w:p>
      <w:pPr>
        <w:spacing w:after="0" w:line="1" w:lineRule="exact"/>
        <w:rPr>
          <w:sz w:val="20"/>
          <w:szCs w:val="20"/>
          <w:color w:val="auto"/>
        </w:rPr>
      </w:pPr>
    </w:p>
    <w:p>
      <w:pPr>
        <w:ind w:left="600" w:right="3799" w:hanging="175"/>
        <w:spacing w:after="0" w:line="235" w:lineRule="auto"/>
        <w:rPr>
          <w:sz w:val="20"/>
          <w:szCs w:val="20"/>
          <w:color w:val="auto"/>
        </w:rPr>
      </w:pPr>
      <w:r>
        <w:rPr>
          <w:rFonts w:ascii="Courier New" w:cs="Courier New" w:eastAsia="Courier New" w:hAnsi="Courier New"/>
          <w:sz w:val="15"/>
          <w:szCs w:val="15"/>
          <w:color w:val="auto"/>
        </w:rPr>
        <w:t>ADEQUACY OF THIS PROSPECTUS. ANY REPRESENTATION TO THE CONTRARY IS A CRIMINAL OFFENSE.</w:t>
      </w:r>
    </w:p>
    <w:p>
      <w:pPr>
        <w:spacing w:after="0" w:line="17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date of this Prospectus is February 22, 1996.</w:t>
      </w:r>
    </w:p>
    <w:p>
      <w:pPr>
        <w:spacing w:after="0" w:line="34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All of the securities to be registered hereby are to be offered for the account of security holders.</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jc w:val="center"/>
        <w:ind w:right="3099"/>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Microsoft is subject to the informational requirements of the Securities Exchange Act of 1934 and files reports and other information with the Securities and Exchange Commission in accordance therewith. Such reports, proxy statements, and other information filed by Microsoft are available for inspection and copying at the public reference facilities of the Commission at Room 1024, 450 Fifth Street, N.W., Judiciary Plaza, Washington, D.C. 20549, and at the Commission's Regional Offices located at Room 1028, Jacob K. Javits Federal Building, 26 Federal Plaza, New York, New York 10278 and Room 3190, Kluczynski Federal Building, 230 South Dearborn Street, Chicago, Illinois 60604. Copies of such material may be obtained by mail from the Public Reference Section of the Commission at 450 Fifth St., N.W., Judiciary Plaza, Washington, D.C. 20549, at prescribed rates. Microsoft's Shares are listed on the Nasdaq Stock Market. In addition to the addresses listed above, reports, proxy statements, and other information concerning Microsoft can be inspected at the offices of the Nasdaq Stock Market.</w:t>
      </w:r>
    </w:p>
    <w:p>
      <w:pPr>
        <w:spacing w:after="0" w:line="17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The following documents filed by Microsoft with the Commission are incorporated by reference in this Prospectus:</w:t>
      </w:r>
    </w:p>
    <w:p>
      <w:pPr>
        <w:spacing w:after="0" w:line="170" w:lineRule="exact"/>
        <w:rPr>
          <w:sz w:val="20"/>
          <w:szCs w:val="20"/>
          <w:color w:val="auto"/>
        </w:rPr>
      </w:pPr>
    </w:p>
    <w:p>
      <w:pPr>
        <w:ind w:left="780"/>
        <w:spacing w:after="0"/>
        <w:tabs>
          <w:tab w:leader="none" w:pos="112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Microsoft's Annual Report on Form 10-K for the year ended June 30,</w:t>
      </w:r>
    </w:p>
    <w:p>
      <w:pPr>
        <w:spacing w:after="0"/>
        <w:rPr>
          <w:sz w:val="20"/>
          <w:szCs w:val="20"/>
          <w:color w:val="auto"/>
        </w:rPr>
      </w:pPr>
      <w:r>
        <w:rPr>
          <w:rFonts w:ascii="Courier New" w:cs="Courier New" w:eastAsia="Courier New" w:hAnsi="Courier New"/>
          <w:sz w:val="15"/>
          <w:szCs w:val="15"/>
          <w:color w:val="auto"/>
        </w:rPr>
        <w:t>1995.</w:t>
      </w:r>
    </w:p>
    <w:p>
      <w:pPr>
        <w:spacing w:after="0" w:line="169" w:lineRule="exact"/>
        <w:rPr>
          <w:sz w:val="20"/>
          <w:szCs w:val="20"/>
          <w:color w:val="auto"/>
        </w:rPr>
      </w:pPr>
    </w:p>
    <w:p>
      <w:pPr>
        <w:ind w:left="1140" w:hanging="356"/>
        <w:spacing w:after="0"/>
        <w:tabs>
          <w:tab w:leader="none" w:pos="11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Proxy Statement dated September 25, 1995.</w:t>
      </w:r>
    </w:p>
    <w:p>
      <w:pPr>
        <w:spacing w:after="0" w:line="174" w:lineRule="exact"/>
        <w:rPr>
          <w:rFonts w:ascii="Courier New" w:cs="Courier New" w:eastAsia="Courier New" w:hAnsi="Courier New"/>
          <w:sz w:val="15"/>
          <w:szCs w:val="15"/>
          <w:color w:val="auto"/>
        </w:rPr>
      </w:pPr>
    </w:p>
    <w:p>
      <w:pPr>
        <w:ind w:right="3539" w:firstLine="784"/>
        <w:spacing w:after="0" w:line="235" w:lineRule="auto"/>
        <w:tabs>
          <w:tab w:leader="none" w:pos="114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Quarterly Report on Form 10-Q for the quarter ended September 30, 1995.</w:t>
      </w:r>
    </w:p>
    <w:p>
      <w:pPr>
        <w:spacing w:after="0" w:line="345" w:lineRule="exact"/>
        <w:rPr>
          <w:rFonts w:ascii="Courier New" w:cs="Courier New" w:eastAsia="Courier New" w:hAnsi="Courier New"/>
          <w:sz w:val="15"/>
          <w:szCs w:val="15"/>
          <w:color w:val="auto"/>
        </w:rPr>
      </w:pPr>
    </w:p>
    <w:p>
      <w:pPr>
        <w:ind w:right="3539" w:firstLine="784"/>
        <w:spacing w:after="0" w:line="235" w:lineRule="auto"/>
        <w:tabs>
          <w:tab w:leader="none" w:pos="114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Microsoft's Quarterly Report on Form 10-Q for the quarter ended December 31, 1995.</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of Microsoft which is contained in the registration statement of Microsoft filed on Form S-4, dated February 17, 1995.</w:t>
      </w:r>
    </w:p>
    <w:p>
      <w:pPr>
        <w:spacing w:after="0" w:line="344"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All documents filed by Microsoft pursuant to Sections 13(a), 13(c), 14, or 15(d) of the Exchange Act subsequent to the date of this Prospectus and prior to the termination of the offering of the Shares offered hereby shall be deemed to be incorporated by reference into this Prospectus and to be a part hereof.</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Microsoft hereby undertakes to provide without charge to each person to whom this Prospectus has been delivered, upon the written or oral request of any such person, a copy of any and all of the foregoing documents incorporated herein by reference (other than exhibits to such documents which are not specifically incorporated by reference into the information that this Prospectus incorporates). Written or telephone requests should be directed to Investors Relations Department, Microsoft Corporation, One Microsoft Way, Redmond, Washington 98052-6399, telephone number (206) 882-8080.</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No dealer, salesman, or any other person has been authorized to give any information or to make any representation not contained in this Prospectus, and, if given or made, such information and representation must not be relied upon as having been authorized by Microsoft. This Prospectus does not constitute an offer to sell or a solicitation of an offer to buy any of the securities offered hereby in any state to any person to whom it is unlawful to make such offer in such state. Neither the delivery of this Prospectus nor any sales made hereunder shall, under any circumstances, create any implication that there has been no change in the affairs of Microsoft since the date hereof.</w:t>
      </w:r>
    </w:p>
    <w:p>
      <w:pPr>
        <w:spacing w:after="0" w:line="16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This Prospectus constitutes a part of a Registration Statement which Microsoft has filed with the Commission under the 1933 Act, with respect to the Shares. This Prospectus omits certain of the information contained in the Registration Statement, and reference is hereby made to the Registration Statement and related Exhibits thereto for further information with respect to Microsoft and the securities offered hereby. Such additional information can be obtained from the Commission's office in Washington, D.C. Any statements contained herein concerning the provisions of any documents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Microsoft Corporation, a Washington corporation, has its principal executive offices at One Microsoft Way, Redmond, Washington 98052-6399, telephone number (206) 882-8080. Microsoft was founded as a partnership in 1975 and was incorporated in 1981. Microsoft, develops, manufactures, licenses, sells, and supports a wide range of software products, including operating system platforms for personal computers (PCs), workstations, and servers; business and consumer applications for productivity, reference, education, and entertainment; and development tools. Microsoft also offers an online service, sells personal computer books and input devices, and is engaged in the research and potential development of advanced technology software products. Microsoft's products are available for 16-bit and 32-bit microcomputers, including AST Research, Acer, Apple, Digital Equipment Corporation, Dell, Compaq, Gateway 2000, Hewlett-Packard, International Business Machines (IBM), NEC, Olivetti, Packard Bell, and Toshiba. Microsoft develops most of its software products internally using proprietary development tools and methodology. Microsoft markets and distributes its products domestically and internationally through the original equipment manufacturer ("OEM") channel and through the finished goods channels primarily by means of independent distributors and resellers.</w:t>
      </w:r>
    </w:p>
    <w:p>
      <w:pPr>
        <w:spacing w:after="0" w:line="15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SHAREHOLDERS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904,374 of the Shares described in this Prospectus are owned by the individuals listed below. Some or all of the Additional Shares, defined below, may be distributed, on a pro rata basis, to the Selling Shareholders thereby increasing their ownership accordingly. All of the shares offered hereby were acquired in connection with the Microsoft acquisition of Vermeer. Certain of the Selling Shareholders, indicated below with an asterisk (*), are employees of Microsoft, but otherwise, the Selling Shareholders have no material relationship with Microsoft.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No. of</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700" w:type="dxa"/>
            <w:vAlign w:val="bottom"/>
          </w:tcPr>
          <w:p>
            <w:pPr>
              <w:ind w:left="1220"/>
              <w:spacing w:after="0"/>
              <w:rPr>
                <w:sz w:val="20"/>
                <w:szCs w:val="20"/>
                <w:color w:val="auto"/>
              </w:rPr>
            </w:pPr>
            <w:r>
              <w:rPr>
                <w:rFonts w:ascii="Courier New" w:cs="Courier New" w:eastAsia="Courier New" w:hAnsi="Courier New"/>
                <w:sz w:val="15"/>
                <w:szCs w:val="15"/>
                <w:color w:val="auto"/>
              </w:rPr>
              <w:t>Name of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Owned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Prior</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Received from</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3700" w:type="dxa"/>
            <w:vAlign w:val="bottom"/>
          </w:tcPr>
          <w:p>
            <w:pPr>
              <w:ind w:left="520"/>
              <w:spacing w:after="0"/>
              <w:rPr>
                <w:sz w:val="20"/>
                <w:szCs w:val="20"/>
                <w:color w:val="auto"/>
              </w:rPr>
            </w:pPr>
            <w:r>
              <w:rPr>
                <w:rFonts w:ascii="Courier New" w:cs="Courier New" w:eastAsia="Courier New" w:hAnsi="Courier New"/>
                <w:sz w:val="15"/>
                <w:szCs w:val="15"/>
                <w:color w:val="auto"/>
              </w:rPr>
              <w:t>Selling Shareholders (1)</w:t>
            </w:r>
          </w:p>
        </w:tc>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Offering</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Microsoft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Owned (2)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Atlas Venture Fund II, L.P.</w:t>
            </w:r>
          </w:p>
        </w:tc>
        <w:tc>
          <w:tcPr>
            <w:tcW w:w="560" w:type="dxa"/>
            <w:vAlign w:val="bottom"/>
          </w:tcPr>
          <w:p>
            <w:pPr>
              <w:spacing w:after="0"/>
              <w:rPr>
                <w:sz w:val="24"/>
                <w:szCs w:val="2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164,360</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164,360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Banghart, David and Catherine JTWROS</w:t>
            </w:r>
          </w:p>
        </w:tc>
        <w:tc>
          <w:tcPr>
            <w:tcW w:w="13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227</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Blanchard, Denice</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276</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Blumer, Thomas P.*</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4,134</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4,134</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Brown &amp; Bain, P.A</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3,714</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3,714</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Clark, Cheryl</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92</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Cuoco, Edmund*</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1,723</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Davoli, Robert and Eileen McDonagh,</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15,498</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15,498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JTWROS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Gettys, James</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1,292</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Harrison, Shelley</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3,445</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3,445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Kaysen, Carl</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227</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Kerr, Andrew</w:t>
            </w:r>
          </w:p>
        </w:tc>
        <w:tc>
          <w:tcPr>
            <w:tcW w:w="13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450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6,890</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7,340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LeBlanc, Camille</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4,134</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4,130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Masciarelli, James P</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3,307</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3,307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Matrix IV Entrepreneurs Fund, L.P.</w:t>
            </w:r>
          </w:p>
        </w:tc>
        <w:tc>
          <w:tcPr>
            <w:tcW w:w="560" w:type="dxa"/>
            <w:vAlign w:val="bottom"/>
          </w:tcPr>
          <w:p>
            <w:pPr>
              <w:spacing w:after="0"/>
              <w:rPr>
                <w:sz w:val="14"/>
                <w:szCs w:val="14"/>
                <w:color w:val="auto"/>
              </w:rPr>
            </w:pPr>
          </w:p>
        </w:tc>
        <w:tc>
          <w:tcPr>
            <w:tcW w:w="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16,436</w:t>
            </w:r>
          </w:p>
        </w:tc>
        <w:tc>
          <w:tcPr>
            <w:tcW w:w="1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16,436</w:t>
            </w:r>
          </w:p>
        </w:tc>
      </w:tr>
      <w:tr>
        <w:trPr>
          <w:trHeight w:val="678"/>
        </w:trPr>
        <w:tc>
          <w:tcPr>
            <w:tcW w:w="3700" w:type="dxa"/>
            <w:vAlign w:val="bottom"/>
          </w:tcPr>
          <w:p>
            <w:pPr>
              <w:ind w:left="3420"/>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8"/>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Matrix Partners IV,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312,285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312,285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Menlo Entrepreneurs Fund VI,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Menlo Ventures VI,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34,452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34,452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Miller, Jonathan and Diane Fassino</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Nanji, Feisal B</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8,437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Pilkington, Cynthia</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Sigma Associates III,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27,397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27,397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Sigma Investors III,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4,180</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Sigma Partners III, L.P.</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281,646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281,646</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The Career Group, Ltd.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5,512</w:t>
            </w:r>
          </w:p>
        </w:tc>
      </w:tr>
      <w:tr>
        <w:trPr>
          <w:trHeight w:val="509"/>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spacing w:after="0"/>
              <w:rPr>
                <w:sz w:val="24"/>
                <w:szCs w:val="2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904,374(3)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905,642</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539" w:firstLine="784"/>
        <w:spacing w:after="0" w:line="235" w:lineRule="auto"/>
        <w:tabs>
          <w:tab w:leader="none" w:pos="11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Selling Shareholders held any office with Microsoft during the last three years.</w:t>
      </w:r>
    </w:p>
    <w:p>
      <w:pPr>
        <w:spacing w:after="0" w:line="175" w:lineRule="exact"/>
        <w:rPr>
          <w:rFonts w:ascii="Courier New" w:cs="Courier New" w:eastAsia="Courier New" w:hAnsi="Courier New"/>
          <w:sz w:val="15"/>
          <w:szCs w:val="15"/>
          <w:color w:val="auto"/>
        </w:rPr>
      </w:pPr>
    </w:p>
    <w:p>
      <w:pPr>
        <w:ind w:right="3359" w:firstLine="784"/>
        <w:spacing w:after="0" w:line="235" w:lineRule="auto"/>
        <w:tabs>
          <w:tab w:leader="none" w:pos="11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are less than 1% of the issued and outstanding shares of common stock of Microsoft.</w:t>
      </w:r>
    </w:p>
    <w:p>
      <w:pPr>
        <w:spacing w:after="0" w:line="175"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Selling Shareholders may receive "Additional Shares" to the extent Vermeer employees who hold restricted shares or unvested options decide not to relocate to Redmond, Washington or are otherwise terminated during a transition period which will end no later than May 12, 1996. The maximum number of such Additional Shares is 49,475. An equivalent number of shares have been included in this Registration Statement but are not included in this table. An amended prospectus will be filed to reflect any change in the number of shares offered by the individual Selling Shareholders.</w:t>
      </w:r>
    </w:p>
    <w:p>
      <w:pPr>
        <w:spacing w:after="0" w:line="17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The validity of the Shares offered hereby will be passed upon for Microsoft by Preston Gates &amp; Ellis, 5000 Columbia Center, 701 Fifth Avenue, Seattle, Washington 98104. Attorneys who are partners or employed by Preston Gates &amp; Ellis who have provided advice with respect to the Merger in the aggregate own less than 50,000 Shares.</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consolidated financial statements of Microsoft as of June 30, 1995, and 1994 and for each of the three years in the period ended June 30, 1995, incorporated by reference in this Prospectus from Microsoft's Annual Report on Form 10-K, have been audited by Deloitte &amp; Touche LLP, independent public accountants, as stated in their report which is incorporated herein by reference, and has been so incorporated in reliance upon such report given upon the authority of said firm as experts in accounting and auditing.</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DISCLOSURE OF COMMISSION POSITION ON INDEMNIFICATION</w:t>
      </w:r>
    </w:p>
    <w:p>
      <w:pPr>
        <w:jc w:val="center"/>
        <w:ind w:right="3179"/>
        <w:spacing w:after="0"/>
        <w:rPr>
          <w:sz w:val="20"/>
          <w:szCs w:val="20"/>
          <w:color w:val="auto"/>
        </w:rPr>
      </w:pPr>
      <w:r>
        <w:rPr>
          <w:rFonts w:ascii="Courier New" w:cs="Courier New" w:eastAsia="Courier New" w:hAnsi="Courier New"/>
          <w:sz w:val="15"/>
          <w:szCs w:val="15"/>
          <w:color w:val="auto"/>
        </w:rPr>
        <w:t>FOR SECURITIES ACT LIABILITIES</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Article XII of Microsoft's Restated Articles of Incorporation authorizes Microsoft to indemnify any present or former director, officer, employee, or agent of Microsoft, or a person serving in a similar post in another organization at the request of Microsoft, against expenses, judgments, fines, and amounts paid in settlement incurred by him in connection with any threatened, pending, or completed action, suit, or proceeding, whether civil, criminal, administrative, or investigative, to the fullest extent not prohibited by the Washington Business Corporation Act, public policy or other applicable law. Chapter 23B.08.510 and .570 of the Washington Business Corporation Act authorizes a corporation to indemnify its directors, officers, employees, or agents in terms sufficiently broad to permit such indemnification under certain circumstances for liabilities (including provisions permitting advances for expenses incurred) arising under the 1933 Act.</w:t>
      </w:r>
    </w:p>
    <w:p>
      <w:pPr>
        <w:spacing w:after="0" w:line="33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1933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OTHER INFORMATION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Microsoft's revenues and net income for the 30-day period ended February 11, 1996 were $725 Million and $180 Million. The Merger, described above, which closed January 12, 1996, was been accounted for as a pooling of interests. The revenue and net income amounts set forth above include 30 days of combined operations with Vermeer. This information is reported for purposes of complying with the Securities and Exchange Commission's Accounting Series Release 135. This information includes operations from part of the third quarter of Microsoft's fiscal year, which quarter will end March 31, 1996, and is not necessarily indicative of the results of operations for Microsoft's third quarter ending March 31, 1996 or the fiscal year ending June 30, 1996.</w:t>
      </w: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rPr>
              <w:t>23.1</w:t>
            </w: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w w:val="97"/>
              </w:rPr>
              <w:t>Consent of Deloitte &amp; Touche LLP</w:t>
            </w:r>
          </w:p>
        </w:tc>
      </w:tr>
      <w:tr>
        <w:trPr>
          <w:trHeight w:val="170"/>
        </w:trPr>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rPr>
              <w:t>24</w:t>
            </w:r>
          </w:p>
        </w:tc>
        <w:tc>
          <w:tcPr>
            <w:tcW w:w="3480" w:type="dxa"/>
            <w:vAlign w:val="bottom"/>
          </w:tcPr>
          <w:p>
            <w:pPr>
              <w:ind w:left="660"/>
              <w:spacing w:after="0"/>
              <w:rPr>
                <w:sz w:val="20"/>
                <w:szCs w:val="20"/>
                <w:color w:val="auto"/>
              </w:rPr>
            </w:pPr>
            <w:r>
              <w:rPr>
                <w:rFonts w:ascii="Courier New" w:cs="Courier New" w:eastAsia="Courier New" w:hAnsi="Courier New"/>
                <w:sz w:val="15"/>
                <w:szCs w:val="15"/>
                <w:color w:val="auto"/>
              </w:rPr>
              <w:t>Power of Attorney</w:t>
            </w:r>
          </w:p>
        </w:tc>
      </w:tr>
    </w:tbl>
    <w:p>
      <w:pPr>
        <w:sectPr>
          <w:pgSz w:w="11900" w:h="16838" w:orient="portrait"/>
          <w:cols w:equalWidth="0" w:num="1">
            <w:col w:w="10219"/>
          </w:cols>
          <w:pgMar w:left="240" w:top="28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left="10" w:right="3539"/>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Redmond, State of Washington on the 21st day of February 1996.</w:t>
      </w:r>
    </w:p>
    <w:p>
      <w:pPr>
        <w:spacing w:after="0" w:line="33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MICROSOFT CORPORATION</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/s/ William H. Gates III</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William H. Gates III</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5"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William H. Gates III, his attorney-in-fact, for him in any and all capacities, to sign any amendments to this Registration Statement,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77" w:lineRule="exact"/>
        <w:rPr>
          <w:sz w:val="20"/>
          <w:szCs w:val="20"/>
          <w:color w:val="auto"/>
        </w:rPr>
      </w:pPr>
    </w:p>
    <w:p>
      <w:pPr>
        <w:ind w:left="10" w:right="379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749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174" w:lineRule="exact"/>
        <w:rPr>
          <w:sz w:val="20"/>
          <w:szCs w:val="20"/>
          <w:color w:val="auto"/>
        </w:rPr>
      </w:pPr>
    </w:p>
    <w:p>
      <w:pPr>
        <w:sectPr>
          <w:pgSz w:w="11900" w:h="16838" w:orient="portrait"/>
          <w:cols w:equalWidth="0" w:num="2">
            <w:col w:w="8030" w:space="160"/>
            <w:col w:w="203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/s/ Michael W. Brown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Michael W. Brown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Finance; Chief Financial Officer</w:t>
      </w:r>
    </w:p>
    <w:p>
      <w:pPr>
        <w:spacing w:after="0" w:line="5" w:lineRule="exact"/>
        <w:rPr>
          <w:sz w:val="20"/>
          <w:szCs w:val="20"/>
          <w:color w:val="auto"/>
        </w:rPr>
      </w:pPr>
    </w:p>
    <w:p>
      <w:pPr>
        <w:ind w:left="180"/>
        <w:spacing w:after="0"/>
        <w:tabs>
          <w:tab w:leader="none" w:pos="3420" w:val="left"/>
        </w:tabs>
        <w:rPr>
          <w:sz w:val="20"/>
          <w:szCs w:val="20"/>
          <w:color w:val="auto"/>
        </w:rPr>
      </w:pPr>
      <w:r>
        <w:rPr>
          <w:rFonts w:ascii="Courier New" w:cs="Courier New" w:eastAsia="Courier New" w:hAnsi="Courier New"/>
          <w:sz w:val="15"/>
          <w:szCs w:val="15"/>
          <w:color w:val="auto"/>
        </w:rPr>
        <w:t>(Principal Financial and Accounting</w:t>
      </w:r>
      <w:r>
        <w:rPr>
          <w:sz w:val="20"/>
          <w:szCs w:val="20"/>
          <w:color w:val="auto"/>
        </w:rPr>
        <w:tab/>
      </w:r>
      <w:r>
        <w:rPr>
          <w:rFonts w:ascii="Courier New" w:cs="Courier New" w:eastAsia="Courier New" w:hAnsi="Courier New"/>
          <w:sz w:val="14"/>
          <w:szCs w:val="14"/>
          <w:color w:val="auto"/>
        </w:rPr>
        <w:t>Officer)</w:t>
      </w:r>
    </w:p>
    <w:p>
      <w:pPr>
        <w:spacing w:after="0" w:line="369" w:lineRule="exact"/>
        <w:rPr>
          <w:sz w:val="20"/>
          <w:szCs w:val="20"/>
          <w:color w:val="auto"/>
        </w:rPr>
      </w:pPr>
    </w:p>
    <w:p>
      <w:pPr>
        <w:sectPr>
          <w:pgSz w:w="11900" w:h="16838" w:orient="portrait"/>
          <w:cols w:equalWidth="0" w:num="2">
            <w:col w:w="2290" w:space="620"/>
            <w:col w:w="7319"/>
          </w:cols>
          <w:pgMar w:left="230" w:top="283" w:right="1440" w:bottom="1440" w:gutter="0" w:footer="0" w:header="0"/>
          <w:type w:val="continuous"/>
        </w:sect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H. Gates III</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Chief Executive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(Principal Executive Officer)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180" w:lineRule="exact"/>
        <w:rPr>
          <w:sz w:val="20"/>
          <w:szCs w:val="20"/>
          <w:color w:val="auto"/>
        </w:rPr>
      </w:pPr>
    </w:p>
    <w:p>
      <w:pPr>
        <w:sectPr>
          <w:pgSz w:w="11900" w:h="16838" w:orient="portrait"/>
          <w:cols w:equalWidth="0" w:num="3">
            <w:col w:w="2290" w:space="620"/>
            <w:col w:w="4560" w:space="720"/>
            <w:col w:w="203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William H. Gates III</w:t>
      </w:r>
    </w:p>
    <w:p>
      <w:pPr>
        <w:sectPr>
          <w:pgSz w:w="11900" w:h="16838" w:orient="portrait"/>
          <w:cols w:equalWidth="0" w:num="1">
            <w:col w:w="10229"/>
          </w:cols>
          <w:pgMar w:left="23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 Paul G. Allen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5" w:lineRule="exact"/>
        <w:rPr>
          <w:sz w:val="20"/>
          <w:szCs w:val="20"/>
          <w:color w:val="auto"/>
        </w:rPr>
      </w:pPr>
    </w:p>
    <w:p>
      <w:pPr>
        <w:sectPr>
          <w:pgSz w:w="11900" w:h="16838" w:orient="portrait"/>
          <w:cols w:equalWidth="0" w:num="3">
            <w:col w:w="2190" w:space="720"/>
            <w:col w:w="4560" w:space="720"/>
            <w:col w:w="2039"/>
          </w:cols>
          <w:pgMar w:left="230" w:top="283" w:right="1440" w:bottom="1440" w:gutter="0" w:footer="0" w:header="0"/>
          <w:type w:val="continuous"/>
        </w:sect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G. Allen</w:t>
      </w:r>
    </w:p>
    <w:p>
      <w:pPr>
        <w:spacing w:after="0" w:line="169" w:lineRule="exact"/>
        <w:rPr>
          <w:sz w:val="20"/>
          <w:szCs w:val="20"/>
          <w:color w:val="auto"/>
        </w:rPr>
      </w:pPr>
    </w:p>
    <w:p>
      <w:pPr>
        <w:ind w:left="10"/>
        <w:spacing w:after="0"/>
        <w:tabs>
          <w:tab w:leader="none" w:pos="2889" w:val="left"/>
          <w:tab w:leader="none" w:pos="8169" w:val="left"/>
        </w:tabs>
        <w:rPr>
          <w:sz w:val="20"/>
          <w:szCs w:val="20"/>
          <w:color w:val="auto"/>
        </w:rPr>
      </w:pPr>
      <w:r>
        <w:rPr>
          <w:rFonts w:ascii="Courier New" w:cs="Courier New" w:eastAsia="Courier New" w:hAnsi="Courier New"/>
          <w:sz w:val="15"/>
          <w:szCs w:val="15"/>
          <w:color w:val="auto"/>
        </w:rPr>
        <w:t>/s/ Richard A. Hackborn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Hackborn</w:t>
      </w:r>
    </w:p>
    <w:p>
      <w:pPr>
        <w:spacing w:after="0" w:line="169" w:lineRule="exact"/>
        <w:rPr>
          <w:sz w:val="20"/>
          <w:szCs w:val="20"/>
          <w:color w:val="auto"/>
        </w:rPr>
      </w:pPr>
    </w:p>
    <w:p>
      <w:pPr>
        <w:ind w:left="10"/>
        <w:spacing w:after="0"/>
        <w:tabs>
          <w:tab w:leader="none" w:pos="2889" w:val="left"/>
          <w:tab w:leader="none" w:pos="8169" w:val="left"/>
        </w:tabs>
        <w:rPr>
          <w:sz w:val="20"/>
          <w:szCs w:val="20"/>
          <w:color w:val="auto"/>
        </w:rPr>
      </w:pPr>
      <w:r>
        <w:rPr>
          <w:rFonts w:ascii="Courier New" w:cs="Courier New" w:eastAsia="Courier New" w:hAnsi="Courier New"/>
          <w:sz w:val="15"/>
          <w:szCs w:val="15"/>
          <w:color w:val="auto"/>
        </w:rPr>
        <w:t>/s/ David F. Marquardt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F. Marquardt</w:t>
      </w:r>
    </w:p>
    <w:p>
      <w:pPr>
        <w:spacing w:after="0" w:line="169" w:lineRule="exact"/>
        <w:rPr>
          <w:sz w:val="20"/>
          <w:szCs w:val="20"/>
          <w:color w:val="auto"/>
        </w:rPr>
      </w:pPr>
    </w:p>
    <w:p>
      <w:pPr>
        <w:ind w:left="10"/>
        <w:spacing w:after="0"/>
        <w:tabs>
          <w:tab w:leader="none" w:pos="2889" w:val="left"/>
          <w:tab w:leader="none" w:pos="8169" w:val="left"/>
        </w:tabs>
        <w:rPr>
          <w:sz w:val="20"/>
          <w:szCs w:val="20"/>
          <w:color w:val="auto"/>
        </w:rPr>
      </w:pPr>
      <w:r>
        <w:rPr>
          <w:rFonts w:ascii="Courier New" w:cs="Courier New" w:eastAsia="Courier New" w:hAnsi="Courier New"/>
          <w:sz w:val="15"/>
          <w:szCs w:val="15"/>
          <w:color w:val="auto"/>
        </w:rPr>
        <w:t>/s/ Robert D. O'Brien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D. O'Brien</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283" w:right="1440" w:bottom="1440" w:gutter="0" w:footer="0" w:header="0"/>
          <w:type w:val="continuous"/>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
        <w:spacing w:after="0"/>
        <w:tabs>
          <w:tab w:leader="none" w:pos="3149" w:val="left"/>
          <w:tab w:leader="none" w:pos="5009" w:val="left"/>
        </w:tabs>
        <w:rPr>
          <w:sz w:val="20"/>
          <w:szCs w:val="20"/>
          <w:color w:val="auto"/>
        </w:rPr>
      </w:pPr>
      <w:r>
        <w:rPr>
          <w:rFonts w:ascii="Courier New" w:cs="Courier New" w:eastAsia="Courier New" w:hAnsi="Courier New"/>
          <w:sz w:val="15"/>
          <w:szCs w:val="15"/>
          <w:color w:val="auto"/>
        </w:rPr>
        <w:t>/s/ William G. Reed,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G. Reed, Jr.</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3149" w:val="left"/>
          <w:tab w:leader="none" w:pos="5009" w:val="left"/>
        </w:tabs>
        <w:rPr>
          <w:sz w:val="20"/>
          <w:szCs w:val="20"/>
          <w:color w:val="auto"/>
        </w:rPr>
      </w:pPr>
      <w:r>
        <w:rPr>
          <w:rFonts w:ascii="Courier New" w:cs="Courier New" w:eastAsia="Courier New" w:hAnsi="Courier New"/>
          <w:sz w:val="15"/>
          <w:szCs w:val="15"/>
          <w:color w:val="auto"/>
        </w:rPr>
        <w:t>/s/ Jon A. Shirley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January 31, 1996</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Jon A. Shirley</w:t>
      </w:r>
    </w:p>
    <w:p>
      <w:pPr>
        <w:spacing w:after="0" w:line="169" w:lineRule="exact"/>
        <w:rPr>
          <w:sz w:val="20"/>
          <w:szCs w:val="20"/>
          <w:color w:val="auto"/>
        </w:rPr>
      </w:pPr>
    </w:p>
    <w:p>
      <w:pPr>
        <w:jc w:val="both"/>
        <w:ind w:left="3170"/>
        <w:spacing w:after="0"/>
        <w:tabs>
          <w:tab w:leader="none" w:pos="5009"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January __, 1996</w:t>
      </w: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Jill E. Barad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1180"/>
          </w:cols>
          <w:pgMar w:left="240" w:top="28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or Footnote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740" w:space="720"/>
            <w:col w:w="3420" w:space="720"/>
            <w:col w:w="1580"/>
          </w:cols>
          <w:pgMar w:left="240" w:top="283" w:right="47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4"/>
          <w:szCs w:val="14"/>
          <w:color w:val="auto"/>
        </w:rPr>
        <w:t>Consent of Deloitte &amp; Touche LLP as Independent Accountants</w:t>
      </w:r>
    </w:p>
    <w:p>
      <w:pPr>
        <w:spacing w:after="0" w:line="180" w:lineRule="exact"/>
        <w:rPr>
          <w:sz w:val="20"/>
          <w:szCs w:val="20"/>
          <w:color w:val="auto"/>
        </w:rPr>
      </w:pPr>
    </w:p>
    <w:p>
      <w:pPr>
        <w:sectPr>
          <w:pgSz w:w="11900" w:h="16838" w:orient="portrait"/>
          <w:cols w:equalWidth="0" w:num="2">
            <w:col w:w="2440" w:space="720"/>
            <w:col w:w="8020"/>
          </w:cols>
          <w:pgMar w:left="240" w:top="283" w:right="479"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Power of Attorney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II-3</w:t>
      </w:r>
    </w:p>
    <w:p>
      <w:pPr>
        <w:spacing w:after="0" w:line="200" w:lineRule="exact"/>
        <w:rPr>
          <w:sz w:val="20"/>
          <w:szCs w:val="20"/>
          <w:color w:val="auto"/>
        </w:rPr>
      </w:pPr>
    </w:p>
    <w:p>
      <w:pPr>
        <w:sectPr>
          <w:pgSz w:w="11900" w:h="16838" w:orient="portrait"/>
          <w:cols w:equalWidth="0" w:num="3">
            <w:col w:w="2440" w:space="720"/>
            <w:col w:w="6240" w:space="720"/>
            <w:col w:w="1060"/>
          </w:cols>
          <w:pgMar w:left="24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1180"/>
          </w:cols>
          <w:pgMar w:left="240" w:top="283" w:right="479"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w:t>
      </w:r>
    </w:p>
    <w:p>
      <w:pPr>
        <w:ind w:left="5460"/>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INDEPENDENT AUDITORS' CONSENT</w:t>
      </w:r>
    </w:p>
    <w:p>
      <w:pPr>
        <w:spacing w:after="0" w:line="34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We consent to the incorporation by reference in this Pre-Effective Amendment No. 1 to Registration Statement No. 333-857 of Microsoft Corporation on Form S-3 of our reports dated July 17, 1995 (August 21, 1995 for Contingencies Note) appearing in the Annual Report on Form 10-K of Microsoft Corporation for the year ended June 30, 1995, and to the reference to us under the heading "Experts" in the Prospectus, which is part of such Registration Statement.</w:t>
      </w:r>
    </w:p>
    <w:p>
      <w:pPr>
        <w:spacing w:after="0" w:line="32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rPr>
          <w:sz w:val="20"/>
          <w:szCs w:val="20"/>
          <w:color w:val="auto"/>
        </w:rPr>
      </w:pPr>
      <w:r>
        <w:rPr>
          <w:rFonts w:ascii="Courier New" w:cs="Courier New" w:eastAsia="Courier New" w:hAnsi="Courier New"/>
          <w:sz w:val="15"/>
          <w:szCs w:val="15"/>
          <w:color w:val="auto"/>
        </w:rPr>
        <w:t>February 21,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2019-12-13T15:52:49Z</dcterms:created>
  <dcterms:modified xsi:type="dcterms:W3CDTF">2019-12-13T15:52:49Z</dcterms:modified>
</cp:coreProperties>
</file>