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EE"/>
        </w:rPr>
      </w:pPr>
      <w:hyperlink w:anchor="page7">
        <w:r>
          <w:rPr>
            <w:rFonts w:ascii="Arial" w:cs="Arial" w:eastAsia="Arial" w:hAnsi="Arial"/>
            <w:sz w:val="17"/>
            <w:szCs w:val="17"/>
            <w:b w:val="1"/>
            <w:bCs w:val="1"/>
            <w:u w:val="single" w:color="auto"/>
            <w:color w:val="0000EE"/>
          </w:rPr>
          <w:t>Table of Contents</w:t>
        </w:r>
      </w:hyperlink>
    </w:p>
    <w:p>
      <w:pPr>
        <w:spacing w:after="0" w:line="291"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39" w:lineRule="exact"/>
        <w:rPr>
          <w:sz w:val="24"/>
          <w:szCs w:val="24"/>
          <w:color w:val="auto"/>
        </w:rPr>
      </w:pPr>
    </w:p>
    <w:p>
      <w:pPr>
        <w:ind w:left="4560"/>
        <w:spacing w:after="0"/>
        <w:rPr>
          <w:sz w:val="20"/>
          <w:szCs w:val="20"/>
          <w:color w:val="auto"/>
        </w:rPr>
      </w:pPr>
      <w:r>
        <w:rPr>
          <w:rFonts w:ascii="Arial" w:cs="Arial" w:eastAsia="Arial" w:hAnsi="Arial"/>
          <w:sz w:val="19"/>
          <w:szCs w:val="19"/>
          <w:b w:val="1"/>
          <w:bCs w:val="1"/>
          <w:color w:val="auto"/>
        </w:rPr>
        <w:t>Washington, D.C. 20549</w:t>
      </w:r>
    </w:p>
    <w:p>
      <w:pPr>
        <w:spacing w:after="0" w:line="166" w:lineRule="exact"/>
        <w:rPr>
          <w:sz w:val="24"/>
          <w:szCs w:val="24"/>
          <w:color w:val="auto"/>
        </w:rPr>
      </w:pPr>
    </w:p>
    <w:p>
      <w:pPr>
        <w:jc w:val="center"/>
        <w:ind w:right="-1120"/>
        <w:spacing w:after="0"/>
        <w:rPr>
          <w:sz w:val="20"/>
          <w:szCs w:val="20"/>
          <w:color w:val="auto"/>
        </w:rPr>
      </w:pPr>
      <w:r>
        <w:rPr>
          <w:rFonts w:ascii="Arial" w:cs="Arial" w:eastAsia="Arial" w:hAnsi="Arial"/>
          <w:sz w:val="26"/>
          <w:szCs w:val="26"/>
          <w:b w:val="1"/>
          <w:bCs w:val="1"/>
          <w:color w:val="auto"/>
        </w:rPr>
        <w:t>SCHEDULE 14A</w:t>
      </w:r>
    </w:p>
    <w:p>
      <w:pPr>
        <w:spacing w:after="0" w:line="17" w:lineRule="exact"/>
        <w:rPr>
          <w:sz w:val="24"/>
          <w:szCs w:val="24"/>
          <w:color w:val="auto"/>
        </w:rPr>
      </w:pPr>
    </w:p>
    <w:p>
      <w:pPr>
        <w:jc w:val="center"/>
        <w:ind w:right="-1120"/>
        <w:spacing w:after="0"/>
        <w:rPr>
          <w:sz w:val="20"/>
          <w:szCs w:val="20"/>
          <w:color w:val="auto"/>
        </w:rPr>
      </w:pPr>
      <w:r>
        <w:rPr>
          <w:rFonts w:ascii="Arial" w:cs="Arial" w:eastAsia="Arial" w:hAnsi="Arial"/>
          <w:sz w:val="19"/>
          <w:szCs w:val="19"/>
          <w:b w:val="1"/>
          <w:bCs w:val="1"/>
          <w:color w:val="auto"/>
        </w:rPr>
        <w:t>Proxy Statement Pursuant to Section 14(a) of the</w:t>
      </w:r>
    </w:p>
    <w:p>
      <w:pPr>
        <w:jc w:val="center"/>
        <w:ind w:right="-1120"/>
        <w:spacing w:after="0"/>
        <w:rPr>
          <w:sz w:val="20"/>
          <w:szCs w:val="20"/>
          <w:color w:val="auto"/>
        </w:rPr>
      </w:pPr>
      <w:r>
        <w:rPr>
          <w:rFonts w:ascii="Arial" w:cs="Arial" w:eastAsia="Arial" w:hAnsi="Arial"/>
          <w:sz w:val="19"/>
          <w:szCs w:val="19"/>
          <w:b w:val="1"/>
          <w:bCs w:val="1"/>
          <w:color w:val="auto"/>
        </w:rPr>
        <w:t>Securities Exchange Act of 1934 (Amendment No. __ )</w:t>
      </w:r>
    </w:p>
    <w:p>
      <w:pPr>
        <w:spacing w:after="0" w:line="155" w:lineRule="exact"/>
        <w:rPr>
          <w:sz w:val="24"/>
          <w:szCs w:val="24"/>
          <w:color w:val="auto"/>
        </w:rPr>
      </w:pPr>
    </w:p>
    <w:p>
      <w:pPr>
        <w:ind w:left="960"/>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p>
      <w:pPr>
        <w:spacing w:after="0" w:line="52" w:lineRule="exact"/>
        <w:rPr>
          <w:sz w:val="24"/>
          <w:szCs w:val="24"/>
          <w:color w:val="auto"/>
        </w:rPr>
      </w:pPr>
    </w:p>
    <w:p>
      <w:pPr>
        <w:ind w:left="960"/>
        <w:spacing w:after="0" w:line="196" w:lineRule="exact"/>
        <w:rPr>
          <w:sz w:val="20"/>
          <w:szCs w:val="20"/>
          <w:color w:val="auto"/>
        </w:rPr>
      </w:pP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23" w:lineRule="exact"/>
        <w:rPr>
          <w:sz w:val="24"/>
          <w:szCs w:val="24"/>
          <w:color w:val="auto"/>
        </w:rPr>
      </w:pPr>
    </w:p>
    <w:p>
      <w:pPr>
        <w:ind w:left="960"/>
        <w:spacing w:after="0"/>
        <w:rPr>
          <w:sz w:val="20"/>
          <w:szCs w:val="20"/>
          <w:color w:val="auto"/>
        </w:rPr>
      </w:pPr>
      <w:r>
        <w:rPr>
          <w:rFonts w:ascii="Arial" w:cs="Arial" w:eastAsia="Arial" w:hAnsi="Arial"/>
          <w:sz w:val="17"/>
          <w:szCs w:val="17"/>
          <w:color w:val="auto"/>
        </w:rPr>
        <w:t>Check the appropriate box:</w:t>
      </w:r>
    </w:p>
    <w:p>
      <w:pPr>
        <w:spacing w:after="0" w:line="134" w:lineRule="exact"/>
        <w:rPr>
          <w:sz w:val="24"/>
          <w:szCs w:val="24"/>
          <w:color w:val="auto"/>
        </w:rPr>
      </w:pPr>
    </w:p>
    <w:p>
      <w:pPr>
        <w:ind w:left="1240" w:hanging="278"/>
        <w:spacing w:after="0"/>
        <w:tabs>
          <w:tab w:leader="none" w:pos="12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94" w:lineRule="exact"/>
        <w:rPr>
          <w:rFonts w:ascii="MS PGothic" w:cs="MS PGothic" w:eastAsia="MS PGothic" w:hAnsi="MS PGothic"/>
          <w:sz w:val="14"/>
          <w:szCs w:val="14"/>
          <w:color w:val="auto"/>
        </w:rPr>
      </w:pPr>
    </w:p>
    <w:p>
      <w:pPr>
        <w:ind w:left="1240" w:hanging="278"/>
        <w:spacing w:after="0"/>
        <w:tabs>
          <w:tab w:leader="none" w:pos="124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Rule 14a-6(e)(2))</w:t>
      </w:r>
    </w:p>
    <w:p>
      <w:pPr>
        <w:spacing w:after="0" w:line="127" w:lineRule="exact"/>
        <w:rPr>
          <w:sz w:val="24"/>
          <w:szCs w:val="24"/>
          <w:color w:val="auto"/>
        </w:rPr>
      </w:pPr>
    </w:p>
    <w:p>
      <w:pPr>
        <w:ind w:left="1240" w:hanging="278"/>
        <w:spacing w:after="0"/>
        <w:tabs>
          <w:tab w:leader="none" w:pos="124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Proxy Statement</w:t>
      </w:r>
    </w:p>
    <w:p>
      <w:pPr>
        <w:spacing w:after="0" w:line="111" w:lineRule="exact"/>
        <w:rPr>
          <w:sz w:val="24"/>
          <w:szCs w:val="24"/>
          <w:color w:val="auto"/>
        </w:rPr>
      </w:pPr>
    </w:p>
    <w:p>
      <w:pPr>
        <w:ind w:left="1240" w:hanging="278"/>
        <w:spacing w:after="0"/>
        <w:tabs>
          <w:tab w:leader="none" w:pos="124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110" w:lineRule="exact"/>
        <w:rPr>
          <w:rFonts w:ascii="MS PGothic" w:cs="MS PGothic" w:eastAsia="MS PGothic" w:hAnsi="MS PGothic"/>
          <w:sz w:val="14"/>
          <w:szCs w:val="14"/>
          <w:color w:val="auto"/>
        </w:rPr>
      </w:pPr>
    </w:p>
    <w:p>
      <w:pPr>
        <w:ind w:left="1240" w:hanging="278"/>
        <w:spacing w:after="0"/>
        <w:tabs>
          <w:tab w:leader="none" w:pos="124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§240.14a-12</w:t>
      </w:r>
    </w:p>
    <w:p>
      <w:pPr>
        <w:spacing w:after="0" w:line="273" w:lineRule="exact"/>
        <w:rPr>
          <w:sz w:val="24"/>
          <w:szCs w:val="24"/>
          <w:color w:val="auto"/>
        </w:rPr>
      </w:pPr>
    </w:p>
    <w:p>
      <w:pPr>
        <w:jc w:val="center"/>
        <w:ind w:right="-1120"/>
        <w:spacing w:after="0"/>
        <w:rPr>
          <w:sz w:val="20"/>
          <w:szCs w:val="20"/>
          <w:color w:val="auto"/>
        </w:rPr>
      </w:pPr>
      <w:r>
        <w:rPr>
          <w:rFonts w:ascii="Arial" w:cs="Arial" w:eastAsia="Arial" w:hAnsi="Arial"/>
          <w:sz w:val="19"/>
          <w:szCs w:val="19"/>
          <w:b w:val="1"/>
          <w:bCs w:val="1"/>
          <w:color w:val="auto"/>
        </w:rPr>
        <w:t>Microsoft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610870</wp:posOffset>
            </wp:positionH>
            <wp:positionV relativeFrom="paragraph">
              <wp:posOffset>59690</wp:posOffset>
            </wp:positionV>
            <wp:extent cx="59207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0740" cy="8255"/>
                    </a:xfrm>
                    <a:prstGeom prst="rect">
                      <a:avLst/>
                    </a:prstGeom>
                    <a:noFill/>
                  </pic:spPr>
                </pic:pic>
              </a:graphicData>
            </a:graphic>
          </wp:anchor>
        </w:drawing>
      </w:r>
    </w:p>
    <w:p>
      <w:pPr>
        <w:spacing w:after="0" w:line="114" w:lineRule="exact"/>
        <w:rPr>
          <w:sz w:val="24"/>
          <w:szCs w:val="24"/>
          <w:color w:val="auto"/>
        </w:rPr>
      </w:pPr>
    </w:p>
    <w:p>
      <w:pPr>
        <w:ind w:left="4080"/>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610870</wp:posOffset>
            </wp:positionH>
            <wp:positionV relativeFrom="paragraph">
              <wp:posOffset>160020</wp:posOffset>
            </wp:positionV>
            <wp:extent cx="59207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0740" cy="8255"/>
                    </a:xfrm>
                    <a:prstGeom prst="rect">
                      <a:avLst/>
                    </a:prstGeom>
                    <a:noFill/>
                  </pic:spPr>
                </pic:pic>
              </a:graphicData>
            </a:graphic>
          </wp:anchor>
        </w:drawing>
      </w:r>
    </w:p>
    <w:p>
      <w:pPr>
        <w:spacing w:after="0" w:line="259" w:lineRule="exact"/>
        <w:rPr>
          <w:sz w:val="24"/>
          <w:szCs w:val="24"/>
          <w:color w:val="auto"/>
        </w:rPr>
      </w:pPr>
    </w:p>
    <w:p>
      <w:pPr>
        <w:ind w:left="328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12" w:lineRule="exact"/>
        <w:rPr>
          <w:sz w:val="24"/>
          <w:szCs w:val="24"/>
          <w:color w:val="auto"/>
        </w:rPr>
      </w:pPr>
    </w:p>
    <w:p>
      <w:pPr>
        <w:ind w:left="960"/>
        <w:spacing w:after="0"/>
        <w:rPr>
          <w:sz w:val="20"/>
          <w:szCs w:val="20"/>
          <w:color w:val="auto"/>
        </w:rPr>
      </w:pPr>
      <w:r>
        <w:rPr>
          <w:rFonts w:ascii="Arial" w:cs="Arial" w:eastAsia="Arial" w:hAnsi="Arial"/>
          <w:sz w:val="17"/>
          <w:szCs w:val="17"/>
          <w:color w:val="auto"/>
        </w:rPr>
        <w:t>Payment of Filing Fee (Check the appropriate box):</w:t>
      </w:r>
    </w:p>
    <w:p>
      <w:pPr>
        <w:spacing w:after="0" w:line="121" w:lineRule="exact"/>
        <w:rPr>
          <w:sz w:val="24"/>
          <w:szCs w:val="24"/>
          <w:color w:val="auto"/>
        </w:rPr>
      </w:pPr>
    </w:p>
    <w:p>
      <w:pPr>
        <w:ind w:left="1320" w:hanging="358"/>
        <w:spacing w:after="0"/>
        <w:tabs>
          <w:tab w:leader="none" w:pos="1320"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240" w:lineRule="exact"/>
        <w:rPr>
          <w:sz w:val="24"/>
          <w:szCs w:val="24"/>
          <w:color w:val="auto"/>
        </w:rPr>
      </w:pPr>
    </w:p>
    <w:p>
      <w:pPr>
        <w:ind w:left="1320" w:hanging="358"/>
        <w:spacing w:after="0"/>
        <w:tabs>
          <w:tab w:leader="none" w:pos="132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computed on table below per Exchange Act Rules 14a-6(i)(4) and 0-11.</w:t>
      </w:r>
    </w:p>
    <w:p>
      <w:pPr>
        <w:spacing w:after="0" w:line="240" w:lineRule="exact"/>
        <w:rPr>
          <w:rFonts w:ascii="MS PGothic" w:cs="MS PGothic" w:eastAsia="MS PGothic" w:hAnsi="MS PGothic"/>
          <w:sz w:val="14"/>
          <w:szCs w:val="14"/>
          <w:color w:val="auto"/>
        </w:rPr>
      </w:pPr>
    </w:p>
    <w:p>
      <w:pPr>
        <w:ind w:left="1720" w:hanging="395"/>
        <w:spacing w:after="0"/>
        <w:tabs>
          <w:tab w:leader="none" w:pos="1720" w:val="left"/>
        </w:tabs>
        <w:numPr>
          <w:ilvl w:val="1"/>
          <w:numId w:val="5"/>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369" w:lineRule="exact"/>
        <w:rPr>
          <w:rFonts w:ascii="Arial" w:cs="Arial" w:eastAsia="Arial" w:hAnsi="Arial"/>
          <w:sz w:val="14"/>
          <w:szCs w:val="14"/>
          <w:color w:val="auto"/>
        </w:rPr>
      </w:pPr>
    </w:p>
    <w:p>
      <w:pPr>
        <w:ind w:left="1720" w:hanging="395"/>
        <w:spacing w:after="0"/>
        <w:tabs>
          <w:tab w:leader="none" w:pos="1720" w:val="left"/>
        </w:tabs>
        <w:numPr>
          <w:ilvl w:val="1"/>
          <w:numId w:val="5"/>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369" w:lineRule="exact"/>
        <w:rPr>
          <w:rFonts w:ascii="Arial" w:cs="Arial" w:eastAsia="Arial" w:hAnsi="Arial"/>
          <w:sz w:val="14"/>
          <w:szCs w:val="14"/>
          <w:color w:val="auto"/>
        </w:rPr>
      </w:pPr>
    </w:p>
    <w:p>
      <w:pPr>
        <w:ind w:left="1720" w:right="159" w:hanging="395"/>
        <w:spacing w:after="0" w:line="238" w:lineRule="auto"/>
        <w:tabs>
          <w:tab w:leader="none" w:pos="1720" w:val="left"/>
        </w:tabs>
        <w:numPr>
          <w:ilvl w:val="1"/>
          <w:numId w:val="5"/>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354" w:lineRule="exact"/>
        <w:rPr>
          <w:rFonts w:ascii="Arial" w:cs="Arial" w:eastAsia="Arial" w:hAnsi="Arial"/>
          <w:sz w:val="14"/>
          <w:szCs w:val="14"/>
          <w:color w:val="auto"/>
        </w:rPr>
      </w:pPr>
    </w:p>
    <w:p>
      <w:pPr>
        <w:ind w:left="1720" w:hanging="395"/>
        <w:spacing w:after="0"/>
        <w:tabs>
          <w:tab w:leader="none" w:pos="1720" w:val="left"/>
        </w:tabs>
        <w:numPr>
          <w:ilvl w:val="1"/>
          <w:numId w:val="5"/>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369" w:lineRule="exact"/>
        <w:rPr>
          <w:rFonts w:ascii="Arial" w:cs="Arial" w:eastAsia="Arial" w:hAnsi="Arial"/>
          <w:sz w:val="14"/>
          <w:szCs w:val="14"/>
          <w:color w:val="auto"/>
        </w:rPr>
      </w:pPr>
    </w:p>
    <w:p>
      <w:pPr>
        <w:ind w:left="1720" w:hanging="395"/>
        <w:spacing w:after="0"/>
        <w:tabs>
          <w:tab w:leader="none" w:pos="1720" w:val="left"/>
        </w:tabs>
        <w:numPr>
          <w:ilvl w:val="1"/>
          <w:numId w:val="5"/>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200" w:lineRule="exact"/>
        <w:rPr>
          <w:rFonts w:ascii="Arial" w:cs="Arial" w:eastAsia="Arial" w:hAnsi="Arial"/>
          <w:sz w:val="14"/>
          <w:szCs w:val="14"/>
          <w:color w:val="auto"/>
        </w:rPr>
      </w:pPr>
    </w:p>
    <w:p>
      <w:pPr>
        <w:spacing w:after="0" w:line="247" w:lineRule="exact"/>
        <w:rPr>
          <w:rFonts w:ascii="Arial" w:cs="Arial" w:eastAsia="Arial" w:hAnsi="Arial"/>
          <w:sz w:val="14"/>
          <w:szCs w:val="14"/>
          <w:color w:val="auto"/>
        </w:rPr>
      </w:pPr>
    </w:p>
    <w:p>
      <w:pPr>
        <w:ind w:left="1320" w:hanging="358"/>
        <w:spacing w:after="0"/>
        <w:tabs>
          <w:tab w:leader="none" w:pos="132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240" w:lineRule="exact"/>
        <w:rPr>
          <w:rFonts w:ascii="MS PGothic" w:cs="MS PGothic" w:eastAsia="MS PGothic" w:hAnsi="MS PGothic"/>
          <w:sz w:val="14"/>
          <w:szCs w:val="14"/>
          <w:color w:val="auto"/>
        </w:rPr>
      </w:pPr>
    </w:p>
    <w:p>
      <w:pPr>
        <w:ind w:left="1320" w:right="59" w:hanging="358"/>
        <w:spacing w:after="0" w:line="238" w:lineRule="auto"/>
        <w:tabs>
          <w:tab w:leader="none" w:pos="132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24" w:lineRule="exact"/>
        <w:rPr>
          <w:rFonts w:ascii="MS PGothic" w:cs="MS PGothic" w:eastAsia="MS PGothic" w:hAnsi="MS PGothic"/>
          <w:sz w:val="14"/>
          <w:szCs w:val="14"/>
          <w:color w:val="auto"/>
        </w:rPr>
      </w:pPr>
    </w:p>
    <w:p>
      <w:pPr>
        <w:ind w:left="1720" w:hanging="395"/>
        <w:spacing w:after="0"/>
        <w:tabs>
          <w:tab w:leader="none" w:pos="1720" w:val="left"/>
        </w:tabs>
        <w:numPr>
          <w:ilvl w:val="1"/>
          <w:numId w:val="5"/>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357" w:lineRule="exact"/>
        <w:rPr>
          <w:rFonts w:ascii="Arial" w:cs="Arial" w:eastAsia="Arial" w:hAnsi="Arial"/>
          <w:sz w:val="14"/>
          <w:szCs w:val="14"/>
          <w:color w:val="auto"/>
        </w:rPr>
      </w:pPr>
    </w:p>
    <w:p>
      <w:pPr>
        <w:ind w:left="1720" w:hanging="395"/>
        <w:spacing w:after="0"/>
        <w:tabs>
          <w:tab w:leader="none" w:pos="1720" w:val="left"/>
        </w:tabs>
        <w:numPr>
          <w:ilvl w:val="1"/>
          <w:numId w:val="5"/>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369" w:lineRule="exact"/>
        <w:rPr>
          <w:rFonts w:ascii="Arial" w:cs="Arial" w:eastAsia="Arial" w:hAnsi="Arial"/>
          <w:sz w:val="14"/>
          <w:szCs w:val="14"/>
          <w:color w:val="auto"/>
        </w:rPr>
      </w:pPr>
    </w:p>
    <w:p>
      <w:pPr>
        <w:ind w:left="1720" w:hanging="395"/>
        <w:spacing w:after="0"/>
        <w:tabs>
          <w:tab w:leader="none" w:pos="1720" w:val="left"/>
        </w:tabs>
        <w:numPr>
          <w:ilvl w:val="1"/>
          <w:numId w:val="5"/>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369" w:lineRule="exact"/>
        <w:rPr>
          <w:rFonts w:ascii="Arial" w:cs="Arial" w:eastAsia="Arial" w:hAnsi="Arial"/>
          <w:sz w:val="14"/>
          <w:szCs w:val="14"/>
          <w:color w:val="auto"/>
        </w:rPr>
      </w:pPr>
    </w:p>
    <w:p>
      <w:pPr>
        <w:ind w:left="1720" w:hanging="395"/>
        <w:spacing w:after="0"/>
        <w:tabs>
          <w:tab w:leader="none" w:pos="1720" w:val="left"/>
        </w:tabs>
        <w:numPr>
          <w:ilvl w:val="1"/>
          <w:numId w:val="5"/>
        </w:numPr>
        <w:rPr>
          <w:rFonts w:ascii="Arial" w:cs="Arial" w:eastAsia="Arial" w:hAnsi="Arial"/>
          <w:sz w:val="14"/>
          <w:szCs w:val="14"/>
          <w:color w:val="auto"/>
        </w:rPr>
      </w:pPr>
      <w:r>
        <w:rPr>
          <w:rFonts w:ascii="Arial" w:cs="Arial" w:eastAsia="Arial" w:hAnsi="Arial"/>
          <w:sz w:val="14"/>
          <w:szCs w:val="14"/>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610870</wp:posOffset>
            </wp:positionH>
            <wp:positionV relativeFrom="paragraph">
              <wp:posOffset>-3229610</wp:posOffset>
            </wp:positionV>
            <wp:extent cx="59207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2074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wp:posOffset>
            </wp:positionH>
            <wp:positionV relativeFrom="paragraph">
              <wp:posOffset>-2892425</wp:posOffset>
            </wp:positionV>
            <wp:extent cx="59207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2074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wp:posOffset>
            </wp:positionH>
            <wp:positionV relativeFrom="paragraph">
              <wp:posOffset>-2456180</wp:posOffset>
            </wp:positionV>
            <wp:extent cx="59207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2074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wp:posOffset>
            </wp:positionH>
            <wp:positionV relativeFrom="paragraph">
              <wp:posOffset>-2127250</wp:posOffset>
            </wp:positionV>
            <wp:extent cx="59207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2074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wp:posOffset>
            </wp:positionH>
            <wp:positionV relativeFrom="paragraph">
              <wp:posOffset>-1790065</wp:posOffset>
            </wp:positionV>
            <wp:extent cx="59207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2074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wp:posOffset>
            </wp:positionH>
            <wp:positionV relativeFrom="paragraph">
              <wp:posOffset>-803275</wp:posOffset>
            </wp:positionV>
            <wp:extent cx="59207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2074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wp:posOffset>
            </wp:positionH>
            <wp:positionV relativeFrom="paragraph">
              <wp:posOffset>-474345</wp:posOffset>
            </wp:positionV>
            <wp:extent cx="59207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2074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wp:posOffset>
            </wp:positionH>
            <wp:positionV relativeFrom="paragraph">
              <wp:posOffset>-137160</wp:posOffset>
            </wp:positionV>
            <wp:extent cx="59207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2074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wp:posOffset>
            </wp:positionH>
            <wp:positionV relativeFrom="paragraph">
              <wp:posOffset>199390</wp:posOffset>
            </wp:positionV>
            <wp:extent cx="59207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20740" cy="8255"/>
                    </a:xfrm>
                    <a:prstGeom prst="rect">
                      <a:avLst/>
                    </a:prstGeom>
                    <a:noFill/>
                  </pic:spPr>
                </pic:pic>
              </a:graphicData>
            </a:graphic>
          </wp:anchor>
        </w:drawing>
      </w:r>
    </w:p>
    <w:p>
      <w:pPr>
        <w:spacing w:after="0" w:line="316" w:lineRule="exact"/>
        <w:rPr>
          <w:sz w:val="24"/>
          <w:szCs w:val="24"/>
          <w:color w:val="auto"/>
        </w:rPr>
      </w:pPr>
    </w:p>
    <w:p>
      <w:pPr>
        <w:jc w:val="center"/>
        <w:ind w:right="-1120"/>
        <w:spacing w:after="0"/>
        <w:rPr>
          <w:sz w:val="20"/>
          <w:szCs w:val="20"/>
          <w:color w:val="auto"/>
        </w:rPr>
      </w:pPr>
      <w:r>
        <w:rPr>
          <w:rFonts w:ascii="Arial" w:cs="Arial" w:eastAsia="Arial" w:hAnsi="Arial"/>
          <w:sz w:val="16"/>
          <w:szCs w:val="16"/>
          <w:b w:val="1"/>
          <w:bCs w:val="1"/>
          <w:color w:val="auto"/>
        </w:rPr>
        <w:t>Persons who are to respond to the collection of information contained in this form are not</w:t>
      </w:r>
    </w:p>
    <w:p>
      <w:pPr>
        <w:spacing w:after="0" w:line="15" w:lineRule="exact"/>
        <w:rPr>
          <w:sz w:val="24"/>
          <w:szCs w:val="24"/>
          <w:color w:val="auto"/>
        </w:rPr>
      </w:pPr>
    </w:p>
    <w:p>
      <w:pPr>
        <w:jc w:val="center"/>
        <w:ind w:right="-1120"/>
        <w:spacing w:after="0"/>
        <w:rPr>
          <w:sz w:val="20"/>
          <w:szCs w:val="20"/>
          <w:color w:val="auto"/>
        </w:rPr>
      </w:pPr>
      <w:r>
        <w:rPr>
          <w:rFonts w:ascii="Arial" w:cs="Arial" w:eastAsia="Arial" w:hAnsi="Arial"/>
          <w:sz w:val="16"/>
          <w:szCs w:val="16"/>
          <w:b w:val="1"/>
          <w:bCs w:val="1"/>
          <w:color w:val="auto"/>
        </w:rPr>
        <w:t>required to respond unless the form displays a currently valid OMB control number.</w:t>
      </w:r>
    </w:p>
    <w:p>
      <w:pPr>
        <w:sectPr>
          <w:pgSz w:w="11900" w:h="16838" w:orient="portrait"/>
          <w:cols w:equalWidth="0" w:num="1">
            <w:col w:w="10139"/>
          </w:cols>
          <w:pgMar w:left="320" w:top="225" w:right="1440" w:bottom="1440" w:gutter="0" w:footer="0" w:header="0"/>
        </w:sectPr>
      </w:pPr>
    </w:p>
    <w:bookmarkStart w:id="1" w:name="page2"/>
    <w:bookmarkEnd w:id="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310" w:lineRule="exact"/>
        <w:rPr>
          <w:sz w:val="20"/>
          <w:szCs w:val="20"/>
          <w:color w:val="auto"/>
        </w:rPr>
      </w:pPr>
    </w:p>
    <w:p>
      <w:pPr>
        <w:jc w:val="center"/>
        <w:ind w:right="-1100"/>
        <w:spacing w:after="0"/>
        <w:rPr>
          <w:sz w:val="20"/>
          <w:szCs w:val="20"/>
          <w:color w:val="auto"/>
        </w:rPr>
      </w:pPr>
      <w:r>
        <w:rPr>
          <w:rFonts w:ascii="Arial" w:cs="Arial" w:eastAsia="Arial" w:hAnsi="Arial"/>
          <w:sz w:val="33"/>
          <w:szCs w:val="33"/>
          <w:color w:val="545454"/>
        </w:rPr>
        <w:t>Notice of Annual Shareholders Meeting and</w:t>
      </w:r>
    </w:p>
    <w:p>
      <w:pPr>
        <w:spacing w:after="0" w:line="198" w:lineRule="exact"/>
        <w:rPr>
          <w:sz w:val="20"/>
          <w:szCs w:val="20"/>
          <w:color w:val="auto"/>
        </w:rPr>
      </w:pPr>
    </w:p>
    <w:p>
      <w:pPr>
        <w:ind w:left="3060"/>
        <w:spacing w:after="0"/>
        <w:rPr>
          <w:sz w:val="20"/>
          <w:szCs w:val="20"/>
          <w:color w:val="auto"/>
        </w:rPr>
      </w:pPr>
      <w:r>
        <w:rPr>
          <w:rFonts w:ascii="Arial" w:cs="Arial" w:eastAsia="Arial" w:hAnsi="Arial"/>
          <w:sz w:val="52"/>
          <w:szCs w:val="52"/>
          <w:color w:val="595959"/>
        </w:rPr>
        <w:t>Proxy Statement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1268730</wp:posOffset>
            </wp:positionH>
            <wp:positionV relativeFrom="paragraph">
              <wp:posOffset>330200</wp:posOffset>
            </wp:positionV>
            <wp:extent cx="4563745"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56374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2080" w:type="dxa"/>
        <w:tblCellMar>
          <w:top w:w="0" w:type="dxa"/>
          <w:left w:w="0" w:type="dxa"/>
          <w:bottom w:w="0" w:type="dxa"/>
          <w:right w:w="0" w:type="dxa"/>
        </w:tblCellMar>
      </w:tblPr>
      <w:tr>
        <w:trPr>
          <w:trHeight w:val="207"/>
        </w:trPr>
        <w:tc>
          <w:tcPr>
            <w:tcW w:w="3640" w:type="dxa"/>
            <w:vAlign w:val="bottom"/>
          </w:tcPr>
          <w:p>
            <w:pPr>
              <w:spacing w:after="0"/>
              <w:rPr>
                <w:sz w:val="20"/>
                <w:szCs w:val="20"/>
                <w:color w:val="auto"/>
              </w:rPr>
            </w:pPr>
            <w:r>
              <w:rPr>
                <w:rFonts w:ascii="Arial" w:cs="Arial" w:eastAsia="Arial" w:hAnsi="Arial"/>
                <w:sz w:val="18"/>
                <w:szCs w:val="18"/>
                <w:b w:val="1"/>
                <w:bCs w:val="1"/>
                <w:color w:val="595959"/>
              </w:rPr>
              <w:t>November 30, 2021</w:t>
            </w:r>
          </w:p>
        </w:tc>
        <w:tc>
          <w:tcPr>
            <w:tcW w:w="3240" w:type="dxa"/>
            <w:vAlign w:val="bottom"/>
          </w:tcPr>
          <w:p>
            <w:pPr>
              <w:spacing w:after="0"/>
              <w:rPr>
                <w:sz w:val="20"/>
                <w:szCs w:val="20"/>
                <w:color w:val="auto"/>
              </w:rPr>
            </w:pPr>
            <w:r>
              <w:rPr>
                <w:rFonts w:ascii="Arial" w:cs="Arial" w:eastAsia="Arial" w:hAnsi="Arial"/>
                <w:sz w:val="18"/>
                <w:szCs w:val="18"/>
                <w:b w:val="1"/>
                <w:bCs w:val="1"/>
                <w:color w:val="595959"/>
              </w:rPr>
              <w:t>Virtual Meeting Site:</w:t>
            </w:r>
          </w:p>
        </w:tc>
      </w:tr>
      <w:tr>
        <w:trPr>
          <w:trHeight w:val="199"/>
        </w:trPr>
        <w:tc>
          <w:tcPr>
            <w:tcW w:w="3640" w:type="dxa"/>
            <w:vAlign w:val="bottom"/>
          </w:tcPr>
          <w:p>
            <w:pPr>
              <w:spacing w:after="0" w:line="199" w:lineRule="exact"/>
              <w:rPr>
                <w:sz w:val="20"/>
                <w:szCs w:val="20"/>
                <w:color w:val="auto"/>
              </w:rPr>
            </w:pPr>
            <w:r>
              <w:rPr>
                <w:rFonts w:ascii="Arial" w:cs="Arial" w:eastAsia="Arial" w:hAnsi="Arial"/>
                <w:sz w:val="18"/>
                <w:szCs w:val="18"/>
                <w:b w:val="1"/>
                <w:bCs w:val="1"/>
                <w:color w:val="595959"/>
              </w:rPr>
              <w:t>8:30 a.m. Pacific Time</w:t>
            </w:r>
          </w:p>
        </w:tc>
        <w:tc>
          <w:tcPr>
            <w:tcW w:w="3240" w:type="dxa"/>
            <w:vAlign w:val="bottom"/>
            <w:tcBorders>
              <w:bottom w:val="single" w:sz="8" w:color="auto"/>
            </w:tcBorders>
          </w:tcPr>
          <w:p>
            <w:pPr>
              <w:spacing w:after="0" w:line="199" w:lineRule="exact"/>
              <w:rPr>
                <w:sz w:val="20"/>
                <w:szCs w:val="20"/>
                <w:color w:val="auto"/>
              </w:rPr>
            </w:pPr>
            <w:r>
              <w:rPr>
                <w:rFonts w:ascii="Arial" w:cs="Arial" w:eastAsia="Arial" w:hAnsi="Arial"/>
                <w:sz w:val="18"/>
                <w:szCs w:val="18"/>
                <w:color w:val="auto"/>
              </w:rPr>
              <w:t>virtualshareholdermeeting.com/MSFT21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wp:posOffset>
            </wp:positionH>
            <wp:positionV relativeFrom="paragraph">
              <wp:posOffset>616585</wp:posOffset>
            </wp:positionV>
            <wp:extent cx="6590030" cy="5098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90030" cy="5098415"/>
                    </a:xfrm>
                    <a:prstGeom prst="rect">
                      <a:avLst/>
                    </a:prstGeom>
                    <a:noFill/>
                  </pic:spPr>
                </pic:pic>
              </a:graphicData>
            </a:graphic>
          </wp:anchor>
        </w:drawing>
      </w:r>
    </w:p>
    <w:p>
      <w:pPr>
        <w:sectPr>
          <w:pgSz w:w="11900" w:h="16838" w:orient="portrait"/>
          <w:cols w:equalWidth="0" w:num="1">
            <w:col w:w="10139"/>
          </w:cols>
          <w:pgMar w:left="320" w:top="445" w:right="1440" w:bottom="1440" w:gutter="0" w:footer="0" w:header="0"/>
        </w:sectPr>
      </w:pPr>
    </w:p>
    <w:bookmarkStart w:id="2" w:name="page3"/>
    <w:bookmarkEnd w:id="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602615</wp:posOffset>
            </wp:positionH>
            <wp:positionV relativeFrom="paragraph">
              <wp:posOffset>199390</wp:posOffset>
            </wp:positionV>
            <wp:extent cx="5937250" cy="22777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37250" cy="2277745"/>
                    </a:xfrm>
                    <a:prstGeom prst="rect">
                      <a:avLst/>
                    </a:prstGeom>
                    <a:noFill/>
                  </pic:spPr>
                </pic:pic>
              </a:graphicData>
            </a:graphic>
          </wp:anchor>
        </w:drawing>
      </w:r>
    </w:p>
    <w:p>
      <w:pPr>
        <w:spacing w:after="0" w:line="374" w:lineRule="exact"/>
        <w:rPr>
          <w:sz w:val="20"/>
          <w:szCs w:val="20"/>
          <w:color w:val="auto"/>
        </w:rPr>
      </w:pPr>
    </w:p>
    <w:p>
      <w:pPr>
        <w:ind w:left="4520" w:right="80"/>
        <w:spacing w:after="0" w:line="252" w:lineRule="auto"/>
        <w:rPr>
          <w:sz w:val="20"/>
          <w:szCs w:val="20"/>
          <w:color w:val="auto"/>
        </w:rPr>
      </w:pPr>
      <w:r>
        <w:rPr>
          <w:rFonts w:ascii="Arial" w:cs="Arial" w:eastAsia="Arial" w:hAnsi="Arial"/>
          <w:sz w:val="24"/>
          <w:szCs w:val="24"/>
          <w:i w:val="1"/>
          <w:iCs w:val="1"/>
          <w:color w:val="auto"/>
        </w:rPr>
        <w:t>”As we pursue our mission and opportunities ahead, we also recognize our increased responsibility in a world that will require much more from technology to address its most pressing challenges. To help people and organizations everywhere achieve more, we are focused on supporting inclusive economic opportunity, protecting fundamental rights, committing to a sustainable future, and earning the trust of our customers and the world.”</w:t>
      </w:r>
    </w:p>
    <w:p>
      <w:pPr>
        <w:spacing w:after="0" w:line="69" w:lineRule="exact"/>
        <w:rPr>
          <w:sz w:val="20"/>
          <w:szCs w:val="20"/>
          <w:color w:val="auto"/>
        </w:rPr>
      </w:pPr>
    </w:p>
    <w:p>
      <w:pPr>
        <w:ind w:left="7800"/>
        <w:spacing w:after="0"/>
        <w:rPr>
          <w:sz w:val="20"/>
          <w:szCs w:val="20"/>
          <w:color w:val="auto"/>
        </w:rPr>
      </w:pPr>
      <w:r>
        <w:rPr>
          <w:rFonts w:ascii="Arial" w:cs="Arial" w:eastAsia="Arial" w:hAnsi="Arial"/>
          <w:sz w:val="24"/>
          <w:szCs w:val="24"/>
          <w:b w:val="1"/>
          <w:bCs w:val="1"/>
          <w:i w:val="1"/>
          <w:iCs w:val="1"/>
          <w:color w:val="auto"/>
        </w:rPr>
        <w:t>Satya Nadella,</w:t>
      </w:r>
    </w:p>
    <w:p>
      <w:pPr>
        <w:spacing w:after="0" w:line="39" w:lineRule="exact"/>
        <w:rPr>
          <w:sz w:val="20"/>
          <w:szCs w:val="20"/>
          <w:color w:val="auto"/>
        </w:rPr>
      </w:pPr>
    </w:p>
    <w:p>
      <w:pPr>
        <w:ind w:left="7780"/>
        <w:spacing w:after="0"/>
        <w:rPr>
          <w:sz w:val="20"/>
          <w:szCs w:val="20"/>
          <w:color w:val="auto"/>
        </w:rPr>
      </w:pPr>
      <w:r>
        <w:rPr>
          <w:rFonts w:ascii="Arial" w:cs="Arial" w:eastAsia="Arial" w:hAnsi="Arial"/>
          <w:sz w:val="24"/>
          <w:szCs w:val="24"/>
          <w:b w:val="1"/>
          <w:bCs w:val="1"/>
          <w:i w:val="1"/>
          <w:iCs w:val="1"/>
          <w:color w:val="auto"/>
        </w:rPr>
        <w:t>Chairman and CEO</w:t>
      </w:r>
    </w:p>
    <w:p>
      <w:pPr>
        <w:spacing w:after="0" w:line="346" w:lineRule="exact"/>
        <w:rPr>
          <w:sz w:val="20"/>
          <w:szCs w:val="20"/>
          <w:color w:val="auto"/>
        </w:rPr>
      </w:pPr>
    </w:p>
    <w:p>
      <w:pPr>
        <w:ind w:left="960"/>
        <w:spacing w:after="0" w:line="238" w:lineRule="auto"/>
        <w:rPr>
          <w:sz w:val="20"/>
          <w:szCs w:val="20"/>
          <w:color w:val="auto"/>
        </w:rPr>
      </w:pPr>
      <w:r>
        <w:rPr>
          <w:rFonts w:ascii="Arial" w:cs="Arial" w:eastAsia="Arial" w:hAnsi="Arial"/>
          <w:sz w:val="16"/>
          <w:szCs w:val="16"/>
          <w:color w:val="auto"/>
        </w:rPr>
        <w:t>Microsoft Corporation (“Company”) works to conduct business in ways that are principled, transparent, and accountable to our shareholders and other key stakeholders. We believe doing so generates long-term value. As we work to help everyone achieve more, we are committed to improving our world and reporting our progress.</w:t>
      </w:r>
    </w:p>
    <w:p>
      <w:pPr>
        <w:spacing w:after="0" w:line="312" w:lineRule="exact"/>
        <w:rPr>
          <w:sz w:val="20"/>
          <w:szCs w:val="20"/>
          <w:color w:val="auto"/>
        </w:rPr>
      </w:pPr>
    </w:p>
    <w:p>
      <w:pPr>
        <w:jc w:val="center"/>
        <w:ind w:right="-1039"/>
        <w:spacing w:after="0"/>
        <w:rPr>
          <w:sz w:val="20"/>
          <w:szCs w:val="20"/>
          <w:color w:val="auto"/>
        </w:rPr>
      </w:pPr>
      <w:r>
        <w:rPr>
          <w:rFonts w:ascii="Arial" w:cs="Arial" w:eastAsia="Arial" w:hAnsi="Arial"/>
          <w:sz w:val="21"/>
          <w:szCs w:val="21"/>
          <w:b w:val="1"/>
          <w:bCs w:val="1"/>
          <w:color w:val="auto"/>
        </w:rPr>
        <w:t>Focus for Societal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wp:posOffset>
            </wp:positionH>
            <wp:positionV relativeFrom="paragraph">
              <wp:posOffset>-58420</wp:posOffset>
            </wp:positionV>
            <wp:extent cx="5928995" cy="13900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28995" cy="1390015"/>
                    </a:xfrm>
                    <a:prstGeom prst="rect">
                      <a:avLst/>
                    </a:prstGeom>
                    <a:noFill/>
                  </pic:spPr>
                </pic:pic>
              </a:graphicData>
            </a:graphic>
          </wp:anchor>
        </w:drawing>
      </w:r>
    </w:p>
    <w:p>
      <w:pPr>
        <w:spacing w:after="0" w:line="57" w:lineRule="exact"/>
        <w:rPr>
          <w:sz w:val="20"/>
          <w:szCs w:val="20"/>
          <w:color w:val="auto"/>
        </w:rPr>
      </w:pPr>
    </w:p>
    <w:p>
      <w:pPr>
        <w:jc w:val="center"/>
        <w:ind w:left="1480" w:right="200"/>
        <w:spacing w:after="0" w:line="239" w:lineRule="auto"/>
        <w:rPr>
          <w:sz w:val="20"/>
          <w:szCs w:val="20"/>
          <w:color w:val="auto"/>
        </w:rPr>
      </w:pPr>
      <w:r>
        <w:rPr>
          <w:rFonts w:ascii="Arial" w:cs="Arial" w:eastAsia="Arial" w:hAnsi="Arial"/>
          <w:sz w:val="16"/>
          <w:szCs w:val="16"/>
          <w:color w:val="auto"/>
        </w:rPr>
        <w:t>Fundamental to Microsoft’s mission is realizing our enormous opportunities to create technology that benefits everyone on the planet, as well as the planet itself. As we think about our societal impacts, our current areas of focus include:</w:t>
      </w:r>
    </w:p>
    <w:p>
      <w:pPr>
        <w:spacing w:after="0" w:line="134" w:lineRule="exact"/>
        <w:rPr>
          <w:sz w:val="20"/>
          <w:szCs w:val="20"/>
          <w:color w:val="auto"/>
        </w:rPr>
      </w:pPr>
    </w:p>
    <w:tbl>
      <w:tblPr>
        <w:tblLayout w:type="fixed"/>
        <w:tblInd w:w="1600" w:type="dxa"/>
        <w:tblCellMar>
          <w:top w:w="0" w:type="dxa"/>
          <w:left w:w="0" w:type="dxa"/>
          <w:bottom w:w="0" w:type="dxa"/>
          <w:right w:w="0" w:type="dxa"/>
        </w:tblCellMar>
      </w:tblPr>
      <w:tr>
        <w:trPr>
          <w:trHeight w:val="285"/>
        </w:trPr>
        <w:tc>
          <w:tcPr>
            <w:tcW w:w="1640" w:type="dxa"/>
            <w:vAlign w:val="bottom"/>
          </w:tcPr>
          <w:p>
            <w:pPr>
              <w:jc w:val="center"/>
              <w:ind w:right="219"/>
              <w:spacing w:after="0"/>
              <w:rPr>
                <w:sz w:val="20"/>
                <w:szCs w:val="20"/>
                <w:color w:val="auto"/>
              </w:rPr>
            </w:pPr>
            <w:r>
              <w:rPr>
                <w:rFonts w:ascii="Arial" w:cs="Arial" w:eastAsia="Arial" w:hAnsi="Arial"/>
                <w:sz w:val="24"/>
                <w:szCs w:val="24"/>
                <w:b w:val="1"/>
                <w:bCs w:val="1"/>
                <w:color w:val="0075C9"/>
                <w:w w:val="97"/>
              </w:rPr>
              <w:t>Trust in</w:t>
            </w:r>
          </w:p>
        </w:tc>
        <w:tc>
          <w:tcPr>
            <w:tcW w:w="2580" w:type="dxa"/>
            <w:vAlign w:val="bottom"/>
          </w:tcPr>
          <w:p>
            <w:pPr>
              <w:jc w:val="center"/>
              <w:ind w:left="19"/>
              <w:spacing w:after="0"/>
              <w:rPr>
                <w:sz w:val="20"/>
                <w:szCs w:val="20"/>
                <w:color w:val="auto"/>
              </w:rPr>
            </w:pPr>
            <w:r>
              <w:rPr>
                <w:rFonts w:ascii="Arial" w:cs="Arial" w:eastAsia="Arial" w:hAnsi="Arial"/>
                <w:sz w:val="24"/>
                <w:szCs w:val="24"/>
                <w:b w:val="1"/>
                <w:bCs w:val="1"/>
                <w:color w:val="0075C9"/>
              </w:rPr>
              <w:t>Inclusive</w:t>
            </w:r>
          </w:p>
        </w:tc>
        <w:tc>
          <w:tcPr>
            <w:tcW w:w="2300" w:type="dxa"/>
            <w:vAlign w:val="bottom"/>
          </w:tcPr>
          <w:p>
            <w:pPr>
              <w:jc w:val="center"/>
              <w:spacing w:after="0"/>
              <w:rPr>
                <w:sz w:val="20"/>
                <w:szCs w:val="20"/>
                <w:color w:val="auto"/>
              </w:rPr>
            </w:pPr>
            <w:r>
              <w:rPr>
                <w:rFonts w:ascii="Arial" w:cs="Arial" w:eastAsia="Arial" w:hAnsi="Arial"/>
                <w:sz w:val="24"/>
                <w:szCs w:val="24"/>
                <w:b w:val="1"/>
                <w:bCs w:val="1"/>
                <w:color w:val="0075C9"/>
              </w:rPr>
              <w:t>Fundamental</w:t>
            </w:r>
          </w:p>
        </w:tc>
        <w:tc>
          <w:tcPr>
            <w:tcW w:w="1860" w:type="dxa"/>
            <w:vAlign w:val="bottom"/>
            <w:vMerge w:val="restart"/>
          </w:tcPr>
          <w:p>
            <w:pPr>
              <w:ind w:left="300"/>
              <w:spacing w:after="0"/>
              <w:rPr>
                <w:sz w:val="20"/>
                <w:szCs w:val="20"/>
                <w:color w:val="auto"/>
              </w:rPr>
            </w:pPr>
            <w:r>
              <w:rPr>
                <w:rFonts w:ascii="Arial" w:cs="Arial" w:eastAsia="Arial" w:hAnsi="Arial"/>
                <w:sz w:val="24"/>
                <w:szCs w:val="24"/>
                <w:b w:val="1"/>
                <w:bCs w:val="1"/>
                <w:color w:val="0075C9"/>
                <w:w w:val="98"/>
              </w:rPr>
              <w:t>Sustainability</w:t>
            </w:r>
          </w:p>
        </w:tc>
        <w:tc>
          <w:tcPr>
            <w:tcW w:w="0" w:type="dxa"/>
            <w:vAlign w:val="bottom"/>
          </w:tcPr>
          <w:p>
            <w:pPr>
              <w:spacing w:after="0"/>
              <w:rPr>
                <w:sz w:val="1"/>
                <w:szCs w:val="1"/>
                <w:color w:val="auto"/>
              </w:rPr>
            </w:pPr>
          </w:p>
        </w:tc>
      </w:tr>
      <w:tr>
        <w:trPr>
          <w:trHeight w:val="204"/>
        </w:trPr>
        <w:tc>
          <w:tcPr>
            <w:tcW w:w="1640" w:type="dxa"/>
            <w:vAlign w:val="bottom"/>
            <w:vMerge w:val="restart"/>
          </w:tcPr>
          <w:p>
            <w:pPr>
              <w:jc w:val="center"/>
              <w:ind w:right="219"/>
              <w:spacing w:after="0"/>
              <w:rPr>
                <w:sz w:val="20"/>
                <w:szCs w:val="20"/>
                <w:color w:val="auto"/>
              </w:rPr>
            </w:pPr>
            <w:r>
              <w:rPr>
                <w:rFonts w:ascii="Arial" w:cs="Arial" w:eastAsia="Arial" w:hAnsi="Arial"/>
                <w:sz w:val="24"/>
                <w:szCs w:val="24"/>
                <w:b w:val="1"/>
                <w:bCs w:val="1"/>
                <w:color w:val="0075C9"/>
              </w:rPr>
              <w:t>technology</w:t>
            </w:r>
          </w:p>
        </w:tc>
        <w:tc>
          <w:tcPr>
            <w:tcW w:w="2580" w:type="dxa"/>
            <w:vAlign w:val="bottom"/>
            <w:vMerge w:val="restart"/>
          </w:tcPr>
          <w:p>
            <w:pPr>
              <w:jc w:val="center"/>
              <w:ind w:left="19"/>
              <w:spacing w:after="0"/>
              <w:rPr>
                <w:sz w:val="20"/>
                <w:szCs w:val="20"/>
                <w:color w:val="auto"/>
              </w:rPr>
            </w:pPr>
            <w:r>
              <w:rPr>
                <w:rFonts w:ascii="Arial" w:cs="Arial" w:eastAsia="Arial" w:hAnsi="Arial"/>
                <w:sz w:val="24"/>
                <w:szCs w:val="24"/>
                <w:b w:val="1"/>
                <w:bCs w:val="1"/>
                <w:color w:val="0075C9"/>
              </w:rPr>
              <w:t>economic growth</w:t>
            </w:r>
          </w:p>
        </w:tc>
        <w:tc>
          <w:tcPr>
            <w:tcW w:w="2300" w:type="dxa"/>
            <w:vAlign w:val="bottom"/>
            <w:vMerge w:val="restart"/>
          </w:tcPr>
          <w:p>
            <w:pPr>
              <w:jc w:val="center"/>
              <w:spacing w:after="0"/>
              <w:rPr>
                <w:sz w:val="20"/>
                <w:szCs w:val="20"/>
                <w:color w:val="auto"/>
              </w:rPr>
            </w:pPr>
            <w:r>
              <w:rPr>
                <w:rFonts w:ascii="Arial" w:cs="Arial" w:eastAsia="Arial" w:hAnsi="Arial"/>
                <w:sz w:val="24"/>
                <w:szCs w:val="24"/>
                <w:b w:val="1"/>
                <w:bCs w:val="1"/>
                <w:color w:val="0075C9"/>
              </w:rPr>
              <w:t>rights of people</w:t>
            </w:r>
          </w:p>
        </w:tc>
        <w:tc>
          <w:tcPr>
            <w:tcW w:w="1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17"/>
        </w:trPr>
        <w:tc>
          <w:tcPr>
            <w:tcW w:w="1640" w:type="dxa"/>
            <w:vAlign w:val="bottom"/>
            <w:vMerge w:val="continue"/>
          </w:tcPr>
          <w:p>
            <w:pPr>
              <w:spacing w:after="0"/>
              <w:rPr>
                <w:sz w:val="10"/>
                <w:szCs w:val="10"/>
                <w:color w:val="auto"/>
              </w:rPr>
            </w:pPr>
          </w:p>
        </w:tc>
        <w:tc>
          <w:tcPr>
            <w:tcW w:w="2580" w:type="dxa"/>
            <w:vAlign w:val="bottom"/>
            <w:vMerge w:val="continue"/>
          </w:tcPr>
          <w:p>
            <w:pPr>
              <w:spacing w:after="0"/>
              <w:rPr>
                <w:sz w:val="10"/>
                <w:szCs w:val="10"/>
                <w:color w:val="auto"/>
              </w:rPr>
            </w:pPr>
          </w:p>
        </w:tc>
        <w:tc>
          <w:tcPr>
            <w:tcW w:w="2300" w:type="dxa"/>
            <w:vAlign w:val="bottom"/>
            <w:vMerge w:val="continue"/>
          </w:tcPr>
          <w:p>
            <w:pPr>
              <w:spacing w:after="0"/>
              <w:rPr>
                <w:sz w:val="10"/>
                <w:szCs w:val="10"/>
                <w:color w:val="auto"/>
              </w:rPr>
            </w:pPr>
          </w:p>
        </w:tc>
        <w:tc>
          <w:tcPr>
            <w:tcW w:w="18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979"/>
        <w:spacing w:after="0"/>
        <w:rPr>
          <w:sz w:val="20"/>
          <w:szCs w:val="20"/>
          <w:color w:val="auto"/>
        </w:rPr>
      </w:pPr>
      <w:r>
        <w:rPr>
          <w:rFonts w:ascii="Arial" w:cs="Arial" w:eastAsia="Arial" w:hAnsi="Arial"/>
          <w:sz w:val="21"/>
          <w:szCs w:val="21"/>
          <w:b w:val="1"/>
          <w:bCs w:val="1"/>
          <w:color w:val="auto"/>
        </w:rPr>
        <w:t>Note About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wp:posOffset>
            </wp:positionH>
            <wp:positionV relativeFrom="paragraph">
              <wp:posOffset>-66675</wp:posOffset>
            </wp:positionV>
            <wp:extent cx="5928995" cy="17430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28995" cy="1743075"/>
                    </a:xfrm>
                    <a:prstGeom prst="rect">
                      <a:avLst/>
                    </a:prstGeom>
                    <a:noFill/>
                  </pic:spPr>
                </pic:pic>
              </a:graphicData>
            </a:graphic>
          </wp:anchor>
        </w:drawing>
      </w:r>
    </w:p>
    <w:p>
      <w:pPr>
        <w:spacing w:after="0" w:line="122" w:lineRule="exact"/>
        <w:rPr>
          <w:sz w:val="20"/>
          <w:szCs w:val="20"/>
          <w:color w:val="auto"/>
        </w:rPr>
      </w:pPr>
    </w:p>
    <w:p>
      <w:pPr>
        <w:ind w:left="1320" w:right="280"/>
        <w:spacing w:after="0" w:line="273" w:lineRule="auto"/>
        <w:rPr>
          <w:sz w:val="20"/>
          <w:szCs w:val="20"/>
          <w:color w:val="auto"/>
        </w:rPr>
      </w:pPr>
      <w:r>
        <w:rPr>
          <w:rFonts w:ascii="Arial" w:cs="Arial" w:eastAsia="Arial" w:hAnsi="Arial"/>
          <w:sz w:val="14"/>
          <w:szCs w:val="14"/>
          <w:color w:val="auto"/>
        </w:rPr>
        <w:t>This Proxy Statement includes estimates, projections, statements relating to our business plans, objectives, and expected operating results that are “forward-looking statements” within the meaning of the Private Securities Litigation Reform Act of 1995, Section 27A of the Securities Act of 1933, and Section 21E of the Securities Exchange Act of 1934. Forward-looking statements may appear throughout this report, including the Proxy Summary and Part 2 – Named Executive Officer Compensation. These forward-looking statements generally are identified by the words “believe,” “project,” “expect,” “anticipate,” “estimate,” “intend,” “strategy,” “future,” “opportunity,” “plan,” “may,” “should,” “will,” “would,” “will be,” “will continue,” “will likely result,” and similar expressions. Forward-looking statements are based on current expectations and assumptions that are subject to risks and uncertainties that may cause actual results to differ materially. We describe risks and uncertainties that could cause actual results and events to differ materially in “Risk Factors,” “Quantitative and Qualitative Disclosures about Market Risk,” and “Management’s Discussion and Analysis of Financial Condition and Results of Operations” sections of our Forms 10-K and 10-Q. Readers are cautioned not to place undue reliance on forward-looking statements, which speak only as of the date they are made. We undertake no obligation to update or revise publicly any forward-looking statements, whether because of new information, future events, or otherwise.</w:t>
      </w:r>
    </w:p>
    <w:p>
      <w:pPr>
        <w:spacing w:after="0" w:line="200" w:lineRule="exact"/>
        <w:rPr>
          <w:sz w:val="20"/>
          <w:szCs w:val="20"/>
          <w:color w:val="auto"/>
        </w:rPr>
      </w:pPr>
    </w:p>
    <w:p>
      <w:pPr>
        <w:spacing w:after="0" w:line="205" w:lineRule="exact"/>
        <w:rPr>
          <w:sz w:val="20"/>
          <w:szCs w:val="20"/>
          <w:color w:val="auto"/>
        </w:rPr>
      </w:pPr>
    </w:p>
    <w:p>
      <w:pPr>
        <w:ind w:left="960" w:right="400"/>
        <w:spacing w:after="0" w:line="239" w:lineRule="auto"/>
        <w:rPr>
          <w:sz w:val="20"/>
          <w:szCs w:val="20"/>
          <w:color w:val="auto"/>
        </w:rPr>
      </w:pPr>
      <w:r>
        <w:rPr>
          <w:rFonts w:ascii="Arial" w:cs="Arial" w:eastAsia="Arial" w:hAnsi="Arial"/>
          <w:sz w:val="16"/>
          <w:szCs w:val="16"/>
          <w:color w:val="auto"/>
        </w:rPr>
        <w:t>This Proxy Statement includes several website addresses and references to additional materials found on those websites. These websites and materials are not incorporated by reference herein.</w:t>
      </w:r>
    </w:p>
    <w:p>
      <w:pPr>
        <w:sectPr>
          <w:pgSz w:w="11900" w:h="16838" w:orient="portrait"/>
          <w:cols w:equalWidth="0" w:num="1">
            <w:col w:w="10200"/>
          </w:cols>
          <w:pgMar w:left="320" w:top="445" w:right="1379" w:bottom="1440" w:gutter="0" w:footer="0" w:header="0"/>
        </w:sectPr>
      </w:pPr>
    </w:p>
    <w:bookmarkStart w:id="3" w:name="page4"/>
    <w:bookmarkEnd w:id="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637540</wp:posOffset>
            </wp:positionH>
            <wp:positionV relativeFrom="paragraph">
              <wp:posOffset>240665</wp:posOffset>
            </wp:positionV>
            <wp:extent cx="5868035" cy="55797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68035" cy="5579745"/>
                    </a:xfrm>
                    <a:prstGeom prst="rect">
                      <a:avLst/>
                    </a:prstGeom>
                    <a:noFill/>
                  </pic:spPr>
                </pic:pic>
              </a:graphicData>
            </a:graphic>
          </wp:anchor>
        </w:drawing>
      </w:r>
    </w:p>
    <w:p>
      <w:pPr>
        <w:sectPr>
          <w:pgSz w:w="11900" w:h="16838" w:orient="portrait"/>
          <w:cols w:equalWidth="0" w:num="1">
            <w:col w:w="10139"/>
          </w:cols>
          <w:pgMar w:left="320" w:top="44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200"/>
        <w:spacing w:after="0"/>
        <w:rPr>
          <w:sz w:val="20"/>
          <w:szCs w:val="20"/>
          <w:color w:val="auto"/>
        </w:rPr>
      </w:pPr>
      <w:r>
        <w:rPr>
          <w:rFonts w:ascii="Arial" w:cs="Arial" w:eastAsia="Arial" w:hAnsi="Arial"/>
          <w:sz w:val="32"/>
          <w:szCs w:val="32"/>
          <w:b w:val="1"/>
          <w:bCs w:val="1"/>
          <w:color w:val="auto"/>
        </w:rPr>
        <w:t>Letter from our Chairman and Chief Executive Officer</w:t>
      </w:r>
    </w:p>
    <w:p>
      <w:pPr>
        <w:spacing w:after="0" w:line="200" w:lineRule="exact"/>
        <w:rPr>
          <w:sz w:val="20"/>
          <w:szCs w:val="20"/>
          <w:color w:val="auto"/>
        </w:rPr>
      </w:pPr>
    </w:p>
    <w:p>
      <w:pPr>
        <w:spacing w:after="0" w:line="255"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October 14, 2021</w:t>
      </w:r>
    </w:p>
    <w:p>
      <w:pPr>
        <w:spacing w:after="0" w:line="119" w:lineRule="exact"/>
        <w:rPr>
          <w:sz w:val="20"/>
          <w:szCs w:val="20"/>
          <w:color w:val="auto"/>
        </w:rPr>
      </w:pPr>
    </w:p>
    <w:p>
      <w:pPr>
        <w:ind w:left="1200"/>
        <w:spacing w:after="0"/>
        <w:rPr>
          <w:sz w:val="20"/>
          <w:szCs w:val="20"/>
          <w:color w:val="auto"/>
        </w:rPr>
      </w:pPr>
      <w:r>
        <w:rPr>
          <w:rFonts w:ascii="Arial" w:cs="Arial" w:eastAsia="Arial" w:hAnsi="Arial"/>
          <w:sz w:val="21"/>
          <w:szCs w:val="21"/>
          <w:color w:val="0075C9"/>
        </w:rPr>
        <w:t>Dear Shareholder,</w:t>
      </w:r>
    </w:p>
    <w:p>
      <w:pPr>
        <w:spacing w:after="0" w:line="139"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On behalf of the Board of Directors, it is our pleasure to invite you to the 2021 Annual Shareholders Meeting of</w:t>
      </w:r>
    </w:p>
    <w:p>
      <w:pPr>
        <w:ind w:left="1200" w:right="119"/>
        <w:spacing w:after="0" w:line="237" w:lineRule="auto"/>
        <w:rPr>
          <w:sz w:val="20"/>
          <w:szCs w:val="20"/>
          <w:color w:val="auto"/>
        </w:rPr>
      </w:pPr>
      <w:r>
        <w:rPr>
          <w:rFonts w:ascii="Arial" w:cs="Arial" w:eastAsia="Arial" w:hAnsi="Arial"/>
          <w:sz w:val="16"/>
          <w:szCs w:val="16"/>
          <w:color w:val="auto"/>
        </w:rPr>
        <w:t xml:space="preserve">Microsoft Corporation (“Annual Meeting”), on November 30, 2021, beginning at 8:30 a.m. Pacific Time. This year’s Annual Meeting will be held in a virtual format through a live webcast. We will provide the webcast of the Annual Meeting at </w:t>
      </w:r>
      <w:r>
        <w:rPr>
          <w:rFonts w:ascii="Arial" w:cs="Arial" w:eastAsia="Arial" w:hAnsi="Arial"/>
          <w:sz w:val="16"/>
          <w:szCs w:val="16"/>
          <w:u w:val="single" w:color="auto"/>
          <w:color w:val="auto"/>
        </w:rPr>
        <w:t>virtualshareholdermeeting.com/MSFT21</w:t>
      </w:r>
      <w:r>
        <w:rPr>
          <w:rFonts w:ascii="Arial" w:cs="Arial" w:eastAsia="Arial" w:hAnsi="Arial"/>
          <w:sz w:val="16"/>
          <w:szCs w:val="16"/>
          <w:color w:val="auto"/>
        </w:rPr>
        <w:t xml:space="preserve">. In addition, you will have the option to view the Annual Meeting through Microsoft Teams at </w:t>
      </w:r>
      <w:r>
        <w:rPr>
          <w:rFonts w:ascii="Arial" w:cs="Arial" w:eastAsia="Arial" w:hAnsi="Arial"/>
          <w:sz w:val="16"/>
          <w:szCs w:val="16"/>
          <w:u w:val="single" w:color="auto"/>
          <w:color w:val="auto"/>
        </w:rPr>
        <w:t>microsoft.com/investor</w:t>
      </w:r>
      <w:r>
        <w:rPr>
          <w:rFonts w:ascii="Arial" w:cs="Arial" w:eastAsia="Arial" w:hAnsi="Arial"/>
          <w:sz w:val="16"/>
          <w:szCs w:val="16"/>
          <w:color w:val="auto"/>
        </w:rPr>
        <w:t>. A transcript with video and audio of the entire Annual Meeting will be available on the Microsoft Investor Relations website after the meeting. For further information on how to participate in the meeting, please see Part 5 – Information About the Meeting on page 83 in this Proxy Statement.</w:t>
      </w:r>
    </w:p>
    <w:p>
      <w:pPr>
        <w:spacing w:after="0" w:line="140" w:lineRule="exact"/>
        <w:rPr>
          <w:sz w:val="20"/>
          <w:szCs w:val="20"/>
          <w:color w:val="auto"/>
        </w:rPr>
      </w:pPr>
    </w:p>
    <w:p>
      <w:pPr>
        <w:ind w:left="1200" w:right="479"/>
        <w:spacing w:after="0" w:line="239" w:lineRule="auto"/>
        <w:rPr>
          <w:sz w:val="20"/>
          <w:szCs w:val="20"/>
          <w:color w:val="auto"/>
        </w:rPr>
      </w:pPr>
      <w:r>
        <w:rPr>
          <w:rFonts w:ascii="Arial" w:cs="Arial" w:eastAsia="Arial" w:hAnsi="Arial"/>
          <w:sz w:val="16"/>
          <w:szCs w:val="16"/>
          <w:color w:val="auto"/>
        </w:rPr>
        <w:t>The Notice of 2021 Annual Shareholders Meeting and this Proxy Statement contain details of the business to be conducted during the Annual Meeting.</w:t>
      </w:r>
    </w:p>
    <w:p>
      <w:pPr>
        <w:spacing w:after="0" w:line="126" w:lineRule="exact"/>
        <w:rPr>
          <w:sz w:val="20"/>
          <w:szCs w:val="20"/>
          <w:color w:val="auto"/>
        </w:rPr>
      </w:pPr>
    </w:p>
    <w:p>
      <w:pPr>
        <w:ind w:left="1200" w:right="199"/>
        <w:spacing w:after="0" w:line="289" w:lineRule="auto"/>
        <w:rPr>
          <w:sz w:val="20"/>
          <w:szCs w:val="20"/>
          <w:color w:val="auto"/>
        </w:rPr>
      </w:pPr>
      <w:r>
        <w:rPr>
          <w:rFonts w:ascii="Arial" w:cs="Arial" w:eastAsia="Arial" w:hAnsi="Arial"/>
          <w:sz w:val="14"/>
          <w:szCs w:val="14"/>
          <w:color w:val="auto"/>
        </w:rPr>
        <w:t>Whether or not you participate in the Annual Meeting, it is important that your shares be represented and voted. We urge you to promptly vote and submit your proxy (1) via the Internet, (2) by phone, or (3) if you received your proxy materials by mail, by signing, dating, and returning the enclosed proxy card or voting instruction form in the envelope provided for your convenience.</w:t>
      </w:r>
    </w:p>
    <w:p>
      <w:pPr>
        <w:spacing w:after="0" w:line="105" w:lineRule="exact"/>
        <w:rPr>
          <w:sz w:val="20"/>
          <w:szCs w:val="20"/>
          <w:color w:val="auto"/>
        </w:rPr>
      </w:pPr>
    </w:p>
    <w:p>
      <w:pPr>
        <w:ind w:left="1200" w:right="179"/>
        <w:spacing w:after="0" w:line="238" w:lineRule="auto"/>
        <w:rPr>
          <w:sz w:val="20"/>
          <w:szCs w:val="20"/>
          <w:color w:val="auto"/>
        </w:rPr>
      </w:pPr>
      <w:r>
        <w:rPr>
          <w:rFonts w:ascii="Arial" w:cs="Arial" w:eastAsia="Arial" w:hAnsi="Arial"/>
          <w:sz w:val="16"/>
          <w:szCs w:val="16"/>
          <w:color w:val="auto"/>
        </w:rPr>
        <w:t xml:space="preserve">This year’s shareholders Q&amp;A session will include an opportunity to submit questions. You may submit a question in advance of the meeting at </w:t>
      </w:r>
      <w:r>
        <w:rPr>
          <w:rFonts w:ascii="Arial" w:cs="Arial" w:eastAsia="Arial" w:hAnsi="Arial"/>
          <w:sz w:val="16"/>
          <w:szCs w:val="16"/>
          <w:u w:val="single" w:color="auto"/>
          <w:color w:val="auto"/>
        </w:rPr>
        <w:t>proxyvote.com</w:t>
      </w:r>
      <w:r>
        <w:rPr>
          <w:rFonts w:ascii="Arial" w:cs="Arial" w:eastAsia="Arial" w:hAnsi="Arial"/>
          <w:sz w:val="16"/>
          <w:szCs w:val="16"/>
          <w:color w:val="auto"/>
        </w:rPr>
        <w:t xml:space="preserve"> after logging in with the control number (“Control Number”) found next to the label for postal mail recipients or within the body of the email sending you the Proxy Statement. Live questions may be submitted online beginning shortly before the start of the Annual Meeting through </w:t>
      </w:r>
      <w:r>
        <w:rPr>
          <w:rFonts w:ascii="Arial" w:cs="Arial" w:eastAsia="Arial" w:hAnsi="Arial"/>
          <w:sz w:val="16"/>
          <w:szCs w:val="16"/>
          <w:u w:val="single" w:color="auto"/>
          <w:color w:val="auto"/>
        </w:rPr>
        <w:t>virtualshareholdermeeting.com/MSFT21</w:t>
      </w:r>
      <w:r>
        <w:rPr>
          <w:rFonts w:ascii="Arial" w:cs="Arial" w:eastAsia="Arial" w:hAnsi="Arial"/>
          <w:sz w:val="16"/>
          <w:szCs w:val="16"/>
          <w:color w:val="auto"/>
        </w:rPr>
        <w:t>.</w:t>
      </w:r>
    </w:p>
    <w:p>
      <w:pPr>
        <w:spacing w:after="0" w:line="125"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Thank you for your continued investment in Microsoft.</w:t>
      </w:r>
    </w:p>
    <w:p>
      <w:pPr>
        <w:spacing w:after="0" w:line="140"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Satya Nadella</w:t>
      </w:r>
    </w:p>
    <w:p>
      <w:pPr>
        <w:spacing w:after="0" w:line="15"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Chairman and Chief Executive Officer</w:t>
      </w:r>
    </w:p>
    <w:p>
      <w:pPr>
        <w:sectPr>
          <w:pgSz w:w="11900" w:h="16838" w:orient="portrait"/>
          <w:cols w:equalWidth="0" w:num="1">
            <w:col w:w="10139"/>
          </w:cols>
          <w:pgMar w:left="320" w:top="445" w:right="1440" w:bottom="1440" w:gutter="0" w:footer="0" w:header="0"/>
          <w:type w:val="continuous"/>
        </w:sectPr>
      </w:pPr>
    </w:p>
    <w:bookmarkStart w:id="4" w:name="page5"/>
    <w:bookmarkEnd w:id="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637540</wp:posOffset>
            </wp:positionH>
            <wp:positionV relativeFrom="paragraph">
              <wp:posOffset>240665</wp:posOffset>
            </wp:positionV>
            <wp:extent cx="5868035" cy="71755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68035" cy="7175500"/>
                    </a:xfrm>
                    <a:prstGeom prst="rect">
                      <a:avLst/>
                    </a:prstGeom>
                    <a:noFill/>
                  </pic:spPr>
                </pic:pic>
              </a:graphicData>
            </a:graphic>
          </wp:anchor>
        </w:drawing>
      </w:r>
    </w:p>
    <w:p>
      <w:pPr>
        <w:sectPr>
          <w:pgSz w:w="11900" w:h="16838" w:orient="portrait"/>
          <w:cols w:equalWidth="0" w:num="1">
            <w:col w:w="10139"/>
          </w:cols>
          <w:pgMar w:left="320" w:top="44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00"/>
        <w:spacing w:after="0"/>
        <w:rPr>
          <w:sz w:val="20"/>
          <w:szCs w:val="20"/>
          <w:color w:val="auto"/>
        </w:rPr>
      </w:pPr>
      <w:r>
        <w:rPr>
          <w:rFonts w:ascii="Arial" w:cs="Arial" w:eastAsia="Arial" w:hAnsi="Arial"/>
          <w:sz w:val="32"/>
          <w:szCs w:val="32"/>
          <w:b w:val="1"/>
          <w:bCs w:val="1"/>
          <w:color w:val="auto"/>
        </w:rPr>
        <w:t>Letter from the Board of Directors</w:t>
      </w:r>
    </w:p>
    <w:p>
      <w:pPr>
        <w:spacing w:after="0" w:line="313"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October 14, 2021</w:t>
      </w:r>
    </w:p>
    <w:p>
      <w:pPr>
        <w:spacing w:after="0" w:line="209" w:lineRule="exact"/>
        <w:rPr>
          <w:sz w:val="20"/>
          <w:szCs w:val="20"/>
          <w:color w:val="auto"/>
        </w:rPr>
      </w:pPr>
    </w:p>
    <w:p>
      <w:pPr>
        <w:ind w:left="1200"/>
        <w:spacing w:after="0"/>
        <w:rPr>
          <w:sz w:val="20"/>
          <w:szCs w:val="20"/>
          <w:color w:val="auto"/>
        </w:rPr>
      </w:pPr>
      <w:r>
        <w:rPr>
          <w:rFonts w:ascii="Arial" w:cs="Arial" w:eastAsia="Arial" w:hAnsi="Arial"/>
          <w:sz w:val="21"/>
          <w:szCs w:val="21"/>
          <w:color w:val="0075C9"/>
        </w:rPr>
        <w:t>Dear Shareholder,</w:t>
      </w:r>
    </w:p>
    <w:p>
      <w:pPr>
        <w:spacing w:after="0" w:line="142" w:lineRule="exact"/>
        <w:rPr>
          <w:sz w:val="20"/>
          <w:szCs w:val="20"/>
          <w:color w:val="auto"/>
        </w:rPr>
      </w:pPr>
    </w:p>
    <w:p>
      <w:pPr>
        <w:ind w:left="1200" w:right="139"/>
        <w:spacing w:after="0" w:line="237" w:lineRule="auto"/>
        <w:rPr>
          <w:sz w:val="20"/>
          <w:szCs w:val="20"/>
          <w:color w:val="auto"/>
        </w:rPr>
      </w:pPr>
      <w:r>
        <w:rPr>
          <w:rFonts w:ascii="Arial" w:cs="Arial" w:eastAsia="Arial" w:hAnsi="Arial"/>
          <w:sz w:val="16"/>
          <w:szCs w:val="16"/>
          <w:color w:val="auto"/>
        </w:rPr>
        <w:t>This past fiscal year presented continuing business, social, and environmental challenges on a truly global scale. We’re proud of the work Microsoft and its employees have done with our customers and partners to help the world use digital technology to successfully meet the challenges we all face. Throughout the year, the Board and executive leadership of Microsoft collaborated closely to ensure the Company continued to meet its commitments to a broad range of stakeholders, including its employees, customers, the communities we operate in, partners, suppliers, and of course, its shareholders.</w:t>
      </w:r>
    </w:p>
    <w:p>
      <w:pPr>
        <w:spacing w:after="0" w:line="141" w:lineRule="exact"/>
        <w:rPr>
          <w:sz w:val="20"/>
          <w:szCs w:val="20"/>
          <w:color w:val="auto"/>
        </w:rPr>
      </w:pPr>
    </w:p>
    <w:p>
      <w:pPr>
        <w:jc w:val="both"/>
        <w:ind w:left="1200" w:right="379"/>
        <w:spacing w:after="0" w:line="289" w:lineRule="auto"/>
        <w:rPr>
          <w:sz w:val="20"/>
          <w:szCs w:val="20"/>
          <w:color w:val="auto"/>
        </w:rPr>
      </w:pPr>
      <w:r>
        <w:rPr>
          <w:rFonts w:ascii="Arial" w:cs="Arial" w:eastAsia="Arial" w:hAnsi="Arial"/>
          <w:sz w:val="14"/>
          <w:szCs w:val="14"/>
          <w:color w:val="auto"/>
        </w:rPr>
        <w:t>Amidst the challenges, Microsoft once again broke records for financial performance in fiscal year 2021. Microsoft delivered strong results for its shareholders, including a return of $39.8 billion in the form of dividends and share repurchases. We look forward to more opportunity ahead as we remain committed to the long-term interests of the Company’s shareholders.</w:t>
      </w:r>
    </w:p>
    <w:p>
      <w:pPr>
        <w:spacing w:after="0" w:line="92" w:lineRule="exact"/>
        <w:rPr>
          <w:sz w:val="20"/>
          <w:szCs w:val="20"/>
          <w:color w:val="auto"/>
        </w:rPr>
      </w:pPr>
    </w:p>
    <w:p>
      <w:pPr>
        <w:ind w:left="1200" w:right="119"/>
        <w:spacing w:after="0" w:line="237" w:lineRule="auto"/>
        <w:rPr>
          <w:sz w:val="20"/>
          <w:szCs w:val="20"/>
          <w:color w:val="auto"/>
        </w:rPr>
      </w:pPr>
      <w:r>
        <w:rPr>
          <w:rFonts w:ascii="Arial" w:cs="Arial" w:eastAsia="Arial" w:hAnsi="Arial"/>
          <w:sz w:val="16"/>
          <w:szCs w:val="16"/>
          <w:color w:val="auto"/>
        </w:rPr>
        <w:t xml:space="preserve">As Microsoft disclosed in numerous reports, the year also marked important progress on Microsoft’s Environmental, Social, and Governance (“ESG”) commitments. One year after announcing an ambitious set of climate-related pledges, Microsoft issued its most comprehensive environmental sustainability report to date, which details actions the Company is taking to be carbon negative, as well as setting our plans to become water positive, zero waste, and create a “Planetary Computer” to gather data that will help improve the world’s biodiversity. Microsoft issued a report detailing a number of the actions it has taken on the one-year anniversary of the Company’s launch of its Racial Equity Initiative, which involves a set of commitments the Company is taking over the next five years to address racial injustice. Microsoft reported advances in its 2020 Global Diversity and Inclusion Report, while acknowledging the significant work still needed. For these reports and information across a breadth of ESG topics, we encourage you to read the progress reports Microsoft published over the course of the past fiscal year which are available at </w:t>
      </w:r>
      <w:r>
        <w:rPr>
          <w:rFonts w:ascii="Arial" w:cs="Arial" w:eastAsia="Arial" w:hAnsi="Arial"/>
          <w:sz w:val="16"/>
          <w:szCs w:val="16"/>
          <w:u w:val="single" w:color="auto"/>
          <w:color w:val="auto"/>
        </w:rPr>
        <w:t>microsoft.com/transparency</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microsoft.com/csr</w:t>
      </w:r>
      <w:r>
        <w:rPr>
          <w:rFonts w:ascii="Arial" w:cs="Arial" w:eastAsia="Arial" w:hAnsi="Arial"/>
          <w:sz w:val="16"/>
          <w:szCs w:val="16"/>
          <w:color w:val="auto"/>
        </w:rPr>
        <w:t>.</w:t>
      </w:r>
    </w:p>
    <w:p>
      <w:pPr>
        <w:spacing w:after="0" w:line="139" w:lineRule="exact"/>
        <w:rPr>
          <w:sz w:val="20"/>
          <w:szCs w:val="20"/>
          <w:color w:val="auto"/>
        </w:rPr>
      </w:pPr>
    </w:p>
    <w:p>
      <w:pPr>
        <w:ind w:left="1200" w:right="239"/>
        <w:spacing w:after="0" w:line="237" w:lineRule="auto"/>
        <w:rPr>
          <w:sz w:val="20"/>
          <w:szCs w:val="20"/>
          <w:color w:val="auto"/>
        </w:rPr>
      </w:pPr>
      <w:r>
        <w:rPr>
          <w:rFonts w:ascii="Arial" w:cs="Arial" w:eastAsia="Arial" w:hAnsi="Arial"/>
          <w:sz w:val="16"/>
          <w:szCs w:val="16"/>
          <w:color w:val="auto"/>
        </w:rPr>
        <w:t>This Proxy Statement describes Microsoft’s corporate governance policies and practices that foster the Board’s effective oversight of the Company’s business strategies and practices. A key component to our effective governance is the Board’s commitment to provide oversight and perspectives reflecting a diversity of independent views. This year’s Board nominees represent a wide range of backgrounds and expertise. We believe our diversity of experiences, perspectives, and skills contributes to the Board’s effectiveness in managing risk and providing guidance that positions Microsoft for long-term success in a dynamically changing business environment. Of the 12 Board nominees, 11 are independent, which includes our Lead Independent Director and all Committee chairs and members.</w:t>
      </w:r>
    </w:p>
    <w:p>
      <w:pPr>
        <w:spacing w:after="0" w:line="127" w:lineRule="exact"/>
        <w:rPr>
          <w:sz w:val="20"/>
          <w:szCs w:val="20"/>
          <w:color w:val="auto"/>
        </w:rPr>
      </w:pPr>
    </w:p>
    <w:p>
      <w:pPr>
        <w:ind w:left="1200" w:right="159"/>
        <w:spacing w:after="0" w:line="238" w:lineRule="auto"/>
        <w:rPr>
          <w:sz w:val="20"/>
          <w:szCs w:val="20"/>
          <w:color w:val="auto"/>
        </w:rPr>
      </w:pPr>
      <w:r>
        <w:rPr>
          <w:rFonts w:ascii="Arial" w:cs="Arial" w:eastAsia="Arial" w:hAnsi="Arial"/>
          <w:sz w:val="16"/>
          <w:szCs w:val="16"/>
          <w:color w:val="auto"/>
        </w:rPr>
        <w:t>We are pleased to announce the nomination of Carlos Rodriguez for election to the Board at our Annual Meeting. Mr. Rodriguez is President and CEO of Automatic Data Processing, Inc. (“ADP”) and a member of the ADP board. He is an accomplished business leader who has driven major advances in human capital management solutions at ADP and will bring significant insights and experience to Microsoft.</w:t>
      </w:r>
    </w:p>
    <w:p>
      <w:pPr>
        <w:spacing w:after="0" w:line="138" w:lineRule="exact"/>
        <w:rPr>
          <w:sz w:val="20"/>
          <w:szCs w:val="20"/>
          <w:color w:val="auto"/>
        </w:rPr>
      </w:pPr>
    </w:p>
    <w:p>
      <w:pPr>
        <w:jc w:val="both"/>
        <w:ind w:left="1200" w:right="459"/>
        <w:spacing w:after="0" w:line="238" w:lineRule="auto"/>
        <w:rPr>
          <w:sz w:val="20"/>
          <w:szCs w:val="20"/>
          <w:color w:val="auto"/>
        </w:rPr>
      </w:pPr>
      <w:r>
        <w:rPr>
          <w:rFonts w:ascii="Arial" w:cs="Arial" w:eastAsia="Arial" w:hAnsi="Arial"/>
          <w:sz w:val="16"/>
          <w:szCs w:val="16"/>
          <w:color w:val="auto"/>
        </w:rPr>
        <w:t>We were deeply saddened by the passing of Arne Sorenson earlier this year. We are grateful for his service to the Microsoft Board of Directors and mentorship over the years and we offer our continued condolences to his family, loved ones, and his friends and colleagues at Marriott.</w:t>
      </w:r>
    </w:p>
    <w:p>
      <w:pPr>
        <w:spacing w:after="0" w:line="139" w:lineRule="exact"/>
        <w:rPr>
          <w:sz w:val="20"/>
          <w:szCs w:val="20"/>
          <w:color w:val="auto"/>
        </w:rPr>
      </w:pPr>
    </w:p>
    <w:p>
      <w:pPr>
        <w:ind w:left="1200" w:right="259"/>
        <w:spacing w:after="0" w:line="237" w:lineRule="auto"/>
        <w:rPr>
          <w:sz w:val="20"/>
          <w:szCs w:val="20"/>
          <w:color w:val="auto"/>
        </w:rPr>
      </w:pPr>
      <w:r>
        <w:rPr>
          <w:rFonts w:ascii="Arial" w:cs="Arial" w:eastAsia="Arial" w:hAnsi="Arial"/>
          <w:sz w:val="16"/>
          <w:szCs w:val="16"/>
          <w:color w:val="auto"/>
        </w:rPr>
        <w:t>The Proxy Statement also includes information about all of the management and shareholder proposals up for a vote at the Company’s Annual Meeting. We value your vote and we encourage you to use one of the options laid out in this proxy to vote your shares whether or not you plan to join us for the Annual Meeting. As we look ahead, we continue to see tremendous opportunities for the Company’s business and shareholder value creation, with the ability to deliver positive impacts at a global scale. We appreciate your investment in Microsoft and thank you for the trust you place in us and the opportunity to serve you and our Company as directors.</w:t>
      </w:r>
    </w:p>
    <w:p>
      <w:pPr>
        <w:spacing w:after="0" w:line="127"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Sincerely,</w:t>
      </w:r>
    </w:p>
    <w:p>
      <w:pPr>
        <w:spacing w:after="0" w:line="140"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Your Board of Directors</w:t>
      </w:r>
    </w:p>
    <w:p>
      <w:pPr>
        <w:sectPr>
          <w:pgSz w:w="11900" w:h="16838" w:orient="portrait"/>
          <w:cols w:equalWidth="0" w:num="1">
            <w:col w:w="10139"/>
          </w:cols>
          <w:pgMar w:left="320" w:top="445" w:right="1440" w:bottom="1440" w:gutter="0" w:footer="0" w:header="0"/>
          <w:type w:val="continuous"/>
        </w:sectPr>
      </w:pPr>
    </w:p>
    <w:bookmarkStart w:id="5" w:name="page6"/>
    <w:bookmarkEnd w:id="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347980</wp:posOffset>
            </wp:positionV>
            <wp:extent cx="1504950" cy="3124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04950" cy="312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100"/>
        <w:spacing w:after="0"/>
        <w:rPr>
          <w:sz w:val="20"/>
          <w:szCs w:val="20"/>
          <w:color w:val="auto"/>
        </w:rPr>
      </w:pPr>
      <w:r>
        <w:rPr>
          <w:rFonts w:ascii="Arial" w:cs="Arial" w:eastAsia="Arial" w:hAnsi="Arial"/>
          <w:sz w:val="43"/>
          <w:szCs w:val="43"/>
          <w:b w:val="1"/>
          <w:bCs w:val="1"/>
          <w:color w:val="auto"/>
        </w:rPr>
        <w:t>Notice of 2021 Annual Shareholders Meeting</w:t>
      </w:r>
    </w:p>
    <w:p>
      <w:pPr>
        <w:spacing w:after="0" w:line="271" w:lineRule="exact"/>
        <w:rPr>
          <w:sz w:val="20"/>
          <w:szCs w:val="20"/>
          <w:color w:val="auto"/>
        </w:rPr>
      </w:pPr>
    </w:p>
    <w:tbl>
      <w:tblPr>
        <w:tblLayout w:type="fixed"/>
        <w:tblInd w:w="1100" w:type="dxa"/>
        <w:tblCellMar>
          <w:top w:w="0" w:type="dxa"/>
          <w:left w:w="0" w:type="dxa"/>
          <w:bottom w:w="0" w:type="dxa"/>
          <w:right w:w="0" w:type="dxa"/>
        </w:tblCellMar>
      </w:tblPr>
      <w:tr>
        <w:trPr>
          <w:trHeight w:val="205"/>
        </w:trPr>
        <w:tc>
          <w:tcPr>
            <w:tcW w:w="1420" w:type="dxa"/>
            <w:vAlign w:val="bottom"/>
          </w:tcPr>
          <w:p>
            <w:pPr>
              <w:spacing w:after="0"/>
              <w:rPr>
                <w:sz w:val="20"/>
                <w:szCs w:val="20"/>
                <w:color w:val="auto"/>
              </w:rPr>
            </w:pPr>
            <w:r>
              <w:rPr>
                <w:rFonts w:ascii="Arial" w:cs="Arial" w:eastAsia="Arial" w:hAnsi="Arial"/>
                <w:sz w:val="16"/>
                <w:szCs w:val="16"/>
                <w:b w:val="1"/>
                <w:bCs w:val="1"/>
                <w:color w:val="0075C9"/>
              </w:rPr>
              <w:t>Date</w:t>
            </w:r>
          </w:p>
        </w:tc>
        <w:tc>
          <w:tcPr>
            <w:tcW w:w="7620" w:type="dxa"/>
            <w:vAlign w:val="bottom"/>
            <w:gridSpan w:val="3"/>
          </w:tcPr>
          <w:p>
            <w:pPr>
              <w:ind w:left="300"/>
              <w:spacing w:after="0"/>
              <w:rPr>
                <w:sz w:val="20"/>
                <w:szCs w:val="20"/>
                <w:color w:val="auto"/>
              </w:rPr>
            </w:pPr>
            <w:r>
              <w:rPr>
                <w:rFonts w:ascii="Arial" w:cs="Arial" w:eastAsia="Arial" w:hAnsi="Arial"/>
                <w:sz w:val="16"/>
                <w:szCs w:val="16"/>
                <w:color w:val="auto"/>
              </w:rPr>
              <w:t>November 30, 2021</w:t>
            </w:r>
          </w:p>
        </w:tc>
        <w:tc>
          <w:tcPr>
            <w:tcW w:w="0" w:type="dxa"/>
            <w:vAlign w:val="bottom"/>
          </w:tcPr>
          <w:p>
            <w:pPr>
              <w:spacing w:after="0"/>
              <w:rPr>
                <w:sz w:val="1"/>
                <w:szCs w:val="1"/>
                <w:color w:val="auto"/>
              </w:rPr>
            </w:pPr>
          </w:p>
        </w:tc>
      </w:tr>
      <w:tr>
        <w:trPr>
          <w:trHeight w:val="246"/>
        </w:trPr>
        <w:tc>
          <w:tcPr>
            <w:tcW w:w="1420" w:type="dxa"/>
            <w:vAlign w:val="bottom"/>
          </w:tcPr>
          <w:p>
            <w:pPr>
              <w:spacing w:after="0"/>
              <w:rPr>
                <w:sz w:val="20"/>
                <w:szCs w:val="20"/>
                <w:color w:val="auto"/>
              </w:rPr>
            </w:pPr>
            <w:r>
              <w:rPr>
                <w:rFonts w:ascii="Arial" w:cs="Arial" w:eastAsia="Arial" w:hAnsi="Arial"/>
                <w:sz w:val="16"/>
                <w:szCs w:val="16"/>
                <w:b w:val="1"/>
                <w:bCs w:val="1"/>
                <w:color w:val="0075C9"/>
              </w:rPr>
              <w:t>Time</w:t>
            </w:r>
          </w:p>
        </w:tc>
        <w:tc>
          <w:tcPr>
            <w:tcW w:w="7620" w:type="dxa"/>
            <w:vAlign w:val="bottom"/>
            <w:gridSpan w:val="3"/>
          </w:tcPr>
          <w:p>
            <w:pPr>
              <w:ind w:left="300"/>
              <w:spacing w:after="0"/>
              <w:rPr>
                <w:sz w:val="20"/>
                <w:szCs w:val="20"/>
                <w:color w:val="auto"/>
              </w:rPr>
            </w:pPr>
            <w:r>
              <w:rPr>
                <w:rFonts w:ascii="Arial" w:cs="Arial" w:eastAsia="Arial" w:hAnsi="Arial"/>
                <w:sz w:val="16"/>
                <w:szCs w:val="16"/>
                <w:color w:val="auto"/>
              </w:rPr>
              <w:t>8:30 a.m. Pacific Time</w:t>
            </w:r>
          </w:p>
        </w:tc>
        <w:tc>
          <w:tcPr>
            <w:tcW w:w="0" w:type="dxa"/>
            <w:vAlign w:val="bottom"/>
          </w:tcPr>
          <w:p>
            <w:pPr>
              <w:spacing w:after="0"/>
              <w:rPr>
                <w:sz w:val="1"/>
                <w:szCs w:val="1"/>
                <w:color w:val="auto"/>
              </w:rPr>
            </w:pPr>
          </w:p>
        </w:tc>
      </w:tr>
      <w:tr>
        <w:trPr>
          <w:trHeight w:val="213"/>
        </w:trPr>
        <w:tc>
          <w:tcPr>
            <w:tcW w:w="1420" w:type="dxa"/>
            <w:vAlign w:val="bottom"/>
          </w:tcPr>
          <w:p>
            <w:pPr>
              <w:spacing w:after="0"/>
              <w:rPr>
                <w:sz w:val="20"/>
                <w:szCs w:val="20"/>
                <w:color w:val="auto"/>
              </w:rPr>
            </w:pPr>
            <w:r>
              <w:rPr>
                <w:rFonts w:ascii="Arial" w:cs="Arial" w:eastAsia="Arial" w:hAnsi="Arial"/>
                <w:sz w:val="16"/>
                <w:szCs w:val="16"/>
                <w:b w:val="1"/>
                <w:bCs w:val="1"/>
                <w:color w:val="0075C9"/>
              </w:rPr>
              <w:t>Virtual Meeting</w:t>
            </w:r>
          </w:p>
        </w:tc>
        <w:tc>
          <w:tcPr>
            <w:tcW w:w="7620" w:type="dxa"/>
            <w:vAlign w:val="bottom"/>
            <w:gridSpan w:val="3"/>
          </w:tcPr>
          <w:p>
            <w:pPr>
              <w:ind w:left="300"/>
              <w:spacing w:after="0"/>
              <w:rPr>
                <w:sz w:val="20"/>
                <w:szCs w:val="20"/>
                <w:color w:val="auto"/>
              </w:rPr>
            </w:pPr>
            <w:r>
              <w:rPr>
                <w:rFonts w:ascii="Arial" w:cs="Arial" w:eastAsia="Arial" w:hAnsi="Arial"/>
                <w:sz w:val="16"/>
                <w:szCs w:val="16"/>
                <w:color w:val="0075C9"/>
              </w:rPr>
              <w:t>This year’s meeting is a virtual shareholders meeting at virtualshareholdermeeting.com/MSFT21</w:t>
            </w:r>
          </w:p>
        </w:tc>
        <w:tc>
          <w:tcPr>
            <w:tcW w:w="0" w:type="dxa"/>
            <w:vAlign w:val="bottom"/>
          </w:tcPr>
          <w:p>
            <w:pPr>
              <w:spacing w:after="0"/>
              <w:rPr>
                <w:sz w:val="1"/>
                <w:szCs w:val="1"/>
                <w:color w:val="auto"/>
              </w:rPr>
            </w:pPr>
          </w:p>
        </w:tc>
      </w:tr>
      <w:tr>
        <w:trPr>
          <w:trHeight w:val="20"/>
        </w:trPr>
        <w:tc>
          <w:tcPr>
            <w:tcW w:w="1420" w:type="dxa"/>
            <w:vAlign w:val="bottom"/>
            <w:vMerge w:val="restart"/>
          </w:tcPr>
          <w:p>
            <w:pPr>
              <w:spacing w:after="0"/>
              <w:rPr>
                <w:sz w:val="20"/>
                <w:szCs w:val="20"/>
                <w:color w:val="auto"/>
              </w:rPr>
            </w:pPr>
            <w:r>
              <w:rPr>
                <w:rFonts w:ascii="Arial" w:cs="Arial" w:eastAsia="Arial" w:hAnsi="Arial"/>
                <w:sz w:val="16"/>
                <w:szCs w:val="16"/>
                <w:b w:val="1"/>
                <w:bCs w:val="1"/>
                <w:color w:val="0075C9"/>
              </w:rPr>
              <w:t>Record Date</w:t>
            </w:r>
          </w:p>
        </w:tc>
        <w:tc>
          <w:tcPr>
            <w:tcW w:w="4160" w:type="dxa"/>
            <w:vAlign w:val="bottom"/>
          </w:tcPr>
          <w:p>
            <w:pPr>
              <w:spacing w:after="0" w:line="20" w:lineRule="exact"/>
              <w:rPr>
                <w:sz w:val="1"/>
                <w:szCs w:val="1"/>
                <w:color w:val="auto"/>
              </w:rPr>
            </w:pPr>
          </w:p>
        </w:tc>
        <w:tc>
          <w:tcPr>
            <w:tcW w:w="2760" w:type="dxa"/>
            <w:vAlign w:val="bottom"/>
            <w:shd w:val="clear" w:color="auto" w:fill="0075C9"/>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1420" w:type="dxa"/>
            <w:vAlign w:val="bottom"/>
            <w:vMerge w:val="continue"/>
          </w:tcPr>
          <w:p>
            <w:pPr>
              <w:spacing w:after="0"/>
              <w:rPr>
                <w:sz w:val="22"/>
                <w:szCs w:val="22"/>
                <w:color w:val="auto"/>
              </w:rPr>
            </w:pPr>
          </w:p>
        </w:tc>
        <w:tc>
          <w:tcPr>
            <w:tcW w:w="7620" w:type="dxa"/>
            <w:vAlign w:val="bottom"/>
            <w:gridSpan w:val="3"/>
          </w:tcPr>
          <w:p>
            <w:pPr>
              <w:ind w:left="300"/>
              <w:spacing w:after="0"/>
              <w:rPr>
                <w:sz w:val="20"/>
                <w:szCs w:val="20"/>
                <w:color w:val="auto"/>
              </w:rPr>
            </w:pPr>
            <w:r>
              <w:rPr>
                <w:rFonts w:ascii="Arial" w:cs="Arial" w:eastAsia="Arial" w:hAnsi="Arial"/>
                <w:sz w:val="16"/>
                <w:szCs w:val="16"/>
                <w:color w:val="auto"/>
                <w:w w:val="98"/>
              </w:rPr>
              <w:t>September 30, 2021. Only shareholders of record at the close of business on the record date are entitled</w:t>
            </w:r>
          </w:p>
        </w:tc>
        <w:tc>
          <w:tcPr>
            <w:tcW w:w="0" w:type="dxa"/>
            <w:vAlign w:val="bottom"/>
          </w:tcPr>
          <w:p>
            <w:pPr>
              <w:spacing w:after="0"/>
              <w:rPr>
                <w:sz w:val="1"/>
                <w:szCs w:val="1"/>
                <w:color w:val="auto"/>
              </w:rPr>
            </w:pPr>
          </w:p>
        </w:tc>
      </w:tr>
      <w:tr>
        <w:trPr>
          <w:trHeight w:val="187"/>
        </w:trPr>
        <w:tc>
          <w:tcPr>
            <w:tcW w:w="1420" w:type="dxa"/>
            <w:vAlign w:val="bottom"/>
          </w:tcPr>
          <w:p>
            <w:pPr>
              <w:spacing w:after="0"/>
              <w:rPr>
                <w:sz w:val="16"/>
                <w:szCs w:val="16"/>
                <w:color w:val="auto"/>
              </w:rPr>
            </w:pPr>
          </w:p>
        </w:tc>
        <w:tc>
          <w:tcPr>
            <w:tcW w:w="7620" w:type="dxa"/>
            <w:vAlign w:val="bottom"/>
            <w:gridSpan w:val="3"/>
          </w:tcPr>
          <w:p>
            <w:pPr>
              <w:ind w:left="300"/>
              <w:spacing w:after="0"/>
              <w:rPr>
                <w:sz w:val="20"/>
                <w:szCs w:val="20"/>
                <w:color w:val="auto"/>
              </w:rPr>
            </w:pPr>
            <w:r>
              <w:rPr>
                <w:rFonts w:ascii="Arial" w:cs="Arial" w:eastAsia="Arial" w:hAnsi="Arial"/>
                <w:sz w:val="16"/>
                <w:szCs w:val="16"/>
                <w:color w:val="auto"/>
              </w:rPr>
              <w:t>to receive notice of, and to vote at, the Annual Meeting.</w:t>
            </w:r>
          </w:p>
        </w:tc>
        <w:tc>
          <w:tcPr>
            <w:tcW w:w="0" w:type="dxa"/>
            <w:vAlign w:val="bottom"/>
          </w:tcPr>
          <w:p>
            <w:pPr>
              <w:spacing w:after="0"/>
              <w:rPr>
                <w:sz w:val="1"/>
                <w:szCs w:val="1"/>
                <w:color w:val="auto"/>
              </w:rPr>
            </w:pPr>
          </w:p>
        </w:tc>
      </w:tr>
      <w:tr>
        <w:trPr>
          <w:trHeight w:val="241"/>
        </w:trPr>
        <w:tc>
          <w:tcPr>
            <w:tcW w:w="1420" w:type="dxa"/>
            <w:vAlign w:val="bottom"/>
          </w:tcPr>
          <w:p>
            <w:pPr>
              <w:spacing w:after="0"/>
              <w:rPr>
                <w:sz w:val="20"/>
                <w:szCs w:val="20"/>
                <w:color w:val="auto"/>
              </w:rPr>
            </w:pPr>
            <w:r>
              <w:rPr>
                <w:rFonts w:ascii="Arial" w:cs="Arial" w:eastAsia="Arial" w:hAnsi="Arial"/>
                <w:sz w:val="16"/>
                <w:szCs w:val="16"/>
                <w:b w:val="1"/>
                <w:bCs w:val="1"/>
                <w:color w:val="0075C9"/>
              </w:rPr>
              <w:t>Proxy Voting</w:t>
            </w:r>
          </w:p>
        </w:tc>
        <w:tc>
          <w:tcPr>
            <w:tcW w:w="7620" w:type="dxa"/>
            <w:vAlign w:val="bottom"/>
            <w:gridSpan w:val="3"/>
          </w:tcPr>
          <w:p>
            <w:pPr>
              <w:ind w:left="300"/>
              <w:spacing w:after="0"/>
              <w:rPr>
                <w:sz w:val="20"/>
                <w:szCs w:val="20"/>
                <w:color w:val="auto"/>
              </w:rPr>
            </w:pPr>
            <w:r>
              <w:rPr>
                <w:rFonts w:ascii="Arial" w:cs="Arial" w:eastAsia="Arial" w:hAnsi="Arial"/>
                <w:sz w:val="16"/>
                <w:szCs w:val="16"/>
                <w:b w:val="1"/>
                <w:bCs w:val="1"/>
                <w:color w:val="auto"/>
                <w:w w:val="98"/>
              </w:rPr>
              <w:t xml:space="preserve">Make your vote count. </w:t>
            </w:r>
            <w:r>
              <w:rPr>
                <w:rFonts w:ascii="Arial" w:cs="Arial" w:eastAsia="Arial" w:hAnsi="Arial"/>
                <w:sz w:val="16"/>
                <w:szCs w:val="16"/>
                <w:color w:val="auto"/>
                <w:w w:val="98"/>
              </w:rPr>
              <w:t>Please vote your shares promptly to ensure the presence of a quorum during the</w:t>
            </w:r>
          </w:p>
        </w:tc>
        <w:tc>
          <w:tcPr>
            <w:tcW w:w="0" w:type="dxa"/>
            <w:vAlign w:val="bottom"/>
          </w:tcPr>
          <w:p>
            <w:pPr>
              <w:spacing w:after="0"/>
              <w:rPr>
                <w:sz w:val="1"/>
                <w:szCs w:val="1"/>
                <w:color w:val="auto"/>
              </w:rPr>
            </w:pPr>
          </w:p>
        </w:tc>
      </w:tr>
      <w:tr>
        <w:trPr>
          <w:trHeight w:val="181"/>
        </w:trPr>
        <w:tc>
          <w:tcPr>
            <w:tcW w:w="1420" w:type="dxa"/>
            <w:vAlign w:val="bottom"/>
          </w:tcPr>
          <w:p>
            <w:pPr>
              <w:spacing w:after="0"/>
              <w:rPr>
                <w:sz w:val="15"/>
                <w:szCs w:val="15"/>
                <w:color w:val="auto"/>
              </w:rPr>
            </w:pPr>
          </w:p>
        </w:tc>
        <w:tc>
          <w:tcPr>
            <w:tcW w:w="7620" w:type="dxa"/>
            <w:vAlign w:val="bottom"/>
            <w:gridSpan w:val="3"/>
          </w:tcPr>
          <w:p>
            <w:pPr>
              <w:ind w:left="300"/>
              <w:spacing w:after="0" w:line="181" w:lineRule="exact"/>
              <w:rPr>
                <w:sz w:val="20"/>
                <w:szCs w:val="20"/>
                <w:color w:val="auto"/>
              </w:rPr>
            </w:pPr>
            <w:r>
              <w:rPr>
                <w:rFonts w:ascii="Arial" w:cs="Arial" w:eastAsia="Arial" w:hAnsi="Arial"/>
                <w:sz w:val="16"/>
                <w:szCs w:val="16"/>
                <w:color w:val="auto"/>
                <w:w w:val="96"/>
              </w:rPr>
              <w:t>Annual Meeting. Voting your shares now via the Internet, by telephone, or by signing, dating, and returning</w:t>
            </w:r>
          </w:p>
        </w:tc>
        <w:tc>
          <w:tcPr>
            <w:tcW w:w="0" w:type="dxa"/>
            <w:vAlign w:val="bottom"/>
          </w:tcPr>
          <w:p>
            <w:pPr>
              <w:spacing w:after="0"/>
              <w:rPr>
                <w:sz w:val="1"/>
                <w:szCs w:val="1"/>
                <w:color w:val="auto"/>
              </w:rPr>
            </w:pPr>
          </w:p>
        </w:tc>
      </w:tr>
      <w:tr>
        <w:trPr>
          <w:trHeight w:val="181"/>
        </w:trPr>
        <w:tc>
          <w:tcPr>
            <w:tcW w:w="1420" w:type="dxa"/>
            <w:vAlign w:val="bottom"/>
          </w:tcPr>
          <w:p>
            <w:pPr>
              <w:spacing w:after="0"/>
              <w:rPr>
                <w:sz w:val="15"/>
                <w:szCs w:val="15"/>
                <w:color w:val="auto"/>
              </w:rPr>
            </w:pPr>
          </w:p>
        </w:tc>
        <w:tc>
          <w:tcPr>
            <w:tcW w:w="7620" w:type="dxa"/>
            <w:vAlign w:val="bottom"/>
            <w:gridSpan w:val="3"/>
          </w:tcPr>
          <w:p>
            <w:pPr>
              <w:ind w:left="300"/>
              <w:spacing w:after="0" w:line="181" w:lineRule="exact"/>
              <w:rPr>
                <w:sz w:val="20"/>
                <w:szCs w:val="20"/>
                <w:color w:val="auto"/>
              </w:rPr>
            </w:pPr>
            <w:r>
              <w:rPr>
                <w:rFonts w:ascii="Arial" w:cs="Arial" w:eastAsia="Arial" w:hAnsi="Arial"/>
                <w:sz w:val="16"/>
                <w:szCs w:val="16"/>
                <w:color w:val="auto"/>
              </w:rPr>
              <w:t>the enclosed proxy card or voting instruction form will save the expense of additional solicitation. If you</w:t>
            </w:r>
          </w:p>
        </w:tc>
        <w:tc>
          <w:tcPr>
            <w:tcW w:w="0" w:type="dxa"/>
            <w:vAlign w:val="bottom"/>
          </w:tcPr>
          <w:p>
            <w:pPr>
              <w:spacing w:after="0"/>
              <w:rPr>
                <w:sz w:val="1"/>
                <w:szCs w:val="1"/>
                <w:color w:val="auto"/>
              </w:rPr>
            </w:pPr>
          </w:p>
        </w:tc>
      </w:tr>
      <w:tr>
        <w:trPr>
          <w:trHeight w:val="181"/>
        </w:trPr>
        <w:tc>
          <w:tcPr>
            <w:tcW w:w="1420" w:type="dxa"/>
            <w:vAlign w:val="bottom"/>
          </w:tcPr>
          <w:p>
            <w:pPr>
              <w:spacing w:after="0"/>
              <w:rPr>
                <w:sz w:val="15"/>
                <w:szCs w:val="15"/>
                <w:color w:val="auto"/>
              </w:rPr>
            </w:pPr>
          </w:p>
        </w:tc>
        <w:tc>
          <w:tcPr>
            <w:tcW w:w="7620" w:type="dxa"/>
            <w:vAlign w:val="bottom"/>
            <w:gridSpan w:val="3"/>
          </w:tcPr>
          <w:p>
            <w:pPr>
              <w:ind w:left="300"/>
              <w:spacing w:after="0" w:line="181" w:lineRule="exact"/>
              <w:rPr>
                <w:sz w:val="20"/>
                <w:szCs w:val="20"/>
                <w:color w:val="auto"/>
              </w:rPr>
            </w:pPr>
            <w:r>
              <w:rPr>
                <w:rFonts w:ascii="Arial" w:cs="Arial" w:eastAsia="Arial" w:hAnsi="Arial"/>
                <w:sz w:val="16"/>
                <w:szCs w:val="16"/>
                <w:color w:val="auto"/>
              </w:rPr>
              <w:t>wish to vote by mail, we have enclosed an addressed envelope with postage prepaid if mailed in the</w:t>
            </w:r>
          </w:p>
        </w:tc>
        <w:tc>
          <w:tcPr>
            <w:tcW w:w="0" w:type="dxa"/>
            <w:vAlign w:val="bottom"/>
          </w:tcPr>
          <w:p>
            <w:pPr>
              <w:spacing w:after="0"/>
              <w:rPr>
                <w:sz w:val="1"/>
                <w:szCs w:val="1"/>
                <w:color w:val="auto"/>
              </w:rPr>
            </w:pPr>
          </w:p>
        </w:tc>
      </w:tr>
      <w:tr>
        <w:trPr>
          <w:trHeight w:val="181"/>
        </w:trPr>
        <w:tc>
          <w:tcPr>
            <w:tcW w:w="1420" w:type="dxa"/>
            <w:vAlign w:val="bottom"/>
          </w:tcPr>
          <w:p>
            <w:pPr>
              <w:spacing w:after="0"/>
              <w:rPr>
                <w:sz w:val="15"/>
                <w:szCs w:val="15"/>
                <w:color w:val="auto"/>
              </w:rPr>
            </w:pPr>
          </w:p>
        </w:tc>
        <w:tc>
          <w:tcPr>
            <w:tcW w:w="7620" w:type="dxa"/>
            <w:vAlign w:val="bottom"/>
            <w:gridSpan w:val="3"/>
          </w:tcPr>
          <w:p>
            <w:pPr>
              <w:ind w:left="300"/>
              <w:spacing w:after="0" w:line="181" w:lineRule="exact"/>
              <w:rPr>
                <w:sz w:val="20"/>
                <w:szCs w:val="20"/>
                <w:color w:val="auto"/>
              </w:rPr>
            </w:pPr>
            <w:r>
              <w:rPr>
                <w:rFonts w:ascii="Arial" w:cs="Arial" w:eastAsia="Arial" w:hAnsi="Arial"/>
                <w:sz w:val="16"/>
                <w:szCs w:val="16"/>
                <w:color w:val="auto"/>
                <w:w w:val="99"/>
              </w:rPr>
              <w:t>United States. Submitting your proxy now will not prevent you from voting your shares during the Annual</w:t>
            </w:r>
          </w:p>
        </w:tc>
        <w:tc>
          <w:tcPr>
            <w:tcW w:w="0" w:type="dxa"/>
            <w:vAlign w:val="bottom"/>
          </w:tcPr>
          <w:p>
            <w:pPr>
              <w:spacing w:after="0"/>
              <w:rPr>
                <w:sz w:val="1"/>
                <w:szCs w:val="1"/>
                <w:color w:val="auto"/>
              </w:rPr>
            </w:pPr>
          </w:p>
        </w:tc>
      </w:tr>
      <w:tr>
        <w:trPr>
          <w:trHeight w:val="187"/>
        </w:trPr>
        <w:tc>
          <w:tcPr>
            <w:tcW w:w="1420" w:type="dxa"/>
            <w:vAlign w:val="bottom"/>
          </w:tcPr>
          <w:p>
            <w:pPr>
              <w:spacing w:after="0"/>
              <w:rPr>
                <w:sz w:val="16"/>
                <w:szCs w:val="16"/>
                <w:color w:val="auto"/>
              </w:rPr>
            </w:pPr>
          </w:p>
        </w:tc>
        <w:tc>
          <w:tcPr>
            <w:tcW w:w="7620" w:type="dxa"/>
            <w:vAlign w:val="bottom"/>
            <w:gridSpan w:val="3"/>
          </w:tcPr>
          <w:p>
            <w:pPr>
              <w:ind w:left="300"/>
              <w:spacing w:after="0"/>
              <w:rPr>
                <w:sz w:val="20"/>
                <w:szCs w:val="20"/>
                <w:color w:val="auto"/>
              </w:rPr>
            </w:pPr>
            <w:r>
              <w:rPr>
                <w:rFonts w:ascii="Arial" w:cs="Arial" w:eastAsia="Arial" w:hAnsi="Arial"/>
                <w:sz w:val="16"/>
                <w:szCs w:val="16"/>
                <w:color w:val="auto"/>
              </w:rPr>
              <w:t>Meeting, as your proxy is revocable at your option. We are requesting your vote to:</w:t>
            </w:r>
          </w:p>
        </w:tc>
        <w:tc>
          <w:tcPr>
            <w:tcW w:w="0" w:type="dxa"/>
            <w:vAlign w:val="bottom"/>
          </w:tcPr>
          <w:p>
            <w:pPr>
              <w:spacing w:after="0"/>
              <w:rPr>
                <w:sz w:val="1"/>
                <w:szCs w:val="1"/>
                <w:color w:val="auto"/>
              </w:rPr>
            </w:pPr>
          </w:p>
        </w:tc>
      </w:tr>
      <w:tr>
        <w:trPr>
          <w:trHeight w:val="223"/>
        </w:trPr>
        <w:tc>
          <w:tcPr>
            <w:tcW w:w="1420" w:type="dxa"/>
            <w:vAlign w:val="bottom"/>
          </w:tcPr>
          <w:p>
            <w:pPr>
              <w:spacing w:after="0"/>
              <w:rPr>
                <w:sz w:val="20"/>
                <w:szCs w:val="20"/>
                <w:color w:val="auto"/>
              </w:rPr>
            </w:pPr>
            <w:r>
              <w:rPr>
                <w:rFonts w:ascii="Arial" w:cs="Arial" w:eastAsia="Arial" w:hAnsi="Arial"/>
                <w:sz w:val="16"/>
                <w:szCs w:val="16"/>
                <w:b w:val="1"/>
                <w:bCs w:val="1"/>
                <w:color w:val="0075C9"/>
              </w:rPr>
              <w:t>Items of</w:t>
            </w:r>
          </w:p>
        </w:tc>
        <w:tc>
          <w:tcPr>
            <w:tcW w:w="7620" w:type="dxa"/>
            <w:vAlign w:val="bottom"/>
            <w:gridSpan w:val="3"/>
          </w:tcPr>
          <w:p>
            <w:pPr>
              <w:ind w:left="300"/>
              <w:spacing w:after="0"/>
              <w:rPr>
                <w:sz w:val="20"/>
                <w:szCs w:val="20"/>
                <w:color w:val="auto"/>
              </w:rPr>
            </w:pPr>
            <w:r>
              <w:rPr>
                <w:rFonts w:ascii="Arial" w:cs="Arial" w:eastAsia="Arial" w:hAnsi="Arial"/>
                <w:sz w:val="16"/>
                <w:szCs w:val="16"/>
                <w:color w:val="auto"/>
              </w:rPr>
              <w:t>• Elect the 12 director nominees named in this Proxy Statement</w:t>
            </w:r>
          </w:p>
        </w:tc>
        <w:tc>
          <w:tcPr>
            <w:tcW w:w="0" w:type="dxa"/>
            <w:vAlign w:val="bottom"/>
          </w:tcPr>
          <w:p>
            <w:pPr>
              <w:spacing w:after="0"/>
              <w:rPr>
                <w:sz w:val="1"/>
                <w:szCs w:val="1"/>
                <w:color w:val="auto"/>
              </w:rPr>
            </w:pPr>
          </w:p>
        </w:tc>
      </w:tr>
      <w:tr>
        <w:trPr>
          <w:trHeight w:val="238"/>
        </w:trPr>
        <w:tc>
          <w:tcPr>
            <w:tcW w:w="1420" w:type="dxa"/>
            <w:vAlign w:val="bottom"/>
          </w:tcPr>
          <w:p>
            <w:pPr>
              <w:spacing w:after="0"/>
              <w:rPr>
                <w:sz w:val="20"/>
                <w:szCs w:val="20"/>
                <w:color w:val="auto"/>
              </w:rPr>
            </w:pPr>
            <w:r>
              <w:rPr>
                <w:rFonts w:ascii="Arial" w:cs="Arial" w:eastAsia="Arial" w:hAnsi="Arial"/>
                <w:sz w:val="16"/>
                <w:szCs w:val="16"/>
                <w:b w:val="1"/>
                <w:bCs w:val="1"/>
                <w:color w:val="0075C9"/>
              </w:rPr>
              <w:t>Business</w:t>
            </w:r>
          </w:p>
        </w:tc>
        <w:tc>
          <w:tcPr>
            <w:tcW w:w="7620" w:type="dxa"/>
            <w:vAlign w:val="bottom"/>
            <w:gridSpan w:val="3"/>
          </w:tcPr>
          <w:p>
            <w:pPr>
              <w:ind w:left="300"/>
              <w:spacing w:after="0"/>
              <w:rPr>
                <w:sz w:val="20"/>
                <w:szCs w:val="20"/>
                <w:color w:val="auto"/>
              </w:rPr>
            </w:pPr>
            <w:r>
              <w:rPr>
                <w:rFonts w:ascii="Arial" w:cs="Arial" w:eastAsia="Arial" w:hAnsi="Arial"/>
                <w:sz w:val="16"/>
                <w:szCs w:val="16"/>
                <w:color w:val="auto"/>
              </w:rPr>
              <w:t>• Approve, on a nonbinding advisory basis, the compensation paid to our named executive officers</w:t>
            </w:r>
          </w:p>
        </w:tc>
        <w:tc>
          <w:tcPr>
            <w:tcW w:w="0" w:type="dxa"/>
            <w:vAlign w:val="bottom"/>
          </w:tcPr>
          <w:p>
            <w:pPr>
              <w:spacing w:after="0"/>
              <w:rPr>
                <w:sz w:val="1"/>
                <w:szCs w:val="1"/>
                <w:color w:val="auto"/>
              </w:rPr>
            </w:pPr>
          </w:p>
        </w:tc>
      </w:tr>
      <w:tr>
        <w:trPr>
          <w:trHeight w:val="187"/>
        </w:trPr>
        <w:tc>
          <w:tcPr>
            <w:tcW w:w="1420" w:type="dxa"/>
            <w:vAlign w:val="bottom"/>
          </w:tcPr>
          <w:p>
            <w:pPr>
              <w:spacing w:after="0"/>
              <w:rPr>
                <w:sz w:val="16"/>
                <w:szCs w:val="16"/>
                <w:color w:val="auto"/>
              </w:rPr>
            </w:pPr>
          </w:p>
        </w:tc>
        <w:tc>
          <w:tcPr>
            <w:tcW w:w="7620" w:type="dxa"/>
            <w:vAlign w:val="bottom"/>
            <w:gridSpan w:val="3"/>
          </w:tcPr>
          <w:p>
            <w:pPr>
              <w:ind w:left="460"/>
              <w:spacing w:after="0"/>
              <w:rPr>
                <w:sz w:val="20"/>
                <w:szCs w:val="20"/>
                <w:color w:val="auto"/>
              </w:rPr>
            </w:pPr>
            <w:r>
              <w:rPr>
                <w:rFonts w:ascii="Arial" w:cs="Arial" w:eastAsia="Arial" w:hAnsi="Arial"/>
                <w:sz w:val="16"/>
                <w:szCs w:val="16"/>
                <w:color w:val="auto"/>
              </w:rPr>
              <w:t>(“say-on-pay vote”)</w:t>
            </w:r>
          </w:p>
        </w:tc>
        <w:tc>
          <w:tcPr>
            <w:tcW w:w="0" w:type="dxa"/>
            <w:vAlign w:val="bottom"/>
          </w:tcPr>
          <w:p>
            <w:pPr>
              <w:spacing w:after="0"/>
              <w:rPr>
                <w:sz w:val="1"/>
                <w:szCs w:val="1"/>
                <w:color w:val="auto"/>
              </w:rPr>
            </w:pPr>
          </w:p>
        </w:tc>
      </w:tr>
      <w:tr>
        <w:trPr>
          <w:trHeight w:val="220"/>
        </w:trPr>
        <w:tc>
          <w:tcPr>
            <w:tcW w:w="1420" w:type="dxa"/>
            <w:vAlign w:val="bottom"/>
          </w:tcPr>
          <w:p>
            <w:pPr>
              <w:spacing w:after="0"/>
              <w:rPr>
                <w:sz w:val="19"/>
                <w:szCs w:val="19"/>
                <w:color w:val="auto"/>
              </w:rPr>
            </w:pPr>
          </w:p>
        </w:tc>
        <w:tc>
          <w:tcPr>
            <w:tcW w:w="7620" w:type="dxa"/>
            <w:vAlign w:val="bottom"/>
            <w:gridSpan w:val="3"/>
          </w:tcPr>
          <w:p>
            <w:pPr>
              <w:ind w:left="300"/>
              <w:spacing w:after="0"/>
              <w:rPr>
                <w:sz w:val="20"/>
                <w:szCs w:val="20"/>
                <w:color w:val="auto"/>
              </w:rPr>
            </w:pPr>
            <w:r>
              <w:rPr>
                <w:rFonts w:ascii="Arial" w:cs="Arial" w:eastAsia="Arial" w:hAnsi="Arial"/>
                <w:sz w:val="16"/>
                <w:szCs w:val="16"/>
                <w:color w:val="auto"/>
              </w:rPr>
              <w:t>• Approve the Employee Stock Purchase Plan</w:t>
            </w:r>
          </w:p>
        </w:tc>
        <w:tc>
          <w:tcPr>
            <w:tcW w:w="0" w:type="dxa"/>
            <w:vAlign w:val="bottom"/>
          </w:tcPr>
          <w:p>
            <w:pPr>
              <w:spacing w:after="0"/>
              <w:rPr>
                <w:sz w:val="1"/>
                <w:szCs w:val="1"/>
                <w:color w:val="auto"/>
              </w:rPr>
            </w:pPr>
          </w:p>
        </w:tc>
      </w:tr>
      <w:tr>
        <w:trPr>
          <w:trHeight w:val="220"/>
        </w:trPr>
        <w:tc>
          <w:tcPr>
            <w:tcW w:w="1420" w:type="dxa"/>
            <w:vAlign w:val="bottom"/>
          </w:tcPr>
          <w:p>
            <w:pPr>
              <w:spacing w:after="0"/>
              <w:rPr>
                <w:sz w:val="19"/>
                <w:szCs w:val="19"/>
                <w:color w:val="auto"/>
              </w:rPr>
            </w:pPr>
          </w:p>
        </w:tc>
        <w:tc>
          <w:tcPr>
            <w:tcW w:w="7620" w:type="dxa"/>
            <w:vAlign w:val="bottom"/>
            <w:gridSpan w:val="3"/>
          </w:tcPr>
          <w:p>
            <w:pPr>
              <w:ind w:left="300"/>
              <w:spacing w:after="0"/>
              <w:rPr>
                <w:sz w:val="20"/>
                <w:szCs w:val="20"/>
                <w:color w:val="auto"/>
              </w:rPr>
            </w:pPr>
            <w:r>
              <w:rPr>
                <w:rFonts w:ascii="Arial" w:cs="Arial" w:eastAsia="Arial" w:hAnsi="Arial"/>
                <w:sz w:val="16"/>
                <w:szCs w:val="16"/>
                <w:color w:val="auto"/>
              </w:rPr>
              <w:t>• Ratify the selection of Deloitte &amp; Touche LLP as our independent auditor for fiscal year 2022</w:t>
            </w:r>
          </w:p>
        </w:tc>
        <w:tc>
          <w:tcPr>
            <w:tcW w:w="0" w:type="dxa"/>
            <w:vAlign w:val="bottom"/>
          </w:tcPr>
          <w:p>
            <w:pPr>
              <w:spacing w:after="0"/>
              <w:rPr>
                <w:sz w:val="1"/>
                <w:szCs w:val="1"/>
                <w:color w:val="auto"/>
              </w:rPr>
            </w:pPr>
          </w:p>
        </w:tc>
      </w:tr>
      <w:tr>
        <w:trPr>
          <w:trHeight w:val="220"/>
        </w:trPr>
        <w:tc>
          <w:tcPr>
            <w:tcW w:w="1420" w:type="dxa"/>
            <w:vAlign w:val="bottom"/>
          </w:tcPr>
          <w:p>
            <w:pPr>
              <w:spacing w:after="0"/>
              <w:rPr>
                <w:sz w:val="19"/>
                <w:szCs w:val="19"/>
                <w:color w:val="auto"/>
              </w:rPr>
            </w:pPr>
          </w:p>
        </w:tc>
        <w:tc>
          <w:tcPr>
            <w:tcW w:w="7620" w:type="dxa"/>
            <w:vAlign w:val="bottom"/>
            <w:gridSpan w:val="3"/>
          </w:tcPr>
          <w:p>
            <w:pPr>
              <w:ind w:left="300"/>
              <w:spacing w:after="0"/>
              <w:rPr>
                <w:sz w:val="20"/>
                <w:szCs w:val="20"/>
                <w:color w:val="auto"/>
              </w:rPr>
            </w:pPr>
            <w:r>
              <w:rPr>
                <w:rFonts w:ascii="Arial" w:cs="Arial" w:eastAsia="Arial" w:hAnsi="Arial"/>
                <w:sz w:val="16"/>
                <w:szCs w:val="16"/>
                <w:color w:val="auto"/>
              </w:rPr>
              <w:t>• Vote on five shareholder proposals, if properly presented at the Annual Meeting</w:t>
            </w:r>
          </w:p>
        </w:tc>
        <w:tc>
          <w:tcPr>
            <w:tcW w:w="0" w:type="dxa"/>
            <w:vAlign w:val="bottom"/>
          </w:tcPr>
          <w:p>
            <w:pPr>
              <w:spacing w:after="0"/>
              <w:rPr>
                <w:sz w:val="1"/>
                <w:szCs w:val="1"/>
                <w:color w:val="auto"/>
              </w:rPr>
            </w:pPr>
          </w:p>
        </w:tc>
      </w:tr>
      <w:tr>
        <w:trPr>
          <w:trHeight w:val="220"/>
        </w:trPr>
        <w:tc>
          <w:tcPr>
            <w:tcW w:w="1420" w:type="dxa"/>
            <w:vAlign w:val="bottom"/>
          </w:tcPr>
          <w:p>
            <w:pPr>
              <w:spacing w:after="0"/>
              <w:rPr>
                <w:sz w:val="19"/>
                <w:szCs w:val="19"/>
                <w:color w:val="auto"/>
              </w:rPr>
            </w:pPr>
          </w:p>
        </w:tc>
        <w:tc>
          <w:tcPr>
            <w:tcW w:w="7620" w:type="dxa"/>
            <w:vAlign w:val="bottom"/>
            <w:gridSpan w:val="3"/>
          </w:tcPr>
          <w:p>
            <w:pPr>
              <w:ind w:left="300"/>
              <w:spacing w:after="0"/>
              <w:rPr>
                <w:sz w:val="20"/>
                <w:szCs w:val="20"/>
                <w:color w:val="auto"/>
              </w:rPr>
            </w:pPr>
            <w:r>
              <w:rPr>
                <w:rFonts w:ascii="Arial" w:cs="Arial" w:eastAsia="Arial" w:hAnsi="Arial"/>
                <w:sz w:val="16"/>
                <w:szCs w:val="16"/>
                <w:color w:val="auto"/>
              </w:rPr>
              <w:t>• Transact other business that may properly come before the Annual Meeting</w:t>
            </w: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0075C9"/>
        </w:rPr>
        <w:t xml:space="preserve">Address of Corporate  </w:t>
      </w:r>
      <w:r>
        <w:rPr>
          <w:rFonts w:ascii="Arial" w:cs="Arial" w:eastAsia="Arial" w:hAnsi="Arial"/>
          <w:sz w:val="16"/>
          <w:szCs w:val="16"/>
          <w:color w:val="000000"/>
        </w:rPr>
        <w:t>One Microsoft Way, Redmond, WA 98052</w:t>
      </w:r>
    </w:p>
    <w:p>
      <w:pPr>
        <w:spacing w:after="0" w:line="15"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0075C9"/>
        </w:rPr>
        <w:t>Headquarters</w:t>
      </w:r>
    </w:p>
    <w:p>
      <w:pPr>
        <w:spacing w:after="0" w:line="44" w:lineRule="exact"/>
        <w:rPr>
          <w:sz w:val="20"/>
          <w:szCs w:val="20"/>
          <w:color w:val="auto"/>
        </w:rPr>
      </w:pPr>
    </w:p>
    <w:p>
      <w:pPr>
        <w:ind w:left="1100"/>
        <w:spacing w:after="0"/>
        <w:tabs>
          <w:tab w:leader="none" w:pos="2800" w:val="left"/>
        </w:tabs>
        <w:rPr>
          <w:sz w:val="20"/>
          <w:szCs w:val="20"/>
          <w:color w:val="auto"/>
        </w:rPr>
      </w:pPr>
      <w:r>
        <w:rPr>
          <w:rFonts w:ascii="Arial" w:cs="Arial" w:eastAsia="Arial" w:hAnsi="Arial"/>
          <w:sz w:val="16"/>
          <w:szCs w:val="16"/>
          <w:b w:val="1"/>
          <w:bCs w:val="1"/>
          <w:color w:val="0075C9"/>
        </w:rPr>
        <w:t>Meeting Details</w:t>
      </w:r>
      <w:r>
        <w:rPr>
          <w:sz w:val="20"/>
          <w:szCs w:val="20"/>
          <w:color w:val="auto"/>
        </w:rPr>
        <w:tab/>
      </w:r>
      <w:r>
        <w:rPr>
          <w:rFonts w:ascii="Arial" w:cs="Arial" w:eastAsia="Arial" w:hAnsi="Arial"/>
          <w:sz w:val="14"/>
          <w:szCs w:val="14"/>
          <w:color w:val="auto"/>
        </w:rPr>
        <w:t>See Part 5 – Information About the Meeting for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156845</wp:posOffset>
            </wp:positionV>
            <wp:extent cx="5739765" cy="3206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39765" cy="320675"/>
                    </a:xfrm>
                    <a:prstGeom prst="rect">
                      <a:avLst/>
                    </a:prstGeom>
                    <a:noFill/>
                  </pic:spPr>
                </pic:pic>
              </a:graphicData>
            </a:graphic>
          </wp:anchor>
        </w:drawing>
      </w:r>
    </w:p>
    <w:p>
      <w:pPr>
        <w:spacing w:after="0" w:line="275"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0075C9"/>
        </w:rPr>
        <w:t>Important notice regarding the availability of proxy materials for the Annual Meeting to be held on November 30, 2021.</w:t>
      </w:r>
    </w:p>
    <w:p>
      <w:pPr>
        <w:spacing w:after="0" w:line="38" w:lineRule="exact"/>
        <w:rPr>
          <w:sz w:val="20"/>
          <w:szCs w:val="20"/>
          <w:color w:val="auto"/>
        </w:rPr>
      </w:pPr>
    </w:p>
    <w:p>
      <w:pPr>
        <w:ind w:left="1220"/>
        <w:spacing w:after="0"/>
        <w:rPr>
          <w:sz w:val="20"/>
          <w:szCs w:val="20"/>
          <w:color w:val="auto"/>
        </w:rPr>
      </w:pPr>
      <w:r>
        <w:rPr>
          <w:rFonts w:ascii="Arial" w:cs="Arial" w:eastAsia="Arial" w:hAnsi="Arial"/>
          <w:sz w:val="16"/>
          <w:szCs w:val="16"/>
          <w:color w:val="0075C9"/>
        </w:rPr>
        <w:t xml:space="preserve">Our 2021 Proxy Statement and Annual Report to Shareholders are available at </w:t>
      </w:r>
      <w:r>
        <w:rPr>
          <w:rFonts w:ascii="Arial" w:cs="Arial" w:eastAsia="Arial" w:hAnsi="Arial"/>
          <w:sz w:val="16"/>
          <w:szCs w:val="16"/>
          <w:u w:val="single" w:color="auto"/>
          <w:color w:val="0075C9"/>
        </w:rPr>
        <w:t>microsoft.com/investor</w:t>
      </w:r>
      <w:r>
        <w:rPr>
          <w:rFonts w:ascii="Arial" w:cs="Arial" w:eastAsia="Arial" w:hAnsi="Arial"/>
          <w:sz w:val="16"/>
          <w:szCs w:val="16"/>
          <w:color w:val="0075C9"/>
        </w:rPr>
        <w:t>.</w:t>
      </w:r>
    </w:p>
    <w:p>
      <w:pPr>
        <w:spacing w:after="0" w:line="238"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156845</wp:posOffset>
            </wp:positionV>
            <wp:extent cx="1578610" cy="4851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78610" cy="485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0075C9"/>
        </w:rPr>
        <w:t>Hossein Nowbar</w:t>
      </w:r>
    </w:p>
    <w:p>
      <w:pPr>
        <w:spacing w:after="0" w:line="1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Secretary</w:t>
      </w:r>
    </w:p>
    <w:p>
      <w:pPr>
        <w:spacing w:after="0" w:line="98"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Redmond, Washington</w:t>
      </w:r>
    </w:p>
    <w:p>
      <w:pPr>
        <w:ind w:left="1100"/>
        <w:spacing w:after="0"/>
        <w:rPr>
          <w:sz w:val="20"/>
          <w:szCs w:val="20"/>
          <w:color w:val="auto"/>
        </w:rPr>
      </w:pPr>
      <w:r>
        <w:rPr>
          <w:rFonts w:ascii="Arial" w:cs="Arial" w:eastAsia="Arial" w:hAnsi="Arial"/>
          <w:sz w:val="16"/>
          <w:szCs w:val="16"/>
          <w:color w:val="auto"/>
        </w:rPr>
        <w:t>October 14, 2021</w:t>
      </w: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2021 PROXY STATEMENT </w:t>
      </w:r>
      <w:r>
        <w:rPr>
          <w:rFonts w:ascii="Arial" w:cs="Arial" w:eastAsia="Arial" w:hAnsi="Arial"/>
          <w:sz w:val="14"/>
          <w:szCs w:val="14"/>
          <w:b w:val="1"/>
          <w:bCs w:val="1"/>
          <w:color w:val="0075C9"/>
        </w:rPr>
        <w:t>i</w:t>
      </w:r>
    </w:p>
    <w:p>
      <w:pPr>
        <w:sectPr>
          <w:pgSz w:w="11900" w:h="16838" w:orient="portrait"/>
          <w:cols w:equalWidth="0" w:num="1">
            <w:col w:w="10280"/>
          </w:cols>
          <w:pgMar w:left="320" w:top="445" w:right="1299"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258" w:lineRule="exact"/>
        <w:rPr>
          <w:sz w:val="20"/>
          <w:szCs w:val="20"/>
          <w:color w:val="auto"/>
        </w:rPr>
      </w:pPr>
    </w:p>
    <w:p>
      <w:pPr>
        <w:ind w:left="1100"/>
        <w:spacing w:after="0"/>
        <w:rPr>
          <w:sz w:val="20"/>
          <w:szCs w:val="20"/>
          <w:color w:val="auto"/>
        </w:rPr>
      </w:pPr>
      <w:r>
        <w:rPr>
          <w:rFonts w:ascii="Arial" w:cs="Arial" w:eastAsia="Arial" w:hAnsi="Arial"/>
          <w:sz w:val="43"/>
          <w:szCs w:val="43"/>
          <w:b w:val="1"/>
          <w:bCs w:val="1"/>
          <w:color w:val="auto"/>
        </w:rPr>
        <w:t>Proxy Statement 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182245</wp:posOffset>
            </wp:positionV>
            <wp:extent cx="57397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312" w:lineRule="exact"/>
        <w:rPr>
          <w:sz w:val="20"/>
          <w:szCs w:val="20"/>
          <w:color w:val="auto"/>
        </w:rPr>
      </w:pPr>
    </w:p>
    <w:tbl>
      <w:tblPr>
        <w:tblLayout w:type="fixed"/>
        <w:tblInd w:w="1100" w:type="dxa"/>
        <w:tblCellMar>
          <w:top w:w="0" w:type="dxa"/>
          <w:left w:w="0" w:type="dxa"/>
          <w:bottom w:w="0" w:type="dxa"/>
          <w:right w:w="0" w:type="dxa"/>
        </w:tblCellMar>
      </w:tblPr>
      <w:tr>
        <w:trPr>
          <w:trHeight w:val="253"/>
        </w:trPr>
        <w:tc>
          <w:tcPr>
            <w:tcW w:w="5200" w:type="dxa"/>
            <w:vAlign w:val="bottom"/>
            <w:gridSpan w:val="2"/>
          </w:tcPr>
          <w:p>
            <w:pPr>
              <w:spacing w:after="0"/>
              <w:rPr>
                <w:rFonts w:ascii="Arial" w:cs="Arial" w:eastAsia="Arial" w:hAnsi="Arial"/>
                <w:sz w:val="22"/>
                <w:szCs w:val="22"/>
                <w:color w:val="0000EE"/>
              </w:rPr>
            </w:pPr>
            <w:hyperlink w:anchor="page9">
              <w:r>
                <w:rPr>
                  <w:rFonts w:ascii="Arial" w:cs="Arial" w:eastAsia="Arial" w:hAnsi="Arial"/>
                  <w:sz w:val="22"/>
                  <w:szCs w:val="22"/>
                  <w:color w:val="0000EE"/>
                </w:rPr>
                <w:t>Proxy summary</w:t>
              </w:r>
            </w:hyperlink>
          </w:p>
        </w:tc>
        <w:tc>
          <w:tcPr>
            <w:tcW w:w="3840" w:type="dxa"/>
            <w:vAlign w:val="bottom"/>
          </w:tcPr>
          <w:p>
            <w:pPr>
              <w:jc w:val="right"/>
              <w:spacing w:after="0"/>
              <w:rPr>
                <w:sz w:val="20"/>
                <w:szCs w:val="20"/>
                <w:color w:val="auto"/>
              </w:rPr>
            </w:pPr>
            <w:r>
              <w:rPr>
                <w:rFonts w:ascii="Arial" w:cs="Arial" w:eastAsia="Arial" w:hAnsi="Arial"/>
                <w:sz w:val="22"/>
                <w:szCs w:val="22"/>
                <w:b w:val="1"/>
                <w:bCs w:val="1"/>
                <w:color w:val="0075C9"/>
              </w:rPr>
              <w:t>1</w:t>
            </w:r>
          </w:p>
        </w:tc>
      </w:tr>
      <w:tr>
        <w:trPr>
          <w:trHeight w:val="122"/>
        </w:trPr>
        <w:tc>
          <w:tcPr>
            <w:tcW w:w="1560" w:type="dxa"/>
            <w:vAlign w:val="bottom"/>
            <w:tcBorders>
              <w:top w:val="single" w:sz="8" w:color="0000EE"/>
              <w:bottom w:val="single" w:sz="8" w:color="0075C9"/>
            </w:tcBorders>
          </w:tcPr>
          <w:p>
            <w:pPr>
              <w:spacing w:after="0"/>
              <w:rPr>
                <w:sz w:val="10"/>
                <w:szCs w:val="10"/>
                <w:color w:val="auto"/>
              </w:rPr>
            </w:pPr>
          </w:p>
        </w:tc>
        <w:tc>
          <w:tcPr>
            <w:tcW w:w="3640" w:type="dxa"/>
            <w:vAlign w:val="bottom"/>
            <w:tcBorders>
              <w:bottom w:val="single" w:sz="8" w:color="0075C9"/>
            </w:tcBorders>
          </w:tcPr>
          <w:p>
            <w:pPr>
              <w:spacing w:after="0"/>
              <w:rPr>
                <w:sz w:val="10"/>
                <w:szCs w:val="10"/>
                <w:color w:val="auto"/>
              </w:rPr>
            </w:pPr>
          </w:p>
        </w:tc>
        <w:tc>
          <w:tcPr>
            <w:tcW w:w="3840" w:type="dxa"/>
            <w:vAlign w:val="bottom"/>
            <w:tcBorders>
              <w:bottom w:val="single" w:sz="8" w:color="0075C9"/>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2855595</wp:posOffset>
            </wp:positionH>
            <wp:positionV relativeFrom="paragraph">
              <wp:posOffset>-7620</wp:posOffset>
            </wp:positionV>
            <wp:extent cx="197485" cy="1231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7485" cy="123190"/>
                    </a:xfrm>
                    <a:prstGeom prst="rect">
                      <a:avLst/>
                    </a:prstGeom>
                    <a:noFill/>
                  </pic:spPr>
                </pic:pic>
              </a:graphicData>
            </a:graphic>
          </wp:anchor>
        </w:drawing>
        <w:drawing>
          <wp:anchor simplePos="0" relativeHeight="251657728" behindDoc="1" locked="0" layoutInCell="0" allowOverlap="1">
            <wp:simplePos x="0" y="0"/>
            <wp:positionH relativeFrom="column">
              <wp:posOffset>701040</wp:posOffset>
            </wp:positionH>
            <wp:positionV relativeFrom="paragraph">
              <wp:posOffset>-7620</wp:posOffset>
            </wp:positionV>
            <wp:extent cx="575945" cy="5493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945" cy="5493385"/>
                    </a:xfrm>
                    <a:prstGeom prst="rect">
                      <a:avLst/>
                    </a:prstGeom>
                    <a:noFill/>
                  </pic:spPr>
                </pic:pic>
              </a:graphicData>
            </a:graphic>
          </wp:anchor>
        </w:drawing>
      </w:r>
    </w:p>
    <w:tbl>
      <w:tblPr>
        <w:tblLayout w:type="fixed"/>
        <w:tblInd w:w="1100" w:type="dxa"/>
        <w:tblCellMar>
          <w:top w:w="0" w:type="dxa"/>
          <w:left w:w="0" w:type="dxa"/>
          <w:bottom w:w="0" w:type="dxa"/>
          <w:right w:w="0" w:type="dxa"/>
        </w:tblCellMar>
      </w:tblPr>
      <w:tr>
        <w:trPr>
          <w:trHeight w:val="181"/>
        </w:trPr>
        <w:tc>
          <w:tcPr>
            <w:tcW w:w="920" w:type="dxa"/>
            <w:vAlign w:val="bottom"/>
            <w:vMerge w:val="restart"/>
          </w:tcPr>
          <w:p>
            <w:pPr>
              <w:ind w:left="100"/>
              <w:spacing w:after="0" w:line="1402" w:lineRule="exact"/>
              <w:rPr>
                <w:sz w:val="20"/>
                <w:szCs w:val="20"/>
                <w:color w:val="auto"/>
              </w:rPr>
            </w:pPr>
            <w:r>
              <w:rPr>
                <w:rFonts w:ascii="Arial" w:cs="Arial" w:eastAsia="Arial" w:hAnsi="Arial"/>
                <w:sz w:val="138"/>
                <w:szCs w:val="138"/>
                <w:color w:val="0075C9"/>
                <w:shd w:val="clear" w:color="auto" w:fill="EDEDED"/>
              </w:rPr>
              <w:t>1</w:t>
            </w:r>
          </w:p>
        </w:tc>
        <w:tc>
          <w:tcPr>
            <w:tcW w:w="2640" w:type="dxa"/>
            <w:vAlign w:val="bottom"/>
            <w:gridSpan w:val="2"/>
            <w:vMerge w:val="restart"/>
          </w:tcPr>
          <w:p>
            <w:pPr>
              <w:ind w:left="220"/>
              <w:spacing w:after="0"/>
              <w:rPr>
                <w:sz w:val="20"/>
                <w:szCs w:val="20"/>
                <w:color w:val="auto"/>
              </w:rPr>
            </w:pPr>
            <w:r>
              <w:rPr>
                <w:rFonts w:ascii="Arial" w:cs="Arial" w:eastAsia="Arial" w:hAnsi="Arial"/>
                <w:sz w:val="28"/>
                <w:szCs w:val="28"/>
                <w:color w:val="0075C9"/>
                <w:shd w:val="clear" w:color="auto" w:fill="EDEDED"/>
              </w:rPr>
              <w:t>Governance and</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740" w:type="dxa"/>
            <w:vAlign w:val="bottom"/>
            <w:gridSpan w:val="26"/>
            <w:vMerge w:val="restart"/>
          </w:tcPr>
          <w:p>
            <w:pPr>
              <w:spacing w:after="0"/>
              <w:rPr>
                <w:rFonts w:ascii="Arial" w:cs="Arial" w:eastAsia="Arial" w:hAnsi="Arial"/>
                <w:sz w:val="16"/>
                <w:szCs w:val="16"/>
                <w:color w:val="0000EE"/>
              </w:rPr>
            </w:pPr>
            <w:hyperlink w:anchor="page17">
              <w:r>
                <w:rPr>
                  <w:rFonts w:ascii="Arial" w:cs="Arial" w:eastAsia="Arial" w:hAnsi="Arial"/>
                  <w:sz w:val="16"/>
                  <w:szCs w:val="16"/>
                  <w:color w:val="0000EE"/>
                </w:rPr>
                <w:t>Board of Directors Oversight Roles</w:t>
              </w:r>
            </w:hyperlink>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55"/>
        </w:trPr>
        <w:tc>
          <w:tcPr>
            <w:tcW w:w="920" w:type="dxa"/>
            <w:vAlign w:val="bottom"/>
            <w:vMerge w:val="continue"/>
          </w:tcPr>
          <w:p>
            <w:pPr>
              <w:spacing w:after="0"/>
              <w:rPr>
                <w:sz w:val="13"/>
                <w:szCs w:val="13"/>
                <w:color w:val="auto"/>
              </w:rPr>
            </w:pPr>
          </w:p>
        </w:tc>
        <w:tc>
          <w:tcPr>
            <w:tcW w:w="2640" w:type="dxa"/>
            <w:vAlign w:val="bottom"/>
            <w:gridSpan w:val="2"/>
            <w:vMerge w:val="continue"/>
          </w:tcPr>
          <w:p>
            <w:pPr>
              <w:spacing w:after="0"/>
              <w:rPr>
                <w:sz w:val="13"/>
                <w:szCs w:val="13"/>
                <w:color w:val="auto"/>
              </w:rPr>
            </w:pPr>
          </w:p>
        </w:tc>
        <w:tc>
          <w:tcPr>
            <w:tcW w:w="140" w:type="dxa"/>
            <w:vAlign w:val="bottom"/>
            <w:shd w:val="clear" w:color="auto" w:fill="EDEDED"/>
          </w:tcPr>
          <w:p>
            <w:pPr>
              <w:spacing w:after="0"/>
              <w:rPr>
                <w:sz w:val="13"/>
                <w:szCs w:val="13"/>
                <w:color w:val="auto"/>
              </w:rPr>
            </w:pPr>
          </w:p>
        </w:tc>
        <w:tc>
          <w:tcPr>
            <w:tcW w:w="220" w:type="dxa"/>
            <w:vAlign w:val="bottom"/>
          </w:tcPr>
          <w:p>
            <w:pPr>
              <w:spacing w:after="0"/>
              <w:rPr>
                <w:sz w:val="13"/>
                <w:szCs w:val="13"/>
                <w:color w:val="auto"/>
              </w:rPr>
            </w:pPr>
          </w:p>
        </w:tc>
        <w:tc>
          <w:tcPr>
            <w:tcW w:w="4740" w:type="dxa"/>
            <w:vAlign w:val="bottom"/>
            <w:gridSpan w:val="26"/>
            <w:vMerge w:val="continue"/>
          </w:tcPr>
          <w:p>
            <w:pPr>
              <w:spacing w:after="0"/>
              <w:rPr>
                <w:sz w:val="13"/>
                <w:szCs w:val="13"/>
                <w:color w:val="auto"/>
              </w:rPr>
            </w:pPr>
          </w:p>
        </w:tc>
        <w:tc>
          <w:tcPr>
            <w:tcW w:w="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920" w:type="dxa"/>
            <w:vAlign w:val="bottom"/>
            <w:vMerge w:val="continue"/>
          </w:tcPr>
          <w:p>
            <w:pPr>
              <w:spacing w:after="0"/>
              <w:rPr>
                <w:sz w:val="21"/>
                <w:szCs w:val="21"/>
                <w:color w:val="auto"/>
              </w:rPr>
            </w:pPr>
          </w:p>
        </w:tc>
        <w:tc>
          <w:tcPr>
            <w:tcW w:w="2640" w:type="dxa"/>
            <w:vAlign w:val="bottom"/>
            <w:gridSpan w:val="2"/>
            <w:vMerge w:val="restart"/>
          </w:tcPr>
          <w:p>
            <w:pPr>
              <w:ind w:left="220"/>
              <w:spacing w:after="0"/>
              <w:rPr>
                <w:sz w:val="20"/>
                <w:szCs w:val="20"/>
                <w:color w:val="auto"/>
              </w:rPr>
            </w:pPr>
            <w:r>
              <w:rPr>
                <w:rFonts w:ascii="Arial" w:cs="Arial" w:eastAsia="Arial" w:hAnsi="Arial"/>
                <w:sz w:val="28"/>
                <w:szCs w:val="28"/>
                <w:color w:val="0075C9"/>
              </w:rPr>
              <w:t>our Board of</w:t>
            </w:r>
          </w:p>
        </w:tc>
        <w:tc>
          <w:tcPr>
            <w:tcW w:w="140" w:type="dxa"/>
            <w:vAlign w:val="bottom"/>
            <w:tcBorders>
              <w:top w:val="single" w:sz="8" w:color="EDEDED"/>
              <w:bottom w:val="single" w:sz="8" w:color="EDEDED"/>
            </w:tcBorders>
            <w:shd w:val="clear" w:color="auto" w:fill="EDEDED"/>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Borders>
              <w:top w:val="single" w:sz="8" w:color="0000EE"/>
              <w:bottom w:val="single" w:sz="8" w:color="0000EE"/>
            </w:tcBorders>
            <w:gridSpan w:val="6"/>
          </w:tcPr>
          <w:p>
            <w:pPr>
              <w:spacing w:after="0"/>
              <w:rPr>
                <w:rFonts w:ascii="Arial" w:cs="Arial" w:eastAsia="Arial" w:hAnsi="Arial"/>
                <w:sz w:val="16"/>
                <w:szCs w:val="16"/>
                <w:color w:val="0000EE"/>
                <w:w w:val="96"/>
              </w:rPr>
            </w:pPr>
            <w:hyperlink w:anchor="page19">
              <w:r>
                <w:rPr>
                  <w:rFonts w:ascii="Arial" w:cs="Arial" w:eastAsia="Arial" w:hAnsi="Arial"/>
                  <w:sz w:val="16"/>
                  <w:szCs w:val="16"/>
                  <w:color w:val="0000EE"/>
                  <w:w w:val="96"/>
                </w:rPr>
                <w:t>Our Governance Structure</w:t>
              </w:r>
            </w:hyperlink>
          </w:p>
        </w:tc>
        <w:tc>
          <w:tcPr>
            <w:tcW w:w="560" w:type="dxa"/>
            <w:vAlign w:val="bottom"/>
            <w:tcBorders>
              <w:top w:val="single" w:sz="8" w:color="0000EE"/>
            </w:tcBorders>
            <w:gridSpan w:val="5"/>
          </w:tcPr>
          <w:p>
            <w:pPr>
              <w:spacing w:after="0"/>
              <w:rPr>
                <w:sz w:val="21"/>
                <w:szCs w:val="21"/>
                <w:color w:val="auto"/>
              </w:rPr>
            </w:pPr>
          </w:p>
        </w:tc>
        <w:tc>
          <w:tcPr>
            <w:tcW w:w="2340" w:type="dxa"/>
            <w:vAlign w:val="bottom"/>
            <w:gridSpan w:val="15"/>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70"/>
        </w:trPr>
        <w:tc>
          <w:tcPr>
            <w:tcW w:w="920" w:type="dxa"/>
            <w:vAlign w:val="bottom"/>
            <w:vMerge w:val="continue"/>
          </w:tcPr>
          <w:p>
            <w:pPr>
              <w:spacing w:after="0"/>
              <w:rPr>
                <w:sz w:val="14"/>
                <w:szCs w:val="14"/>
                <w:color w:val="auto"/>
              </w:rPr>
            </w:pPr>
          </w:p>
        </w:tc>
        <w:tc>
          <w:tcPr>
            <w:tcW w:w="2640" w:type="dxa"/>
            <w:vAlign w:val="bottom"/>
            <w:gridSpan w:val="2"/>
            <w:vMerge w:val="continue"/>
          </w:tcPr>
          <w:p>
            <w:pPr>
              <w:spacing w:after="0"/>
              <w:rPr>
                <w:sz w:val="14"/>
                <w:szCs w:val="14"/>
                <w:color w:val="auto"/>
              </w:rPr>
            </w:pPr>
          </w:p>
        </w:tc>
        <w:tc>
          <w:tcPr>
            <w:tcW w:w="140" w:type="dxa"/>
            <w:vAlign w:val="bottom"/>
            <w:shd w:val="clear" w:color="auto" w:fill="EDEDED"/>
          </w:tcPr>
          <w:p>
            <w:pPr>
              <w:spacing w:after="0"/>
              <w:rPr>
                <w:sz w:val="14"/>
                <w:szCs w:val="14"/>
                <w:color w:val="auto"/>
              </w:rPr>
            </w:pPr>
          </w:p>
        </w:tc>
        <w:tc>
          <w:tcPr>
            <w:tcW w:w="220" w:type="dxa"/>
            <w:vAlign w:val="bottom"/>
          </w:tcPr>
          <w:p>
            <w:pPr>
              <w:spacing w:after="0"/>
              <w:rPr>
                <w:sz w:val="14"/>
                <w:szCs w:val="14"/>
                <w:color w:val="auto"/>
              </w:rPr>
            </w:pPr>
          </w:p>
        </w:tc>
        <w:tc>
          <w:tcPr>
            <w:tcW w:w="2520" w:type="dxa"/>
            <w:vAlign w:val="bottom"/>
            <w:gridSpan w:val="13"/>
            <w:vMerge w:val="restart"/>
          </w:tcPr>
          <w:p>
            <w:pPr>
              <w:spacing w:after="0"/>
              <w:rPr>
                <w:rFonts w:ascii="Arial" w:cs="Arial" w:eastAsia="Arial" w:hAnsi="Arial"/>
                <w:sz w:val="16"/>
                <w:szCs w:val="16"/>
                <w:color w:val="0000EE"/>
                <w:w w:val="96"/>
              </w:rPr>
            </w:pPr>
            <w:hyperlink w:anchor="page27">
              <w:r>
                <w:rPr>
                  <w:rFonts w:ascii="Arial" w:cs="Arial" w:eastAsia="Arial" w:hAnsi="Arial"/>
                  <w:sz w:val="16"/>
                  <w:szCs w:val="16"/>
                  <w:color w:val="0000EE"/>
                  <w:w w:val="96"/>
                </w:rPr>
                <w:t>Director Selection and Qualifications</w:t>
              </w:r>
            </w:hyperlink>
          </w:p>
        </w:tc>
        <w:tc>
          <w:tcPr>
            <w:tcW w:w="2220" w:type="dxa"/>
            <w:vAlign w:val="bottom"/>
            <w:gridSpan w:val="13"/>
            <w:vMerge w:val="restart"/>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82"/>
        </w:trPr>
        <w:tc>
          <w:tcPr>
            <w:tcW w:w="920" w:type="dxa"/>
            <w:vAlign w:val="bottom"/>
            <w:vMerge w:val="continue"/>
          </w:tcPr>
          <w:p>
            <w:pPr>
              <w:spacing w:after="0"/>
              <w:rPr>
                <w:sz w:val="7"/>
                <w:szCs w:val="7"/>
                <w:color w:val="auto"/>
              </w:rPr>
            </w:pPr>
          </w:p>
        </w:tc>
        <w:tc>
          <w:tcPr>
            <w:tcW w:w="2640" w:type="dxa"/>
            <w:vAlign w:val="bottom"/>
            <w:gridSpan w:val="2"/>
            <w:vMerge w:val="restart"/>
          </w:tcPr>
          <w:p>
            <w:pPr>
              <w:ind w:left="220"/>
              <w:spacing w:after="0"/>
              <w:rPr>
                <w:sz w:val="20"/>
                <w:szCs w:val="20"/>
                <w:color w:val="auto"/>
              </w:rPr>
            </w:pPr>
            <w:r>
              <w:rPr>
                <w:rFonts w:ascii="Arial" w:cs="Arial" w:eastAsia="Arial" w:hAnsi="Arial"/>
                <w:sz w:val="28"/>
                <w:szCs w:val="28"/>
                <w:color w:val="0075C9"/>
              </w:rPr>
              <w:t>Directors</w:t>
            </w:r>
          </w:p>
        </w:tc>
        <w:tc>
          <w:tcPr>
            <w:tcW w:w="140" w:type="dxa"/>
            <w:vAlign w:val="bottom"/>
            <w:tcBorders>
              <w:bottom w:val="single" w:sz="8" w:color="EDEDED"/>
            </w:tcBorders>
            <w:shd w:val="clear" w:color="auto" w:fill="EDEDED"/>
          </w:tcPr>
          <w:p>
            <w:pPr>
              <w:spacing w:after="0"/>
              <w:rPr>
                <w:sz w:val="7"/>
                <w:szCs w:val="7"/>
                <w:color w:val="auto"/>
              </w:rPr>
            </w:pPr>
          </w:p>
        </w:tc>
        <w:tc>
          <w:tcPr>
            <w:tcW w:w="220" w:type="dxa"/>
            <w:vAlign w:val="bottom"/>
          </w:tcPr>
          <w:p>
            <w:pPr>
              <w:spacing w:after="0"/>
              <w:rPr>
                <w:sz w:val="7"/>
                <w:szCs w:val="7"/>
                <w:color w:val="auto"/>
              </w:rPr>
            </w:pPr>
          </w:p>
        </w:tc>
        <w:tc>
          <w:tcPr>
            <w:tcW w:w="2520" w:type="dxa"/>
            <w:vAlign w:val="bottom"/>
            <w:tcBorders>
              <w:bottom w:val="single" w:sz="8" w:color="0000EE"/>
            </w:tcBorders>
            <w:gridSpan w:val="13"/>
            <w:vMerge w:val="continue"/>
          </w:tcPr>
          <w:p>
            <w:pPr>
              <w:spacing w:after="0"/>
              <w:rPr>
                <w:sz w:val="7"/>
                <w:szCs w:val="7"/>
                <w:color w:val="auto"/>
              </w:rPr>
            </w:pPr>
          </w:p>
        </w:tc>
        <w:tc>
          <w:tcPr>
            <w:tcW w:w="2220" w:type="dxa"/>
            <w:vAlign w:val="bottom"/>
            <w:gridSpan w:val="13"/>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920" w:type="dxa"/>
            <w:vAlign w:val="bottom"/>
            <w:vMerge w:val="continue"/>
          </w:tcPr>
          <w:p>
            <w:pPr>
              <w:spacing w:after="0"/>
              <w:rPr>
                <w:sz w:val="20"/>
                <w:szCs w:val="20"/>
                <w:color w:val="auto"/>
              </w:rPr>
            </w:pPr>
          </w:p>
        </w:tc>
        <w:tc>
          <w:tcPr>
            <w:tcW w:w="2640" w:type="dxa"/>
            <w:vAlign w:val="bottom"/>
            <w:gridSpan w:val="2"/>
            <w:vMerge w:val="continue"/>
          </w:tcPr>
          <w:p>
            <w:pPr>
              <w:spacing w:after="0"/>
              <w:rPr>
                <w:sz w:val="20"/>
                <w:szCs w:val="20"/>
                <w:color w:val="auto"/>
              </w:rPr>
            </w:pPr>
          </w:p>
        </w:tc>
        <w:tc>
          <w:tcPr>
            <w:tcW w:w="140" w:type="dxa"/>
            <w:vAlign w:val="bottom"/>
            <w:shd w:val="clear" w:color="auto" w:fill="EDEDED"/>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3"/>
            <w:vMerge w:val="restart"/>
          </w:tcPr>
          <w:p>
            <w:pPr>
              <w:spacing w:after="0"/>
              <w:rPr>
                <w:rFonts w:ascii="Arial" w:cs="Arial" w:eastAsia="Arial" w:hAnsi="Arial"/>
                <w:sz w:val="16"/>
                <w:szCs w:val="16"/>
                <w:color w:val="0000EE"/>
                <w:w w:val="96"/>
              </w:rPr>
            </w:pPr>
            <w:hyperlink w:anchor="page28">
              <w:r>
                <w:rPr>
                  <w:rFonts w:ascii="Arial" w:cs="Arial" w:eastAsia="Arial" w:hAnsi="Arial"/>
                  <w:sz w:val="16"/>
                  <w:szCs w:val="16"/>
                  <w:color w:val="0000EE"/>
                  <w:w w:val="96"/>
                </w:rPr>
                <w:t>Board Composition</w:t>
              </w:r>
            </w:hyperlink>
          </w:p>
        </w:tc>
        <w:tc>
          <w:tcPr>
            <w:tcW w:w="3400" w:type="dxa"/>
            <w:vAlign w:val="bottom"/>
            <w:gridSpan w:val="23"/>
            <w:vMerge w:val="restart"/>
          </w:tcPr>
          <w:p>
            <w:pPr>
              <w:spacing w:after="0"/>
              <w:rPr>
                <w:sz w:val="20"/>
                <w:szCs w:val="20"/>
                <w:color w:val="auto"/>
              </w:rPr>
            </w:pP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2"/>
        </w:trPr>
        <w:tc>
          <w:tcPr>
            <w:tcW w:w="920" w:type="dxa"/>
            <w:vAlign w:val="bottom"/>
            <w:vMerge w:val="continue"/>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EDEDED"/>
            </w:tcBorders>
            <w:shd w:val="clear" w:color="auto" w:fill="EDEDED"/>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0000EE"/>
            </w:tcBorders>
            <w:gridSpan w:val="3"/>
            <w:vMerge w:val="continue"/>
          </w:tcPr>
          <w:p>
            <w:pPr>
              <w:spacing w:after="0" w:line="20" w:lineRule="exact"/>
              <w:rPr>
                <w:sz w:val="1"/>
                <w:szCs w:val="1"/>
                <w:color w:val="auto"/>
              </w:rPr>
            </w:pPr>
          </w:p>
        </w:tc>
        <w:tc>
          <w:tcPr>
            <w:tcW w:w="3400" w:type="dxa"/>
            <w:vAlign w:val="bottom"/>
            <w:gridSpan w:val="23"/>
            <w:vMerge w:val="continue"/>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2"/>
        </w:trPr>
        <w:tc>
          <w:tcPr>
            <w:tcW w:w="920" w:type="dxa"/>
            <w:vAlign w:val="bottom"/>
            <w:vMerge w:val="continue"/>
          </w:tcPr>
          <w:p>
            <w:pPr>
              <w:spacing w:after="0"/>
              <w:rPr>
                <w:sz w:val="21"/>
                <w:szCs w:val="21"/>
                <w:color w:val="auto"/>
              </w:rPr>
            </w:pPr>
          </w:p>
        </w:tc>
        <w:tc>
          <w:tcPr>
            <w:tcW w:w="2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Borders>
              <w:bottom w:val="single" w:sz="8" w:color="EDEDED"/>
            </w:tcBorders>
            <w:shd w:val="clear" w:color="auto" w:fill="EDEDED"/>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Borders>
              <w:bottom w:val="single" w:sz="8" w:color="0000EE"/>
            </w:tcBorders>
            <w:gridSpan w:val="5"/>
          </w:tcPr>
          <w:p>
            <w:pPr>
              <w:spacing w:after="0"/>
              <w:rPr>
                <w:rFonts w:ascii="Arial" w:cs="Arial" w:eastAsia="Arial" w:hAnsi="Arial"/>
                <w:sz w:val="16"/>
                <w:szCs w:val="16"/>
                <w:color w:val="0000EE"/>
                <w:w w:val="99"/>
              </w:rPr>
            </w:pPr>
            <w:hyperlink w:anchor="page30">
              <w:r>
                <w:rPr>
                  <w:rFonts w:ascii="Arial" w:cs="Arial" w:eastAsia="Arial" w:hAnsi="Arial"/>
                  <w:sz w:val="16"/>
                  <w:szCs w:val="16"/>
                  <w:color w:val="0000EE"/>
                  <w:w w:val="99"/>
                </w:rPr>
                <w:t>Our Director Nominees</w:t>
              </w:r>
            </w:hyperlink>
          </w:p>
        </w:tc>
        <w:tc>
          <w:tcPr>
            <w:tcW w:w="3080" w:type="dxa"/>
            <w:vAlign w:val="bottom"/>
            <w:gridSpan w:val="21"/>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52"/>
        </w:trPr>
        <w:tc>
          <w:tcPr>
            <w:tcW w:w="9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shd w:val="clear" w:color="auto" w:fill="EDEDED"/>
          </w:tcPr>
          <w:p>
            <w:pPr>
              <w:spacing w:after="0"/>
              <w:rPr>
                <w:sz w:val="21"/>
                <w:szCs w:val="21"/>
                <w:color w:val="auto"/>
              </w:rPr>
            </w:pPr>
          </w:p>
        </w:tc>
        <w:tc>
          <w:tcPr>
            <w:tcW w:w="220" w:type="dxa"/>
            <w:vAlign w:val="bottom"/>
          </w:tcPr>
          <w:p>
            <w:pPr>
              <w:spacing w:after="0"/>
              <w:rPr>
                <w:sz w:val="21"/>
                <w:szCs w:val="21"/>
                <w:color w:val="auto"/>
              </w:rPr>
            </w:pPr>
          </w:p>
        </w:tc>
        <w:tc>
          <w:tcPr>
            <w:tcW w:w="4740" w:type="dxa"/>
            <w:vAlign w:val="bottom"/>
            <w:gridSpan w:val="26"/>
          </w:tcPr>
          <w:p>
            <w:pPr>
              <w:spacing w:after="0"/>
              <w:rPr>
                <w:rFonts w:ascii="Arial" w:cs="Arial" w:eastAsia="Arial" w:hAnsi="Arial"/>
                <w:sz w:val="16"/>
                <w:szCs w:val="16"/>
                <w:color w:val="0000EE"/>
              </w:rPr>
            </w:pPr>
            <w:hyperlink w:anchor="page37">
              <w:r>
                <w:rPr>
                  <w:rFonts w:ascii="Arial" w:cs="Arial" w:eastAsia="Arial" w:hAnsi="Arial"/>
                  <w:sz w:val="16"/>
                  <w:szCs w:val="16"/>
                  <w:color w:val="0000EE"/>
                </w:rPr>
                <w:t>Director Compensation</w:t>
              </w:r>
            </w:hyperlink>
          </w:p>
        </w:tc>
        <w:tc>
          <w:tcPr>
            <w:tcW w:w="38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97"/>
        </w:trPr>
        <w:tc>
          <w:tcPr>
            <w:tcW w:w="920" w:type="dxa"/>
            <w:vAlign w:val="bottom"/>
            <w:tcBorders>
              <w:bottom w:val="single" w:sz="8" w:color="0075C9"/>
            </w:tcBorders>
          </w:tcPr>
          <w:p>
            <w:pPr>
              <w:spacing w:after="0"/>
              <w:rPr>
                <w:sz w:val="8"/>
                <w:szCs w:val="8"/>
                <w:color w:val="auto"/>
              </w:rPr>
            </w:pPr>
          </w:p>
        </w:tc>
        <w:tc>
          <w:tcPr>
            <w:tcW w:w="2480" w:type="dxa"/>
            <w:vAlign w:val="bottom"/>
            <w:tcBorders>
              <w:bottom w:val="single" w:sz="8" w:color="0075C9"/>
            </w:tcBorders>
          </w:tcPr>
          <w:p>
            <w:pPr>
              <w:spacing w:after="0"/>
              <w:rPr>
                <w:sz w:val="8"/>
                <w:szCs w:val="8"/>
                <w:color w:val="auto"/>
              </w:rPr>
            </w:pPr>
          </w:p>
        </w:tc>
        <w:tc>
          <w:tcPr>
            <w:tcW w:w="160" w:type="dxa"/>
            <w:vAlign w:val="bottom"/>
            <w:tcBorders>
              <w:bottom w:val="single" w:sz="8" w:color="0075C9"/>
            </w:tcBorders>
          </w:tcPr>
          <w:p>
            <w:pPr>
              <w:spacing w:after="0"/>
              <w:rPr>
                <w:sz w:val="8"/>
                <w:szCs w:val="8"/>
                <w:color w:val="auto"/>
              </w:rPr>
            </w:pPr>
          </w:p>
        </w:tc>
        <w:tc>
          <w:tcPr>
            <w:tcW w:w="140" w:type="dxa"/>
            <w:vAlign w:val="bottom"/>
            <w:tcBorders>
              <w:top w:val="single" w:sz="8" w:color="EDEDED"/>
              <w:bottom w:val="single" w:sz="8" w:color="0075C9"/>
            </w:tcBorders>
            <w:shd w:val="clear" w:color="auto" w:fill="EDEDED"/>
          </w:tcPr>
          <w:p>
            <w:pPr>
              <w:spacing w:after="0"/>
              <w:rPr>
                <w:sz w:val="8"/>
                <w:szCs w:val="8"/>
                <w:color w:val="auto"/>
              </w:rPr>
            </w:pPr>
          </w:p>
        </w:tc>
        <w:tc>
          <w:tcPr>
            <w:tcW w:w="220" w:type="dxa"/>
            <w:vAlign w:val="bottom"/>
            <w:tcBorders>
              <w:bottom w:val="single" w:sz="8" w:color="0075C9"/>
            </w:tcBorders>
          </w:tcPr>
          <w:p>
            <w:pPr>
              <w:spacing w:after="0"/>
              <w:rPr>
                <w:sz w:val="8"/>
                <w:szCs w:val="8"/>
                <w:color w:val="auto"/>
              </w:rPr>
            </w:pPr>
          </w:p>
        </w:tc>
        <w:tc>
          <w:tcPr>
            <w:tcW w:w="320" w:type="dxa"/>
            <w:vAlign w:val="bottom"/>
            <w:tcBorders>
              <w:top w:val="single" w:sz="8" w:color="0000EE"/>
              <w:bottom w:val="single" w:sz="8" w:color="0075C9"/>
            </w:tcBorders>
          </w:tcPr>
          <w:p>
            <w:pPr>
              <w:spacing w:after="0"/>
              <w:rPr>
                <w:sz w:val="8"/>
                <w:szCs w:val="8"/>
                <w:color w:val="auto"/>
              </w:rPr>
            </w:pPr>
          </w:p>
        </w:tc>
        <w:tc>
          <w:tcPr>
            <w:tcW w:w="740" w:type="dxa"/>
            <w:vAlign w:val="bottom"/>
            <w:tcBorders>
              <w:top w:val="single" w:sz="8" w:color="0000EE"/>
              <w:bottom w:val="single" w:sz="8" w:color="0075C9"/>
            </w:tcBorders>
          </w:tcPr>
          <w:p>
            <w:pPr>
              <w:spacing w:after="0"/>
              <w:rPr>
                <w:sz w:val="8"/>
                <w:szCs w:val="8"/>
                <w:color w:val="auto"/>
              </w:rPr>
            </w:pPr>
          </w:p>
        </w:tc>
        <w:tc>
          <w:tcPr>
            <w:tcW w:w="280" w:type="dxa"/>
            <w:vAlign w:val="bottom"/>
            <w:tcBorders>
              <w:top w:val="single" w:sz="8" w:color="0000EE"/>
              <w:bottom w:val="single" w:sz="8" w:color="0075C9"/>
            </w:tcBorders>
          </w:tcPr>
          <w:p>
            <w:pPr>
              <w:spacing w:after="0"/>
              <w:rPr>
                <w:sz w:val="8"/>
                <w:szCs w:val="8"/>
                <w:color w:val="auto"/>
              </w:rPr>
            </w:pPr>
          </w:p>
        </w:tc>
        <w:tc>
          <w:tcPr>
            <w:tcW w:w="240" w:type="dxa"/>
            <w:vAlign w:val="bottom"/>
            <w:tcBorders>
              <w:top w:val="single" w:sz="8" w:color="0000EE"/>
              <w:bottom w:val="single" w:sz="8" w:color="0075C9"/>
            </w:tcBorders>
          </w:tcPr>
          <w:p>
            <w:pPr>
              <w:spacing w:after="0"/>
              <w:rPr>
                <w:sz w:val="8"/>
                <w:szCs w:val="8"/>
                <w:color w:val="auto"/>
              </w:rPr>
            </w:pPr>
          </w:p>
        </w:tc>
        <w:tc>
          <w:tcPr>
            <w:tcW w:w="80" w:type="dxa"/>
            <w:vAlign w:val="bottom"/>
            <w:tcBorders>
              <w:top w:val="single" w:sz="8" w:color="0000EE"/>
              <w:bottom w:val="single" w:sz="8" w:color="0075C9"/>
            </w:tcBorders>
          </w:tcPr>
          <w:p>
            <w:pPr>
              <w:spacing w:after="0"/>
              <w:rPr>
                <w:sz w:val="8"/>
                <w:szCs w:val="8"/>
                <w:color w:val="auto"/>
              </w:rPr>
            </w:pPr>
          </w:p>
        </w:tc>
        <w:tc>
          <w:tcPr>
            <w:tcW w:w="180" w:type="dxa"/>
            <w:vAlign w:val="bottom"/>
            <w:tcBorders>
              <w:bottom w:val="single" w:sz="8" w:color="0075C9"/>
            </w:tcBorders>
          </w:tcPr>
          <w:p>
            <w:pPr>
              <w:spacing w:after="0"/>
              <w:rPr>
                <w:sz w:val="8"/>
                <w:szCs w:val="8"/>
                <w:color w:val="auto"/>
              </w:rPr>
            </w:pPr>
          </w:p>
        </w:tc>
        <w:tc>
          <w:tcPr>
            <w:tcW w:w="100" w:type="dxa"/>
            <w:vAlign w:val="bottom"/>
            <w:tcBorders>
              <w:bottom w:val="single" w:sz="8" w:color="0075C9"/>
            </w:tcBorders>
          </w:tcPr>
          <w:p>
            <w:pPr>
              <w:spacing w:after="0"/>
              <w:rPr>
                <w:sz w:val="8"/>
                <w:szCs w:val="8"/>
                <w:color w:val="auto"/>
              </w:rPr>
            </w:pPr>
          </w:p>
        </w:tc>
        <w:tc>
          <w:tcPr>
            <w:tcW w:w="60" w:type="dxa"/>
            <w:vAlign w:val="bottom"/>
            <w:tcBorders>
              <w:bottom w:val="single" w:sz="8" w:color="0075C9"/>
            </w:tcBorders>
          </w:tcPr>
          <w:p>
            <w:pPr>
              <w:spacing w:after="0"/>
              <w:rPr>
                <w:sz w:val="8"/>
                <w:szCs w:val="8"/>
                <w:color w:val="auto"/>
              </w:rPr>
            </w:pPr>
          </w:p>
        </w:tc>
        <w:tc>
          <w:tcPr>
            <w:tcW w:w="240" w:type="dxa"/>
            <w:vAlign w:val="bottom"/>
            <w:tcBorders>
              <w:bottom w:val="single" w:sz="8" w:color="0075C9"/>
            </w:tcBorders>
          </w:tcPr>
          <w:p>
            <w:pPr>
              <w:spacing w:after="0"/>
              <w:rPr>
                <w:sz w:val="8"/>
                <w:szCs w:val="8"/>
                <w:color w:val="auto"/>
              </w:rPr>
            </w:pPr>
          </w:p>
        </w:tc>
        <w:tc>
          <w:tcPr>
            <w:tcW w:w="120" w:type="dxa"/>
            <w:vAlign w:val="bottom"/>
            <w:tcBorders>
              <w:bottom w:val="single" w:sz="8" w:color="0075C9"/>
            </w:tcBorders>
          </w:tcPr>
          <w:p>
            <w:pPr>
              <w:spacing w:after="0"/>
              <w:rPr>
                <w:sz w:val="8"/>
                <w:szCs w:val="8"/>
                <w:color w:val="auto"/>
              </w:rPr>
            </w:pPr>
          </w:p>
        </w:tc>
        <w:tc>
          <w:tcPr>
            <w:tcW w:w="40" w:type="dxa"/>
            <w:vAlign w:val="bottom"/>
            <w:tcBorders>
              <w:bottom w:val="single" w:sz="8" w:color="0075C9"/>
            </w:tcBorders>
          </w:tcPr>
          <w:p>
            <w:pPr>
              <w:spacing w:after="0"/>
              <w:rPr>
                <w:sz w:val="8"/>
                <w:szCs w:val="8"/>
                <w:color w:val="auto"/>
              </w:rPr>
            </w:pPr>
          </w:p>
        </w:tc>
        <w:tc>
          <w:tcPr>
            <w:tcW w:w="40" w:type="dxa"/>
            <w:vAlign w:val="bottom"/>
            <w:tcBorders>
              <w:bottom w:val="single" w:sz="8" w:color="0075C9"/>
            </w:tcBorders>
          </w:tcPr>
          <w:p>
            <w:pPr>
              <w:spacing w:after="0"/>
              <w:rPr>
                <w:sz w:val="8"/>
                <w:szCs w:val="8"/>
                <w:color w:val="auto"/>
              </w:rPr>
            </w:pPr>
          </w:p>
        </w:tc>
        <w:tc>
          <w:tcPr>
            <w:tcW w:w="80" w:type="dxa"/>
            <w:vAlign w:val="bottom"/>
            <w:tcBorders>
              <w:bottom w:val="single" w:sz="8" w:color="0075C9"/>
            </w:tcBorders>
          </w:tcPr>
          <w:p>
            <w:pPr>
              <w:spacing w:after="0"/>
              <w:rPr>
                <w:sz w:val="8"/>
                <w:szCs w:val="8"/>
                <w:color w:val="auto"/>
              </w:rPr>
            </w:pPr>
          </w:p>
        </w:tc>
        <w:tc>
          <w:tcPr>
            <w:tcW w:w="60" w:type="dxa"/>
            <w:vAlign w:val="bottom"/>
            <w:tcBorders>
              <w:bottom w:val="single" w:sz="8" w:color="0075C9"/>
            </w:tcBorders>
          </w:tcPr>
          <w:p>
            <w:pPr>
              <w:spacing w:after="0"/>
              <w:rPr>
                <w:sz w:val="8"/>
                <w:szCs w:val="8"/>
                <w:color w:val="auto"/>
              </w:rPr>
            </w:pPr>
          </w:p>
        </w:tc>
        <w:tc>
          <w:tcPr>
            <w:tcW w:w="80" w:type="dxa"/>
            <w:vAlign w:val="bottom"/>
            <w:tcBorders>
              <w:bottom w:val="single" w:sz="8" w:color="0075C9"/>
            </w:tcBorders>
          </w:tcPr>
          <w:p>
            <w:pPr>
              <w:spacing w:after="0"/>
              <w:rPr>
                <w:sz w:val="8"/>
                <w:szCs w:val="8"/>
                <w:color w:val="auto"/>
              </w:rPr>
            </w:pPr>
          </w:p>
        </w:tc>
        <w:tc>
          <w:tcPr>
            <w:tcW w:w="40" w:type="dxa"/>
            <w:vAlign w:val="bottom"/>
            <w:tcBorders>
              <w:bottom w:val="single" w:sz="8" w:color="0075C9"/>
            </w:tcBorders>
          </w:tcPr>
          <w:p>
            <w:pPr>
              <w:spacing w:after="0"/>
              <w:rPr>
                <w:sz w:val="8"/>
                <w:szCs w:val="8"/>
                <w:color w:val="auto"/>
              </w:rPr>
            </w:pPr>
          </w:p>
        </w:tc>
        <w:tc>
          <w:tcPr>
            <w:tcW w:w="40" w:type="dxa"/>
            <w:vAlign w:val="bottom"/>
            <w:tcBorders>
              <w:bottom w:val="single" w:sz="8" w:color="0075C9"/>
            </w:tcBorders>
          </w:tcPr>
          <w:p>
            <w:pPr>
              <w:spacing w:after="0"/>
              <w:rPr>
                <w:sz w:val="8"/>
                <w:szCs w:val="8"/>
                <w:color w:val="auto"/>
              </w:rPr>
            </w:pPr>
          </w:p>
        </w:tc>
        <w:tc>
          <w:tcPr>
            <w:tcW w:w="140" w:type="dxa"/>
            <w:vAlign w:val="bottom"/>
            <w:tcBorders>
              <w:bottom w:val="single" w:sz="8" w:color="0075C9"/>
            </w:tcBorders>
          </w:tcPr>
          <w:p>
            <w:pPr>
              <w:spacing w:after="0"/>
              <w:rPr>
                <w:sz w:val="8"/>
                <w:szCs w:val="8"/>
                <w:color w:val="auto"/>
              </w:rPr>
            </w:pPr>
          </w:p>
        </w:tc>
        <w:tc>
          <w:tcPr>
            <w:tcW w:w="80" w:type="dxa"/>
            <w:vAlign w:val="bottom"/>
            <w:tcBorders>
              <w:bottom w:val="single" w:sz="8" w:color="0075C9"/>
            </w:tcBorders>
          </w:tcPr>
          <w:p>
            <w:pPr>
              <w:spacing w:after="0"/>
              <w:rPr>
                <w:sz w:val="8"/>
                <w:szCs w:val="8"/>
                <w:color w:val="auto"/>
              </w:rPr>
            </w:pPr>
          </w:p>
        </w:tc>
        <w:tc>
          <w:tcPr>
            <w:tcW w:w="40" w:type="dxa"/>
            <w:vAlign w:val="bottom"/>
            <w:tcBorders>
              <w:bottom w:val="single" w:sz="8" w:color="0075C9"/>
            </w:tcBorders>
          </w:tcPr>
          <w:p>
            <w:pPr>
              <w:spacing w:after="0"/>
              <w:rPr>
                <w:sz w:val="8"/>
                <w:szCs w:val="8"/>
                <w:color w:val="auto"/>
              </w:rPr>
            </w:pPr>
          </w:p>
        </w:tc>
        <w:tc>
          <w:tcPr>
            <w:tcW w:w="400" w:type="dxa"/>
            <w:vAlign w:val="bottom"/>
            <w:tcBorders>
              <w:bottom w:val="single" w:sz="8" w:color="0075C9"/>
            </w:tcBorders>
          </w:tcPr>
          <w:p>
            <w:pPr>
              <w:spacing w:after="0"/>
              <w:rPr>
                <w:sz w:val="8"/>
                <w:szCs w:val="8"/>
                <w:color w:val="auto"/>
              </w:rPr>
            </w:pPr>
          </w:p>
        </w:tc>
        <w:tc>
          <w:tcPr>
            <w:tcW w:w="660" w:type="dxa"/>
            <w:vAlign w:val="bottom"/>
            <w:tcBorders>
              <w:bottom w:val="single" w:sz="8" w:color="0075C9"/>
            </w:tcBorders>
          </w:tcPr>
          <w:p>
            <w:pPr>
              <w:spacing w:after="0"/>
              <w:rPr>
                <w:sz w:val="8"/>
                <w:szCs w:val="8"/>
                <w:color w:val="auto"/>
              </w:rPr>
            </w:pPr>
          </w:p>
        </w:tc>
        <w:tc>
          <w:tcPr>
            <w:tcW w:w="220" w:type="dxa"/>
            <w:vAlign w:val="bottom"/>
            <w:tcBorders>
              <w:bottom w:val="single" w:sz="8" w:color="0075C9"/>
            </w:tcBorders>
          </w:tcPr>
          <w:p>
            <w:pPr>
              <w:spacing w:after="0"/>
              <w:rPr>
                <w:sz w:val="8"/>
                <w:szCs w:val="8"/>
                <w:color w:val="auto"/>
              </w:rPr>
            </w:pPr>
          </w:p>
        </w:tc>
        <w:tc>
          <w:tcPr>
            <w:tcW w:w="220" w:type="dxa"/>
            <w:vAlign w:val="bottom"/>
            <w:tcBorders>
              <w:bottom w:val="single" w:sz="8" w:color="0075C9"/>
            </w:tcBorders>
          </w:tcPr>
          <w:p>
            <w:pPr>
              <w:spacing w:after="0"/>
              <w:rPr>
                <w:sz w:val="8"/>
                <w:szCs w:val="8"/>
                <w:color w:val="auto"/>
              </w:rPr>
            </w:pPr>
          </w:p>
        </w:tc>
        <w:tc>
          <w:tcPr>
            <w:tcW w:w="20" w:type="dxa"/>
            <w:vAlign w:val="bottom"/>
            <w:tcBorders>
              <w:bottom w:val="single" w:sz="8" w:color="0075C9"/>
            </w:tcBorders>
          </w:tcPr>
          <w:p>
            <w:pPr>
              <w:spacing w:after="0"/>
              <w:rPr>
                <w:sz w:val="8"/>
                <w:szCs w:val="8"/>
                <w:color w:val="auto"/>
              </w:rPr>
            </w:pPr>
          </w:p>
        </w:tc>
        <w:tc>
          <w:tcPr>
            <w:tcW w:w="220" w:type="dxa"/>
            <w:vAlign w:val="bottom"/>
            <w:tcBorders>
              <w:bottom w:val="single" w:sz="8" w:color="0075C9"/>
            </w:tcBorders>
          </w:tcPr>
          <w:p>
            <w:pPr>
              <w:spacing w:after="0"/>
              <w:rPr>
                <w:sz w:val="8"/>
                <w:szCs w:val="8"/>
                <w:color w:val="auto"/>
              </w:rPr>
            </w:pPr>
          </w:p>
        </w:tc>
        <w:tc>
          <w:tcPr>
            <w:tcW w:w="380" w:type="dxa"/>
            <w:vAlign w:val="bottom"/>
            <w:tcBorders>
              <w:bottom w:val="single" w:sz="8" w:color="0075C9"/>
            </w:tcBorders>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920" w:type="dxa"/>
            <w:vAlign w:val="bottom"/>
            <w:vMerge w:val="restart"/>
          </w:tcPr>
          <w:p>
            <w:pPr>
              <w:ind w:left="80"/>
              <w:spacing w:after="0"/>
              <w:rPr>
                <w:sz w:val="20"/>
                <w:szCs w:val="20"/>
                <w:color w:val="auto"/>
              </w:rPr>
            </w:pPr>
            <w:r>
              <w:rPr>
                <w:rFonts w:ascii="Arial" w:cs="Arial" w:eastAsia="Arial" w:hAnsi="Arial"/>
                <w:sz w:val="138"/>
                <w:szCs w:val="138"/>
                <w:color w:val="0075C9"/>
              </w:rPr>
              <w:t>2</w:t>
            </w:r>
          </w:p>
        </w:tc>
        <w:tc>
          <w:tcPr>
            <w:tcW w:w="2480" w:type="dxa"/>
            <w:vAlign w:val="bottom"/>
            <w:vMerge w:val="restart"/>
            <w:shd w:val="clear" w:color="auto" w:fill="EDEDED"/>
          </w:tcPr>
          <w:p>
            <w:pPr>
              <w:ind w:left="220"/>
              <w:spacing w:after="0"/>
              <w:rPr>
                <w:sz w:val="20"/>
                <w:szCs w:val="20"/>
                <w:color w:val="auto"/>
              </w:rPr>
            </w:pPr>
            <w:r>
              <w:rPr>
                <w:rFonts w:ascii="Arial" w:cs="Arial" w:eastAsia="Arial" w:hAnsi="Arial"/>
                <w:sz w:val="28"/>
                <w:szCs w:val="28"/>
                <w:color w:val="0075C9"/>
              </w:rPr>
              <w:t>Named Executive</w:t>
            </w:r>
          </w:p>
        </w:tc>
        <w:tc>
          <w:tcPr>
            <w:tcW w:w="160" w:type="dxa"/>
            <w:vAlign w:val="bottom"/>
            <w:shd w:val="clear" w:color="auto" w:fill="EDEDED"/>
          </w:tcPr>
          <w:p>
            <w:pPr>
              <w:spacing w:after="0"/>
              <w:rPr>
                <w:sz w:val="19"/>
                <w:szCs w:val="19"/>
                <w:color w:val="auto"/>
              </w:rPr>
            </w:pPr>
          </w:p>
        </w:tc>
        <w:tc>
          <w:tcPr>
            <w:tcW w:w="140" w:type="dxa"/>
            <w:vAlign w:val="bottom"/>
            <w:shd w:val="clear" w:color="auto" w:fill="EDEDED"/>
          </w:tcPr>
          <w:p>
            <w:pPr>
              <w:spacing w:after="0"/>
              <w:rPr>
                <w:sz w:val="19"/>
                <w:szCs w:val="19"/>
                <w:color w:val="auto"/>
              </w:rPr>
            </w:pPr>
          </w:p>
        </w:tc>
        <w:tc>
          <w:tcPr>
            <w:tcW w:w="220" w:type="dxa"/>
            <w:vAlign w:val="bottom"/>
          </w:tcPr>
          <w:p>
            <w:pPr>
              <w:spacing w:after="0"/>
              <w:rPr>
                <w:sz w:val="19"/>
                <w:szCs w:val="19"/>
                <w:color w:val="auto"/>
              </w:rPr>
            </w:pPr>
          </w:p>
        </w:tc>
        <w:tc>
          <w:tcPr>
            <w:tcW w:w="4740" w:type="dxa"/>
            <w:vAlign w:val="bottom"/>
            <w:gridSpan w:val="26"/>
          </w:tcPr>
          <w:p>
            <w:pPr>
              <w:spacing w:after="0"/>
              <w:rPr>
                <w:rFonts w:ascii="Arial" w:cs="Arial" w:eastAsia="Arial" w:hAnsi="Arial"/>
                <w:sz w:val="16"/>
                <w:szCs w:val="16"/>
                <w:color w:val="0000EE"/>
              </w:rPr>
            </w:pPr>
            <w:hyperlink w:anchor="page40">
              <w:r>
                <w:rPr>
                  <w:rFonts w:ascii="Arial" w:cs="Arial" w:eastAsia="Arial" w:hAnsi="Arial"/>
                  <w:sz w:val="16"/>
                  <w:szCs w:val="16"/>
                  <w:color w:val="0000EE"/>
                </w:rPr>
                <w:t>A Letter from the Compensation Committee</w:t>
              </w:r>
            </w:hyperlink>
          </w:p>
        </w:tc>
        <w:tc>
          <w:tcPr>
            <w:tcW w:w="38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3"/>
        </w:trPr>
        <w:tc>
          <w:tcPr>
            <w:tcW w:w="920" w:type="dxa"/>
            <w:vAlign w:val="bottom"/>
            <w:vMerge w:val="continue"/>
          </w:tcPr>
          <w:p>
            <w:pPr>
              <w:spacing w:after="0"/>
              <w:rPr>
                <w:sz w:val="18"/>
                <w:szCs w:val="18"/>
                <w:color w:val="auto"/>
              </w:rPr>
            </w:pPr>
          </w:p>
        </w:tc>
        <w:tc>
          <w:tcPr>
            <w:tcW w:w="2480" w:type="dxa"/>
            <w:vAlign w:val="bottom"/>
            <w:tcBorders>
              <w:top w:val="single" w:sz="8" w:color="EDEDED"/>
            </w:tcBorders>
            <w:vMerge w:val="continue"/>
            <w:shd w:val="clear" w:color="auto" w:fill="EDEDED"/>
          </w:tcPr>
          <w:p>
            <w:pPr>
              <w:spacing w:after="0"/>
              <w:rPr>
                <w:sz w:val="18"/>
                <w:szCs w:val="18"/>
                <w:color w:val="auto"/>
              </w:rPr>
            </w:pPr>
          </w:p>
        </w:tc>
        <w:tc>
          <w:tcPr>
            <w:tcW w:w="160" w:type="dxa"/>
            <w:vAlign w:val="bottom"/>
            <w:tcBorders>
              <w:top w:val="single" w:sz="8" w:color="EDEDED"/>
            </w:tcBorders>
            <w:shd w:val="clear" w:color="auto" w:fill="EDEDED"/>
          </w:tcPr>
          <w:p>
            <w:pPr>
              <w:spacing w:after="0"/>
              <w:rPr>
                <w:sz w:val="18"/>
                <w:szCs w:val="18"/>
                <w:color w:val="auto"/>
              </w:rPr>
            </w:pPr>
          </w:p>
        </w:tc>
        <w:tc>
          <w:tcPr>
            <w:tcW w:w="140" w:type="dxa"/>
            <w:vAlign w:val="bottom"/>
            <w:tcBorders>
              <w:top w:val="single" w:sz="8" w:color="EDEDED"/>
            </w:tcBorders>
            <w:shd w:val="clear" w:color="auto" w:fill="EDEDED"/>
          </w:tcPr>
          <w:p>
            <w:pPr>
              <w:spacing w:after="0"/>
              <w:rPr>
                <w:sz w:val="18"/>
                <w:szCs w:val="18"/>
                <w:color w:val="auto"/>
              </w:rPr>
            </w:pPr>
          </w:p>
        </w:tc>
        <w:tc>
          <w:tcPr>
            <w:tcW w:w="220" w:type="dxa"/>
            <w:vAlign w:val="bottom"/>
          </w:tcPr>
          <w:p>
            <w:pPr>
              <w:spacing w:after="0"/>
              <w:rPr>
                <w:sz w:val="18"/>
                <w:szCs w:val="18"/>
                <w:color w:val="auto"/>
              </w:rPr>
            </w:pPr>
          </w:p>
        </w:tc>
        <w:tc>
          <w:tcPr>
            <w:tcW w:w="3000" w:type="dxa"/>
            <w:vAlign w:val="bottom"/>
            <w:tcBorders>
              <w:top w:val="single" w:sz="8" w:color="0000EE"/>
            </w:tcBorders>
            <w:gridSpan w:val="20"/>
          </w:tcPr>
          <w:p>
            <w:pPr>
              <w:spacing w:after="0"/>
              <w:rPr>
                <w:rFonts w:ascii="Arial" w:cs="Arial" w:eastAsia="Arial" w:hAnsi="Arial"/>
                <w:sz w:val="16"/>
                <w:szCs w:val="16"/>
                <w:color w:val="0000EE"/>
              </w:rPr>
            </w:pPr>
            <w:hyperlink w:anchor="page41">
              <w:r>
                <w:rPr>
                  <w:rFonts w:ascii="Arial" w:cs="Arial" w:eastAsia="Arial" w:hAnsi="Arial"/>
                  <w:sz w:val="16"/>
                  <w:szCs w:val="16"/>
                  <w:color w:val="0000EE"/>
                </w:rPr>
                <w:t>Compensation Discussion and Analysis</w:t>
              </w:r>
            </w:hyperlink>
          </w:p>
        </w:tc>
        <w:tc>
          <w:tcPr>
            <w:tcW w:w="1740" w:type="dxa"/>
            <w:vAlign w:val="bottom"/>
            <w:gridSpan w:val="6"/>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0"/>
        </w:trPr>
        <w:tc>
          <w:tcPr>
            <w:tcW w:w="920" w:type="dxa"/>
            <w:vAlign w:val="bottom"/>
            <w:vMerge w:val="continue"/>
          </w:tcPr>
          <w:p>
            <w:pPr>
              <w:spacing w:after="0"/>
              <w:rPr>
                <w:sz w:val="17"/>
                <w:szCs w:val="17"/>
                <w:color w:val="auto"/>
              </w:rPr>
            </w:pPr>
          </w:p>
        </w:tc>
        <w:tc>
          <w:tcPr>
            <w:tcW w:w="2480" w:type="dxa"/>
            <w:vAlign w:val="bottom"/>
            <w:tcBorders>
              <w:top w:val="single" w:sz="8" w:color="EDEDED"/>
              <w:bottom w:val="single" w:sz="8" w:color="EDEDED"/>
            </w:tcBorders>
            <w:shd w:val="clear" w:color="auto" w:fill="EDEDED"/>
          </w:tcPr>
          <w:p>
            <w:pPr>
              <w:ind w:left="220"/>
              <w:spacing w:after="0" w:line="188" w:lineRule="exact"/>
              <w:rPr>
                <w:sz w:val="20"/>
                <w:szCs w:val="20"/>
                <w:color w:val="auto"/>
              </w:rPr>
            </w:pPr>
            <w:r>
              <w:rPr>
                <w:rFonts w:ascii="Arial" w:cs="Arial" w:eastAsia="Arial" w:hAnsi="Arial"/>
                <w:sz w:val="21"/>
                <w:szCs w:val="21"/>
                <w:color w:val="0075C9"/>
              </w:rPr>
              <w:t>Officer</w:t>
            </w:r>
          </w:p>
        </w:tc>
        <w:tc>
          <w:tcPr>
            <w:tcW w:w="160" w:type="dxa"/>
            <w:vAlign w:val="bottom"/>
            <w:tcBorders>
              <w:top w:val="single" w:sz="8" w:color="EDEDED"/>
              <w:bottom w:val="single" w:sz="8" w:color="EDEDED"/>
            </w:tcBorders>
            <w:shd w:val="clear" w:color="auto" w:fill="EDEDED"/>
          </w:tcPr>
          <w:p>
            <w:pPr>
              <w:spacing w:after="0"/>
              <w:rPr>
                <w:sz w:val="17"/>
                <w:szCs w:val="17"/>
                <w:color w:val="auto"/>
              </w:rPr>
            </w:pPr>
          </w:p>
        </w:tc>
        <w:tc>
          <w:tcPr>
            <w:tcW w:w="140" w:type="dxa"/>
            <w:vAlign w:val="bottom"/>
            <w:tcBorders>
              <w:top w:val="single" w:sz="8" w:color="EDEDED"/>
              <w:bottom w:val="single" w:sz="8" w:color="EDEDED"/>
            </w:tcBorders>
            <w:shd w:val="clear" w:color="auto" w:fill="EDEDED"/>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260" w:type="dxa"/>
            <w:vAlign w:val="bottom"/>
            <w:tcBorders>
              <w:top w:val="single" w:sz="8" w:color="0000EE"/>
              <w:bottom w:val="single" w:sz="8" w:color="0000EE"/>
            </w:tcBorders>
            <w:gridSpan w:val="13"/>
          </w:tcPr>
          <w:p>
            <w:pPr>
              <w:spacing w:after="0"/>
              <w:rPr>
                <w:rFonts w:ascii="Arial" w:cs="Arial" w:eastAsia="Arial" w:hAnsi="Arial"/>
                <w:sz w:val="16"/>
                <w:szCs w:val="16"/>
                <w:color w:val="0000EE"/>
                <w:w w:val="96"/>
              </w:rPr>
            </w:pPr>
            <w:hyperlink w:anchor="page41">
              <w:r>
                <w:rPr>
                  <w:rFonts w:ascii="Arial" w:cs="Arial" w:eastAsia="Arial" w:hAnsi="Arial"/>
                  <w:sz w:val="16"/>
                  <w:szCs w:val="16"/>
                  <w:color w:val="0000EE"/>
                  <w:w w:val="96"/>
                </w:rPr>
                <w:t>Section 1 – Performance Update</w:t>
              </w:r>
            </w:hyperlink>
          </w:p>
        </w:tc>
        <w:tc>
          <w:tcPr>
            <w:tcW w:w="160" w:type="dxa"/>
            <w:vAlign w:val="bottom"/>
            <w:tcBorders>
              <w:top w:val="single" w:sz="8" w:color="0000EE"/>
            </w:tcBorders>
            <w:gridSpan w:val="3"/>
          </w:tcPr>
          <w:p>
            <w:pPr>
              <w:spacing w:after="0"/>
              <w:rPr>
                <w:sz w:val="17"/>
                <w:szCs w:val="17"/>
                <w:color w:val="auto"/>
              </w:rPr>
            </w:pPr>
          </w:p>
        </w:tc>
        <w:tc>
          <w:tcPr>
            <w:tcW w:w="2000" w:type="dxa"/>
            <w:vAlign w:val="bottom"/>
            <w:gridSpan w:val="9"/>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3"/>
        </w:trPr>
        <w:tc>
          <w:tcPr>
            <w:tcW w:w="920" w:type="dxa"/>
            <w:vAlign w:val="bottom"/>
            <w:vMerge w:val="continue"/>
          </w:tcPr>
          <w:p>
            <w:pPr>
              <w:spacing w:after="0"/>
              <w:rPr>
                <w:sz w:val="18"/>
                <w:szCs w:val="18"/>
                <w:color w:val="auto"/>
              </w:rPr>
            </w:pPr>
          </w:p>
        </w:tc>
        <w:tc>
          <w:tcPr>
            <w:tcW w:w="2480" w:type="dxa"/>
            <w:vAlign w:val="bottom"/>
            <w:vMerge w:val="restart"/>
            <w:shd w:val="clear" w:color="auto" w:fill="EDEDED"/>
          </w:tcPr>
          <w:p>
            <w:pPr>
              <w:ind w:left="220"/>
              <w:spacing w:after="0"/>
              <w:rPr>
                <w:sz w:val="20"/>
                <w:szCs w:val="20"/>
                <w:color w:val="auto"/>
              </w:rPr>
            </w:pPr>
            <w:r>
              <w:rPr>
                <w:rFonts w:ascii="Arial" w:cs="Arial" w:eastAsia="Arial" w:hAnsi="Arial"/>
                <w:sz w:val="28"/>
                <w:szCs w:val="28"/>
                <w:color w:val="0075C9"/>
              </w:rPr>
              <w:t>Compensation</w:t>
            </w:r>
          </w:p>
        </w:tc>
        <w:tc>
          <w:tcPr>
            <w:tcW w:w="160" w:type="dxa"/>
            <w:vAlign w:val="bottom"/>
            <w:shd w:val="clear" w:color="auto" w:fill="EDEDED"/>
          </w:tcPr>
          <w:p>
            <w:pPr>
              <w:spacing w:after="0"/>
              <w:rPr>
                <w:sz w:val="18"/>
                <w:szCs w:val="18"/>
                <w:color w:val="auto"/>
              </w:rPr>
            </w:pPr>
          </w:p>
        </w:tc>
        <w:tc>
          <w:tcPr>
            <w:tcW w:w="140" w:type="dxa"/>
            <w:vAlign w:val="bottom"/>
            <w:shd w:val="clear" w:color="auto" w:fill="EDEDED"/>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20" w:type="dxa"/>
            <w:vAlign w:val="bottom"/>
            <w:gridSpan w:val="25"/>
          </w:tcPr>
          <w:p>
            <w:pPr>
              <w:spacing w:after="0"/>
              <w:rPr>
                <w:rFonts w:ascii="Arial" w:cs="Arial" w:eastAsia="Arial" w:hAnsi="Arial"/>
                <w:sz w:val="16"/>
                <w:szCs w:val="16"/>
                <w:color w:val="0000EE"/>
              </w:rPr>
            </w:pPr>
            <w:hyperlink w:anchor="page44">
              <w:r>
                <w:rPr>
                  <w:rFonts w:ascii="Arial" w:cs="Arial" w:eastAsia="Arial" w:hAnsi="Arial"/>
                  <w:sz w:val="16"/>
                  <w:szCs w:val="16"/>
                  <w:color w:val="0000EE"/>
                </w:rPr>
                <w:t>Section 2 – Executive Compensation Program Enhancement</w:t>
              </w:r>
            </w:hyperlink>
            <w:r>
              <w:rPr>
                <w:rFonts w:ascii="Arial" w:cs="Arial" w:eastAsia="Arial" w:hAnsi="Arial"/>
                <w:sz w:val="16"/>
                <w:szCs w:val="16"/>
                <w:color w:val="000000"/>
              </w:rPr>
              <w:t>s</w:t>
            </w:r>
          </w:p>
        </w:tc>
        <w:tc>
          <w:tcPr>
            <w:tcW w:w="38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0"/>
        </w:trPr>
        <w:tc>
          <w:tcPr>
            <w:tcW w:w="920" w:type="dxa"/>
            <w:vAlign w:val="bottom"/>
            <w:vMerge w:val="continue"/>
          </w:tcPr>
          <w:p>
            <w:pPr>
              <w:spacing w:after="0"/>
              <w:rPr>
                <w:sz w:val="17"/>
                <w:szCs w:val="17"/>
                <w:color w:val="auto"/>
              </w:rPr>
            </w:pPr>
          </w:p>
        </w:tc>
        <w:tc>
          <w:tcPr>
            <w:tcW w:w="2480" w:type="dxa"/>
            <w:vAlign w:val="bottom"/>
            <w:tcBorders>
              <w:top w:val="single" w:sz="8" w:color="EDEDED"/>
              <w:bottom w:val="single" w:sz="8" w:color="EDEDED"/>
            </w:tcBorders>
            <w:vMerge w:val="continue"/>
            <w:shd w:val="clear" w:color="auto" w:fill="EDEDED"/>
          </w:tcPr>
          <w:p>
            <w:pPr>
              <w:spacing w:after="0"/>
              <w:rPr>
                <w:sz w:val="17"/>
                <w:szCs w:val="17"/>
                <w:color w:val="auto"/>
              </w:rPr>
            </w:pPr>
          </w:p>
        </w:tc>
        <w:tc>
          <w:tcPr>
            <w:tcW w:w="160" w:type="dxa"/>
            <w:vAlign w:val="bottom"/>
            <w:tcBorders>
              <w:top w:val="single" w:sz="8" w:color="EDEDED"/>
              <w:bottom w:val="single" w:sz="8" w:color="EDEDED"/>
            </w:tcBorders>
            <w:shd w:val="clear" w:color="auto" w:fill="EDEDED"/>
          </w:tcPr>
          <w:p>
            <w:pPr>
              <w:spacing w:after="0"/>
              <w:rPr>
                <w:sz w:val="17"/>
                <w:szCs w:val="17"/>
                <w:color w:val="auto"/>
              </w:rPr>
            </w:pPr>
          </w:p>
        </w:tc>
        <w:tc>
          <w:tcPr>
            <w:tcW w:w="140" w:type="dxa"/>
            <w:vAlign w:val="bottom"/>
            <w:tcBorders>
              <w:top w:val="single" w:sz="8" w:color="EDEDED"/>
              <w:bottom w:val="single" w:sz="8" w:color="EDEDED"/>
            </w:tcBorders>
            <w:shd w:val="clear" w:color="auto" w:fill="EDEDED"/>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tcBorders>
              <w:top w:val="single" w:sz="8" w:color="0000EE"/>
              <w:bottom w:val="single" w:sz="8" w:color="0000EE"/>
            </w:tcBorders>
            <w:gridSpan w:val="6"/>
          </w:tcPr>
          <w:p>
            <w:pPr>
              <w:spacing w:after="0"/>
              <w:rPr>
                <w:rFonts w:ascii="Arial" w:cs="Arial" w:eastAsia="Arial" w:hAnsi="Arial"/>
                <w:sz w:val="16"/>
                <w:szCs w:val="16"/>
                <w:color w:val="0000EE"/>
                <w:w w:val="96"/>
              </w:rPr>
            </w:pPr>
            <w:hyperlink w:anchor="page45">
              <w:r>
                <w:rPr>
                  <w:rFonts w:ascii="Arial" w:cs="Arial" w:eastAsia="Arial" w:hAnsi="Arial"/>
                  <w:sz w:val="16"/>
                  <w:szCs w:val="16"/>
                  <w:color w:val="0000EE"/>
                  <w:w w:val="96"/>
                </w:rPr>
                <w:t>Section 3 – Pay Setting</w:t>
              </w:r>
            </w:hyperlink>
          </w:p>
        </w:tc>
        <w:tc>
          <w:tcPr>
            <w:tcW w:w="2580" w:type="dxa"/>
            <w:vAlign w:val="bottom"/>
            <w:tcBorders>
              <w:top w:val="single" w:sz="8" w:color="0000EE"/>
            </w:tcBorders>
            <w:gridSpan w:val="18"/>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3"/>
        </w:trPr>
        <w:tc>
          <w:tcPr>
            <w:tcW w:w="920" w:type="dxa"/>
            <w:vAlign w:val="bottom"/>
            <w:vMerge w:val="continue"/>
          </w:tcPr>
          <w:p>
            <w:pPr>
              <w:spacing w:after="0"/>
              <w:rPr>
                <w:sz w:val="18"/>
                <w:szCs w:val="18"/>
                <w:color w:val="auto"/>
              </w:rPr>
            </w:pPr>
          </w:p>
        </w:tc>
        <w:tc>
          <w:tcPr>
            <w:tcW w:w="2480" w:type="dxa"/>
            <w:vAlign w:val="bottom"/>
            <w:tcBorders>
              <w:bottom w:val="single" w:sz="8" w:color="EDEDED"/>
            </w:tcBorders>
            <w:shd w:val="clear" w:color="auto" w:fill="EDEDED"/>
          </w:tcPr>
          <w:p>
            <w:pPr>
              <w:spacing w:after="0"/>
              <w:rPr>
                <w:sz w:val="18"/>
                <w:szCs w:val="18"/>
                <w:color w:val="auto"/>
              </w:rPr>
            </w:pPr>
          </w:p>
        </w:tc>
        <w:tc>
          <w:tcPr>
            <w:tcW w:w="160" w:type="dxa"/>
            <w:vAlign w:val="bottom"/>
            <w:tcBorders>
              <w:bottom w:val="single" w:sz="8" w:color="EDEDED"/>
            </w:tcBorders>
            <w:shd w:val="clear" w:color="auto" w:fill="EDEDED"/>
          </w:tcPr>
          <w:p>
            <w:pPr>
              <w:spacing w:after="0"/>
              <w:rPr>
                <w:sz w:val="18"/>
                <w:szCs w:val="18"/>
                <w:color w:val="auto"/>
              </w:rPr>
            </w:pPr>
          </w:p>
        </w:tc>
        <w:tc>
          <w:tcPr>
            <w:tcW w:w="140" w:type="dxa"/>
            <w:vAlign w:val="bottom"/>
            <w:tcBorders>
              <w:bottom w:val="single" w:sz="8" w:color="EDEDED"/>
            </w:tcBorders>
            <w:shd w:val="clear" w:color="auto" w:fill="EDEDED"/>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0" w:type="dxa"/>
            <w:vAlign w:val="bottom"/>
            <w:tcBorders>
              <w:bottom w:val="single" w:sz="8" w:color="0000EE"/>
            </w:tcBorders>
            <w:gridSpan w:val="24"/>
          </w:tcPr>
          <w:p>
            <w:pPr>
              <w:spacing w:after="0"/>
              <w:rPr>
                <w:rFonts w:ascii="Arial" w:cs="Arial" w:eastAsia="Arial" w:hAnsi="Arial"/>
                <w:sz w:val="16"/>
                <w:szCs w:val="16"/>
                <w:color w:val="0000EE"/>
                <w:w w:val="96"/>
              </w:rPr>
            </w:pPr>
            <w:hyperlink w:anchor="page49">
              <w:r>
                <w:rPr>
                  <w:rFonts w:ascii="Arial" w:cs="Arial" w:eastAsia="Arial" w:hAnsi="Arial"/>
                  <w:sz w:val="16"/>
                  <w:szCs w:val="16"/>
                  <w:color w:val="0000EE"/>
                  <w:w w:val="96"/>
                </w:rPr>
                <w:t>Section 4 – Fiscal Year 2021 Compensation Program Design</w:t>
              </w:r>
            </w:hyperlink>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3"/>
        </w:trPr>
        <w:tc>
          <w:tcPr>
            <w:tcW w:w="920" w:type="dxa"/>
            <w:vAlign w:val="bottom"/>
            <w:vMerge w:val="continue"/>
          </w:tcPr>
          <w:p>
            <w:pPr>
              <w:spacing w:after="0"/>
              <w:rPr>
                <w:sz w:val="18"/>
                <w:szCs w:val="18"/>
                <w:color w:val="auto"/>
              </w:rPr>
            </w:pPr>
          </w:p>
        </w:tc>
        <w:tc>
          <w:tcPr>
            <w:tcW w:w="2480" w:type="dxa"/>
            <w:vAlign w:val="bottom"/>
            <w:tcBorders>
              <w:bottom w:val="single" w:sz="8" w:color="EDEDED"/>
            </w:tcBorders>
            <w:shd w:val="clear" w:color="auto" w:fill="EDEDED"/>
          </w:tcPr>
          <w:p>
            <w:pPr>
              <w:spacing w:after="0"/>
              <w:rPr>
                <w:sz w:val="18"/>
                <w:szCs w:val="18"/>
                <w:color w:val="auto"/>
              </w:rPr>
            </w:pPr>
          </w:p>
        </w:tc>
        <w:tc>
          <w:tcPr>
            <w:tcW w:w="160" w:type="dxa"/>
            <w:vAlign w:val="bottom"/>
            <w:tcBorders>
              <w:bottom w:val="single" w:sz="8" w:color="EDEDED"/>
            </w:tcBorders>
            <w:shd w:val="clear" w:color="auto" w:fill="EDEDED"/>
          </w:tcPr>
          <w:p>
            <w:pPr>
              <w:spacing w:after="0"/>
              <w:rPr>
                <w:sz w:val="18"/>
                <w:szCs w:val="18"/>
                <w:color w:val="auto"/>
              </w:rPr>
            </w:pPr>
          </w:p>
        </w:tc>
        <w:tc>
          <w:tcPr>
            <w:tcW w:w="140" w:type="dxa"/>
            <w:vAlign w:val="bottom"/>
            <w:tcBorders>
              <w:bottom w:val="single" w:sz="8" w:color="EDEDED"/>
            </w:tcBorders>
            <w:shd w:val="clear" w:color="auto" w:fill="EDEDED"/>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40" w:type="dxa"/>
            <w:vAlign w:val="bottom"/>
            <w:tcBorders>
              <w:bottom w:val="single" w:sz="8" w:color="0000EE"/>
            </w:tcBorders>
            <w:gridSpan w:val="21"/>
          </w:tcPr>
          <w:p>
            <w:pPr>
              <w:spacing w:after="0"/>
              <w:rPr>
                <w:rFonts w:ascii="Arial" w:cs="Arial" w:eastAsia="Arial" w:hAnsi="Arial"/>
                <w:sz w:val="16"/>
                <w:szCs w:val="16"/>
                <w:color w:val="0000EE"/>
                <w:w w:val="96"/>
              </w:rPr>
            </w:pPr>
            <w:hyperlink w:anchor="page53">
              <w:r>
                <w:rPr>
                  <w:rFonts w:ascii="Arial" w:cs="Arial" w:eastAsia="Arial" w:hAnsi="Arial"/>
                  <w:sz w:val="16"/>
                  <w:szCs w:val="16"/>
                  <w:color w:val="0000EE"/>
                  <w:w w:val="96"/>
                </w:rPr>
                <w:t>Section 5 – Fiscal Year 2021 Compensation Decisions</w:t>
              </w:r>
            </w:hyperlink>
          </w:p>
        </w:tc>
        <w:tc>
          <w:tcPr>
            <w:tcW w:w="680" w:type="dxa"/>
            <w:vAlign w:val="bottom"/>
            <w:gridSpan w:val="4"/>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65"/>
        </w:trPr>
        <w:tc>
          <w:tcPr>
            <w:tcW w:w="920" w:type="dxa"/>
            <w:vAlign w:val="bottom"/>
          </w:tcPr>
          <w:p>
            <w:pPr>
              <w:spacing w:after="0"/>
              <w:rPr>
                <w:sz w:val="23"/>
                <w:szCs w:val="23"/>
                <w:color w:val="auto"/>
              </w:rPr>
            </w:pPr>
          </w:p>
        </w:tc>
        <w:tc>
          <w:tcPr>
            <w:tcW w:w="2480" w:type="dxa"/>
            <w:vAlign w:val="bottom"/>
            <w:tcBorders>
              <w:bottom w:val="single" w:sz="8" w:color="EDEDED"/>
            </w:tcBorders>
            <w:shd w:val="clear" w:color="auto" w:fill="EDEDED"/>
          </w:tcPr>
          <w:p>
            <w:pPr>
              <w:spacing w:after="0"/>
              <w:rPr>
                <w:sz w:val="23"/>
                <w:szCs w:val="23"/>
                <w:color w:val="auto"/>
              </w:rPr>
            </w:pPr>
          </w:p>
        </w:tc>
        <w:tc>
          <w:tcPr>
            <w:tcW w:w="160" w:type="dxa"/>
            <w:vAlign w:val="bottom"/>
            <w:tcBorders>
              <w:bottom w:val="single" w:sz="8" w:color="EDEDED"/>
            </w:tcBorders>
            <w:shd w:val="clear" w:color="auto" w:fill="EDEDED"/>
          </w:tcPr>
          <w:p>
            <w:pPr>
              <w:spacing w:after="0"/>
              <w:rPr>
                <w:sz w:val="23"/>
                <w:szCs w:val="23"/>
                <w:color w:val="auto"/>
              </w:rPr>
            </w:pPr>
          </w:p>
        </w:tc>
        <w:tc>
          <w:tcPr>
            <w:tcW w:w="140" w:type="dxa"/>
            <w:vAlign w:val="bottom"/>
            <w:tcBorders>
              <w:bottom w:val="single" w:sz="8" w:color="EDEDED"/>
            </w:tcBorders>
            <w:shd w:val="clear" w:color="auto" w:fill="EDEDED"/>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960" w:type="dxa"/>
            <w:vAlign w:val="bottom"/>
            <w:tcBorders>
              <w:bottom w:val="single" w:sz="8" w:color="0000EE"/>
            </w:tcBorders>
            <w:gridSpan w:val="22"/>
          </w:tcPr>
          <w:p>
            <w:pPr>
              <w:spacing w:after="0"/>
              <w:rPr>
                <w:rFonts w:ascii="Arial" w:cs="Arial" w:eastAsia="Arial" w:hAnsi="Arial"/>
                <w:sz w:val="16"/>
                <w:szCs w:val="16"/>
                <w:color w:val="0000EE"/>
                <w:w w:val="96"/>
              </w:rPr>
            </w:pPr>
            <w:hyperlink w:anchor="page60">
              <w:r>
                <w:rPr>
                  <w:rFonts w:ascii="Arial" w:cs="Arial" w:eastAsia="Arial" w:hAnsi="Arial"/>
                  <w:sz w:val="16"/>
                  <w:szCs w:val="16"/>
                  <w:color w:val="0000EE"/>
                  <w:w w:val="96"/>
                </w:rPr>
                <w:t>Section 6 – Other Compensation Policies and Information</w:t>
              </w:r>
            </w:hyperlink>
          </w:p>
        </w:tc>
        <w:tc>
          <w:tcPr>
            <w:tcW w:w="460" w:type="dxa"/>
            <w:vAlign w:val="bottom"/>
            <w:gridSpan w:val="3"/>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65"/>
        </w:trPr>
        <w:tc>
          <w:tcPr>
            <w:tcW w:w="920" w:type="dxa"/>
            <w:vAlign w:val="bottom"/>
          </w:tcPr>
          <w:p>
            <w:pPr>
              <w:spacing w:after="0"/>
              <w:rPr>
                <w:sz w:val="23"/>
                <w:szCs w:val="23"/>
                <w:color w:val="auto"/>
              </w:rPr>
            </w:pPr>
          </w:p>
        </w:tc>
        <w:tc>
          <w:tcPr>
            <w:tcW w:w="2480" w:type="dxa"/>
            <w:vAlign w:val="bottom"/>
            <w:tcBorders>
              <w:bottom w:val="single" w:sz="8" w:color="EDEDED"/>
            </w:tcBorders>
            <w:shd w:val="clear" w:color="auto" w:fill="EDEDED"/>
          </w:tcPr>
          <w:p>
            <w:pPr>
              <w:spacing w:after="0"/>
              <w:rPr>
                <w:sz w:val="23"/>
                <w:szCs w:val="23"/>
                <w:color w:val="auto"/>
              </w:rPr>
            </w:pPr>
          </w:p>
        </w:tc>
        <w:tc>
          <w:tcPr>
            <w:tcW w:w="160" w:type="dxa"/>
            <w:vAlign w:val="bottom"/>
            <w:tcBorders>
              <w:bottom w:val="single" w:sz="8" w:color="EDEDED"/>
            </w:tcBorders>
            <w:shd w:val="clear" w:color="auto" w:fill="EDEDED"/>
          </w:tcPr>
          <w:p>
            <w:pPr>
              <w:spacing w:after="0"/>
              <w:rPr>
                <w:sz w:val="23"/>
                <w:szCs w:val="23"/>
                <w:color w:val="auto"/>
              </w:rPr>
            </w:pPr>
          </w:p>
        </w:tc>
        <w:tc>
          <w:tcPr>
            <w:tcW w:w="140" w:type="dxa"/>
            <w:vAlign w:val="bottom"/>
            <w:tcBorders>
              <w:bottom w:val="single" w:sz="8" w:color="EDEDED"/>
            </w:tcBorders>
            <w:shd w:val="clear" w:color="auto" w:fill="EDEDED"/>
          </w:tcPr>
          <w:p>
            <w:pPr>
              <w:spacing w:after="0"/>
              <w:rPr>
                <w:sz w:val="23"/>
                <w:szCs w:val="23"/>
                <w:color w:val="auto"/>
              </w:rPr>
            </w:pPr>
          </w:p>
        </w:tc>
        <w:tc>
          <w:tcPr>
            <w:tcW w:w="220" w:type="dxa"/>
            <w:vAlign w:val="bottom"/>
          </w:tcPr>
          <w:p>
            <w:pPr>
              <w:spacing w:after="0"/>
              <w:rPr>
                <w:sz w:val="23"/>
                <w:szCs w:val="23"/>
                <w:color w:val="auto"/>
              </w:rPr>
            </w:pPr>
          </w:p>
        </w:tc>
        <w:tc>
          <w:tcPr>
            <w:tcW w:w="2360" w:type="dxa"/>
            <w:vAlign w:val="bottom"/>
            <w:tcBorders>
              <w:bottom w:val="single" w:sz="8" w:color="0000EE"/>
            </w:tcBorders>
            <w:gridSpan w:val="10"/>
          </w:tcPr>
          <w:p>
            <w:pPr>
              <w:spacing w:after="0"/>
              <w:rPr>
                <w:rFonts w:ascii="Arial" w:cs="Arial" w:eastAsia="Arial" w:hAnsi="Arial"/>
                <w:sz w:val="16"/>
                <w:szCs w:val="16"/>
                <w:color w:val="0000EE"/>
                <w:w w:val="97"/>
              </w:rPr>
            </w:pPr>
            <w:hyperlink w:anchor="page62">
              <w:r>
                <w:rPr>
                  <w:rFonts w:ascii="Arial" w:cs="Arial" w:eastAsia="Arial" w:hAnsi="Arial"/>
                  <w:sz w:val="16"/>
                  <w:szCs w:val="16"/>
                  <w:color w:val="0000EE"/>
                  <w:w w:val="97"/>
                </w:rPr>
                <w:t>Compensation Committee Report</w:t>
              </w:r>
            </w:hyperlink>
          </w:p>
        </w:tc>
        <w:tc>
          <w:tcPr>
            <w:tcW w:w="2380" w:type="dxa"/>
            <w:vAlign w:val="bottom"/>
            <w:gridSpan w:val="16"/>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65"/>
        </w:trPr>
        <w:tc>
          <w:tcPr>
            <w:tcW w:w="920" w:type="dxa"/>
            <w:vAlign w:val="bottom"/>
          </w:tcPr>
          <w:p>
            <w:pPr>
              <w:spacing w:after="0"/>
              <w:rPr>
                <w:sz w:val="23"/>
                <w:szCs w:val="23"/>
                <w:color w:val="auto"/>
              </w:rPr>
            </w:pPr>
          </w:p>
        </w:tc>
        <w:tc>
          <w:tcPr>
            <w:tcW w:w="2480" w:type="dxa"/>
            <w:vAlign w:val="bottom"/>
            <w:tcBorders>
              <w:bottom w:val="single" w:sz="8" w:color="EDEDED"/>
            </w:tcBorders>
            <w:shd w:val="clear" w:color="auto" w:fill="EDEDED"/>
          </w:tcPr>
          <w:p>
            <w:pPr>
              <w:spacing w:after="0"/>
              <w:rPr>
                <w:sz w:val="23"/>
                <w:szCs w:val="23"/>
                <w:color w:val="auto"/>
              </w:rPr>
            </w:pPr>
          </w:p>
        </w:tc>
        <w:tc>
          <w:tcPr>
            <w:tcW w:w="160" w:type="dxa"/>
            <w:vAlign w:val="bottom"/>
            <w:tcBorders>
              <w:bottom w:val="single" w:sz="8" w:color="EDEDED"/>
            </w:tcBorders>
            <w:shd w:val="clear" w:color="auto" w:fill="EDEDED"/>
          </w:tcPr>
          <w:p>
            <w:pPr>
              <w:spacing w:after="0"/>
              <w:rPr>
                <w:sz w:val="23"/>
                <w:szCs w:val="23"/>
                <w:color w:val="auto"/>
              </w:rPr>
            </w:pPr>
          </w:p>
        </w:tc>
        <w:tc>
          <w:tcPr>
            <w:tcW w:w="140" w:type="dxa"/>
            <w:vAlign w:val="bottom"/>
            <w:tcBorders>
              <w:bottom w:val="single" w:sz="8" w:color="EDEDED"/>
            </w:tcBorders>
            <w:shd w:val="clear" w:color="auto" w:fill="EDEDED"/>
          </w:tcPr>
          <w:p>
            <w:pPr>
              <w:spacing w:after="0"/>
              <w:rPr>
                <w:sz w:val="23"/>
                <w:szCs w:val="23"/>
                <w:color w:val="auto"/>
              </w:rPr>
            </w:pPr>
          </w:p>
        </w:tc>
        <w:tc>
          <w:tcPr>
            <w:tcW w:w="220" w:type="dxa"/>
            <w:vAlign w:val="bottom"/>
          </w:tcPr>
          <w:p>
            <w:pPr>
              <w:spacing w:after="0"/>
              <w:rPr>
                <w:sz w:val="23"/>
                <w:szCs w:val="23"/>
                <w:color w:val="auto"/>
              </w:rPr>
            </w:pPr>
          </w:p>
        </w:tc>
        <w:tc>
          <w:tcPr>
            <w:tcW w:w="2700" w:type="dxa"/>
            <w:vAlign w:val="bottom"/>
            <w:tcBorders>
              <w:bottom w:val="single" w:sz="8" w:color="0000EE"/>
            </w:tcBorders>
            <w:gridSpan w:val="16"/>
          </w:tcPr>
          <w:p>
            <w:pPr>
              <w:spacing w:after="0"/>
              <w:rPr>
                <w:rFonts w:ascii="Arial" w:cs="Arial" w:eastAsia="Arial" w:hAnsi="Arial"/>
                <w:sz w:val="16"/>
                <w:szCs w:val="16"/>
                <w:color w:val="0000EE"/>
                <w:w w:val="95"/>
              </w:rPr>
            </w:pPr>
            <w:hyperlink w:anchor="page63">
              <w:r>
                <w:rPr>
                  <w:rFonts w:ascii="Arial" w:cs="Arial" w:eastAsia="Arial" w:hAnsi="Arial"/>
                  <w:sz w:val="16"/>
                  <w:szCs w:val="16"/>
                  <w:color w:val="0000EE"/>
                  <w:w w:val="95"/>
                </w:rPr>
                <w:t>Fiscal Year 2021 Compensation Tables</w:t>
              </w:r>
            </w:hyperlink>
          </w:p>
        </w:tc>
        <w:tc>
          <w:tcPr>
            <w:tcW w:w="2040" w:type="dxa"/>
            <w:vAlign w:val="bottom"/>
            <w:gridSpan w:val="10"/>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65"/>
        </w:trPr>
        <w:tc>
          <w:tcPr>
            <w:tcW w:w="920" w:type="dxa"/>
            <w:vAlign w:val="bottom"/>
          </w:tcPr>
          <w:p>
            <w:pPr>
              <w:spacing w:after="0"/>
              <w:rPr>
                <w:sz w:val="23"/>
                <w:szCs w:val="23"/>
                <w:color w:val="auto"/>
              </w:rPr>
            </w:pPr>
          </w:p>
        </w:tc>
        <w:tc>
          <w:tcPr>
            <w:tcW w:w="2480" w:type="dxa"/>
            <w:vAlign w:val="bottom"/>
            <w:shd w:val="clear" w:color="auto" w:fill="EDEDED"/>
          </w:tcPr>
          <w:p>
            <w:pPr>
              <w:spacing w:after="0"/>
              <w:rPr>
                <w:sz w:val="23"/>
                <w:szCs w:val="23"/>
                <w:color w:val="auto"/>
              </w:rPr>
            </w:pPr>
          </w:p>
        </w:tc>
        <w:tc>
          <w:tcPr>
            <w:tcW w:w="160" w:type="dxa"/>
            <w:vAlign w:val="bottom"/>
            <w:shd w:val="clear" w:color="auto" w:fill="EDEDED"/>
          </w:tcPr>
          <w:p>
            <w:pPr>
              <w:spacing w:after="0"/>
              <w:rPr>
                <w:sz w:val="23"/>
                <w:szCs w:val="23"/>
                <w:color w:val="auto"/>
              </w:rPr>
            </w:pPr>
          </w:p>
        </w:tc>
        <w:tc>
          <w:tcPr>
            <w:tcW w:w="140" w:type="dxa"/>
            <w:vAlign w:val="bottom"/>
            <w:shd w:val="clear" w:color="auto" w:fill="EDEDED"/>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20" w:type="dxa"/>
            <w:vAlign w:val="bottom"/>
            <w:gridSpan w:val="25"/>
          </w:tcPr>
          <w:p>
            <w:pPr>
              <w:spacing w:after="0"/>
              <w:rPr>
                <w:rFonts w:ascii="Arial" w:cs="Arial" w:eastAsia="Arial" w:hAnsi="Arial"/>
                <w:sz w:val="16"/>
                <w:szCs w:val="16"/>
                <w:color w:val="0000EE"/>
              </w:rPr>
            </w:pPr>
            <w:hyperlink w:anchor="page63">
              <w:r>
                <w:rPr>
                  <w:rFonts w:ascii="Arial" w:cs="Arial" w:eastAsia="Arial" w:hAnsi="Arial"/>
                  <w:sz w:val="16"/>
                  <w:szCs w:val="16"/>
                  <w:color w:val="0000EE"/>
                </w:rPr>
                <w:t>Summary Compensation Table</w:t>
              </w:r>
            </w:hyperlink>
          </w:p>
        </w:tc>
        <w:tc>
          <w:tcPr>
            <w:tcW w:w="38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65"/>
        </w:trPr>
        <w:tc>
          <w:tcPr>
            <w:tcW w:w="920" w:type="dxa"/>
            <w:vAlign w:val="bottom"/>
          </w:tcPr>
          <w:p>
            <w:pPr>
              <w:spacing w:after="0"/>
              <w:rPr>
                <w:sz w:val="23"/>
                <w:szCs w:val="23"/>
                <w:color w:val="auto"/>
              </w:rPr>
            </w:pPr>
          </w:p>
        </w:tc>
        <w:tc>
          <w:tcPr>
            <w:tcW w:w="2480" w:type="dxa"/>
            <w:vAlign w:val="bottom"/>
            <w:tcBorders>
              <w:top w:val="single" w:sz="8" w:color="EDEDED"/>
            </w:tcBorders>
            <w:shd w:val="clear" w:color="auto" w:fill="EDEDED"/>
          </w:tcPr>
          <w:p>
            <w:pPr>
              <w:spacing w:after="0"/>
              <w:rPr>
                <w:sz w:val="23"/>
                <w:szCs w:val="23"/>
                <w:color w:val="auto"/>
              </w:rPr>
            </w:pPr>
          </w:p>
        </w:tc>
        <w:tc>
          <w:tcPr>
            <w:tcW w:w="160" w:type="dxa"/>
            <w:vAlign w:val="bottom"/>
            <w:tcBorders>
              <w:top w:val="single" w:sz="8" w:color="EDEDED"/>
            </w:tcBorders>
            <w:shd w:val="clear" w:color="auto" w:fill="EDEDED"/>
          </w:tcPr>
          <w:p>
            <w:pPr>
              <w:spacing w:after="0"/>
              <w:rPr>
                <w:sz w:val="23"/>
                <w:szCs w:val="23"/>
                <w:color w:val="auto"/>
              </w:rPr>
            </w:pPr>
          </w:p>
        </w:tc>
        <w:tc>
          <w:tcPr>
            <w:tcW w:w="140" w:type="dxa"/>
            <w:vAlign w:val="bottom"/>
            <w:tcBorders>
              <w:top w:val="single" w:sz="8" w:color="EDEDED"/>
            </w:tcBorders>
            <w:shd w:val="clear" w:color="auto" w:fill="EDEDED"/>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120" w:type="dxa"/>
            <w:vAlign w:val="bottom"/>
            <w:tcBorders>
              <w:top w:val="single" w:sz="8" w:color="0000EE"/>
            </w:tcBorders>
            <w:gridSpan w:val="11"/>
          </w:tcPr>
          <w:p>
            <w:pPr>
              <w:spacing w:after="0"/>
              <w:rPr>
                <w:rFonts w:ascii="Arial" w:cs="Arial" w:eastAsia="Arial" w:hAnsi="Arial"/>
                <w:sz w:val="16"/>
                <w:szCs w:val="16"/>
                <w:color w:val="0000EE"/>
                <w:w w:val="99"/>
              </w:rPr>
            </w:pPr>
            <w:hyperlink w:anchor="page64">
              <w:r>
                <w:rPr>
                  <w:rFonts w:ascii="Arial" w:cs="Arial" w:eastAsia="Arial" w:hAnsi="Arial"/>
                  <w:sz w:val="16"/>
                  <w:szCs w:val="16"/>
                  <w:color w:val="0000EE"/>
                  <w:w w:val="99"/>
                </w:rPr>
                <w:t>Grants of Plan-Based Awards</w:t>
              </w:r>
            </w:hyperlink>
          </w:p>
        </w:tc>
        <w:tc>
          <w:tcPr>
            <w:tcW w:w="2300" w:type="dxa"/>
            <w:vAlign w:val="bottom"/>
            <w:gridSpan w:val="14"/>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80" w:type="dxa"/>
            <w:vAlign w:val="bottom"/>
            <w:shd w:val="clear" w:color="auto" w:fill="EDEDED"/>
          </w:tcPr>
          <w:p>
            <w:pPr>
              <w:spacing w:after="0" w:line="20" w:lineRule="exact"/>
              <w:rPr>
                <w:sz w:val="1"/>
                <w:szCs w:val="1"/>
                <w:color w:val="auto"/>
              </w:rPr>
            </w:pPr>
          </w:p>
        </w:tc>
        <w:tc>
          <w:tcPr>
            <w:tcW w:w="160" w:type="dxa"/>
            <w:vAlign w:val="bottom"/>
            <w:shd w:val="clear" w:color="auto" w:fill="EDEDED"/>
          </w:tcPr>
          <w:p>
            <w:pPr>
              <w:spacing w:after="0" w:line="20" w:lineRule="exact"/>
              <w:rPr>
                <w:sz w:val="1"/>
                <w:szCs w:val="1"/>
                <w:color w:val="auto"/>
              </w:rPr>
            </w:pPr>
          </w:p>
        </w:tc>
        <w:tc>
          <w:tcPr>
            <w:tcW w:w="140" w:type="dxa"/>
            <w:vAlign w:val="bottom"/>
            <w:shd w:val="clear" w:color="auto" w:fill="EDEDED"/>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920" w:type="dxa"/>
            <w:vAlign w:val="bottom"/>
          </w:tcPr>
          <w:p>
            <w:pPr>
              <w:spacing w:after="0"/>
              <w:rPr>
                <w:sz w:val="23"/>
                <w:szCs w:val="23"/>
                <w:color w:val="auto"/>
              </w:rPr>
            </w:pPr>
          </w:p>
        </w:tc>
        <w:tc>
          <w:tcPr>
            <w:tcW w:w="2480" w:type="dxa"/>
            <w:vAlign w:val="bottom"/>
            <w:tcBorders>
              <w:bottom w:val="single" w:sz="8" w:color="EDEDED"/>
            </w:tcBorders>
            <w:shd w:val="clear" w:color="auto" w:fill="EDEDED"/>
          </w:tcPr>
          <w:p>
            <w:pPr>
              <w:spacing w:after="0"/>
              <w:rPr>
                <w:sz w:val="23"/>
                <w:szCs w:val="23"/>
                <w:color w:val="auto"/>
              </w:rPr>
            </w:pPr>
          </w:p>
        </w:tc>
        <w:tc>
          <w:tcPr>
            <w:tcW w:w="160" w:type="dxa"/>
            <w:vAlign w:val="bottom"/>
            <w:tcBorders>
              <w:bottom w:val="single" w:sz="8" w:color="EDEDED"/>
            </w:tcBorders>
            <w:shd w:val="clear" w:color="auto" w:fill="EDEDED"/>
          </w:tcPr>
          <w:p>
            <w:pPr>
              <w:spacing w:after="0"/>
              <w:rPr>
                <w:sz w:val="23"/>
                <w:szCs w:val="23"/>
                <w:color w:val="auto"/>
              </w:rPr>
            </w:pPr>
          </w:p>
        </w:tc>
        <w:tc>
          <w:tcPr>
            <w:tcW w:w="140" w:type="dxa"/>
            <w:vAlign w:val="bottom"/>
            <w:tcBorders>
              <w:bottom w:val="single" w:sz="8" w:color="EDEDED"/>
            </w:tcBorders>
            <w:shd w:val="clear" w:color="auto" w:fill="EDEDED"/>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080" w:type="dxa"/>
            <w:vAlign w:val="bottom"/>
            <w:tcBorders>
              <w:bottom w:val="single" w:sz="8" w:color="0000EE"/>
            </w:tcBorders>
            <w:gridSpan w:val="20"/>
          </w:tcPr>
          <w:p>
            <w:pPr>
              <w:spacing w:after="0"/>
              <w:rPr>
                <w:rFonts w:ascii="Arial" w:cs="Arial" w:eastAsia="Arial" w:hAnsi="Arial"/>
                <w:sz w:val="16"/>
                <w:szCs w:val="16"/>
                <w:color w:val="0000EE"/>
                <w:w w:val="96"/>
              </w:rPr>
            </w:pPr>
            <w:hyperlink w:anchor="page65">
              <w:r>
                <w:rPr>
                  <w:rFonts w:ascii="Arial" w:cs="Arial" w:eastAsia="Arial" w:hAnsi="Arial"/>
                  <w:sz w:val="16"/>
                  <w:szCs w:val="16"/>
                  <w:color w:val="0000EE"/>
                  <w:w w:val="96"/>
                </w:rPr>
                <w:t>Outstanding Equity Awards at June 30, 2021</w:t>
              </w:r>
            </w:hyperlink>
          </w:p>
        </w:tc>
        <w:tc>
          <w:tcPr>
            <w:tcW w:w="1340" w:type="dxa"/>
            <w:vAlign w:val="bottom"/>
            <w:gridSpan w:val="5"/>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65"/>
        </w:trPr>
        <w:tc>
          <w:tcPr>
            <w:tcW w:w="920" w:type="dxa"/>
            <w:vAlign w:val="bottom"/>
          </w:tcPr>
          <w:p>
            <w:pPr>
              <w:spacing w:after="0"/>
              <w:rPr>
                <w:sz w:val="23"/>
                <w:szCs w:val="23"/>
                <w:color w:val="auto"/>
              </w:rPr>
            </w:pPr>
          </w:p>
        </w:tc>
        <w:tc>
          <w:tcPr>
            <w:tcW w:w="2480" w:type="dxa"/>
            <w:vAlign w:val="bottom"/>
            <w:shd w:val="clear" w:color="auto" w:fill="EDEDED"/>
          </w:tcPr>
          <w:p>
            <w:pPr>
              <w:spacing w:after="0"/>
              <w:rPr>
                <w:sz w:val="23"/>
                <w:szCs w:val="23"/>
                <w:color w:val="auto"/>
              </w:rPr>
            </w:pPr>
          </w:p>
        </w:tc>
        <w:tc>
          <w:tcPr>
            <w:tcW w:w="160" w:type="dxa"/>
            <w:vAlign w:val="bottom"/>
            <w:shd w:val="clear" w:color="auto" w:fill="EDEDED"/>
          </w:tcPr>
          <w:p>
            <w:pPr>
              <w:spacing w:after="0"/>
              <w:rPr>
                <w:sz w:val="23"/>
                <w:szCs w:val="23"/>
                <w:color w:val="auto"/>
              </w:rPr>
            </w:pPr>
          </w:p>
        </w:tc>
        <w:tc>
          <w:tcPr>
            <w:tcW w:w="140" w:type="dxa"/>
            <w:vAlign w:val="bottom"/>
            <w:shd w:val="clear" w:color="auto" w:fill="EDEDED"/>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20" w:type="dxa"/>
            <w:vAlign w:val="bottom"/>
            <w:gridSpan w:val="25"/>
          </w:tcPr>
          <w:p>
            <w:pPr>
              <w:spacing w:after="0"/>
              <w:rPr>
                <w:rFonts w:ascii="Arial" w:cs="Arial" w:eastAsia="Arial" w:hAnsi="Arial"/>
                <w:sz w:val="16"/>
                <w:szCs w:val="16"/>
                <w:color w:val="0000EE"/>
              </w:rPr>
            </w:pPr>
            <w:hyperlink w:anchor="page66">
              <w:r>
                <w:rPr>
                  <w:rFonts w:ascii="Arial" w:cs="Arial" w:eastAsia="Arial" w:hAnsi="Arial"/>
                  <w:sz w:val="16"/>
                  <w:szCs w:val="16"/>
                  <w:color w:val="0000EE"/>
                </w:rPr>
                <w:t>Option Exercises and Stock Vested</w:t>
              </w:r>
            </w:hyperlink>
          </w:p>
        </w:tc>
        <w:tc>
          <w:tcPr>
            <w:tcW w:w="380" w:type="dxa"/>
            <w:vAlign w:val="bottom"/>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80" w:type="dxa"/>
            <w:vAlign w:val="bottom"/>
            <w:shd w:val="clear" w:color="auto" w:fill="EDEDED"/>
          </w:tcPr>
          <w:p>
            <w:pPr>
              <w:spacing w:after="0" w:line="20" w:lineRule="exact"/>
              <w:rPr>
                <w:sz w:val="1"/>
                <w:szCs w:val="1"/>
                <w:color w:val="auto"/>
              </w:rPr>
            </w:pPr>
          </w:p>
        </w:tc>
        <w:tc>
          <w:tcPr>
            <w:tcW w:w="160" w:type="dxa"/>
            <w:vAlign w:val="bottom"/>
            <w:shd w:val="clear" w:color="auto" w:fill="EDEDED"/>
          </w:tcPr>
          <w:p>
            <w:pPr>
              <w:spacing w:after="0" w:line="20" w:lineRule="exact"/>
              <w:rPr>
                <w:sz w:val="1"/>
                <w:szCs w:val="1"/>
                <w:color w:val="auto"/>
              </w:rPr>
            </w:pPr>
          </w:p>
        </w:tc>
        <w:tc>
          <w:tcPr>
            <w:tcW w:w="140" w:type="dxa"/>
            <w:vAlign w:val="bottom"/>
            <w:shd w:val="clear" w:color="auto" w:fill="EDEDED"/>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920" w:type="dxa"/>
            <w:vAlign w:val="bottom"/>
          </w:tcPr>
          <w:p>
            <w:pPr>
              <w:spacing w:after="0"/>
              <w:rPr>
                <w:sz w:val="23"/>
                <w:szCs w:val="23"/>
                <w:color w:val="auto"/>
              </w:rPr>
            </w:pPr>
          </w:p>
        </w:tc>
        <w:tc>
          <w:tcPr>
            <w:tcW w:w="2480" w:type="dxa"/>
            <w:vAlign w:val="bottom"/>
            <w:tcBorders>
              <w:bottom w:val="single" w:sz="8" w:color="EDEDED"/>
            </w:tcBorders>
            <w:shd w:val="clear" w:color="auto" w:fill="EDEDED"/>
          </w:tcPr>
          <w:p>
            <w:pPr>
              <w:spacing w:after="0"/>
              <w:rPr>
                <w:sz w:val="23"/>
                <w:szCs w:val="23"/>
                <w:color w:val="auto"/>
              </w:rPr>
            </w:pPr>
          </w:p>
        </w:tc>
        <w:tc>
          <w:tcPr>
            <w:tcW w:w="160" w:type="dxa"/>
            <w:vAlign w:val="bottom"/>
            <w:tcBorders>
              <w:bottom w:val="single" w:sz="8" w:color="EDEDED"/>
            </w:tcBorders>
            <w:shd w:val="clear" w:color="auto" w:fill="EDEDED"/>
          </w:tcPr>
          <w:p>
            <w:pPr>
              <w:spacing w:after="0"/>
              <w:rPr>
                <w:sz w:val="23"/>
                <w:szCs w:val="23"/>
                <w:color w:val="auto"/>
              </w:rPr>
            </w:pPr>
          </w:p>
        </w:tc>
        <w:tc>
          <w:tcPr>
            <w:tcW w:w="140" w:type="dxa"/>
            <w:vAlign w:val="bottom"/>
            <w:tcBorders>
              <w:bottom w:val="single" w:sz="8" w:color="EDEDED"/>
            </w:tcBorders>
            <w:shd w:val="clear" w:color="auto" w:fill="EDEDED"/>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560" w:type="dxa"/>
            <w:vAlign w:val="bottom"/>
            <w:tcBorders>
              <w:bottom w:val="single" w:sz="8" w:color="0000EE"/>
            </w:tcBorders>
            <w:gridSpan w:val="17"/>
          </w:tcPr>
          <w:p>
            <w:pPr>
              <w:spacing w:after="0"/>
              <w:rPr>
                <w:rFonts w:ascii="Arial" w:cs="Arial" w:eastAsia="Arial" w:hAnsi="Arial"/>
                <w:sz w:val="16"/>
                <w:szCs w:val="16"/>
                <w:color w:val="0000EE"/>
                <w:w w:val="96"/>
              </w:rPr>
            </w:pPr>
            <w:hyperlink w:anchor="page66">
              <w:r>
                <w:rPr>
                  <w:rFonts w:ascii="Arial" w:cs="Arial" w:eastAsia="Arial" w:hAnsi="Arial"/>
                  <w:sz w:val="16"/>
                  <w:szCs w:val="16"/>
                  <w:color w:val="0000EE"/>
                  <w:w w:val="96"/>
                </w:rPr>
                <w:t>Nonqualified Deferred Compensation</w:t>
              </w:r>
            </w:hyperlink>
          </w:p>
        </w:tc>
        <w:tc>
          <w:tcPr>
            <w:tcW w:w="1860" w:type="dxa"/>
            <w:vAlign w:val="bottom"/>
            <w:gridSpan w:val="8"/>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65"/>
        </w:trPr>
        <w:tc>
          <w:tcPr>
            <w:tcW w:w="920" w:type="dxa"/>
            <w:vAlign w:val="bottom"/>
          </w:tcPr>
          <w:p>
            <w:pPr>
              <w:spacing w:after="0"/>
              <w:rPr>
                <w:sz w:val="23"/>
                <w:szCs w:val="23"/>
                <w:color w:val="auto"/>
              </w:rPr>
            </w:pPr>
          </w:p>
        </w:tc>
        <w:tc>
          <w:tcPr>
            <w:tcW w:w="2480" w:type="dxa"/>
            <w:vAlign w:val="bottom"/>
            <w:shd w:val="clear" w:color="auto" w:fill="EDEDED"/>
          </w:tcPr>
          <w:p>
            <w:pPr>
              <w:spacing w:after="0"/>
              <w:rPr>
                <w:sz w:val="23"/>
                <w:szCs w:val="23"/>
                <w:color w:val="auto"/>
              </w:rPr>
            </w:pPr>
          </w:p>
        </w:tc>
        <w:tc>
          <w:tcPr>
            <w:tcW w:w="160" w:type="dxa"/>
            <w:vAlign w:val="bottom"/>
            <w:shd w:val="clear" w:color="auto" w:fill="EDEDED"/>
          </w:tcPr>
          <w:p>
            <w:pPr>
              <w:spacing w:after="0"/>
              <w:rPr>
                <w:sz w:val="23"/>
                <w:szCs w:val="23"/>
                <w:color w:val="auto"/>
              </w:rPr>
            </w:pPr>
          </w:p>
        </w:tc>
        <w:tc>
          <w:tcPr>
            <w:tcW w:w="140" w:type="dxa"/>
            <w:vAlign w:val="bottom"/>
            <w:shd w:val="clear" w:color="auto" w:fill="EDEDED"/>
          </w:tcPr>
          <w:p>
            <w:pPr>
              <w:spacing w:after="0"/>
              <w:rPr>
                <w:sz w:val="23"/>
                <w:szCs w:val="23"/>
                <w:color w:val="auto"/>
              </w:rPr>
            </w:pPr>
          </w:p>
        </w:tc>
        <w:tc>
          <w:tcPr>
            <w:tcW w:w="220" w:type="dxa"/>
            <w:vAlign w:val="bottom"/>
          </w:tcPr>
          <w:p>
            <w:pPr>
              <w:spacing w:after="0"/>
              <w:rPr>
                <w:sz w:val="23"/>
                <w:szCs w:val="23"/>
                <w:color w:val="auto"/>
              </w:rPr>
            </w:pPr>
          </w:p>
        </w:tc>
        <w:tc>
          <w:tcPr>
            <w:tcW w:w="4740" w:type="dxa"/>
            <w:vAlign w:val="bottom"/>
            <w:gridSpan w:val="26"/>
          </w:tcPr>
          <w:p>
            <w:pPr>
              <w:spacing w:after="0"/>
              <w:rPr>
                <w:rFonts w:ascii="Arial" w:cs="Arial" w:eastAsia="Arial" w:hAnsi="Arial"/>
                <w:sz w:val="16"/>
                <w:szCs w:val="16"/>
                <w:color w:val="0000EE"/>
              </w:rPr>
            </w:pPr>
            <w:hyperlink w:anchor="page67">
              <w:r>
                <w:rPr>
                  <w:rFonts w:ascii="Arial" w:cs="Arial" w:eastAsia="Arial" w:hAnsi="Arial"/>
                  <w:sz w:val="16"/>
                  <w:szCs w:val="16"/>
                  <w:color w:val="0000EE"/>
                </w:rPr>
                <w:t>CEO Pay Ratio</w:t>
              </w:r>
            </w:hyperlink>
          </w:p>
        </w:tc>
        <w:tc>
          <w:tcPr>
            <w:tcW w:w="38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80" w:type="dxa"/>
            <w:vAlign w:val="bottom"/>
            <w:shd w:val="clear" w:color="auto" w:fill="EDEDED"/>
          </w:tcPr>
          <w:p>
            <w:pPr>
              <w:spacing w:after="0" w:line="20" w:lineRule="exact"/>
              <w:rPr>
                <w:sz w:val="1"/>
                <w:szCs w:val="1"/>
                <w:color w:val="auto"/>
              </w:rPr>
            </w:pPr>
          </w:p>
        </w:tc>
        <w:tc>
          <w:tcPr>
            <w:tcW w:w="160" w:type="dxa"/>
            <w:vAlign w:val="bottom"/>
            <w:shd w:val="clear" w:color="auto" w:fill="EDEDED"/>
          </w:tcPr>
          <w:p>
            <w:pPr>
              <w:spacing w:after="0" w:line="20" w:lineRule="exact"/>
              <w:rPr>
                <w:sz w:val="1"/>
                <w:szCs w:val="1"/>
                <w:color w:val="auto"/>
              </w:rPr>
            </w:pPr>
          </w:p>
        </w:tc>
        <w:tc>
          <w:tcPr>
            <w:tcW w:w="140" w:type="dxa"/>
            <w:vAlign w:val="bottom"/>
            <w:shd w:val="clear" w:color="auto" w:fill="EDEDED"/>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920" w:type="dxa"/>
            <w:vAlign w:val="bottom"/>
          </w:tcPr>
          <w:p>
            <w:pPr>
              <w:spacing w:after="0"/>
              <w:rPr>
                <w:sz w:val="23"/>
                <w:szCs w:val="23"/>
                <w:color w:val="auto"/>
              </w:rPr>
            </w:pPr>
          </w:p>
        </w:tc>
        <w:tc>
          <w:tcPr>
            <w:tcW w:w="2480" w:type="dxa"/>
            <w:vAlign w:val="bottom"/>
            <w:shd w:val="clear" w:color="auto" w:fill="EDEDED"/>
          </w:tcPr>
          <w:p>
            <w:pPr>
              <w:spacing w:after="0"/>
              <w:rPr>
                <w:sz w:val="23"/>
                <w:szCs w:val="23"/>
                <w:color w:val="auto"/>
              </w:rPr>
            </w:pPr>
          </w:p>
        </w:tc>
        <w:tc>
          <w:tcPr>
            <w:tcW w:w="160" w:type="dxa"/>
            <w:vAlign w:val="bottom"/>
            <w:shd w:val="clear" w:color="auto" w:fill="EDEDED"/>
          </w:tcPr>
          <w:p>
            <w:pPr>
              <w:spacing w:after="0"/>
              <w:rPr>
                <w:sz w:val="23"/>
                <w:szCs w:val="23"/>
                <w:color w:val="auto"/>
              </w:rPr>
            </w:pPr>
          </w:p>
        </w:tc>
        <w:tc>
          <w:tcPr>
            <w:tcW w:w="140" w:type="dxa"/>
            <w:vAlign w:val="bottom"/>
            <w:shd w:val="clear" w:color="auto" w:fill="EDEDED"/>
          </w:tcPr>
          <w:p>
            <w:pPr>
              <w:spacing w:after="0"/>
              <w:rPr>
                <w:sz w:val="23"/>
                <w:szCs w:val="23"/>
                <w:color w:val="auto"/>
              </w:rPr>
            </w:pPr>
          </w:p>
        </w:tc>
        <w:tc>
          <w:tcPr>
            <w:tcW w:w="220" w:type="dxa"/>
            <w:vAlign w:val="bottom"/>
          </w:tcPr>
          <w:p>
            <w:pPr>
              <w:spacing w:after="0"/>
              <w:rPr>
                <w:sz w:val="23"/>
                <w:szCs w:val="23"/>
                <w:color w:val="auto"/>
              </w:rPr>
            </w:pPr>
          </w:p>
        </w:tc>
        <w:tc>
          <w:tcPr>
            <w:tcW w:w="4740" w:type="dxa"/>
            <w:vAlign w:val="bottom"/>
            <w:gridSpan w:val="26"/>
          </w:tcPr>
          <w:p>
            <w:pPr>
              <w:spacing w:after="0"/>
              <w:rPr>
                <w:rFonts w:ascii="Arial" w:cs="Arial" w:eastAsia="Arial" w:hAnsi="Arial"/>
                <w:sz w:val="16"/>
                <w:szCs w:val="16"/>
                <w:color w:val="0000EE"/>
              </w:rPr>
            </w:pPr>
            <w:hyperlink w:anchor="page67">
              <w:r>
                <w:rPr>
                  <w:rFonts w:ascii="Arial" w:cs="Arial" w:eastAsia="Arial" w:hAnsi="Arial"/>
                  <w:sz w:val="16"/>
                  <w:szCs w:val="16"/>
                  <w:color w:val="0000EE"/>
                </w:rPr>
                <w:t>Equity Compensation Plan Information</w:t>
              </w:r>
            </w:hyperlink>
          </w:p>
        </w:tc>
        <w:tc>
          <w:tcPr>
            <w:tcW w:w="38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65"/>
        </w:trPr>
        <w:tc>
          <w:tcPr>
            <w:tcW w:w="920" w:type="dxa"/>
            <w:vAlign w:val="bottom"/>
          </w:tcPr>
          <w:p>
            <w:pPr>
              <w:spacing w:after="0"/>
              <w:rPr>
                <w:sz w:val="23"/>
                <w:szCs w:val="23"/>
                <w:color w:val="auto"/>
              </w:rPr>
            </w:pPr>
          </w:p>
        </w:tc>
        <w:tc>
          <w:tcPr>
            <w:tcW w:w="2480" w:type="dxa"/>
            <w:vAlign w:val="bottom"/>
            <w:tcBorders>
              <w:top w:val="single" w:sz="8" w:color="EDEDED"/>
            </w:tcBorders>
            <w:shd w:val="clear" w:color="auto" w:fill="EDEDED"/>
          </w:tcPr>
          <w:p>
            <w:pPr>
              <w:spacing w:after="0"/>
              <w:rPr>
                <w:sz w:val="23"/>
                <w:szCs w:val="23"/>
                <w:color w:val="auto"/>
              </w:rPr>
            </w:pPr>
          </w:p>
        </w:tc>
        <w:tc>
          <w:tcPr>
            <w:tcW w:w="160" w:type="dxa"/>
            <w:vAlign w:val="bottom"/>
            <w:tcBorders>
              <w:top w:val="single" w:sz="8" w:color="EDEDED"/>
            </w:tcBorders>
            <w:shd w:val="clear" w:color="auto" w:fill="EDEDED"/>
          </w:tcPr>
          <w:p>
            <w:pPr>
              <w:spacing w:after="0"/>
              <w:rPr>
                <w:sz w:val="23"/>
                <w:szCs w:val="23"/>
                <w:color w:val="auto"/>
              </w:rPr>
            </w:pPr>
          </w:p>
        </w:tc>
        <w:tc>
          <w:tcPr>
            <w:tcW w:w="140" w:type="dxa"/>
            <w:vAlign w:val="bottom"/>
            <w:tcBorders>
              <w:top w:val="single" w:sz="8" w:color="EDEDED"/>
            </w:tcBorders>
            <w:shd w:val="clear" w:color="auto" w:fill="EDEDED"/>
          </w:tcPr>
          <w:p>
            <w:pPr>
              <w:spacing w:after="0"/>
              <w:rPr>
                <w:sz w:val="23"/>
                <w:szCs w:val="23"/>
                <w:color w:val="auto"/>
              </w:rPr>
            </w:pPr>
          </w:p>
        </w:tc>
        <w:tc>
          <w:tcPr>
            <w:tcW w:w="220" w:type="dxa"/>
            <w:vAlign w:val="bottom"/>
          </w:tcPr>
          <w:p>
            <w:pPr>
              <w:spacing w:after="0"/>
              <w:rPr>
                <w:sz w:val="23"/>
                <w:szCs w:val="23"/>
                <w:color w:val="auto"/>
              </w:rPr>
            </w:pPr>
          </w:p>
        </w:tc>
        <w:tc>
          <w:tcPr>
            <w:tcW w:w="2660" w:type="dxa"/>
            <w:vAlign w:val="bottom"/>
            <w:tcBorders>
              <w:top w:val="single" w:sz="8" w:color="0000EE"/>
            </w:tcBorders>
            <w:gridSpan w:val="15"/>
          </w:tcPr>
          <w:p>
            <w:pPr>
              <w:spacing w:after="0"/>
              <w:rPr>
                <w:rFonts w:ascii="Arial" w:cs="Arial" w:eastAsia="Arial" w:hAnsi="Arial"/>
                <w:sz w:val="16"/>
                <w:szCs w:val="16"/>
                <w:color w:val="0000EE"/>
              </w:rPr>
            </w:pPr>
            <w:hyperlink w:anchor="page68">
              <w:r>
                <w:rPr>
                  <w:rFonts w:ascii="Arial" w:cs="Arial" w:eastAsia="Arial" w:hAnsi="Arial"/>
                  <w:sz w:val="16"/>
                  <w:szCs w:val="16"/>
                  <w:color w:val="0000EE"/>
                </w:rPr>
                <w:t>Stock Ownership Information</w:t>
              </w:r>
            </w:hyperlink>
          </w:p>
        </w:tc>
        <w:tc>
          <w:tcPr>
            <w:tcW w:w="2080" w:type="dxa"/>
            <w:vAlign w:val="bottom"/>
            <w:gridSpan w:val="11"/>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91"/>
        </w:trPr>
        <w:tc>
          <w:tcPr>
            <w:tcW w:w="920" w:type="dxa"/>
            <w:vAlign w:val="bottom"/>
          </w:tcPr>
          <w:p>
            <w:pPr>
              <w:spacing w:after="0"/>
              <w:rPr>
                <w:sz w:val="24"/>
                <w:szCs w:val="24"/>
                <w:color w:val="auto"/>
              </w:rPr>
            </w:pPr>
          </w:p>
        </w:tc>
        <w:tc>
          <w:tcPr>
            <w:tcW w:w="2480" w:type="dxa"/>
            <w:vAlign w:val="bottom"/>
            <w:tcBorders>
              <w:top w:val="single" w:sz="8" w:color="EDEDED"/>
            </w:tcBorders>
            <w:shd w:val="clear" w:color="auto" w:fill="EDEDED"/>
          </w:tcPr>
          <w:p>
            <w:pPr>
              <w:spacing w:after="0"/>
              <w:rPr>
                <w:sz w:val="24"/>
                <w:szCs w:val="24"/>
                <w:color w:val="auto"/>
              </w:rPr>
            </w:pPr>
          </w:p>
        </w:tc>
        <w:tc>
          <w:tcPr>
            <w:tcW w:w="160" w:type="dxa"/>
            <w:vAlign w:val="bottom"/>
            <w:tcBorders>
              <w:top w:val="single" w:sz="8" w:color="EDEDED"/>
            </w:tcBorders>
            <w:shd w:val="clear" w:color="auto" w:fill="EDEDED"/>
          </w:tcPr>
          <w:p>
            <w:pPr>
              <w:spacing w:after="0"/>
              <w:rPr>
                <w:sz w:val="24"/>
                <w:szCs w:val="24"/>
                <w:color w:val="auto"/>
              </w:rPr>
            </w:pPr>
          </w:p>
        </w:tc>
        <w:tc>
          <w:tcPr>
            <w:tcW w:w="140" w:type="dxa"/>
            <w:vAlign w:val="bottom"/>
            <w:tcBorders>
              <w:top w:val="single" w:sz="8" w:color="EDEDED"/>
            </w:tcBorders>
            <w:shd w:val="clear" w:color="auto" w:fill="EDEDED"/>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tcBorders>
              <w:top w:val="single" w:sz="8" w:color="0000EE"/>
            </w:tcBorders>
            <w:gridSpan w:val="8"/>
          </w:tcPr>
          <w:p>
            <w:pPr>
              <w:spacing w:after="0"/>
              <w:rPr>
                <w:rFonts w:ascii="Arial" w:cs="Arial" w:eastAsia="Arial" w:hAnsi="Arial"/>
                <w:sz w:val="16"/>
                <w:szCs w:val="16"/>
                <w:color w:val="0000EE"/>
              </w:rPr>
            </w:pPr>
            <w:hyperlink w:anchor="page69">
              <w:r>
                <w:rPr>
                  <w:rFonts w:ascii="Arial" w:cs="Arial" w:eastAsia="Arial" w:hAnsi="Arial"/>
                  <w:sz w:val="16"/>
                  <w:szCs w:val="16"/>
                  <w:color w:val="0000EE"/>
                </w:rPr>
                <w:t>Principal Shareholders</w:t>
              </w:r>
            </w:hyperlink>
          </w:p>
        </w:tc>
        <w:tc>
          <w:tcPr>
            <w:tcW w:w="2740" w:type="dxa"/>
            <w:vAlign w:val="bottom"/>
            <w:gridSpan w:val="18"/>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97"/>
        </w:trPr>
        <w:tc>
          <w:tcPr>
            <w:tcW w:w="920" w:type="dxa"/>
            <w:vAlign w:val="bottom"/>
            <w:tcBorders>
              <w:bottom w:val="single" w:sz="8" w:color="0075C9"/>
            </w:tcBorders>
          </w:tcPr>
          <w:p>
            <w:pPr>
              <w:spacing w:after="0"/>
              <w:rPr>
                <w:sz w:val="8"/>
                <w:szCs w:val="8"/>
                <w:color w:val="auto"/>
              </w:rPr>
            </w:pPr>
          </w:p>
        </w:tc>
        <w:tc>
          <w:tcPr>
            <w:tcW w:w="2480" w:type="dxa"/>
            <w:vAlign w:val="bottom"/>
            <w:tcBorders>
              <w:top w:val="single" w:sz="8" w:color="EDEDED"/>
              <w:bottom w:val="single" w:sz="8" w:color="0075C9"/>
            </w:tcBorders>
            <w:shd w:val="clear" w:color="auto" w:fill="EDEDED"/>
          </w:tcPr>
          <w:p>
            <w:pPr>
              <w:spacing w:after="0"/>
              <w:rPr>
                <w:sz w:val="8"/>
                <w:szCs w:val="8"/>
                <w:color w:val="auto"/>
              </w:rPr>
            </w:pPr>
          </w:p>
        </w:tc>
        <w:tc>
          <w:tcPr>
            <w:tcW w:w="160" w:type="dxa"/>
            <w:vAlign w:val="bottom"/>
            <w:tcBorders>
              <w:top w:val="single" w:sz="8" w:color="EDEDED"/>
              <w:bottom w:val="single" w:sz="8" w:color="0075C9"/>
            </w:tcBorders>
            <w:shd w:val="clear" w:color="auto" w:fill="EDEDED"/>
          </w:tcPr>
          <w:p>
            <w:pPr>
              <w:spacing w:after="0"/>
              <w:rPr>
                <w:sz w:val="8"/>
                <w:szCs w:val="8"/>
                <w:color w:val="auto"/>
              </w:rPr>
            </w:pPr>
          </w:p>
        </w:tc>
        <w:tc>
          <w:tcPr>
            <w:tcW w:w="140" w:type="dxa"/>
            <w:vAlign w:val="bottom"/>
            <w:tcBorders>
              <w:top w:val="single" w:sz="8" w:color="EDEDED"/>
              <w:bottom w:val="single" w:sz="8" w:color="0075C9"/>
            </w:tcBorders>
            <w:shd w:val="clear" w:color="auto" w:fill="EDEDED"/>
          </w:tcPr>
          <w:p>
            <w:pPr>
              <w:spacing w:after="0"/>
              <w:rPr>
                <w:sz w:val="8"/>
                <w:szCs w:val="8"/>
                <w:color w:val="auto"/>
              </w:rPr>
            </w:pPr>
          </w:p>
        </w:tc>
        <w:tc>
          <w:tcPr>
            <w:tcW w:w="220" w:type="dxa"/>
            <w:vAlign w:val="bottom"/>
            <w:tcBorders>
              <w:bottom w:val="single" w:sz="8" w:color="0075C9"/>
            </w:tcBorders>
          </w:tcPr>
          <w:p>
            <w:pPr>
              <w:spacing w:after="0"/>
              <w:rPr>
                <w:sz w:val="8"/>
                <w:szCs w:val="8"/>
                <w:color w:val="auto"/>
              </w:rPr>
            </w:pPr>
          </w:p>
        </w:tc>
        <w:tc>
          <w:tcPr>
            <w:tcW w:w="320" w:type="dxa"/>
            <w:vAlign w:val="bottom"/>
            <w:tcBorders>
              <w:top w:val="single" w:sz="8" w:color="0000EE"/>
              <w:bottom w:val="single" w:sz="8" w:color="0075C9"/>
            </w:tcBorders>
          </w:tcPr>
          <w:p>
            <w:pPr>
              <w:spacing w:after="0"/>
              <w:rPr>
                <w:sz w:val="8"/>
                <w:szCs w:val="8"/>
                <w:color w:val="auto"/>
              </w:rPr>
            </w:pPr>
          </w:p>
        </w:tc>
        <w:tc>
          <w:tcPr>
            <w:tcW w:w="740" w:type="dxa"/>
            <w:vAlign w:val="bottom"/>
            <w:tcBorders>
              <w:top w:val="single" w:sz="8" w:color="0000EE"/>
              <w:bottom w:val="single" w:sz="8" w:color="0075C9"/>
            </w:tcBorders>
          </w:tcPr>
          <w:p>
            <w:pPr>
              <w:spacing w:after="0"/>
              <w:rPr>
                <w:sz w:val="8"/>
                <w:szCs w:val="8"/>
                <w:color w:val="auto"/>
              </w:rPr>
            </w:pPr>
          </w:p>
        </w:tc>
        <w:tc>
          <w:tcPr>
            <w:tcW w:w="280" w:type="dxa"/>
            <w:vAlign w:val="bottom"/>
            <w:tcBorders>
              <w:top w:val="single" w:sz="8" w:color="0000EE"/>
              <w:bottom w:val="single" w:sz="8" w:color="0075C9"/>
            </w:tcBorders>
          </w:tcPr>
          <w:p>
            <w:pPr>
              <w:spacing w:after="0"/>
              <w:rPr>
                <w:sz w:val="8"/>
                <w:szCs w:val="8"/>
                <w:color w:val="auto"/>
              </w:rPr>
            </w:pPr>
          </w:p>
        </w:tc>
        <w:tc>
          <w:tcPr>
            <w:tcW w:w="240" w:type="dxa"/>
            <w:vAlign w:val="bottom"/>
            <w:tcBorders>
              <w:top w:val="single" w:sz="8" w:color="0000EE"/>
              <w:bottom w:val="single" w:sz="8" w:color="0075C9"/>
            </w:tcBorders>
          </w:tcPr>
          <w:p>
            <w:pPr>
              <w:spacing w:after="0"/>
              <w:rPr>
                <w:sz w:val="8"/>
                <w:szCs w:val="8"/>
                <w:color w:val="auto"/>
              </w:rPr>
            </w:pPr>
          </w:p>
        </w:tc>
        <w:tc>
          <w:tcPr>
            <w:tcW w:w="80" w:type="dxa"/>
            <w:vAlign w:val="bottom"/>
            <w:tcBorders>
              <w:bottom w:val="single" w:sz="8" w:color="0075C9"/>
            </w:tcBorders>
          </w:tcPr>
          <w:p>
            <w:pPr>
              <w:spacing w:after="0"/>
              <w:rPr>
                <w:sz w:val="8"/>
                <w:szCs w:val="8"/>
                <w:color w:val="auto"/>
              </w:rPr>
            </w:pPr>
          </w:p>
        </w:tc>
        <w:tc>
          <w:tcPr>
            <w:tcW w:w="180" w:type="dxa"/>
            <w:vAlign w:val="bottom"/>
            <w:tcBorders>
              <w:bottom w:val="single" w:sz="8" w:color="0075C9"/>
            </w:tcBorders>
          </w:tcPr>
          <w:p>
            <w:pPr>
              <w:spacing w:after="0"/>
              <w:rPr>
                <w:sz w:val="8"/>
                <w:szCs w:val="8"/>
                <w:color w:val="auto"/>
              </w:rPr>
            </w:pPr>
          </w:p>
        </w:tc>
        <w:tc>
          <w:tcPr>
            <w:tcW w:w="100" w:type="dxa"/>
            <w:vAlign w:val="bottom"/>
            <w:tcBorders>
              <w:bottom w:val="single" w:sz="8" w:color="0075C9"/>
            </w:tcBorders>
          </w:tcPr>
          <w:p>
            <w:pPr>
              <w:spacing w:after="0"/>
              <w:rPr>
                <w:sz w:val="8"/>
                <w:szCs w:val="8"/>
                <w:color w:val="auto"/>
              </w:rPr>
            </w:pPr>
          </w:p>
        </w:tc>
        <w:tc>
          <w:tcPr>
            <w:tcW w:w="60" w:type="dxa"/>
            <w:vAlign w:val="bottom"/>
            <w:tcBorders>
              <w:bottom w:val="single" w:sz="8" w:color="0075C9"/>
            </w:tcBorders>
          </w:tcPr>
          <w:p>
            <w:pPr>
              <w:spacing w:after="0"/>
              <w:rPr>
                <w:sz w:val="8"/>
                <w:szCs w:val="8"/>
                <w:color w:val="auto"/>
              </w:rPr>
            </w:pPr>
          </w:p>
        </w:tc>
        <w:tc>
          <w:tcPr>
            <w:tcW w:w="240" w:type="dxa"/>
            <w:vAlign w:val="bottom"/>
            <w:tcBorders>
              <w:bottom w:val="single" w:sz="8" w:color="0075C9"/>
            </w:tcBorders>
          </w:tcPr>
          <w:p>
            <w:pPr>
              <w:spacing w:after="0"/>
              <w:rPr>
                <w:sz w:val="8"/>
                <w:szCs w:val="8"/>
                <w:color w:val="auto"/>
              </w:rPr>
            </w:pPr>
          </w:p>
        </w:tc>
        <w:tc>
          <w:tcPr>
            <w:tcW w:w="120" w:type="dxa"/>
            <w:vAlign w:val="bottom"/>
            <w:tcBorders>
              <w:bottom w:val="single" w:sz="8" w:color="0075C9"/>
            </w:tcBorders>
          </w:tcPr>
          <w:p>
            <w:pPr>
              <w:spacing w:after="0"/>
              <w:rPr>
                <w:sz w:val="8"/>
                <w:szCs w:val="8"/>
                <w:color w:val="auto"/>
              </w:rPr>
            </w:pPr>
          </w:p>
        </w:tc>
        <w:tc>
          <w:tcPr>
            <w:tcW w:w="40" w:type="dxa"/>
            <w:vAlign w:val="bottom"/>
            <w:tcBorders>
              <w:bottom w:val="single" w:sz="8" w:color="0075C9"/>
            </w:tcBorders>
          </w:tcPr>
          <w:p>
            <w:pPr>
              <w:spacing w:after="0"/>
              <w:rPr>
                <w:sz w:val="8"/>
                <w:szCs w:val="8"/>
                <w:color w:val="auto"/>
              </w:rPr>
            </w:pPr>
          </w:p>
        </w:tc>
        <w:tc>
          <w:tcPr>
            <w:tcW w:w="40" w:type="dxa"/>
            <w:vAlign w:val="bottom"/>
            <w:tcBorders>
              <w:bottom w:val="single" w:sz="8" w:color="0075C9"/>
            </w:tcBorders>
          </w:tcPr>
          <w:p>
            <w:pPr>
              <w:spacing w:after="0"/>
              <w:rPr>
                <w:sz w:val="8"/>
                <w:szCs w:val="8"/>
                <w:color w:val="auto"/>
              </w:rPr>
            </w:pPr>
          </w:p>
        </w:tc>
        <w:tc>
          <w:tcPr>
            <w:tcW w:w="80" w:type="dxa"/>
            <w:vAlign w:val="bottom"/>
            <w:tcBorders>
              <w:bottom w:val="single" w:sz="8" w:color="0075C9"/>
            </w:tcBorders>
          </w:tcPr>
          <w:p>
            <w:pPr>
              <w:spacing w:after="0"/>
              <w:rPr>
                <w:sz w:val="8"/>
                <w:szCs w:val="8"/>
                <w:color w:val="auto"/>
              </w:rPr>
            </w:pPr>
          </w:p>
        </w:tc>
        <w:tc>
          <w:tcPr>
            <w:tcW w:w="60" w:type="dxa"/>
            <w:vAlign w:val="bottom"/>
            <w:tcBorders>
              <w:bottom w:val="single" w:sz="8" w:color="0075C9"/>
            </w:tcBorders>
          </w:tcPr>
          <w:p>
            <w:pPr>
              <w:spacing w:after="0"/>
              <w:rPr>
                <w:sz w:val="8"/>
                <w:szCs w:val="8"/>
                <w:color w:val="auto"/>
              </w:rPr>
            </w:pPr>
          </w:p>
        </w:tc>
        <w:tc>
          <w:tcPr>
            <w:tcW w:w="80" w:type="dxa"/>
            <w:vAlign w:val="bottom"/>
            <w:tcBorders>
              <w:bottom w:val="single" w:sz="8" w:color="0075C9"/>
            </w:tcBorders>
          </w:tcPr>
          <w:p>
            <w:pPr>
              <w:spacing w:after="0"/>
              <w:rPr>
                <w:sz w:val="8"/>
                <w:szCs w:val="8"/>
                <w:color w:val="auto"/>
              </w:rPr>
            </w:pPr>
          </w:p>
        </w:tc>
        <w:tc>
          <w:tcPr>
            <w:tcW w:w="40" w:type="dxa"/>
            <w:vAlign w:val="bottom"/>
            <w:tcBorders>
              <w:bottom w:val="single" w:sz="8" w:color="0075C9"/>
            </w:tcBorders>
          </w:tcPr>
          <w:p>
            <w:pPr>
              <w:spacing w:after="0"/>
              <w:rPr>
                <w:sz w:val="8"/>
                <w:szCs w:val="8"/>
                <w:color w:val="auto"/>
              </w:rPr>
            </w:pPr>
          </w:p>
        </w:tc>
        <w:tc>
          <w:tcPr>
            <w:tcW w:w="40" w:type="dxa"/>
            <w:vAlign w:val="bottom"/>
            <w:tcBorders>
              <w:bottom w:val="single" w:sz="8" w:color="0075C9"/>
            </w:tcBorders>
          </w:tcPr>
          <w:p>
            <w:pPr>
              <w:spacing w:after="0"/>
              <w:rPr>
                <w:sz w:val="8"/>
                <w:szCs w:val="8"/>
                <w:color w:val="auto"/>
              </w:rPr>
            </w:pPr>
          </w:p>
        </w:tc>
        <w:tc>
          <w:tcPr>
            <w:tcW w:w="140" w:type="dxa"/>
            <w:vAlign w:val="bottom"/>
            <w:tcBorders>
              <w:bottom w:val="single" w:sz="8" w:color="0075C9"/>
            </w:tcBorders>
          </w:tcPr>
          <w:p>
            <w:pPr>
              <w:spacing w:after="0"/>
              <w:rPr>
                <w:sz w:val="8"/>
                <w:szCs w:val="8"/>
                <w:color w:val="auto"/>
              </w:rPr>
            </w:pPr>
          </w:p>
        </w:tc>
        <w:tc>
          <w:tcPr>
            <w:tcW w:w="80" w:type="dxa"/>
            <w:vAlign w:val="bottom"/>
            <w:tcBorders>
              <w:bottom w:val="single" w:sz="8" w:color="0075C9"/>
            </w:tcBorders>
          </w:tcPr>
          <w:p>
            <w:pPr>
              <w:spacing w:after="0"/>
              <w:rPr>
                <w:sz w:val="8"/>
                <w:szCs w:val="8"/>
                <w:color w:val="auto"/>
              </w:rPr>
            </w:pPr>
          </w:p>
        </w:tc>
        <w:tc>
          <w:tcPr>
            <w:tcW w:w="40" w:type="dxa"/>
            <w:vAlign w:val="bottom"/>
            <w:tcBorders>
              <w:bottom w:val="single" w:sz="8" w:color="0075C9"/>
            </w:tcBorders>
          </w:tcPr>
          <w:p>
            <w:pPr>
              <w:spacing w:after="0"/>
              <w:rPr>
                <w:sz w:val="8"/>
                <w:szCs w:val="8"/>
                <w:color w:val="auto"/>
              </w:rPr>
            </w:pPr>
          </w:p>
        </w:tc>
        <w:tc>
          <w:tcPr>
            <w:tcW w:w="400" w:type="dxa"/>
            <w:vAlign w:val="bottom"/>
            <w:tcBorders>
              <w:bottom w:val="single" w:sz="8" w:color="0075C9"/>
            </w:tcBorders>
          </w:tcPr>
          <w:p>
            <w:pPr>
              <w:spacing w:after="0"/>
              <w:rPr>
                <w:sz w:val="8"/>
                <w:szCs w:val="8"/>
                <w:color w:val="auto"/>
              </w:rPr>
            </w:pPr>
          </w:p>
        </w:tc>
        <w:tc>
          <w:tcPr>
            <w:tcW w:w="660" w:type="dxa"/>
            <w:vAlign w:val="bottom"/>
            <w:tcBorders>
              <w:bottom w:val="single" w:sz="8" w:color="0075C9"/>
            </w:tcBorders>
          </w:tcPr>
          <w:p>
            <w:pPr>
              <w:spacing w:after="0"/>
              <w:rPr>
                <w:sz w:val="8"/>
                <w:szCs w:val="8"/>
                <w:color w:val="auto"/>
              </w:rPr>
            </w:pPr>
          </w:p>
        </w:tc>
        <w:tc>
          <w:tcPr>
            <w:tcW w:w="220" w:type="dxa"/>
            <w:vAlign w:val="bottom"/>
            <w:tcBorders>
              <w:bottom w:val="single" w:sz="8" w:color="0075C9"/>
            </w:tcBorders>
          </w:tcPr>
          <w:p>
            <w:pPr>
              <w:spacing w:after="0"/>
              <w:rPr>
                <w:sz w:val="8"/>
                <w:szCs w:val="8"/>
                <w:color w:val="auto"/>
              </w:rPr>
            </w:pPr>
          </w:p>
        </w:tc>
        <w:tc>
          <w:tcPr>
            <w:tcW w:w="220" w:type="dxa"/>
            <w:vAlign w:val="bottom"/>
            <w:tcBorders>
              <w:bottom w:val="single" w:sz="8" w:color="0075C9"/>
            </w:tcBorders>
          </w:tcPr>
          <w:p>
            <w:pPr>
              <w:spacing w:after="0"/>
              <w:rPr>
                <w:sz w:val="8"/>
                <w:szCs w:val="8"/>
                <w:color w:val="auto"/>
              </w:rPr>
            </w:pPr>
          </w:p>
        </w:tc>
        <w:tc>
          <w:tcPr>
            <w:tcW w:w="20" w:type="dxa"/>
            <w:vAlign w:val="bottom"/>
            <w:tcBorders>
              <w:bottom w:val="single" w:sz="8" w:color="0075C9"/>
            </w:tcBorders>
          </w:tcPr>
          <w:p>
            <w:pPr>
              <w:spacing w:after="0"/>
              <w:rPr>
                <w:sz w:val="8"/>
                <w:szCs w:val="8"/>
                <w:color w:val="auto"/>
              </w:rPr>
            </w:pPr>
          </w:p>
        </w:tc>
        <w:tc>
          <w:tcPr>
            <w:tcW w:w="220" w:type="dxa"/>
            <w:vAlign w:val="bottom"/>
            <w:tcBorders>
              <w:bottom w:val="single" w:sz="8" w:color="0075C9"/>
            </w:tcBorders>
          </w:tcPr>
          <w:p>
            <w:pPr>
              <w:spacing w:after="0"/>
              <w:rPr>
                <w:sz w:val="8"/>
                <w:szCs w:val="8"/>
                <w:color w:val="auto"/>
              </w:rPr>
            </w:pPr>
          </w:p>
        </w:tc>
        <w:tc>
          <w:tcPr>
            <w:tcW w:w="380" w:type="dxa"/>
            <w:vAlign w:val="bottom"/>
            <w:tcBorders>
              <w:bottom w:val="single" w:sz="8" w:color="0075C9"/>
            </w:tcBorders>
          </w:tcPr>
          <w:p>
            <w:pPr>
              <w:spacing w:after="0"/>
              <w:rPr>
                <w:sz w:val="8"/>
                <w:szCs w:val="8"/>
                <w:color w:val="auto"/>
              </w:rPr>
            </w:pPr>
          </w:p>
        </w:tc>
        <w:tc>
          <w:tcPr>
            <w:tcW w:w="0" w:type="dxa"/>
            <w:vAlign w:val="bottom"/>
          </w:tcPr>
          <w:p>
            <w:pPr>
              <w:spacing w:after="0"/>
              <w:rPr>
                <w:sz w:val="1"/>
                <w:szCs w:val="1"/>
                <w:color w:val="auto"/>
              </w:rPr>
            </w:pPr>
          </w:p>
        </w:tc>
      </w:tr>
      <w:tr>
        <w:trPr>
          <w:trHeight w:val="265"/>
        </w:trPr>
        <w:tc>
          <w:tcPr>
            <w:tcW w:w="920" w:type="dxa"/>
            <w:vAlign w:val="bottom"/>
          </w:tcPr>
          <w:p>
            <w:pPr>
              <w:jc w:val="right"/>
              <w:spacing w:after="0" w:line="259" w:lineRule="exact"/>
              <w:rPr>
                <w:sz w:val="20"/>
                <w:szCs w:val="20"/>
                <w:color w:val="auto"/>
              </w:rPr>
            </w:pPr>
            <w:r>
              <w:rPr>
                <w:rFonts w:ascii="Arial" w:cs="Arial" w:eastAsia="Arial" w:hAnsi="Arial"/>
                <w:sz w:val="30"/>
                <w:szCs w:val="30"/>
                <w:color w:val="0075C9"/>
              </w:rPr>
              <w:t>3</w:t>
            </w:r>
          </w:p>
        </w:tc>
        <w:tc>
          <w:tcPr>
            <w:tcW w:w="2480" w:type="dxa"/>
            <w:vAlign w:val="bottom"/>
            <w:vMerge w:val="restart"/>
            <w:shd w:val="clear" w:color="auto" w:fill="EDEDED"/>
          </w:tcPr>
          <w:p>
            <w:pPr>
              <w:ind w:left="220"/>
              <w:spacing w:after="0"/>
              <w:rPr>
                <w:sz w:val="20"/>
                <w:szCs w:val="20"/>
                <w:color w:val="auto"/>
              </w:rPr>
            </w:pPr>
            <w:r>
              <w:rPr>
                <w:rFonts w:ascii="Arial" w:cs="Arial" w:eastAsia="Arial" w:hAnsi="Arial"/>
                <w:sz w:val="28"/>
                <w:szCs w:val="28"/>
                <w:color w:val="0075C9"/>
              </w:rPr>
              <w:t>Audit Committee</w:t>
            </w:r>
          </w:p>
        </w:tc>
        <w:tc>
          <w:tcPr>
            <w:tcW w:w="160" w:type="dxa"/>
            <w:vAlign w:val="bottom"/>
            <w:shd w:val="clear" w:color="auto" w:fill="EDEDED"/>
          </w:tcPr>
          <w:p>
            <w:pPr>
              <w:spacing w:after="0"/>
              <w:rPr>
                <w:sz w:val="23"/>
                <w:szCs w:val="23"/>
                <w:color w:val="auto"/>
              </w:rPr>
            </w:pPr>
          </w:p>
        </w:tc>
        <w:tc>
          <w:tcPr>
            <w:tcW w:w="140" w:type="dxa"/>
            <w:vAlign w:val="bottom"/>
            <w:shd w:val="clear" w:color="auto" w:fill="EDEDED"/>
          </w:tcPr>
          <w:p>
            <w:pPr>
              <w:spacing w:after="0"/>
              <w:rPr>
                <w:sz w:val="23"/>
                <w:szCs w:val="23"/>
                <w:color w:val="auto"/>
              </w:rPr>
            </w:pPr>
          </w:p>
        </w:tc>
        <w:tc>
          <w:tcPr>
            <w:tcW w:w="220" w:type="dxa"/>
            <w:vAlign w:val="bottom"/>
          </w:tcPr>
          <w:p>
            <w:pPr>
              <w:spacing w:after="0"/>
              <w:rPr>
                <w:sz w:val="23"/>
                <w:szCs w:val="23"/>
                <w:color w:val="auto"/>
              </w:rPr>
            </w:pPr>
          </w:p>
        </w:tc>
        <w:tc>
          <w:tcPr>
            <w:tcW w:w="4740" w:type="dxa"/>
            <w:vAlign w:val="bottom"/>
            <w:gridSpan w:val="26"/>
          </w:tcPr>
          <w:p>
            <w:pPr>
              <w:spacing w:after="0"/>
              <w:rPr>
                <w:rFonts w:ascii="Arial" w:cs="Arial" w:eastAsia="Arial" w:hAnsi="Arial"/>
                <w:sz w:val="16"/>
                <w:szCs w:val="16"/>
                <w:color w:val="0000EE"/>
              </w:rPr>
            </w:pPr>
            <w:hyperlink w:anchor="page70">
              <w:r>
                <w:rPr>
                  <w:rFonts w:ascii="Arial" w:cs="Arial" w:eastAsia="Arial" w:hAnsi="Arial"/>
                  <w:sz w:val="16"/>
                  <w:szCs w:val="16"/>
                  <w:color w:val="0000EE"/>
                </w:rPr>
                <w:t>Audit Committee Report</w:t>
              </w:r>
            </w:hyperlink>
          </w:p>
        </w:tc>
        <w:tc>
          <w:tcPr>
            <w:tcW w:w="380" w:type="dxa"/>
            <w:vAlign w:val="bottom"/>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80" w:type="dxa"/>
            <w:vAlign w:val="bottom"/>
            <w:vMerge w:val="continue"/>
            <w:shd w:val="clear" w:color="auto" w:fill="EDEDED"/>
          </w:tcPr>
          <w:p>
            <w:pPr>
              <w:spacing w:after="0" w:line="20" w:lineRule="exact"/>
              <w:rPr>
                <w:sz w:val="1"/>
                <w:szCs w:val="1"/>
                <w:color w:val="auto"/>
              </w:rPr>
            </w:pPr>
          </w:p>
        </w:tc>
        <w:tc>
          <w:tcPr>
            <w:tcW w:w="160" w:type="dxa"/>
            <w:vAlign w:val="bottom"/>
            <w:shd w:val="clear" w:color="auto" w:fill="EDEDED"/>
          </w:tcPr>
          <w:p>
            <w:pPr>
              <w:spacing w:after="0" w:line="20" w:lineRule="exact"/>
              <w:rPr>
                <w:sz w:val="1"/>
                <w:szCs w:val="1"/>
                <w:color w:val="auto"/>
              </w:rPr>
            </w:pPr>
          </w:p>
        </w:tc>
        <w:tc>
          <w:tcPr>
            <w:tcW w:w="140" w:type="dxa"/>
            <w:vAlign w:val="bottom"/>
            <w:shd w:val="clear" w:color="auto" w:fill="EDEDED"/>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0" w:type="dxa"/>
            <w:vAlign w:val="bottom"/>
          </w:tcPr>
          <w:p>
            <w:pPr>
              <w:spacing w:after="0"/>
              <w:rPr>
                <w:sz w:val="19"/>
                <w:szCs w:val="19"/>
                <w:color w:val="auto"/>
              </w:rPr>
            </w:pPr>
          </w:p>
        </w:tc>
        <w:tc>
          <w:tcPr>
            <w:tcW w:w="2480" w:type="dxa"/>
            <w:vAlign w:val="bottom"/>
            <w:vMerge w:val="continue"/>
            <w:shd w:val="clear" w:color="auto" w:fill="EDEDED"/>
          </w:tcPr>
          <w:p>
            <w:pPr>
              <w:spacing w:after="0"/>
              <w:rPr>
                <w:sz w:val="19"/>
                <w:szCs w:val="19"/>
                <w:color w:val="auto"/>
              </w:rPr>
            </w:pPr>
          </w:p>
        </w:tc>
        <w:tc>
          <w:tcPr>
            <w:tcW w:w="160" w:type="dxa"/>
            <w:vAlign w:val="bottom"/>
            <w:shd w:val="clear" w:color="auto" w:fill="EDEDED"/>
          </w:tcPr>
          <w:p>
            <w:pPr>
              <w:spacing w:after="0"/>
              <w:rPr>
                <w:sz w:val="19"/>
                <w:szCs w:val="19"/>
                <w:color w:val="auto"/>
              </w:rPr>
            </w:pPr>
          </w:p>
        </w:tc>
        <w:tc>
          <w:tcPr>
            <w:tcW w:w="140" w:type="dxa"/>
            <w:vAlign w:val="bottom"/>
            <w:shd w:val="clear" w:color="auto" w:fill="EDEDED"/>
          </w:tcPr>
          <w:p>
            <w:pPr>
              <w:spacing w:after="0"/>
              <w:rPr>
                <w:sz w:val="19"/>
                <w:szCs w:val="19"/>
                <w:color w:val="auto"/>
              </w:rPr>
            </w:pPr>
          </w:p>
        </w:tc>
        <w:tc>
          <w:tcPr>
            <w:tcW w:w="220" w:type="dxa"/>
            <w:vAlign w:val="bottom"/>
          </w:tcPr>
          <w:p>
            <w:pPr>
              <w:spacing w:after="0"/>
              <w:rPr>
                <w:sz w:val="19"/>
                <w:szCs w:val="19"/>
                <w:color w:val="auto"/>
              </w:rPr>
            </w:pPr>
          </w:p>
        </w:tc>
        <w:tc>
          <w:tcPr>
            <w:tcW w:w="4740" w:type="dxa"/>
            <w:vAlign w:val="bottom"/>
            <w:gridSpan w:val="26"/>
            <w:vMerge w:val="restart"/>
          </w:tcPr>
          <w:p>
            <w:pPr>
              <w:spacing w:after="0"/>
              <w:rPr>
                <w:rFonts w:ascii="Arial" w:cs="Arial" w:eastAsia="Arial" w:hAnsi="Arial"/>
                <w:sz w:val="16"/>
                <w:szCs w:val="16"/>
                <w:color w:val="0000EE"/>
              </w:rPr>
            </w:pPr>
            <w:hyperlink w:anchor="page72">
              <w:r>
                <w:rPr>
                  <w:rFonts w:ascii="Arial" w:cs="Arial" w:eastAsia="Arial" w:hAnsi="Arial"/>
                  <w:sz w:val="16"/>
                  <w:szCs w:val="16"/>
                  <w:color w:val="0000EE"/>
                </w:rPr>
                <w:t>Fees Billed by Deloitte &amp; Touche</w:t>
              </w:r>
            </w:hyperlink>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43"/>
        </w:trPr>
        <w:tc>
          <w:tcPr>
            <w:tcW w:w="920" w:type="dxa"/>
            <w:vAlign w:val="bottom"/>
          </w:tcPr>
          <w:p>
            <w:pPr>
              <w:spacing w:after="0"/>
              <w:rPr>
                <w:sz w:val="3"/>
                <w:szCs w:val="3"/>
                <w:color w:val="auto"/>
              </w:rPr>
            </w:pPr>
          </w:p>
        </w:tc>
        <w:tc>
          <w:tcPr>
            <w:tcW w:w="2480" w:type="dxa"/>
            <w:vAlign w:val="bottom"/>
            <w:vMerge w:val="restart"/>
            <w:shd w:val="clear" w:color="auto" w:fill="EDEDED"/>
          </w:tcPr>
          <w:p>
            <w:pPr>
              <w:ind w:left="220"/>
              <w:spacing w:after="0"/>
              <w:rPr>
                <w:sz w:val="20"/>
                <w:szCs w:val="20"/>
                <w:color w:val="auto"/>
              </w:rPr>
            </w:pPr>
            <w:r>
              <w:rPr>
                <w:rFonts w:ascii="Arial" w:cs="Arial" w:eastAsia="Arial" w:hAnsi="Arial"/>
                <w:sz w:val="28"/>
                <w:szCs w:val="28"/>
                <w:color w:val="0075C9"/>
              </w:rPr>
              <w:t>Matters</w:t>
            </w:r>
          </w:p>
        </w:tc>
        <w:tc>
          <w:tcPr>
            <w:tcW w:w="160" w:type="dxa"/>
            <w:vAlign w:val="bottom"/>
            <w:shd w:val="clear" w:color="auto" w:fill="EDEDED"/>
          </w:tcPr>
          <w:p>
            <w:pPr>
              <w:spacing w:after="0"/>
              <w:rPr>
                <w:sz w:val="3"/>
                <w:szCs w:val="3"/>
                <w:color w:val="auto"/>
              </w:rPr>
            </w:pPr>
          </w:p>
        </w:tc>
        <w:tc>
          <w:tcPr>
            <w:tcW w:w="140" w:type="dxa"/>
            <w:vAlign w:val="bottom"/>
            <w:shd w:val="clear" w:color="auto" w:fill="EDEDED"/>
          </w:tcPr>
          <w:p>
            <w:pPr>
              <w:spacing w:after="0"/>
              <w:rPr>
                <w:sz w:val="3"/>
                <w:szCs w:val="3"/>
                <w:color w:val="auto"/>
              </w:rPr>
            </w:pPr>
          </w:p>
        </w:tc>
        <w:tc>
          <w:tcPr>
            <w:tcW w:w="220" w:type="dxa"/>
            <w:vAlign w:val="bottom"/>
          </w:tcPr>
          <w:p>
            <w:pPr>
              <w:spacing w:after="0"/>
              <w:rPr>
                <w:sz w:val="3"/>
                <w:szCs w:val="3"/>
                <w:color w:val="auto"/>
              </w:rPr>
            </w:pPr>
          </w:p>
        </w:tc>
        <w:tc>
          <w:tcPr>
            <w:tcW w:w="4740" w:type="dxa"/>
            <w:vAlign w:val="bottom"/>
            <w:gridSpan w:val="26"/>
            <w:vMerge w:val="continue"/>
          </w:tcPr>
          <w:p>
            <w:pPr>
              <w:spacing w:after="0"/>
              <w:rPr>
                <w:sz w:val="3"/>
                <w:szCs w:val="3"/>
                <w:color w:val="auto"/>
              </w:rPr>
            </w:pPr>
          </w:p>
        </w:tc>
        <w:tc>
          <w:tcPr>
            <w:tcW w:w="3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80" w:type="dxa"/>
            <w:vAlign w:val="bottom"/>
            <w:vMerge w:val="continue"/>
            <w:shd w:val="clear" w:color="auto" w:fill="EDEDED"/>
          </w:tcPr>
          <w:p>
            <w:pPr>
              <w:spacing w:after="0" w:line="20" w:lineRule="exact"/>
              <w:rPr>
                <w:sz w:val="1"/>
                <w:szCs w:val="1"/>
                <w:color w:val="auto"/>
              </w:rPr>
            </w:pPr>
          </w:p>
        </w:tc>
        <w:tc>
          <w:tcPr>
            <w:tcW w:w="160" w:type="dxa"/>
            <w:vAlign w:val="bottom"/>
            <w:shd w:val="clear" w:color="auto" w:fill="EDEDED"/>
          </w:tcPr>
          <w:p>
            <w:pPr>
              <w:spacing w:after="0" w:line="20" w:lineRule="exact"/>
              <w:rPr>
                <w:sz w:val="1"/>
                <w:szCs w:val="1"/>
                <w:color w:val="auto"/>
              </w:rPr>
            </w:pPr>
          </w:p>
        </w:tc>
        <w:tc>
          <w:tcPr>
            <w:tcW w:w="140" w:type="dxa"/>
            <w:vAlign w:val="bottom"/>
            <w:shd w:val="clear" w:color="auto" w:fill="EDEDED"/>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920" w:type="dxa"/>
            <w:vAlign w:val="bottom"/>
          </w:tcPr>
          <w:p>
            <w:pPr>
              <w:spacing w:after="0"/>
              <w:rPr>
                <w:sz w:val="23"/>
                <w:szCs w:val="23"/>
                <w:color w:val="auto"/>
              </w:rPr>
            </w:pPr>
          </w:p>
        </w:tc>
        <w:tc>
          <w:tcPr>
            <w:tcW w:w="2480" w:type="dxa"/>
            <w:vAlign w:val="bottom"/>
            <w:tcBorders>
              <w:bottom w:val="single" w:sz="8" w:color="EDEDED"/>
            </w:tcBorders>
            <w:vMerge w:val="continue"/>
            <w:shd w:val="clear" w:color="auto" w:fill="EDEDED"/>
          </w:tcPr>
          <w:p>
            <w:pPr>
              <w:spacing w:after="0"/>
              <w:rPr>
                <w:sz w:val="23"/>
                <w:szCs w:val="23"/>
                <w:color w:val="auto"/>
              </w:rPr>
            </w:pPr>
          </w:p>
        </w:tc>
        <w:tc>
          <w:tcPr>
            <w:tcW w:w="160" w:type="dxa"/>
            <w:vAlign w:val="bottom"/>
            <w:tcBorders>
              <w:bottom w:val="single" w:sz="8" w:color="EDEDED"/>
            </w:tcBorders>
            <w:shd w:val="clear" w:color="auto" w:fill="EDEDED"/>
          </w:tcPr>
          <w:p>
            <w:pPr>
              <w:spacing w:after="0"/>
              <w:rPr>
                <w:sz w:val="23"/>
                <w:szCs w:val="23"/>
                <w:color w:val="auto"/>
              </w:rPr>
            </w:pPr>
          </w:p>
        </w:tc>
        <w:tc>
          <w:tcPr>
            <w:tcW w:w="140" w:type="dxa"/>
            <w:vAlign w:val="bottom"/>
            <w:tcBorders>
              <w:bottom w:val="single" w:sz="8" w:color="EDEDED"/>
            </w:tcBorders>
            <w:shd w:val="clear" w:color="auto" w:fill="EDEDED"/>
          </w:tcPr>
          <w:p>
            <w:pPr>
              <w:spacing w:after="0"/>
              <w:rPr>
                <w:sz w:val="23"/>
                <w:szCs w:val="23"/>
                <w:color w:val="auto"/>
              </w:rPr>
            </w:pPr>
          </w:p>
        </w:tc>
        <w:tc>
          <w:tcPr>
            <w:tcW w:w="220" w:type="dxa"/>
            <w:vAlign w:val="bottom"/>
          </w:tcPr>
          <w:p>
            <w:pPr>
              <w:spacing w:after="0"/>
              <w:rPr>
                <w:sz w:val="23"/>
                <w:szCs w:val="23"/>
                <w:color w:val="auto"/>
              </w:rPr>
            </w:pPr>
          </w:p>
        </w:tc>
        <w:tc>
          <w:tcPr>
            <w:tcW w:w="4500" w:type="dxa"/>
            <w:vAlign w:val="bottom"/>
            <w:tcBorders>
              <w:bottom w:val="single" w:sz="8" w:color="0000EE"/>
            </w:tcBorders>
            <w:gridSpan w:val="24"/>
          </w:tcPr>
          <w:p>
            <w:pPr>
              <w:spacing w:after="0"/>
              <w:rPr>
                <w:rFonts w:ascii="Arial" w:cs="Arial" w:eastAsia="Arial" w:hAnsi="Arial"/>
                <w:sz w:val="16"/>
                <w:szCs w:val="16"/>
                <w:color w:val="0000EE"/>
                <w:w w:val="96"/>
              </w:rPr>
            </w:pPr>
            <w:hyperlink w:anchor="page73">
              <w:r>
                <w:rPr>
                  <w:rFonts w:ascii="Arial" w:cs="Arial" w:eastAsia="Arial" w:hAnsi="Arial"/>
                  <w:sz w:val="16"/>
                  <w:szCs w:val="16"/>
                  <w:color w:val="0000EE"/>
                  <w:w w:val="96"/>
                </w:rPr>
                <w:t>Policy on Audit Committee Pre-Approval of Audit and Permissible</w:t>
              </w:r>
            </w:hyperlink>
          </w:p>
        </w:tc>
        <w:tc>
          <w:tcPr>
            <w:tcW w:w="240" w:type="dxa"/>
            <w:vAlign w:val="bottom"/>
            <w:gridSpan w:val="2"/>
          </w:tcPr>
          <w:p>
            <w:pPr>
              <w:spacing w:after="0"/>
              <w:rPr>
                <w:sz w:val="23"/>
                <w:szCs w:val="23"/>
                <w:color w:val="auto"/>
              </w:rPr>
            </w:pP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2480" w:type="dxa"/>
            <w:vAlign w:val="bottom"/>
            <w:shd w:val="clear" w:color="auto" w:fill="EDEDED"/>
          </w:tcPr>
          <w:p>
            <w:pPr>
              <w:spacing w:after="0"/>
              <w:rPr>
                <w:sz w:val="14"/>
                <w:szCs w:val="14"/>
                <w:color w:val="auto"/>
              </w:rPr>
            </w:pPr>
          </w:p>
        </w:tc>
        <w:tc>
          <w:tcPr>
            <w:tcW w:w="160" w:type="dxa"/>
            <w:vAlign w:val="bottom"/>
            <w:shd w:val="clear" w:color="auto" w:fill="EDEDED"/>
          </w:tcPr>
          <w:p>
            <w:pPr>
              <w:spacing w:after="0"/>
              <w:rPr>
                <w:sz w:val="14"/>
                <w:szCs w:val="14"/>
                <w:color w:val="auto"/>
              </w:rPr>
            </w:pPr>
          </w:p>
        </w:tc>
        <w:tc>
          <w:tcPr>
            <w:tcW w:w="140" w:type="dxa"/>
            <w:vAlign w:val="bottom"/>
            <w:shd w:val="clear" w:color="auto" w:fill="EDEDED"/>
          </w:tcPr>
          <w:p>
            <w:pPr>
              <w:spacing w:after="0"/>
              <w:rPr>
                <w:sz w:val="14"/>
                <w:szCs w:val="14"/>
                <w:color w:val="auto"/>
              </w:rPr>
            </w:pPr>
          </w:p>
        </w:tc>
        <w:tc>
          <w:tcPr>
            <w:tcW w:w="220" w:type="dxa"/>
            <w:vAlign w:val="bottom"/>
          </w:tcPr>
          <w:p>
            <w:pPr>
              <w:spacing w:after="0"/>
              <w:rPr>
                <w:sz w:val="14"/>
                <w:szCs w:val="14"/>
                <w:color w:val="auto"/>
              </w:rPr>
            </w:pPr>
          </w:p>
        </w:tc>
        <w:tc>
          <w:tcPr>
            <w:tcW w:w="4740" w:type="dxa"/>
            <w:vAlign w:val="bottom"/>
            <w:gridSpan w:val="26"/>
          </w:tcPr>
          <w:p>
            <w:pPr>
              <w:spacing w:after="0" w:line="148" w:lineRule="exact"/>
              <w:rPr>
                <w:rFonts w:ascii="Arial" w:cs="Arial" w:eastAsia="Arial" w:hAnsi="Arial"/>
                <w:sz w:val="16"/>
                <w:szCs w:val="16"/>
                <w:color w:val="0000EE"/>
              </w:rPr>
            </w:pPr>
            <w:hyperlink w:anchor="page73">
              <w:r>
                <w:rPr>
                  <w:rFonts w:ascii="Arial" w:cs="Arial" w:eastAsia="Arial" w:hAnsi="Arial"/>
                  <w:sz w:val="16"/>
                  <w:szCs w:val="16"/>
                  <w:color w:val="0000EE"/>
                </w:rPr>
                <w:t>Non-Audit Services of Independent Auditor</w:t>
              </w:r>
            </w:hyperlink>
          </w:p>
        </w:tc>
        <w:tc>
          <w:tcPr>
            <w:tcW w:w="380" w:type="dxa"/>
            <w:vAlign w:val="bottom"/>
          </w:tcPr>
          <w:p>
            <w:pPr>
              <w:jc w:val="right"/>
              <w:spacing w:after="0" w:line="148" w:lineRule="exact"/>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589"/>
        </w:trPr>
        <w:tc>
          <w:tcPr>
            <w:tcW w:w="920" w:type="dxa"/>
            <w:vAlign w:val="bottom"/>
            <w:tcBorders>
              <w:bottom w:val="single" w:sz="8" w:color="0075C9"/>
            </w:tcBorders>
          </w:tcPr>
          <w:p>
            <w:pPr>
              <w:spacing w:after="0"/>
              <w:rPr>
                <w:sz w:val="24"/>
                <w:szCs w:val="24"/>
                <w:color w:val="auto"/>
              </w:rPr>
            </w:pPr>
          </w:p>
        </w:tc>
        <w:tc>
          <w:tcPr>
            <w:tcW w:w="2480" w:type="dxa"/>
            <w:vAlign w:val="bottom"/>
            <w:tcBorders>
              <w:top w:val="single" w:sz="8" w:color="EDEDED"/>
              <w:bottom w:val="single" w:sz="8" w:color="0075C9"/>
            </w:tcBorders>
            <w:shd w:val="clear" w:color="auto" w:fill="EDEDED"/>
          </w:tcPr>
          <w:p>
            <w:pPr>
              <w:spacing w:after="0"/>
              <w:rPr>
                <w:sz w:val="24"/>
                <w:szCs w:val="24"/>
                <w:color w:val="auto"/>
              </w:rPr>
            </w:pPr>
          </w:p>
        </w:tc>
        <w:tc>
          <w:tcPr>
            <w:tcW w:w="160" w:type="dxa"/>
            <w:vAlign w:val="bottom"/>
            <w:tcBorders>
              <w:top w:val="single" w:sz="8" w:color="EDEDED"/>
              <w:bottom w:val="single" w:sz="8" w:color="0075C9"/>
            </w:tcBorders>
            <w:shd w:val="clear" w:color="auto" w:fill="EDEDED"/>
          </w:tcPr>
          <w:p>
            <w:pPr>
              <w:spacing w:after="0"/>
              <w:rPr>
                <w:sz w:val="24"/>
                <w:szCs w:val="24"/>
                <w:color w:val="auto"/>
              </w:rPr>
            </w:pPr>
          </w:p>
        </w:tc>
        <w:tc>
          <w:tcPr>
            <w:tcW w:w="140" w:type="dxa"/>
            <w:vAlign w:val="bottom"/>
            <w:tcBorders>
              <w:top w:val="single" w:sz="8" w:color="EDEDED"/>
              <w:bottom w:val="single" w:sz="8" w:color="0075C9"/>
            </w:tcBorders>
            <w:shd w:val="clear" w:color="auto" w:fill="EDEDED"/>
          </w:tcPr>
          <w:p>
            <w:pPr>
              <w:spacing w:after="0"/>
              <w:rPr>
                <w:sz w:val="24"/>
                <w:szCs w:val="24"/>
                <w:color w:val="auto"/>
              </w:rPr>
            </w:pPr>
          </w:p>
        </w:tc>
        <w:tc>
          <w:tcPr>
            <w:tcW w:w="220" w:type="dxa"/>
            <w:vAlign w:val="bottom"/>
            <w:tcBorders>
              <w:bottom w:val="single" w:sz="8" w:color="0075C9"/>
            </w:tcBorders>
          </w:tcPr>
          <w:p>
            <w:pPr>
              <w:spacing w:after="0"/>
              <w:rPr>
                <w:sz w:val="24"/>
                <w:szCs w:val="24"/>
                <w:color w:val="auto"/>
              </w:rPr>
            </w:pPr>
          </w:p>
        </w:tc>
        <w:tc>
          <w:tcPr>
            <w:tcW w:w="320" w:type="dxa"/>
            <w:vAlign w:val="bottom"/>
            <w:tcBorders>
              <w:top w:val="single" w:sz="8" w:color="0000EE"/>
              <w:bottom w:val="single" w:sz="8" w:color="0075C9"/>
            </w:tcBorders>
          </w:tcPr>
          <w:p>
            <w:pPr>
              <w:spacing w:after="0"/>
              <w:rPr>
                <w:sz w:val="24"/>
                <w:szCs w:val="24"/>
                <w:color w:val="auto"/>
              </w:rPr>
            </w:pPr>
          </w:p>
        </w:tc>
        <w:tc>
          <w:tcPr>
            <w:tcW w:w="740" w:type="dxa"/>
            <w:vAlign w:val="bottom"/>
            <w:tcBorders>
              <w:top w:val="single" w:sz="8" w:color="0000EE"/>
              <w:bottom w:val="single" w:sz="8" w:color="0075C9"/>
            </w:tcBorders>
          </w:tcPr>
          <w:p>
            <w:pPr>
              <w:spacing w:after="0"/>
              <w:rPr>
                <w:sz w:val="24"/>
                <w:szCs w:val="24"/>
                <w:color w:val="auto"/>
              </w:rPr>
            </w:pPr>
          </w:p>
        </w:tc>
        <w:tc>
          <w:tcPr>
            <w:tcW w:w="280" w:type="dxa"/>
            <w:vAlign w:val="bottom"/>
            <w:tcBorders>
              <w:top w:val="single" w:sz="8" w:color="0000EE"/>
              <w:bottom w:val="single" w:sz="8" w:color="0075C9"/>
            </w:tcBorders>
          </w:tcPr>
          <w:p>
            <w:pPr>
              <w:spacing w:after="0"/>
              <w:rPr>
                <w:sz w:val="24"/>
                <w:szCs w:val="24"/>
                <w:color w:val="auto"/>
              </w:rPr>
            </w:pPr>
          </w:p>
        </w:tc>
        <w:tc>
          <w:tcPr>
            <w:tcW w:w="240" w:type="dxa"/>
            <w:vAlign w:val="bottom"/>
            <w:tcBorders>
              <w:top w:val="single" w:sz="8" w:color="0000EE"/>
              <w:bottom w:val="single" w:sz="8" w:color="0075C9"/>
            </w:tcBorders>
          </w:tcPr>
          <w:p>
            <w:pPr>
              <w:spacing w:after="0"/>
              <w:rPr>
                <w:sz w:val="24"/>
                <w:szCs w:val="24"/>
                <w:color w:val="auto"/>
              </w:rPr>
            </w:pPr>
          </w:p>
        </w:tc>
        <w:tc>
          <w:tcPr>
            <w:tcW w:w="80" w:type="dxa"/>
            <w:vAlign w:val="bottom"/>
            <w:tcBorders>
              <w:top w:val="single" w:sz="8" w:color="0000EE"/>
              <w:bottom w:val="single" w:sz="8" w:color="0075C9"/>
            </w:tcBorders>
          </w:tcPr>
          <w:p>
            <w:pPr>
              <w:spacing w:after="0"/>
              <w:rPr>
                <w:sz w:val="24"/>
                <w:szCs w:val="24"/>
                <w:color w:val="auto"/>
              </w:rPr>
            </w:pPr>
          </w:p>
        </w:tc>
        <w:tc>
          <w:tcPr>
            <w:tcW w:w="180" w:type="dxa"/>
            <w:vAlign w:val="bottom"/>
            <w:tcBorders>
              <w:top w:val="single" w:sz="8" w:color="0000EE"/>
              <w:bottom w:val="single" w:sz="8" w:color="0075C9"/>
            </w:tcBorders>
          </w:tcPr>
          <w:p>
            <w:pPr>
              <w:spacing w:after="0"/>
              <w:rPr>
                <w:sz w:val="24"/>
                <w:szCs w:val="24"/>
                <w:color w:val="auto"/>
              </w:rPr>
            </w:pPr>
          </w:p>
        </w:tc>
        <w:tc>
          <w:tcPr>
            <w:tcW w:w="100" w:type="dxa"/>
            <w:vAlign w:val="bottom"/>
            <w:tcBorders>
              <w:top w:val="single" w:sz="8" w:color="0000EE"/>
              <w:bottom w:val="single" w:sz="8" w:color="0075C9"/>
            </w:tcBorders>
          </w:tcPr>
          <w:p>
            <w:pPr>
              <w:spacing w:after="0"/>
              <w:rPr>
                <w:sz w:val="24"/>
                <w:szCs w:val="24"/>
                <w:color w:val="auto"/>
              </w:rPr>
            </w:pPr>
          </w:p>
        </w:tc>
        <w:tc>
          <w:tcPr>
            <w:tcW w:w="60" w:type="dxa"/>
            <w:vAlign w:val="bottom"/>
            <w:tcBorders>
              <w:top w:val="single" w:sz="8" w:color="0000EE"/>
              <w:bottom w:val="single" w:sz="8" w:color="0075C9"/>
            </w:tcBorders>
          </w:tcPr>
          <w:p>
            <w:pPr>
              <w:spacing w:after="0"/>
              <w:rPr>
                <w:sz w:val="24"/>
                <w:szCs w:val="24"/>
                <w:color w:val="auto"/>
              </w:rPr>
            </w:pPr>
          </w:p>
        </w:tc>
        <w:tc>
          <w:tcPr>
            <w:tcW w:w="240" w:type="dxa"/>
            <w:vAlign w:val="bottom"/>
            <w:tcBorders>
              <w:top w:val="single" w:sz="8" w:color="0000EE"/>
              <w:bottom w:val="single" w:sz="8" w:color="0075C9"/>
            </w:tcBorders>
          </w:tcPr>
          <w:p>
            <w:pPr>
              <w:spacing w:after="0"/>
              <w:rPr>
                <w:sz w:val="24"/>
                <w:szCs w:val="24"/>
                <w:color w:val="auto"/>
              </w:rPr>
            </w:pPr>
          </w:p>
        </w:tc>
        <w:tc>
          <w:tcPr>
            <w:tcW w:w="120" w:type="dxa"/>
            <w:vAlign w:val="bottom"/>
            <w:tcBorders>
              <w:top w:val="single" w:sz="8" w:color="0000EE"/>
              <w:bottom w:val="single" w:sz="8" w:color="0075C9"/>
            </w:tcBorders>
          </w:tcPr>
          <w:p>
            <w:pPr>
              <w:spacing w:after="0"/>
              <w:rPr>
                <w:sz w:val="24"/>
                <w:szCs w:val="24"/>
                <w:color w:val="auto"/>
              </w:rPr>
            </w:pPr>
          </w:p>
        </w:tc>
        <w:tc>
          <w:tcPr>
            <w:tcW w:w="40" w:type="dxa"/>
            <w:vAlign w:val="bottom"/>
            <w:tcBorders>
              <w:top w:val="single" w:sz="8" w:color="0000EE"/>
              <w:bottom w:val="single" w:sz="8" w:color="0075C9"/>
            </w:tcBorders>
          </w:tcPr>
          <w:p>
            <w:pPr>
              <w:spacing w:after="0"/>
              <w:rPr>
                <w:sz w:val="24"/>
                <w:szCs w:val="24"/>
                <w:color w:val="auto"/>
              </w:rPr>
            </w:pPr>
          </w:p>
        </w:tc>
        <w:tc>
          <w:tcPr>
            <w:tcW w:w="40" w:type="dxa"/>
            <w:vAlign w:val="bottom"/>
            <w:tcBorders>
              <w:top w:val="single" w:sz="8" w:color="0000EE"/>
              <w:bottom w:val="single" w:sz="8" w:color="0075C9"/>
            </w:tcBorders>
          </w:tcPr>
          <w:p>
            <w:pPr>
              <w:spacing w:after="0"/>
              <w:rPr>
                <w:sz w:val="24"/>
                <w:szCs w:val="24"/>
                <w:color w:val="auto"/>
              </w:rPr>
            </w:pPr>
          </w:p>
        </w:tc>
        <w:tc>
          <w:tcPr>
            <w:tcW w:w="80" w:type="dxa"/>
            <w:vAlign w:val="bottom"/>
            <w:tcBorders>
              <w:top w:val="single" w:sz="8" w:color="0000EE"/>
              <w:bottom w:val="single" w:sz="8" w:color="0075C9"/>
            </w:tcBorders>
          </w:tcPr>
          <w:p>
            <w:pPr>
              <w:spacing w:after="0"/>
              <w:rPr>
                <w:sz w:val="24"/>
                <w:szCs w:val="24"/>
                <w:color w:val="auto"/>
              </w:rPr>
            </w:pPr>
          </w:p>
        </w:tc>
        <w:tc>
          <w:tcPr>
            <w:tcW w:w="60" w:type="dxa"/>
            <w:vAlign w:val="bottom"/>
            <w:tcBorders>
              <w:top w:val="single" w:sz="8" w:color="0000EE"/>
              <w:bottom w:val="single" w:sz="8" w:color="0075C9"/>
            </w:tcBorders>
          </w:tcPr>
          <w:p>
            <w:pPr>
              <w:spacing w:after="0"/>
              <w:rPr>
                <w:sz w:val="24"/>
                <w:szCs w:val="24"/>
                <w:color w:val="auto"/>
              </w:rPr>
            </w:pPr>
          </w:p>
        </w:tc>
        <w:tc>
          <w:tcPr>
            <w:tcW w:w="80" w:type="dxa"/>
            <w:vAlign w:val="bottom"/>
            <w:tcBorders>
              <w:top w:val="single" w:sz="8" w:color="0000EE"/>
              <w:bottom w:val="single" w:sz="8" w:color="0075C9"/>
            </w:tcBorders>
          </w:tcPr>
          <w:p>
            <w:pPr>
              <w:spacing w:after="0"/>
              <w:rPr>
                <w:sz w:val="24"/>
                <w:szCs w:val="24"/>
                <w:color w:val="auto"/>
              </w:rPr>
            </w:pPr>
          </w:p>
        </w:tc>
        <w:tc>
          <w:tcPr>
            <w:tcW w:w="40" w:type="dxa"/>
            <w:vAlign w:val="bottom"/>
            <w:tcBorders>
              <w:top w:val="single" w:sz="8" w:color="0000EE"/>
              <w:bottom w:val="single" w:sz="8" w:color="0075C9"/>
            </w:tcBorders>
          </w:tcPr>
          <w:p>
            <w:pPr>
              <w:spacing w:after="0"/>
              <w:rPr>
                <w:sz w:val="24"/>
                <w:szCs w:val="24"/>
                <w:color w:val="auto"/>
              </w:rPr>
            </w:pPr>
          </w:p>
        </w:tc>
        <w:tc>
          <w:tcPr>
            <w:tcW w:w="40" w:type="dxa"/>
            <w:vAlign w:val="bottom"/>
            <w:tcBorders>
              <w:top w:val="single" w:sz="8" w:color="0000EE"/>
              <w:bottom w:val="single" w:sz="8" w:color="0075C9"/>
            </w:tcBorders>
          </w:tcPr>
          <w:p>
            <w:pPr>
              <w:spacing w:after="0"/>
              <w:rPr>
                <w:sz w:val="24"/>
                <w:szCs w:val="24"/>
                <w:color w:val="auto"/>
              </w:rPr>
            </w:pPr>
          </w:p>
        </w:tc>
        <w:tc>
          <w:tcPr>
            <w:tcW w:w="140" w:type="dxa"/>
            <w:vAlign w:val="bottom"/>
            <w:tcBorders>
              <w:top w:val="single" w:sz="8" w:color="0000EE"/>
              <w:bottom w:val="single" w:sz="8" w:color="0075C9"/>
            </w:tcBorders>
          </w:tcPr>
          <w:p>
            <w:pPr>
              <w:spacing w:after="0"/>
              <w:rPr>
                <w:sz w:val="24"/>
                <w:szCs w:val="24"/>
                <w:color w:val="auto"/>
              </w:rPr>
            </w:pPr>
          </w:p>
        </w:tc>
        <w:tc>
          <w:tcPr>
            <w:tcW w:w="80" w:type="dxa"/>
            <w:vAlign w:val="bottom"/>
            <w:tcBorders>
              <w:top w:val="single" w:sz="8" w:color="0000EE"/>
              <w:bottom w:val="single" w:sz="8" w:color="0075C9"/>
            </w:tcBorders>
          </w:tcPr>
          <w:p>
            <w:pPr>
              <w:spacing w:after="0"/>
              <w:rPr>
                <w:sz w:val="24"/>
                <w:szCs w:val="24"/>
                <w:color w:val="auto"/>
              </w:rPr>
            </w:pPr>
          </w:p>
        </w:tc>
        <w:tc>
          <w:tcPr>
            <w:tcW w:w="40" w:type="dxa"/>
            <w:vAlign w:val="bottom"/>
            <w:tcBorders>
              <w:bottom w:val="single" w:sz="8" w:color="0075C9"/>
            </w:tcBorders>
          </w:tcPr>
          <w:p>
            <w:pPr>
              <w:spacing w:after="0"/>
              <w:rPr>
                <w:sz w:val="24"/>
                <w:szCs w:val="24"/>
                <w:color w:val="auto"/>
              </w:rPr>
            </w:pPr>
          </w:p>
        </w:tc>
        <w:tc>
          <w:tcPr>
            <w:tcW w:w="400" w:type="dxa"/>
            <w:vAlign w:val="bottom"/>
            <w:tcBorders>
              <w:bottom w:val="single" w:sz="8" w:color="0075C9"/>
            </w:tcBorders>
          </w:tcPr>
          <w:p>
            <w:pPr>
              <w:spacing w:after="0"/>
              <w:rPr>
                <w:sz w:val="24"/>
                <w:szCs w:val="24"/>
                <w:color w:val="auto"/>
              </w:rPr>
            </w:pPr>
          </w:p>
        </w:tc>
        <w:tc>
          <w:tcPr>
            <w:tcW w:w="660" w:type="dxa"/>
            <w:vAlign w:val="bottom"/>
            <w:tcBorders>
              <w:bottom w:val="single" w:sz="8" w:color="0075C9"/>
            </w:tcBorders>
          </w:tcPr>
          <w:p>
            <w:pPr>
              <w:spacing w:after="0"/>
              <w:rPr>
                <w:sz w:val="24"/>
                <w:szCs w:val="24"/>
                <w:color w:val="auto"/>
              </w:rPr>
            </w:pPr>
          </w:p>
        </w:tc>
        <w:tc>
          <w:tcPr>
            <w:tcW w:w="220" w:type="dxa"/>
            <w:vAlign w:val="bottom"/>
            <w:tcBorders>
              <w:bottom w:val="single" w:sz="8" w:color="0075C9"/>
            </w:tcBorders>
          </w:tcPr>
          <w:p>
            <w:pPr>
              <w:spacing w:after="0"/>
              <w:rPr>
                <w:sz w:val="24"/>
                <w:szCs w:val="24"/>
                <w:color w:val="auto"/>
              </w:rPr>
            </w:pPr>
          </w:p>
        </w:tc>
        <w:tc>
          <w:tcPr>
            <w:tcW w:w="220" w:type="dxa"/>
            <w:vAlign w:val="bottom"/>
            <w:tcBorders>
              <w:bottom w:val="single" w:sz="8" w:color="0075C9"/>
            </w:tcBorders>
          </w:tcPr>
          <w:p>
            <w:pPr>
              <w:spacing w:after="0"/>
              <w:rPr>
                <w:sz w:val="24"/>
                <w:szCs w:val="24"/>
                <w:color w:val="auto"/>
              </w:rPr>
            </w:pPr>
          </w:p>
        </w:tc>
        <w:tc>
          <w:tcPr>
            <w:tcW w:w="20" w:type="dxa"/>
            <w:vAlign w:val="bottom"/>
            <w:tcBorders>
              <w:bottom w:val="single" w:sz="8" w:color="0075C9"/>
            </w:tcBorders>
          </w:tcPr>
          <w:p>
            <w:pPr>
              <w:spacing w:after="0"/>
              <w:rPr>
                <w:sz w:val="24"/>
                <w:szCs w:val="24"/>
                <w:color w:val="auto"/>
              </w:rPr>
            </w:pPr>
          </w:p>
        </w:tc>
        <w:tc>
          <w:tcPr>
            <w:tcW w:w="220" w:type="dxa"/>
            <w:vAlign w:val="bottom"/>
            <w:tcBorders>
              <w:bottom w:val="single" w:sz="8" w:color="0075C9"/>
            </w:tcBorders>
          </w:tcPr>
          <w:p>
            <w:pPr>
              <w:spacing w:after="0"/>
              <w:rPr>
                <w:sz w:val="24"/>
                <w:szCs w:val="24"/>
                <w:color w:val="auto"/>
              </w:rPr>
            </w:pPr>
          </w:p>
        </w:tc>
        <w:tc>
          <w:tcPr>
            <w:tcW w:w="380" w:type="dxa"/>
            <w:vAlign w:val="bottom"/>
            <w:tcBorders>
              <w:bottom w:val="single" w:sz="8" w:color="0075C9"/>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7"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-94615</wp:posOffset>
            </wp:positionV>
            <wp:extent cx="485140" cy="984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45" w:right="143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1100" w:type="dxa"/>
        <w:tblCellMar>
          <w:top w:w="0" w:type="dxa"/>
          <w:left w:w="0" w:type="dxa"/>
          <w:bottom w:w="0" w:type="dxa"/>
          <w:right w:w="0" w:type="dxa"/>
        </w:tblCellMar>
      </w:tblPr>
      <w:tr>
        <w:trPr>
          <w:trHeight w:val="311"/>
        </w:trPr>
        <w:tc>
          <w:tcPr>
            <w:tcW w:w="880" w:type="dxa"/>
            <w:vAlign w:val="bottom"/>
            <w:tcBorders>
              <w:top w:val="single" w:sz="8" w:color="0075C9"/>
            </w:tcBorders>
            <w:vMerge w:val="restart"/>
            <w:shd w:val="clear" w:color="auto" w:fill="EDEDED"/>
          </w:tcPr>
          <w:p>
            <w:pPr>
              <w:jc w:val="right"/>
              <w:spacing w:after="0"/>
              <w:rPr>
                <w:sz w:val="20"/>
                <w:szCs w:val="20"/>
                <w:color w:val="auto"/>
              </w:rPr>
            </w:pPr>
            <w:r>
              <w:rPr>
                <w:rFonts w:ascii="Arial" w:cs="Arial" w:eastAsia="Arial" w:hAnsi="Arial"/>
                <w:sz w:val="138"/>
                <w:szCs w:val="138"/>
                <w:color w:val="0075C9"/>
              </w:rPr>
              <w:t>4</w:t>
            </w:r>
          </w:p>
        </w:tc>
        <w:tc>
          <w:tcPr>
            <w:tcW w:w="2480" w:type="dxa"/>
            <w:vAlign w:val="bottom"/>
            <w:tcBorders>
              <w:top w:val="single" w:sz="8" w:color="EDEDED"/>
            </w:tcBorders>
            <w:vMerge w:val="restart"/>
            <w:shd w:val="clear" w:color="auto" w:fill="EDEDED"/>
          </w:tcPr>
          <w:p>
            <w:pPr>
              <w:ind w:left="220"/>
              <w:spacing w:after="0"/>
              <w:rPr>
                <w:sz w:val="20"/>
                <w:szCs w:val="20"/>
                <w:color w:val="auto"/>
              </w:rPr>
            </w:pPr>
            <w:r>
              <w:rPr>
                <w:rFonts w:ascii="Arial" w:cs="Arial" w:eastAsia="Arial" w:hAnsi="Arial"/>
                <w:sz w:val="28"/>
                <w:szCs w:val="28"/>
                <w:color w:val="0075C9"/>
              </w:rPr>
              <w:t>Proposals to be</w:t>
            </w:r>
          </w:p>
        </w:tc>
        <w:tc>
          <w:tcPr>
            <w:tcW w:w="300" w:type="dxa"/>
            <w:vAlign w:val="bottom"/>
            <w:tcBorders>
              <w:top w:val="single" w:sz="8" w:color="EDEDED"/>
            </w:tcBorders>
            <w:shd w:val="clear" w:color="auto" w:fill="EDEDED"/>
          </w:tcPr>
          <w:p>
            <w:pPr>
              <w:spacing w:after="0"/>
              <w:rPr>
                <w:sz w:val="24"/>
                <w:szCs w:val="24"/>
                <w:color w:val="auto"/>
              </w:rPr>
            </w:pPr>
          </w:p>
        </w:tc>
        <w:tc>
          <w:tcPr>
            <w:tcW w:w="240" w:type="dxa"/>
            <w:vAlign w:val="bottom"/>
            <w:tcBorders>
              <w:top w:val="single" w:sz="8" w:color="0075C9"/>
            </w:tcBorders>
          </w:tcPr>
          <w:p>
            <w:pPr>
              <w:spacing w:after="0"/>
              <w:rPr>
                <w:sz w:val="24"/>
                <w:szCs w:val="24"/>
                <w:color w:val="auto"/>
              </w:rPr>
            </w:pPr>
          </w:p>
        </w:tc>
        <w:tc>
          <w:tcPr>
            <w:tcW w:w="4580" w:type="dxa"/>
            <w:vAlign w:val="bottom"/>
            <w:tcBorders>
              <w:top w:val="single" w:sz="8" w:color="0075C9"/>
            </w:tcBorders>
            <w:gridSpan w:val="22"/>
          </w:tcPr>
          <w:p>
            <w:pPr>
              <w:spacing w:after="0"/>
              <w:rPr>
                <w:rFonts w:ascii="Arial" w:cs="Arial" w:eastAsia="Arial" w:hAnsi="Arial"/>
                <w:sz w:val="16"/>
                <w:szCs w:val="16"/>
                <w:color w:val="0000EE"/>
              </w:rPr>
            </w:pPr>
            <w:hyperlink w:anchor="page74">
              <w:r>
                <w:rPr>
                  <w:rFonts w:ascii="Arial" w:cs="Arial" w:eastAsia="Arial" w:hAnsi="Arial"/>
                  <w:sz w:val="16"/>
                  <w:szCs w:val="16"/>
                  <w:color w:val="0000EE"/>
                </w:rPr>
                <w:t>Management Proposal 1: Election of 12 Directors</w:t>
              </w:r>
            </w:hyperlink>
          </w:p>
        </w:tc>
        <w:tc>
          <w:tcPr>
            <w:tcW w:w="560" w:type="dxa"/>
            <w:vAlign w:val="bottom"/>
            <w:tcBorders>
              <w:top w:val="single" w:sz="8" w:color="0075C9"/>
            </w:tcBorders>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0"/>
        </w:trPr>
        <w:tc>
          <w:tcPr>
            <w:tcW w:w="880" w:type="dxa"/>
            <w:vAlign w:val="bottom"/>
            <w:vMerge w:val="continue"/>
            <w:shd w:val="clear" w:color="auto" w:fill="EDEDED"/>
          </w:tcPr>
          <w:p>
            <w:pPr>
              <w:spacing w:after="0" w:line="20" w:lineRule="exact"/>
              <w:rPr>
                <w:sz w:val="1"/>
                <w:szCs w:val="1"/>
                <w:color w:val="auto"/>
              </w:rPr>
            </w:pPr>
          </w:p>
        </w:tc>
        <w:tc>
          <w:tcPr>
            <w:tcW w:w="2480" w:type="dxa"/>
            <w:vAlign w:val="bottom"/>
            <w:vMerge w:val="continue"/>
            <w:shd w:val="clear" w:color="auto" w:fill="EDEDED"/>
          </w:tcPr>
          <w:p>
            <w:pPr>
              <w:spacing w:after="0" w:line="20" w:lineRule="exact"/>
              <w:rPr>
                <w:sz w:val="1"/>
                <w:szCs w:val="1"/>
                <w:color w:val="auto"/>
              </w:rPr>
            </w:pPr>
          </w:p>
        </w:tc>
        <w:tc>
          <w:tcPr>
            <w:tcW w:w="300" w:type="dxa"/>
            <w:vAlign w:val="bottom"/>
            <w:shd w:val="clear" w:color="auto" w:fill="EDEDED"/>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vMerge w:val="continue"/>
            <w:shd w:val="clear" w:color="auto" w:fill="EDEDED"/>
          </w:tcPr>
          <w:p>
            <w:pPr>
              <w:spacing w:after="0"/>
              <w:rPr>
                <w:sz w:val="17"/>
                <w:szCs w:val="17"/>
                <w:color w:val="auto"/>
              </w:rPr>
            </w:pPr>
          </w:p>
        </w:tc>
        <w:tc>
          <w:tcPr>
            <w:tcW w:w="2480" w:type="dxa"/>
            <w:vAlign w:val="bottom"/>
            <w:vMerge w:val="continue"/>
            <w:shd w:val="clear" w:color="auto" w:fill="EDEDED"/>
          </w:tcPr>
          <w:p>
            <w:pPr>
              <w:spacing w:after="0"/>
              <w:rPr>
                <w:sz w:val="17"/>
                <w:szCs w:val="17"/>
                <w:color w:val="auto"/>
              </w:rPr>
            </w:pPr>
          </w:p>
        </w:tc>
        <w:tc>
          <w:tcPr>
            <w:tcW w:w="300" w:type="dxa"/>
            <w:vAlign w:val="bottom"/>
            <w:shd w:val="clear" w:color="auto" w:fill="EDEDED"/>
          </w:tcPr>
          <w:p>
            <w:pPr>
              <w:spacing w:after="0"/>
              <w:rPr>
                <w:sz w:val="17"/>
                <w:szCs w:val="17"/>
                <w:color w:val="auto"/>
              </w:rPr>
            </w:pPr>
          </w:p>
        </w:tc>
        <w:tc>
          <w:tcPr>
            <w:tcW w:w="240" w:type="dxa"/>
            <w:vAlign w:val="bottom"/>
          </w:tcPr>
          <w:p>
            <w:pPr>
              <w:spacing w:after="0"/>
              <w:rPr>
                <w:sz w:val="17"/>
                <w:szCs w:val="17"/>
                <w:color w:val="auto"/>
              </w:rPr>
            </w:pPr>
          </w:p>
        </w:tc>
        <w:tc>
          <w:tcPr>
            <w:tcW w:w="4080" w:type="dxa"/>
            <w:vAlign w:val="bottom"/>
            <w:gridSpan w:val="20"/>
            <w:vMerge w:val="restart"/>
          </w:tcPr>
          <w:p>
            <w:pPr>
              <w:spacing w:after="0"/>
              <w:rPr>
                <w:rFonts w:ascii="Arial" w:cs="Arial" w:eastAsia="Arial" w:hAnsi="Arial"/>
                <w:sz w:val="16"/>
                <w:szCs w:val="16"/>
                <w:color w:val="0000EE"/>
                <w:w w:val="96"/>
              </w:rPr>
            </w:pPr>
            <w:hyperlink w:anchor="page75">
              <w:r>
                <w:rPr>
                  <w:rFonts w:ascii="Arial" w:cs="Arial" w:eastAsia="Arial" w:hAnsi="Arial"/>
                  <w:sz w:val="16"/>
                  <w:szCs w:val="16"/>
                  <w:color w:val="0000EE"/>
                  <w:w w:val="96"/>
                </w:rPr>
                <w:t>Management Proposal 2: Advisory Vote to Approve Named</w:t>
              </w:r>
            </w:hyperlink>
          </w:p>
        </w:tc>
        <w:tc>
          <w:tcPr>
            <w:tcW w:w="500" w:type="dxa"/>
            <w:vAlign w:val="bottom"/>
            <w:gridSpan w:val="2"/>
            <w:vMerge w:val="restart"/>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880" w:type="dxa"/>
            <w:vAlign w:val="bottom"/>
            <w:tcBorders>
              <w:bottom w:val="single" w:sz="8" w:color="0075C9"/>
            </w:tcBorders>
            <w:vMerge w:val="continue"/>
            <w:shd w:val="clear" w:color="auto" w:fill="EDEDED"/>
          </w:tcPr>
          <w:p>
            <w:pPr>
              <w:spacing w:after="0"/>
              <w:rPr>
                <w:sz w:val="8"/>
                <w:szCs w:val="8"/>
                <w:color w:val="auto"/>
              </w:rPr>
            </w:pPr>
          </w:p>
        </w:tc>
        <w:tc>
          <w:tcPr>
            <w:tcW w:w="2480" w:type="dxa"/>
            <w:vAlign w:val="bottom"/>
            <w:tcBorders>
              <w:bottom w:val="single" w:sz="8" w:color="EDEDED"/>
            </w:tcBorders>
            <w:vMerge w:val="restart"/>
            <w:shd w:val="clear" w:color="auto" w:fill="EDEDED"/>
          </w:tcPr>
          <w:p>
            <w:pPr>
              <w:ind w:left="220"/>
              <w:spacing w:after="0" w:line="255" w:lineRule="exact"/>
              <w:rPr>
                <w:sz w:val="20"/>
                <w:szCs w:val="20"/>
                <w:color w:val="auto"/>
              </w:rPr>
            </w:pPr>
            <w:r>
              <w:rPr>
                <w:rFonts w:ascii="Arial" w:cs="Arial" w:eastAsia="Arial" w:hAnsi="Arial"/>
                <w:sz w:val="28"/>
                <w:szCs w:val="28"/>
                <w:color w:val="0075C9"/>
              </w:rPr>
              <w:t>Voted on During</w:t>
            </w:r>
          </w:p>
        </w:tc>
        <w:tc>
          <w:tcPr>
            <w:tcW w:w="300" w:type="dxa"/>
            <w:vAlign w:val="bottom"/>
            <w:tcBorders>
              <w:bottom w:val="single" w:sz="8" w:color="EDEDED"/>
            </w:tcBorders>
            <w:shd w:val="clear" w:color="auto" w:fill="EDEDED"/>
          </w:tcPr>
          <w:p>
            <w:pPr>
              <w:spacing w:after="0"/>
              <w:rPr>
                <w:sz w:val="8"/>
                <w:szCs w:val="8"/>
                <w:color w:val="auto"/>
              </w:rPr>
            </w:pPr>
          </w:p>
        </w:tc>
        <w:tc>
          <w:tcPr>
            <w:tcW w:w="240" w:type="dxa"/>
            <w:vAlign w:val="bottom"/>
          </w:tcPr>
          <w:p>
            <w:pPr>
              <w:spacing w:after="0"/>
              <w:rPr>
                <w:sz w:val="8"/>
                <w:szCs w:val="8"/>
                <w:color w:val="auto"/>
              </w:rPr>
            </w:pPr>
          </w:p>
        </w:tc>
        <w:tc>
          <w:tcPr>
            <w:tcW w:w="4080" w:type="dxa"/>
            <w:vAlign w:val="bottom"/>
            <w:tcBorders>
              <w:bottom w:val="single" w:sz="8" w:color="0000EE"/>
            </w:tcBorders>
            <w:gridSpan w:val="20"/>
            <w:vMerge w:val="continue"/>
          </w:tcPr>
          <w:p>
            <w:pPr>
              <w:spacing w:after="0"/>
              <w:rPr>
                <w:sz w:val="8"/>
                <w:szCs w:val="8"/>
                <w:color w:val="auto"/>
              </w:rPr>
            </w:pPr>
          </w:p>
        </w:tc>
        <w:tc>
          <w:tcPr>
            <w:tcW w:w="50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880" w:type="dxa"/>
            <w:vAlign w:val="bottom"/>
            <w:tcBorders>
              <w:bottom w:val="single" w:sz="8" w:color="0075C9"/>
            </w:tcBorders>
            <w:vMerge w:val="continue"/>
            <w:shd w:val="clear" w:color="auto" w:fill="EDEDED"/>
          </w:tcPr>
          <w:p>
            <w:pPr>
              <w:spacing w:after="0"/>
              <w:rPr>
                <w:sz w:val="14"/>
                <w:szCs w:val="14"/>
                <w:color w:val="auto"/>
              </w:rPr>
            </w:pPr>
          </w:p>
        </w:tc>
        <w:tc>
          <w:tcPr>
            <w:tcW w:w="2480" w:type="dxa"/>
            <w:vAlign w:val="bottom"/>
            <w:tcBorders>
              <w:bottom w:val="single" w:sz="8" w:color="EDEDED"/>
            </w:tcBorders>
            <w:vMerge w:val="continue"/>
            <w:shd w:val="clear" w:color="auto" w:fill="EDEDED"/>
          </w:tcPr>
          <w:p>
            <w:pPr>
              <w:spacing w:after="0"/>
              <w:rPr>
                <w:sz w:val="14"/>
                <w:szCs w:val="14"/>
                <w:color w:val="auto"/>
              </w:rPr>
            </w:pPr>
          </w:p>
        </w:tc>
        <w:tc>
          <w:tcPr>
            <w:tcW w:w="300" w:type="dxa"/>
            <w:vAlign w:val="bottom"/>
            <w:tcBorders>
              <w:bottom w:val="single" w:sz="8" w:color="EDEDED"/>
            </w:tcBorders>
            <w:shd w:val="clear" w:color="auto" w:fill="EDEDED"/>
          </w:tcPr>
          <w:p>
            <w:pPr>
              <w:spacing w:after="0"/>
              <w:rPr>
                <w:sz w:val="14"/>
                <w:szCs w:val="14"/>
                <w:color w:val="auto"/>
              </w:rPr>
            </w:pPr>
          </w:p>
        </w:tc>
        <w:tc>
          <w:tcPr>
            <w:tcW w:w="240" w:type="dxa"/>
            <w:vAlign w:val="bottom"/>
          </w:tcPr>
          <w:p>
            <w:pPr>
              <w:spacing w:after="0"/>
              <w:rPr>
                <w:sz w:val="14"/>
                <w:szCs w:val="14"/>
                <w:color w:val="auto"/>
              </w:rPr>
            </w:pPr>
          </w:p>
        </w:tc>
        <w:tc>
          <w:tcPr>
            <w:tcW w:w="2220" w:type="dxa"/>
            <w:vAlign w:val="bottom"/>
            <w:tcBorders>
              <w:bottom w:val="single" w:sz="8" w:color="0000EE"/>
            </w:tcBorders>
            <w:gridSpan w:val="10"/>
          </w:tcPr>
          <w:p>
            <w:pPr>
              <w:spacing w:after="0" w:line="148" w:lineRule="exact"/>
              <w:rPr>
                <w:rFonts w:ascii="Arial" w:cs="Arial" w:eastAsia="Arial" w:hAnsi="Arial"/>
                <w:sz w:val="16"/>
                <w:szCs w:val="16"/>
                <w:color w:val="0000EE"/>
                <w:w w:val="96"/>
              </w:rPr>
            </w:pPr>
            <w:hyperlink w:anchor="page75">
              <w:r>
                <w:rPr>
                  <w:rFonts w:ascii="Arial" w:cs="Arial" w:eastAsia="Arial" w:hAnsi="Arial"/>
                  <w:sz w:val="16"/>
                  <w:szCs w:val="16"/>
                  <w:color w:val="0000EE"/>
                  <w:w w:val="96"/>
                </w:rPr>
                <w:t>Executive Officer Compensation</w:t>
              </w:r>
            </w:hyperlink>
          </w:p>
        </w:tc>
        <w:tc>
          <w:tcPr>
            <w:tcW w:w="2360" w:type="dxa"/>
            <w:vAlign w:val="bottom"/>
            <w:gridSpan w:val="12"/>
          </w:tcPr>
          <w:p>
            <w:pPr>
              <w:spacing w:after="0"/>
              <w:rPr>
                <w:sz w:val="14"/>
                <w:szCs w:val="14"/>
                <w:color w:val="auto"/>
              </w:rPr>
            </w:pPr>
          </w:p>
        </w:tc>
        <w:tc>
          <w:tcPr>
            <w:tcW w:w="560" w:type="dxa"/>
            <w:vAlign w:val="bottom"/>
          </w:tcPr>
          <w:p>
            <w:pPr>
              <w:jc w:val="right"/>
              <w:spacing w:after="0" w:line="148" w:lineRule="exact"/>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78"/>
        </w:trPr>
        <w:tc>
          <w:tcPr>
            <w:tcW w:w="880" w:type="dxa"/>
            <w:vAlign w:val="bottom"/>
            <w:tcBorders>
              <w:bottom w:val="single" w:sz="8" w:color="0075C9"/>
            </w:tcBorders>
            <w:vMerge w:val="continue"/>
            <w:shd w:val="clear" w:color="auto" w:fill="EDEDED"/>
          </w:tcPr>
          <w:p>
            <w:pPr>
              <w:spacing w:after="0"/>
              <w:rPr>
                <w:sz w:val="24"/>
                <w:szCs w:val="24"/>
                <w:color w:val="auto"/>
              </w:rPr>
            </w:pPr>
          </w:p>
        </w:tc>
        <w:tc>
          <w:tcPr>
            <w:tcW w:w="2480" w:type="dxa"/>
            <w:vAlign w:val="bottom"/>
            <w:tcBorders>
              <w:bottom w:val="single" w:sz="8" w:color="EDEDED"/>
            </w:tcBorders>
            <w:shd w:val="clear" w:color="auto" w:fill="EDEDED"/>
          </w:tcPr>
          <w:p>
            <w:pPr>
              <w:ind w:left="220"/>
              <w:spacing w:after="0" w:line="258" w:lineRule="exact"/>
              <w:rPr>
                <w:sz w:val="20"/>
                <w:szCs w:val="20"/>
                <w:color w:val="auto"/>
              </w:rPr>
            </w:pPr>
            <w:r>
              <w:rPr>
                <w:rFonts w:ascii="Arial" w:cs="Arial" w:eastAsia="Arial" w:hAnsi="Arial"/>
                <w:sz w:val="28"/>
                <w:szCs w:val="28"/>
                <w:color w:val="0075C9"/>
              </w:rPr>
              <w:t>the Meeting</w:t>
            </w:r>
          </w:p>
        </w:tc>
        <w:tc>
          <w:tcPr>
            <w:tcW w:w="300" w:type="dxa"/>
            <w:vAlign w:val="bottom"/>
            <w:tcBorders>
              <w:bottom w:val="single" w:sz="8" w:color="EDEDED"/>
            </w:tcBorders>
            <w:shd w:val="clear" w:color="auto" w:fill="EDEDED"/>
          </w:tcPr>
          <w:p>
            <w:pPr>
              <w:spacing w:after="0"/>
              <w:rPr>
                <w:sz w:val="24"/>
                <w:szCs w:val="24"/>
                <w:color w:val="auto"/>
              </w:rPr>
            </w:pPr>
          </w:p>
        </w:tc>
        <w:tc>
          <w:tcPr>
            <w:tcW w:w="240" w:type="dxa"/>
            <w:vAlign w:val="bottom"/>
          </w:tcPr>
          <w:p>
            <w:pPr>
              <w:spacing w:after="0"/>
              <w:rPr>
                <w:sz w:val="24"/>
                <w:szCs w:val="24"/>
                <w:color w:val="auto"/>
              </w:rPr>
            </w:pPr>
          </w:p>
        </w:tc>
        <w:tc>
          <w:tcPr>
            <w:tcW w:w="4580" w:type="dxa"/>
            <w:vAlign w:val="bottom"/>
            <w:tcBorders>
              <w:bottom w:val="single" w:sz="8" w:color="0000EE"/>
            </w:tcBorders>
            <w:gridSpan w:val="22"/>
          </w:tcPr>
          <w:p>
            <w:pPr>
              <w:spacing w:after="0"/>
              <w:rPr>
                <w:rFonts w:ascii="Arial" w:cs="Arial" w:eastAsia="Arial" w:hAnsi="Arial"/>
                <w:sz w:val="16"/>
                <w:szCs w:val="16"/>
                <w:color w:val="0000EE"/>
                <w:w w:val="96"/>
              </w:rPr>
            </w:pPr>
            <w:hyperlink w:anchor="page77">
              <w:r>
                <w:rPr>
                  <w:rFonts w:ascii="Arial" w:cs="Arial" w:eastAsia="Arial" w:hAnsi="Arial"/>
                  <w:sz w:val="16"/>
                  <w:szCs w:val="16"/>
                  <w:color w:val="0000EE"/>
                  <w:w w:val="96"/>
                </w:rPr>
                <w:t>Management Proposal 3: Approve Employee Stock Purchase Plan</w:t>
              </w:r>
            </w:hyperlink>
          </w:p>
        </w:tc>
        <w:tc>
          <w:tcPr>
            <w:tcW w:w="560" w:type="dxa"/>
            <w:vAlign w:val="bottom"/>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304"/>
        </w:trPr>
        <w:tc>
          <w:tcPr>
            <w:tcW w:w="880" w:type="dxa"/>
            <w:vAlign w:val="bottom"/>
            <w:tcBorders>
              <w:bottom w:val="single" w:sz="8" w:color="0075C9"/>
            </w:tcBorders>
            <w:vMerge w:val="continue"/>
            <w:shd w:val="clear" w:color="auto" w:fill="EDEDED"/>
          </w:tcPr>
          <w:p>
            <w:pPr>
              <w:spacing w:after="0"/>
              <w:rPr>
                <w:sz w:val="24"/>
                <w:szCs w:val="24"/>
                <w:color w:val="auto"/>
              </w:rPr>
            </w:pPr>
          </w:p>
        </w:tc>
        <w:tc>
          <w:tcPr>
            <w:tcW w:w="2480" w:type="dxa"/>
            <w:vAlign w:val="bottom"/>
            <w:tcBorders>
              <w:bottom w:val="single" w:sz="8" w:color="EDEDED"/>
            </w:tcBorders>
            <w:shd w:val="clear" w:color="auto" w:fill="EDEDED"/>
          </w:tcPr>
          <w:p>
            <w:pPr>
              <w:spacing w:after="0"/>
              <w:rPr>
                <w:sz w:val="24"/>
                <w:szCs w:val="24"/>
                <w:color w:val="auto"/>
              </w:rPr>
            </w:pPr>
          </w:p>
        </w:tc>
        <w:tc>
          <w:tcPr>
            <w:tcW w:w="300" w:type="dxa"/>
            <w:vAlign w:val="bottom"/>
            <w:tcBorders>
              <w:bottom w:val="single" w:sz="8" w:color="EDEDED"/>
            </w:tcBorders>
            <w:shd w:val="clear" w:color="auto" w:fill="EDEDED"/>
          </w:tcPr>
          <w:p>
            <w:pPr>
              <w:spacing w:after="0"/>
              <w:rPr>
                <w:sz w:val="24"/>
                <w:szCs w:val="24"/>
                <w:color w:val="auto"/>
              </w:rPr>
            </w:pPr>
          </w:p>
        </w:tc>
        <w:tc>
          <w:tcPr>
            <w:tcW w:w="240" w:type="dxa"/>
            <w:vAlign w:val="bottom"/>
          </w:tcPr>
          <w:p>
            <w:pPr>
              <w:spacing w:after="0"/>
              <w:rPr>
                <w:sz w:val="24"/>
                <w:szCs w:val="24"/>
                <w:color w:val="auto"/>
              </w:rPr>
            </w:pPr>
          </w:p>
        </w:tc>
        <w:tc>
          <w:tcPr>
            <w:tcW w:w="4560" w:type="dxa"/>
            <w:vAlign w:val="bottom"/>
            <w:tcBorders>
              <w:bottom w:val="single" w:sz="8" w:color="0000EE"/>
            </w:tcBorders>
            <w:gridSpan w:val="21"/>
          </w:tcPr>
          <w:p>
            <w:pPr>
              <w:spacing w:after="0"/>
              <w:rPr>
                <w:rFonts w:ascii="Arial" w:cs="Arial" w:eastAsia="Arial" w:hAnsi="Arial"/>
                <w:sz w:val="16"/>
                <w:szCs w:val="16"/>
                <w:color w:val="0000EE"/>
                <w:w w:val="96"/>
              </w:rPr>
            </w:pPr>
            <w:hyperlink w:anchor="page80">
              <w:r>
                <w:rPr>
                  <w:rFonts w:ascii="Arial" w:cs="Arial" w:eastAsia="Arial" w:hAnsi="Arial"/>
                  <w:sz w:val="16"/>
                  <w:szCs w:val="16"/>
                  <w:color w:val="0000EE"/>
                  <w:w w:val="96"/>
                </w:rPr>
                <w:t>Management Proposal 4: Ratification of the Selection of Deloitte &amp;</w:t>
              </w:r>
            </w:hyperlink>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880" w:type="dxa"/>
            <w:vAlign w:val="bottom"/>
            <w:tcBorders>
              <w:bottom w:val="single" w:sz="8" w:color="EDEDED"/>
            </w:tcBorders>
            <w:vMerge w:val="continue"/>
            <w:shd w:val="clear" w:color="auto" w:fill="EDEDED"/>
          </w:tcPr>
          <w:p>
            <w:pPr>
              <w:spacing w:after="0"/>
              <w:rPr>
                <w:sz w:val="14"/>
                <w:szCs w:val="14"/>
                <w:color w:val="auto"/>
              </w:rPr>
            </w:pPr>
          </w:p>
        </w:tc>
        <w:tc>
          <w:tcPr>
            <w:tcW w:w="2480" w:type="dxa"/>
            <w:vAlign w:val="bottom"/>
            <w:tcBorders>
              <w:bottom w:val="single" w:sz="8" w:color="EDEDED"/>
            </w:tcBorders>
            <w:shd w:val="clear" w:color="auto" w:fill="EDEDED"/>
          </w:tcPr>
          <w:p>
            <w:pPr>
              <w:spacing w:after="0"/>
              <w:rPr>
                <w:sz w:val="14"/>
                <w:szCs w:val="14"/>
                <w:color w:val="auto"/>
              </w:rPr>
            </w:pPr>
          </w:p>
        </w:tc>
        <w:tc>
          <w:tcPr>
            <w:tcW w:w="300" w:type="dxa"/>
            <w:vAlign w:val="bottom"/>
            <w:tcBorders>
              <w:bottom w:val="single" w:sz="8" w:color="EDEDED"/>
            </w:tcBorders>
            <w:shd w:val="clear" w:color="auto" w:fill="EDEDED"/>
          </w:tcPr>
          <w:p>
            <w:pPr>
              <w:spacing w:after="0"/>
              <w:rPr>
                <w:sz w:val="14"/>
                <w:szCs w:val="14"/>
                <w:color w:val="auto"/>
              </w:rPr>
            </w:pPr>
          </w:p>
        </w:tc>
        <w:tc>
          <w:tcPr>
            <w:tcW w:w="240" w:type="dxa"/>
            <w:vAlign w:val="bottom"/>
          </w:tcPr>
          <w:p>
            <w:pPr>
              <w:spacing w:after="0"/>
              <w:rPr>
                <w:sz w:val="14"/>
                <w:szCs w:val="14"/>
                <w:color w:val="auto"/>
              </w:rPr>
            </w:pPr>
          </w:p>
        </w:tc>
        <w:tc>
          <w:tcPr>
            <w:tcW w:w="3900" w:type="dxa"/>
            <w:vAlign w:val="bottom"/>
            <w:tcBorders>
              <w:bottom w:val="single" w:sz="8" w:color="0000EE"/>
            </w:tcBorders>
            <w:gridSpan w:val="18"/>
          </w:tcPr>
          <w:p>
            <w:pPr>
              <w:spacing w:after="0" w:line="148" w:lineRule="exact"/>
              <w:rPr>
                <w:rFonts w:ascii="Arial" w:cs="Arial" w:eastAsia="Arial" w:hAnsi="Arial"/>
                <w:sz w:val="16"/>
                <w:szCs w:val="16"/>
                <w:color w:val="0000EE"/>
                <w:w w:val="96"/>
              </w:rPr>
            </w:pPr>
            <w:hyperlink w:anchor="page80">
              <w:r>
                <w:rPr>
                  <w:rFonts w:ascii="Arial" w:cs="Arial" w:eastAsia="Arial" w:hAnsi="Arial"/>
                  <w:sz w:val="16"/>
                  <w:szCs w:val="16"/>
                  <w:color w:val="0000EE"/>
                  <w:w w:val="96"/>
                </w:rPr>
                <w:t>Touche LLP as Independent Auditor for Fiscal Year 2022</w:t>
              </w:r>
            </w:hyperlink>
          </w:p>
        </w:tc>
        <w:tc>
          <w:tcPr>
            <w:tcW w:w="680" w:type="dxa"/>
            <w:vAlign w:val="bottom"/>
            <w:gridSpan w:val="4"/>
          </w:tcPr>
          <w:p>
            <w:pPr>
              <w:spacing w:after="0"/>
              <w:rPr>
                <w:sz w:val="14"/>
                <w:szCs w:val="14"/>
                <w:color w:val="auto"/>
              </w:rPr>
            </w:pPr>
          </w:p>
        </w:tc>
        <w:tc>
          <w:tcPr>
            <w:tcW w:w="560" w:type="dxa"/>
            <w:vAlign w:val="bottom"/>
          </w:tcPr>
          <w:p>
            <w:pPr>
              <w:jc w:val="right"/>
              <w:spacing w:after="0" w:line="148" w:lineRule="exact"/>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356"/>
        </w:trPr>
        <w:tc>
          <w:tcPr>
            <w:tcW w:w="880" w:type="dxa"/>
            <w:vAlign w:val="bottom"/>
            <w:shd w:val="clear" w:color="auto" w:fill="EDEDED"/>
          </w:tcPr>
          <w:p>
            <w:pPr>
              <w:spacing w:after="0"/>
              <w:rPr>
                <w:sz w:val="24"/>
                <w:szCs w:val="24"/>
                <w:color w:val="auto"/>
              </w:rPr>
            </w:pPr>
          </w:p>
        </w:tc>
        <w:tc>
          <w:tcPr>
            <w:tcW w:w="2480" w:type="dxa"/>
            <w:vAlign w:val="bottom"/>
            <w:shd w:val="clear" w:color="auto" w:fill="EDEDED"/>
          </w:tcPr>
          <w:p>
            <w:pPr>
              <w:spacing w:after="0"/>
              <w:rPr>
                <w:sz w:val="24"/>
                <w:szCs w:val="24"/>
                <w:color w:val="auto"/>
              </w:rPr>
            </w:pPr>
          </w:p>
        </w:tc>
        <w:tc>
          <w:tcPr>
            <w:tcW w:w="300" w:type="dxa"/>
            <w:vAlign w:val="bottom"/>
            <w:shd w:val="clear" w:color="auto" w:fill="EDEDED"/>
          </w:tcPr>
          <w:p>
            <w:pPr>
              <w:spacing w:after="0"/>
              <w:rPr>
                <w:sz w:val="24"/>
                <w:szCs w:val="24"/>
                <w:color w:val="auto"/>
              </w:rPr>
            </w:pPr>
          </w:p>
        </w:tc>
        <w:tc>
          <w:tcPr>
            <w:tcW w:w="240" w:type="dxa"/>
            <w:vAlign w:val="bottom"/>
          </w:tcPr>
          <w:p>
            <w:pPr>
              <w:spacing w:after="0"/>
              <w:rPr>
                <w:sz w:val="24"/>
                <w:szCs w:val="24"/>
                <w:color w:val="auto"/>
              </w:rPr>
            </w:pPr>
          </w:p>
        </w:tc>
        <w:tc>
          <w:tcPr>
            <w:tcW w:w="4580" w:type="dxa"/>
            <w:vAlign w:val="bottom"/>
            <w:gridSpan w:val="22"/>
          </w:tcPr>
          <w:p>
            <w:pPr>
              <w:spacing w:after="0"/>
              <w:rPr>
                <w:rFonts w:ascii="Arial" w:cs="Arial" w:eastAsia="Arial" w:hAnsi="Arial"/>
                <w:sz w:val="16"/>
                <w:szCs w:val="16"/>
                <w:color w:val="0000EE"/>
              </w:rPr>
            </w:pPr>
            <w:hyperlink w:anchor="page81">
              <w:r>
                <w:rPr>
                  <w:rFonts w:ascii="Arial" w:cs="Arial" w:eastAsia="Arial" w:hAnsi="Arial"/>
                  <w:sz w:val="16"/>
                  <w:szCs w:val="16"/>
                  <w:color w:val="0000EE"/>
                </w:rPr>
                <w:t>Shareholder Proposals</w:t>
              </w:r>
            </w:hyperlink>
          </w:p>
        </w:tc>
        <w:tc>
          <w:tcPr>
            <w:tcW w:w="560" w:type="dxa"/>
            <w:vAlign w:val="bottom"/>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97"/>
        </w:trPr>
        <w:tc>
          <w:tcPr>
            <w:tcW w:w="880" w:type="dxa"/>
            <w:vAlign w:val="bottom"/>
            <w:tcBorders>
              <w:top w:val="single" w:sz="8" w:color="EDEDED"/>
              <w:bottom w:val="single" w:sz="8" w:color="0075C9"/>
            </w:tcBorders>
            <w:shd w:val="clear" w:color="auto" w:fill="EDEDED"/>
          </w:tcPr>
          <w:p>
            <w:pPr>
              <w:spacing w:after="0"/>
              <w:rPr>
                <w:sz w:val="8"/>
                <w:szCs w:val="8"/>
                <w:color w:val="auto"/>
              </w:rPr>
            </w:pPr>
          </w:p>
        </w:tc>
        <w:tc>
          <w:tcPr>
            <w:tcW w:w="2480" w:type="dxa"/>
            <w:vAlign w:val="bottom"/>
            <w:tcBorders>
              <w:top w:val="single" w:sz="8" w:color="EDEDED"/>
              <w:bottom w:val="single" w:sz="8" w:color="0075C9"/>
            </w:tcBorders>
            <w:shd w:val="clear" w:color="auto" w:fill="EDEDED"/>
          </w:tcPr>
          <w:p>
            <w:pPr>
              <w:spacing w:after="0"/>
              <w:rPr>
                <w:sz w:val="8"/>
                <w:szCs w:val="8"/>
                <w:color w:val="auto"/>
              </w:rPr>
            </w:pPr>
          </w:p>
        </w:tc>
        <w:tc>
          <w:tcPr>
            <w:tcW w:w="300" w:type="dxa"/>
            <w:vAlign w:val="bottom"/>
            <w:tcBorders>
              <w:top w:val="single" w:sz="8" w:color="EDEDED"/>
              <w:bottom w:val="single" w:sz="8" w:color="0075C9"/>
            </w:tcBorders>
            <w:shd w:val="clear" w:color="auto" w:fill="EDEDED"/>
          </w:tcPr>
          <w:p>
            <w:pPr>
              <w:spacing w:after="0"/>
              <w:rPr>
                <w:sz w:val="8"/>
                <w:szCs w:val="8"/>
                <w:color w:val="auto"/>
              </w:rPr>
            </w:pPr>
          </w:p>
        </w:tc>
        <w:tc>
          <w:tcPr>
            <w:tcW w:w="240" w:type="dxa"/>
            <w:vAlign w:val="bottom"/>
            <w:tcBorders>
              <w:bottom w:val="single" w:sz="8" w:color="0075C9"/>
            </w:tcBorders>
          </w:tcPr>
          <w:p>
            <w:pPr>
              <w:spacing w:after="0"/>
              <w:rPr>
                <w:sz w:val="8"/>
                <w:szCs w:val="8"/>
                <w:color w:val="auto"/>
              </w:rPr>
            </w:pPr>
          </w:p>
        </w:tc>
        <w:tc>
          <w:tcPr>
            <w:tcW w:w="320" w:type="dxa"/>
            <w:vAlign w:val="bottom"/>
            <w:tcBorders>
              <w:top w:val="single" w:sz="8" w:color="0000EE"/>
              <w:bottom w:val="single" w:sz="8" w:color="0075C9"/>
            </w:tcBorders>
          </w:tcPr>
          <w:p>
            <w:pPr>
              <w:spacing w:after="0"/>
              <w:rPr>
                <w:sz w:val="8"/>
                <w:szCs w:val="8"/>
                <w:color w:val="auto"/>
              </w:rPr>
            </w:pPr>
          </w:p>
        </w:tc>
        <w:tc>
          <w:tcPr>
            <w:tcW w:w="120" w:type="dxa"/>
            <w:vAlign w:val="bottom"/>
            <w:tcBorders>
              <w:top w:val="single" w:sz="8" w:color="0000EE"/>
              <w:bottom w:val="single" w:sz="8" w:color="0075C9"/>
            </w:tcBorders>
          </w:tcPr>
          <w:p>
            <w:pPr>
              <w:spacing w:after="0"/>
              <w:rPr>
                <w:sz w:val="8"/>
                <w:szCs w:val="8"/>
                <w:color w:val="auto"/>
              </w:rPr>
            </w:pPr>
          </w:p>
        </w:tc>
        <w:tc>
          <w:tcPr>
            <w:tcW w:w="520" w:type="dxa"/>
            <w:vAlign w:val="bottom"/>
            <w:tcBorders>
              <w:top w:val="single" w:sz="8" w:color="0000EE"/>
              <w:bottom w:val="single" w:sz="8" w:color="0075C9"/>
            </w:tcBorders>
          </w:tcPr>
          <w:p>
            <w:pPr>
              <w:spacing w:after="0"/>
              <w:rPr>
                <w:sz w:val="8"/>
                <w:szCs w:val="8"/>
                <w:color w:val="auto"/>
              </w:rPr>
            </w:pPr>
          </w:p>
        </w:tc>
        <w:tc>
          <w:tcPr>
            <w:tcW w:w="80" w:type="dxa"/>
            <w:vAlign w:val="bottom"/>
            <w:tcBorders>
              <w:top w:val="single" w:sz="8" w:color="0000EE"/>
              <w:bottom w:val="single" w:sz="8" w:color="0075C9"/>
            </w:tcBorders>
          </w:tcPr>
          <w:p>
            <w:pPr>
              <w:spacing w:after="0"/>
              <w:rPr>
                <w:sz w:val="8"/>
                <w:szCs w:val="8"/>
                <w:color w:val="auto"/>
              </w:rPr>
            </w:pPr>
          </w:p>
        </w:tc>
        <w:tc>
          <w:tcPr>
            <w:tcW w:w="20" w:type="dxa"/>
            <w:vAlign w:val="bottom"/>
            <w:tcBorders>
              <w:top w:val="single" w:sz="8" w:color="0000EE"/>
              <w:bottom w:val="single" w:sz="8" w:color="0075C9"/>
            </w:tcBorders>
          </w:tcPr>
          <w:p>
            <w:pPr>
              <w:spacing w:after="0"/>
              <w:rPr>
                <w:sz w:val="8"/>
                <w:szCs w:val="8"/>
                <w:color w:val="auto"/>
              </w:rPr>
            </w:pPr>
          </w:p>
        </w:tc>
        <w:tc>
          <w:tcPr>
            <w:tcW w:w="120" w:type="dxa"/>
            <w:vAlign w:val="bottom"/>
            <w:tcBorders>
              <w:top w:val="single" w:sz="8" w:color="0000EE"/>
              <w:bottom w:val="single" w:sz="8" w:color="0075C9"/>
            </w:tcBorders>
          </w:tcPr>
          <w:p>
            <w:pPr>
              <w:spacing w:after="0"/>
              <w:rPr>
                <w:sz w:val="8"/>
                <w:szCs w:val="8"/>
                <w:color w:val="auto"/>
              </w:rPr>
            </w:pPr>
          </w:p>
        </w:tc>
        <w:tc>
          <w:tcPr>
            <w:tcW w:w="220" w:type="dxa"/>
            <w:vAlign w:val="bottom"/>
            <w:tcBorders>
              <w:top w:val="single" w:sz="8" w:color="0000EE"/>
              <w:bottom w:val="single" w:sz="8" w:color="0075C9"/>
            </w:tcBorders>
          </w:tcPr>
          <w:p>
            <w:pPr>
              <w:spacing w:after="0"/>
              <w:rPr>
                <w:sz w:val="8"/>
                <w:szCs w:val="8"/>
                <w:color w:val="auto"/>
              </w:rPr>
            </w:pPr>
          </w:p>
        </w:tc>
        <w:tc>
          <w:tcPr>
            <w:tcW w:w="220" w:type="dxa"/>
            <w:vAlign w:val="bottom"/>
            <w:tcBorders>
              <w:top w:val="single" w:sz="8" w:color="0000EE"/>
              <w:bottom w:val="single" w:sz="8" w:color="0075C9"/>
            </w:tcBorders>
          </w:tcPr>
          <w:p>
            <w:pPr>
              <w:spacing w:after="0"/>
              <w:rPr>
                <w:sz w:val="8"/>
                <w:szCs w:val="8"/>
                <w:color w:val="auto"/>
              </w:rPr>
            </w:pPr>
          </w:p>
        </w:tc>
        <w:tc>
          <w:tcPr>
            <w:tcW w:w="20" w:type="dxa"/>
            <w:vAlign w:val="bottom"/>
            <w:tcBorders>
              <w:bottom w:val="single" w:sz="8" w:color="0075C9"/>
            </w:tcBorders>
          </w:tcPr>
          <w:p>
            <w:pPr>
              <w:spacing w:after="0"/>
              <w:rPr>
                <w:sz w:val="8"/>
                <w:szCs w:val="8"/>
                <w:color w:val="auto"/>
              </w:rPr>
            </w:pPr>
          </w:p>
        </w:tc>
        <w:tc>
          <w:tcPr>
            <w:tcW w:w="580" w:type="dxa"/>
            <w:vAlign w:val="bottom"/>
            <w:tcBorders>
              <w:bottom w:val="single" w:sz="8" w:color="0075C9"/>
            </w:tcBorders>
          </w:tcPr>
          <w:p>
            <w:pPr>
              <w:spacing w:after="0"/>
              <w:rPr>
                <w:sz w:val="8"/>
                <w:szCs w:val="8"/>
                <w:color w:val="auto"/>
              </w:rPr>
            </w:pPr>
          </w:p>
        </w:tc>
        <w:tc>
          <w:tcPr>
            <w:tcW w:w="80" w:type="dxa"/>
            <w:vAlign w:val="bottom"/>
            <w:tcBorders>
              <w:bottom w:val="single" w:sz="8" w:color="0075C9"/>
            </w:tcBorders>
          </w:tcPr>
          <w:p>
            <w:pPr>
              <w:spacing w:after="0"/>
              <w:rPr>
                <w:sz w:val="8"/>
                <w:szCs w:val="8"/>
                <w:color w:val="auto"/>
              </w:rPr>
            </w:pPr>
          </w:p>
        </w:tc>
        <w:tc>
          <w:tcPr>
            <w:tcW w:w="100" w:type="dxa"/>
            <w:vAlign w:val="bottom"/>
            <w:tcBorders>
              <w:bottom w:val="single" w:sz="8" w:color="0075C9"/>
            </w:tcBorders>
          </w:tcPr>
          <w:p>
            <w:pPr>
              <w:spacing w:after="0"/>
              <w:rPr>
                <w:sz w:val="8"/>
                <w:szCs w:val="8"/>
                <w:color w:val="auto"/>
              </w:rPr>
            </w:pPr>
          </w:p>
        </w:tc>
        <w:tc>
          <w:tcPr>
            <w:tcW w:w="580" w:type="dxa"/>
            <w:vAlign w:val="bottom"/>
            <w:tcBorders>
              <w:bottom w:val="single" w:sz="8" w:color="0075C9"/>
            </w:tcBorders>
          </w:tcPr>
          <w:p>
            <w:pPr>
              <w:spacing w:after="0"/>
              <w:rPr>
                <w:sz w:val="8"/>
                <w:szCs w:val="8"/>
                <w:color w:val="auto"/>
              </w:rPr>
            </w:pPr>
          </w:p>
        </w:tc>
        <w:tc>
          <w:tcPr>
            <w:tcW w:w="80" w:type="dxa"/>
            <w:vAlign w:val="bottom"/>
            <w:tcBorders>
              <w:bottom w:val="single" w:sz="8" w:color="0075C9"/>
            </w:tcBorders>
          </w:tcPr>
          <w:p>
            <w:pPr>
              <w:spacing w:after="0"/>
              <w:rPr>
                <w:sz w:val="8"/>
                <w:szCs w:val="8"/>
                <w:color w:val="auto"/>
              </w:rPr>
            </w:pPr>
          </w:p>
        </w:tc>
        <w:tc>
          <w:tcPr>
            <w:tcW w:w="320" w:type="dxa"/>
            <w:vAlign w:val="bottom"/>
            <w:tcBorders>
              <w:bottom w:val="single" w:sz="8" w:color="0075C9"/>
            </w:tcBorders>
          </w:tcPr>
          <w:p>
            <w:pPr>
              <w:spacing w:after="0"/>
              <w:rPr>
                <w:sz w:val="8"/>
                <w:szCs w:val="8"/>
                <w:color w:val="auto"/>
              </w:rPr>
            </w:pPr>
          </w:p>
        </w:tc>
        <w:tc>
          <w:tcPr>
            <w:tcW w:w="220" w:type="dxa"/>
            <w:vAlign w:val="bottom"/>
            <w:tcBorders>
              <w:bottom w:val="single" w:sz="8" w:color="0075C9"/>
            </w:tcBorders>
          </w:tcPr>
          <w:p>
            <w:pPr>
              <w:spacing w:after="0"/>
              <w:rPr>
                <w:sz w:val="8"/>
                <w:szCs w:val="8"/>
                <w:color w:val="auto"/>
              </w:rPr>
            </w:pPr>
          </w:p>
        </w:tc>
        <w:tc>
          <w:tcPr>
            <w:tcW w:w="20" w:type="dxa"/>
            <w:vAlign w:val="bottom"/>
            <w:tcBorders>
              <w:bottom w:val="single" w:sz="8" w:color="0075C9"/>
            </w:tcBorders>
          </w:tcPr>
          <w:p>
            <w:pPr>
              <w:spacing w:after="0"/>
              <w:rPr>
                <w:sz w:val="8"/>
                <w:szCs w:val="8"/>
                <w:color w:val="auto"/>
              </w:rPr>
            </w:pPr>
          </w:p>
        </w:tc>
        <w:tc>
          <w:tcPr>
            <w:tcW w:w="280" w:type="dxa"/>
            <w:vAlign w:val="bottom"/>
            <w:tcBorders>
              <w:bottom w:val="single" w:sz="8" w:color="0075C9"/>
            </w:tcBorders>
          </w:tcPr>
          <w:p>
            <w:pPr>
              <w:spacing w:after="0"/>
              <w:rPr>
                <w:sz w:val="8"/>
                <w:szCs w:val="8"/>
                <w:color w:val="auto"/>
              </w:rPr>
            </w:pPr>
          </w:p>
        </w:tc>
        <w:tc>
          <w:tcPr>
            <w:tcW w:w="120" w:type="dxa"/>
            <w:vAlign w:val="bottom"/>
            <w:tcBorders>
              <w:bottom w:val="single" w:sz="8" w:color="0075C9"/>
            </w:tcBorders>
          </w:tcPr>
          <w:p>
            <w:pPr>
              <w:spacing w:after="0"/>
              <w:rPr>
                <w:sz w:val="8"/>
                <w:szCs w:val="8"/>
                <w:color w:val="auto"/>
              </w:rPr>
            </w:pPr>
          </w:p>
        </w:tc>
        <w:tc>
          <w:tcPr>
            <w:tcW w:w="60" w:type="dxa"/>
            <w:vAlign w:val="bottom"/>
            <w:tcBorders>
              <w:bottom w:val="single" w:sz="8" w:color="0075C9"/>
            </w:tcBorders>
          </w:tcPr>
          <w:p>
            <w:pPr>
              <w:spacing w:after="0"/>
              <w:rPr>
                <w:sz w:val="8"/>
                <w:szCs w:val="8"/>
                <w:color w:val="auto"/>
              </w:rPr>
            </w:pPr>
          </w:p>
        </w:tc>
        <w:tc>
          <w:tcPr>
            <w:tcW w:w="480" w:type="dxa"/>
            <w:vAlign w:val="bottom"/>
            <w:tcBorders>
              <w:bottom w:val="single" w:sz="8" w:color="0075C9"/>
            </w:tcBorders>
          </w:tcPr>
          <w:p>
            <w:pPr>
              <w:spacing w:after="0"/>
              <w:rPr>
                <w:sz w:val="8"/>
                <w:szCs w:val="8"/>
                <w:color w:val="auto"/>
              </w:rPr>
            </w:pPr>
          </w:p>
        </w:tc>
        <w:tc>
          <w:tcPr>
            <w:tcW w:w="20" w:type="dxa"/>
            <w:vAlign w:val="bottom"/>
            <w:tcBorders>
              <w:bottom w:val="single" w:sz="8" w:color="0075C9"/>
            </w:tcBorders>
          </w:tcPr>
          <w:p>
            <w:pPr>
              <w:spacing w:after="0"/>
              <w:rPr>
                <w:sz w:val="8"/>
                <w:szCs w:val="8"/>
                <w:color w:val="auto"/>
              </w:rPr>
            </w:pPr>
          </w:p>
        </w:tc>
        <w:tc>
          <w:tcPr>
            <w:tcW w:w="560" w:type="dxa"/>
            <w:vAlign w:val="bottom"/>
            <w:tcBorders>
              <w:bottom w:val="single" w:sz="8" w:color="0075C9"/>
            </w:tcBorders>
          </w:tcPr>
          <w:p>
            <w:pPr>
              <w:spacing w:after="0"/>
              <w:rPr>
                <w:sz w:val="8"/>
                <w:szCs w:val="8"/>
                <w:color w:val="auto"/>
              </w:rPr>
            </w:pPr>
          </w:p>
        </w:tc>
        <w:tc>
          <w:tcPr>
            <w:tcW w:w="0" w:type="dxa"/>
            <w:vAlign w:val="bottom"/>
          </w:tcPr>
          <w:p>
            <w:pPr>
              <w:spacing w:after="0"/>
              <w:rPr>
                <w:sz w:val="1"/>
                <w:szCs w:val="1"/>
                <w:color w:val="auto"/>
              </w:rPr>
            </w:pPr>
          </w:p>
        </w:tc>
      </w:tr>
      <w:tr>
        <w:trPr>
          <w:trHeight w:val="265"/>
        </w:trPr>
        <w:tc>
          <w:tcPr>
            <w:tcW w:w="880" w:type="dxa"/>
            <w:vAlign w:val="bottom"/>
            <w:vMerge w:val="restart"/>
            <w:shd w:val="clear" w:color="auto" w:fill="EDEDED"/>
          </w:tcPr>
          <w:p>
            <w:pPr>
              <w:jc w:val="right"/>
              <w:spacing w:after="0"/>
              <w:rPr>
                <w:sz w:val="20"/>
                <w:szCs w:val="20"/>
                <w:color w:val="auto"/>
              </w:rPr>
            </w:pPr>
            <w:r>
              <w:rPr>
                <w:rFonts w:ascii="Arial" w:cs="Arial" w:eastAsia="Arial" w:hAnsi="Arial"/>
                <w:sz w:val="138"/>
                <w:szCs w:val="138"/>
                <w:color w:val="0075C9"/>
              </w:rPr>
              <w:t>5</w:t>
            </w:r>
          </w:p>
        </w:tc>
        <w:tc>
          <w:tcPr>
            <w:tcW w:w="2480" w:type="dxa"/>
            <w:vAlign w:val="bottom"/>
            <w:vMerge w:val="restart"/>
            <w:shd w:val="clear" w:color="auto" w:fill="EDEDED"/>
          </w:tcPr>
          <w:p>
            <w:pPr>
              <w:ind w:left="220"/>
              <w:spacing w:after="0"/>
              <w:rPr>
                <w:sz w:val="20"/>
                <w:szCs w:val="20"/>
                <w:color w:val="auto"/>
              </w:rPr>
            </w:pPr>
            <w:r>
              <w:rPr>
                <w:rFonts w:ascii="Arial" w:cs="Arial" w:eastAsia="Arial" w:hAnsi="Arial"/>
                <w:sz w:val="28"/>
                <w:szCs w:val="28"/>
                <w:color w:val="0075C9"/>
              </w:rPr>
              <w:t>Information About</w:t>
            </w:r>
          </w:p>
        </w:tc>
        <w:tc>
          <w:tcPr>
            <w:tcW w:w="300" w:type="dxa"/>
            <w:vAlign w:val="bottom"/>
            <w:shd w:val="clear" w:color="auto" w:fill="EDEDED"/>
          </w:tcPr>
          <w:p>
            <w:pPr>
              <w:spacing w:after="0"/>
              <w:rPr>
                <w:sz w:val="23"/>
                <w:szCs w:val="23"/>
                <w:color w:val="auto"/>
              </w:rPr>
            </w:pPr>
          </w:p>
        </w:tc>
        <w:tc>
          <w:tcPr>
            <w:tcW w:w="240" w:type="dxa"/>
            <w:vAlign w:val="bottom"/>
          </w:tcPr>
          <w:p>
            <w:pPr>
              <w:spacing w:after="0"/>
              <w:rPr>
                <w:sz w:val="23"/>
                <w:szCs w:val="23"/>
                <w:color w:val="auto"/>
              </w:rPr>
            </w:pPr>
          </w:p>
        </w:tc>
        <w:tc>
          <w:tcPr>
            <w:tcW w:w="4580" w:type="dxa"/>
            <w:vAlign w:val="bottom"/>
            <w:gridSpan w:val="22"/>
          </w:tcPr>
          <w:p>
            <w:pPr>
              <w:spacing w:after="0"/>
              <w:rPr>
                <w:rFonts w:ascii="Arial" w:cs="Arial" w:eastAsia="Arial" w:hAnsi="Arial"/>
                <w:sz w:val="16"/>
                <w:szCs w:val="16"/>
                <w:color w:val="0000EE"/>
              </w:rPr>
            </w:pPr>
            <w:hyperlink w:anchor="page91">
              <w:r>
                <w:rPr>
                  <w:rFonts w:ascii="Arial" w:cs="Arial" w:eastAsia="Arial" w:hAnsi="Arial"/>
                  <w:sz w:val="16"/>
                  <w:szCs w:val="16"/>
                  <w:color w:val="0000EE"/>
                </w:rPr>
                <w:t>Date, Time, and Place of Meeting</w:t>
              </w:r>
            </w:hyperlink>
          </w:p>
        </w:tc>
        <w:tc>
          <w:tcPr>
            <w:tcW w:w="560" w:type="dxa"/>
            <w:vAlign w:val="bottom"/>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0"/>
        </w:trPr>
        <w:tc>
          <w:tcPr>
            <w:tcW w:w="880" w:type="dxa"/>
            <w:vAlign w:val="bottom"/>
            <w:vMerge w:val="continue"/>
            <w:shd w:val="clear" w:color="auto" w:fill="EDEDED"/>
          </w:tcPr>
          <w:p>
            <w:pPr>
              <w:spacing w:after="0" w:line="20" w:lineRule="exact"/>
              <w:rPr>
                <w:sz w:val="1"/>
                <w:szCs w:val="1"/>
                <w:color w:val="auto"/>
              </w:rPr>
            </w:pPr>
          </w:p>
        </w:tc>
        <w:tc>
          <w:tcPr>
            <w:tcW w:w="2480" w:type="dxa"/>
            <w:vAlign w:val="bottom"/>
            <w:vMerge w:val="continue"/>
            <w:shd w:val="clear" w:color="auto" w:fill="EDEDED"/>
          </w:tcPr>
          <w:p>
            <w:pPr>
              <w:spacing w:after="0" w:line="20" w:lineRule="exact"/>
              <w:rPr>
                <w:sz w:val="1"/>
                <w:szCs w:val="1"/>
                <w:color w:val="auto"/>
              </w:rPr>
            </w:pPr>
          </w:p>
        </w:tc>
        <w:tc>
          <w:tcPr>
            <w:tcW w:w="300" w:type="dxa"/>
            <w:vAlign w:val="bottom"/>
            <w:shd w:val="clear" w:color="auto" w:fill="EDEDED"/>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0" w:type="dxa"/>
            <w:vAlign w:val="bottom"/>
            <w:vMerge w:val="continue"/>
            <w:shd w:val="clear" w:color="auto" w:fill="EDEDED"/>
          </w:tcPr>
          <w:p>
            <w:pPr>
              <w:spacing w:after="0"/>
              <w:rPr>
                <w:sz w:val="19"/>
                <w:szCs w:val="19"/>
                <w:color w:val="auto"/>
              </w:rPr>
            </w:pPr>
          </w:p>
        </w:tc>
        <w:tc>
          <w:tcPr>
            <w:tcW w:w="2480" w:type="dxa"/>
            <w:vAlign w:val="bottom"/>
            <w:vMerge w:val="continue"/>
            <w:shd w:val="clear" w:color="auto" w:fill="EDEDED"/>
          </w:tcPr>
          <w:p>
            <w:pPr>
              <w:spacing w:after="0"/>
              <w:rPr>
                <w:sz w:val="19"/>
                <w:szCs w:val="19"/>
                <w:color w:val="auto"/>
              </w:rPr>
            </w:pPr>
          </w:p>
        </w:tc>
        <w:tc>
          <w:tcPr>
            <w:tcW w:w="300" w:type="dxa"/>
            <w:vAlign w:val="bottom"/>
            <w:shd w:val="clear" w:color="auto" w:fill="EDEDED"/>
          </w:tcPr>
          <w:p>
            <w:pPr>
              <w:spacing w:after="0"/>
              <w:rPr>
                <w:sz w:val="19"/>
                <w:szCs w:val="19"/>
                <w:color w:val="auto"/>
              </w:rPr>
            </w:pPr>
          </w:p>
        </w:tc>
        <w:tc>
          <w:tcPr>
            <w:tcW w:w="240" w:type="dxa"/>
            <w:vAlign w:val="bottom"/>
          </w:tcPr>
          <w:p>
            <w:pPr>
              <w:spacing w:after="0"/>
              <w:rPr>
                <w:sz w:val="19"/>
                <w:szCs w:val="19"/>
                <w:color w:val="auto"/>
              </w:rPr>
            </w:pPr>
          </w:p>
        </w:tc>
        <w:tc>
          <w:tcPr>
            <w:tcW w:w="3060" w:type="dxa"/>
            <w:vAlign w:val="bottom"/>
            <w:gridSpan w:val="14"/>
            <w:vMerge w:val="restart"/>
          </w:tcPr>
          <w:p>
            <w:pPr>
              <w:spacing w:after="0"/>
              <w:rPr>
                <w:rFonts w:ascii="Arial" w:cs="Arial" w:eastAsia="Arial" w:hAnsi="Arial"/>
                <w:sz w:val="16"/>
                <w:szCs w:val="16"/>
                <w:color w:val="0000EE"/>
                <w:w w:val="96"/>
              </w:rPr>
            </w:pPr>
            <w:hyperlink w:anchor="page91">
              <w:r>
                <w:rPr>
                  <w:rFonts w:ascii="Arial" w:cs="Arial" w:eastAsia="Arial" w:hAnsi="Arial"/>
                  <w:sz w:val="16"/>
                  <w:szCs w:val="16"/>
                  <w:color w:val="0000EE"/>
                  <w:w w:val="96"/>
                </w:rPr>
                <w:t>Proxy Materials are Available on the Internet</w:t>
              </w:r>
            </w:hyperlink>
          </w:p>
        </w:tc>
        <w:tc>
          <w:tcPr>
            <w:tcW w:w="1520" w:type="dxa"/>
            <w:vAlign w:val="bottom"/>
            <w:gridSpan w:val="8"/>
            <w:vMerge w:val="restart"/>
          </w:tcPr>
          <w:p>
            <w:pPr>
              <w:spacing w:after="0"/>
              <w:rPr>
                <w:sz w:val="19"/>
                <w:szCs w:val="19"/>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30"/>
        </w:trPr>
        <w:tc>
          <w:tcPr>
            <w:tcW w:w="880" w:type="dxa"/>
            <w:vAlign w:val="bottom"/>
            <w:tcBorders>
              <w:bottom w:val="single" w:sz="8" w:color="EDEDED"/>
            </w:tcBorders>
            <w:vMerge w:val="continue"/>
            <w:shd w:val="clear" w:color="auto" w:fill="EDEDED"/>
          </w:tcPr>
          <w:p>
            <w:pPr>
              <w:spacing w:after="0"/>
              <w:rPr>
                <w:sz w:val="2"/>
                <w:szCs w:val="2"/>
                <w:color w:val="auto"/>
              </w:rPr>
            </w:pPr>
          </w:p>
        </w:tc>
        <w:tc>
          <w:tcPr>
            <w:tcW w:w="2480" w:type="dxa"/>
            <w:vAlign w:val="bottom"/>
            <w:tcBorders>
              <w:bottom w:val="single" w:sz="8" w:color="EDEDED"/>
            </w:tcBorders>
            <w:vMerge w:val="restart"/>
            <w:shd w:val="clear" w:color="auto" w:fill="EDEDED"/>
          </w:tcPr>
          <w:p>
            <w:pPr>
              <w:ind w:left="220"/>
              <w:spacing w:after="0" w:line="282" w:lineRule="exact"/>
              <w:rPr>
                <w:sz w:val="20"/>
                <w:szCs w:val="20"/>
                <w:color w:val="auto"/>
              </w:rPr>
            </w:pPr>
            <w:r>
              <w:rPr>
                <w:rFonts w:ascii="Arial" w:cs="Arial" w:eastAsia="Arial" w:hAnsi="Arial"/>
                <w:sz w:val="28"/>
                <w:szCs w:val="28"/>
                <w:color w:val="0075C9"/>
              </w:rPr>
              <w:t>the Meeting</w:t>
            </w:r>
          </w:p>
        </w:tc>
        <w:tc>
          <w:tcPr>
            <w:tcW w:w="300" w:type="dxa"/>
            <w:vAlign w:val="bottom"/>
            <w:tcBorders>
              <w:bottom w:val="single" w:sz="8" w:color="EDEDED"/>
            </w:tcBorders>
            <w:shd w:val="clear" w:color="auto" w:fill="EDEDED"/>
          </w:tcPr>
          <w:p>
            <w:pPr>
              <w:spacing w:after="0"/>
              <w:rPr>
                <w:sz w:val="2"/>
                <w:szCs w:val="2"/>
                <w:color w:val="auto"/>
              </w:rPr>
            </w:pPr>
          </w:p>
        </w:tc>
        <w:tc>
          <w:tcPr>
            <w:tcW w:w="240" w:type="dxa"/>
            <w:vAlign w:val="bottom"/>
          </w:tcPr>
          <w:p>
            <w:pPr>
              <w:spacing w:after="0"/>
              <w:rPr>
                <w:sz w:val="2"/>
                <w:szCs w:val="2"/>
                <w:color w:val="auto"/>
              </w:rPr>
            </w:pPr>
          </w:p>
        </w:tc>
        <w:tc>
          <w:tcPr>
            <w:tcW w:w="3060" w:type="dxa"/>
            <w:vAlign w:val="bottom"/>
            <w:tcBorders>
              <w:bottom w:val="single" w:sz="8" w:color="0000EE"/>
            </w:tcBorders>
            <w:gridSpan w:val="14"/>
            <w:vMerge w:val="continue"/>
          </w:tcPr>
          <w:p>
            <w:pPr>
              <w:spacing w:after="0"/>
              <w:rPr>
                <w:sz w:val="2"/>
                <w:szCs w:val="2"/>
                <w:color w:val="auto"/>
              </w:rPr>
            </w:pPr>
          </w:p>
        </w:tc>
        <w:tc>
          <w:tcPr>
            <w:tcW w:w="1520" w:type="dxa"/>
            <w:vAlign w:val="bottom"/>
            <w:gridSpan w:val="8"/>
            <w:vMerge w:val="continue"/>
          </w:tcPr>
          <w:p>
            <w:pPr>
              <w:spacing w:after="0"/>
              <w:rPr>
                <w:sz w:val="2"/>
                <w:szCs w:val="2"/>
                <w:color w:val="auto"/>
              </w:rPr>
            </w:pPr>
          </w:p>
        </w:tc>
        <w:tc>
          <w:tcPr>
            <w:tcW w:w="5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880" w:type="dxa"/>
            <w:vAlign w:val="bottom"/>
            <w:vMerge w:val="continue"/>
            <w:shd w:val="clear" w:color="auto" w:fill="EDEDED"/>
          </w:tcPr>
          <w:p>
            <w:pPr>
              <w:spacing w:after="0"/>
              <w:rPr>
                <w:sz w:val="21"/>
                <w:szCs w:val="21"/>
                <w:color w:val="auto"/>
              </w:rPr>
            </w:pPr>
          </w:p>
        </w:tc>
        <w:tc>
          <w:tcPr>
            <w:tcW w:w="2480" w:type="dxa"/>
            <w:vAlign w:val="bottom"/>
            <w:vMerge w:val="continue"/>
            <w:shd w:val="clear" w:color="auto" w:fill="EDEDED"/>
          </w:tcPr>
          <w:p>
            <w:pPr>
              <w:spacing w:after="0"/>
              <w:rPr>
                <w:sz w:val="21"/>
                <w:szCs w:val="21"/>
                <w:color w:val="auto"/>
              </w:rPr>
            </w:pPr>
          </w:p>
        </w:tc>
        <w:tc>
          <w:tcPr>
            <w:tcW w:w="300" w:type="dxa"/>
            <w:vAlign w:val="bottom"/>
            <w:shd w:val="clear" w:color="auto" w:fill="EDEDED"/>
          </w:tcPr>
          <w:p>
            <w:pPr>
              <w:spacing w:after="0"/>
              <w:rPr>
                <w:sz w:val="21"/>
                <w:szCs w:val="21"/>
                <w:color w:val="auto"/>
              </w:rPr>
            </w:pPr>
          </w:p>
        </w:tc>
        <w:tc>
          <w:tcPr>
            <w:tcW w:w="240" w:type="dxa"/>
            <w:vAlign w:val="bottom"/>
          </w:tcPr>
          <w:p>
            <w:pPr>
              <w:spacing w:after="0"/>
              <w:rPr>
                <w:sz w:val="21"/>
                <w:szCs w:val="21"/>
                <w:color w:val="auto"/>
              </w:rPr>
            </w:pPr>
          </w:p>
        </w:tc>
        <w:tc>
          <w:tcPr>
            <w:tcW w:w="4580" w:type="dxa"/>
            <w:vAlign w:val="bottom"/>
            <w:gridSpan w:val="22"/>
          </w:tcPr>
          <w:p>
            <w:pPr>
              <w:spacing w:after="0"/>
              <w:rPr>
                <w:rFonts w:ascii="Arial" w:cs="Arial" w:eastAsia="Arial" w:hAnsi="Arial"/>
                <w:sz w:val="16"/>
                <w:szCs w:val="16"/>
                <w:color w:val="0000EE"/>
              </w:rPr>
            </w:pPr>
            <w:hyperlink w:anchor="page91">
              <w:r>
                <w:rPr>
                  <w:rFonts w:ascii="Arial" w:cs="Arial" w:eastAsia="Arial" w:hAnsi="Arial"/>
                  <w:sz w:val="16"/>
                  <w:szCs w:val="16"/>
                  <w:color w:val="0000EE"/>
                </w:rPr>
                <w:t>Participating in the Annual Meeting</w:t>
              </w:r>
            </w:hyperlink>
          </w:p>
        </w:tc>
        <w:tc>
          <w:tcPr>
            <w:tcW w:w="560" w:type="dxa"/>
            <w:vAlign w:val="bottom"/>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52"/>
        </w:trPr>
        <w:tc>
          <w:tcPr>
            <w:tcW w:w="880" w:type="dxa"/>
            <w:vAlign w:val="bottom"/>
            <w:tcBorders>
              <w:top w:val="single" w:sz="8" w:color="EDEDED"/>
            </w:tcBorders>
            <w:vMerge w:val="continue"/>
            <w:shd w:val="clear" w:color="auto" w:fill="EDEDED"/>
          </w:tcPr>
          <w:p>
            <w:pPr>
              <w:spacing w:after="0"/>
              <w:rPr>
                <w:sz w:val="21"/>
                <w:szCs w:val="21"/>
                <w:color w:val="auto"/>
              </w:rPr>
            </w:pPr>
          </w:p>
        </w:tc>
        <w:tc>
          <w:tcPr>
            <w:tcW w:w="2480" w:type="dxa"/>
            <w:vAlign w:val="bottom"/>
            <w:tcBorders>
              <w:top w:val="single" w:sz="8" w:color="EDEDED"/>
            </w:tcBorders>
            <w:shd w:val="clear" w:color="auto" w:fill="EDEDED"/>
          </w:tcPr>
          <w:p>
            <w:pPr>
              <w:spacing w:after="0"/>
              <w:rPr>
                <w:sz w:val="21"/>
                <w:szCs w:val="21"/>
                <w:color w:val="auto"/>
              </w:rPr>
            </w:pPr>
          </w:p>
        </w:tc>
        <w:tc>
          <w:tcPr>
            <w:tcW w:w="300" w:type="dxa"/>
            <w:vAlign w:val="bottom"/>
            <w:tcBorders>
              <w:top w:val="single" w:sz="8" w:color="EDEDED"/>
            </w:tcBorders>
            <w:shd w:val="clear" w:color="auto" w:fill="EDEDED"/>
          </w:tcPr>
          <w:p>
            <w:pPr>
              <w:spacing w:after="0"/>
              <w:rPr>
                <w:sz w:val="21"/>
                <w:szCs w:val="21"/>
                <w:color w:val="auto"/>
              </w:rPr>
            </w:pPr>
          </w:p>
        </w:tc>
        <w:tc>
          <w:tcPr>
            <w:tcW w:w="240" w:type="dxa"/>
            <w:vAlign w:val="bottom"/>
          </w:tcPr>
          <w:p>
            <w:pPr>
              <w:spacing w:after="0"/>
              <w:rPr>
                <w:sz w:val="21"/>
                <w:szCs w:val="21"/>
                <w:color w:val="auto"/>
              </w:rPr>
            </w:pPr>
          </w:p>
        </w:tc>
        <w:tc>
          <w:tcPr>
            <w:tcW w:w="2400" w:type="dxa"/>
            <w:vAlign w:val="bottom"/>
            <w:tcBorders>
              <w:top w:val="single" w:sz="8" w:color="0000EE"/>
            </w:tcBorders>
            <w:gridSpan w:val="12"/>
          </w:tcPr>
          <w:p>
            <w:pPr>
              <w:spacing w:after="0"/>
              <w:rPr>
                <w:rFonts w:ascii="Arial" w:cs="Arial" w:eastAsia="Arial" w:hAnsi="Arial"/>
                <w:sz w:val="16"/>
                <w:szCs w:val="16"/>
                <w:color w:val="0000EE"/>
              </w:rPr>
            </w:pPr>
            <w:hyperlink w:anchor="page92">
              <w:r>
                <w:rPr>
                  <w:rFonts w:ascii="Arial" w:cs="Arial" w:eastAsia="Arial" w:hAnsi="Arial"/>
                  <w:sz w:val="16"/>
                  <w:szCs w:val="16"/>
                  <w:color w:val="0000EE"/>
                </w:rPr>
                <w:t>Soliciting Proxies</w:t>
              </w:r>
            </w:hyperlink>
          </w:p>
        </w:tc>
        <w:tc>
          <w:tcPr>
            <w:tcW w:w="2180" w:type="dxa"/>
            <w:vAlign w:val="bottom"/>
            <w:gridSpan w:val="10"/>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52"/>
        </w:trPr>
        <w:tc>
          <w:tcPr>
            <w:tcW w:w="880" w:type="dxa"/>
            <w:vAlign w:val="bottom"/>
            <w:tcBorders>
              <w:top w:val="single" w:sz="8" w:color="EDEDED"/>
              <w:bottom w:val="single" w:sz="8" w:color="EDEDED"/>
            </w:tcBorders>
            <w:vMerge w:val="continue"/>
            <w:shd w:val="clear" w:color="auto" w:fill="EDEDED"/>
          </w:tcPr>
          <w:p>
            <w:pPr>
              <w:spacing w:after="0"/>
              <w:rPr>
                <w:sz w:val="21"/>
                <w:szCs w:val="21"/>
                <w:color w:val="auto"/>
              </w:rPr>
            </w:pPr>
          </w:p>
        </w:tc>
        <w:tc>
          <w:tcPr>
            <w:tcW w:w="2480" w:type="dxa"/>
            <w:vAlign w:val="bottom"/>
            <w:tcBorders>
              <w:top w:val="single" w:sz="8" w:color="EDEDED"/>
              <w:bottom w:val="single" w:sz="8" w:color="EDEDED"/>
            </w:tcBorders>
            <w:shd w:val="clear" w:color="auto" w:fill="EDEDED"/>
          </w:tcPr>
          <w:p>
            <w:pPr>
              <w:spacing w:after="0"/>
              <w:rPr>
                <w:sz w:val="21"/>
                <w:szCs w:val="21"/>
                <w:color w:val="auto"/>
              </w:rPr>
            </w:pPr>
          </w:p>
        </w:tc>
        <w:tc>
          <w:tcPr>
            <w:tcW w:w="300" w:type="dxa"/>
            <w:vAlign w:val="bottom"/>
            <w:tcBorders>
              <w:top w:val="single" w:sz="8" w:color="EDEDED"/>
              <w:bottom w:val="single" w:sz="8" w:color="EDEDED"/>
            </w:tcBorders>
            <w:shd w:val="clear" w:color="auto" w:fill="EDEDED"/>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Borders>
              <w:top w:val="single" w:sz="8" w:color="0000EE"/>
              <w:bottom w:val="single" w:sz="8" w:color="0000EE"/>
            </w:tcBorders>
            <w:gridSpan w:val="3"/>
          </w:tcPr>
          <w:p>
            <w:pPr>
              <w:spacing w:after="0"/>
              <w:rPr>
                <w:rFonts w:ascii="Arial" w:cs="Arial" w:eastAsia="Arial" w:hAnsi="Arial"/>
                <w:sz w:val="16"/>
                <w:szCs w:val="16"/>
                <w:color w:val="0000EE"/>
                <w:w w:val="96"/>
              </w:rPr>
            </w:pPr>
            <w:hyperlink w:anchor="page92">
              <w:r>
                <w:rPr>
                  <w:rFonts w:ascii="Arial" w:cs="Arial" w:eastAsia="Arial" w:hAnsi="Arial"/>
                  <w:sz w:val="16"/>
                  <w:szCs w:val="16"/>
                  <w:color w:val="0000EE"/>
                  <w:w w:val="96"/>
                </w:rPr>
                <w:t>Householding</w:t>
              </w:r>
            </w:hyperlink>
          </w:p>
        </w:tc>
        <w:tc>
          <w:tcPr>
            <w:tcW w:w="220" w:type="dxa"/>
            <w:vAlign w:val="bottom"/>
            <w:tcBorders>
              <w:top w:val="single" w:sz="8" w:color="0000EE"/>
            </w:tcBorders>
            <w:gridSpan w:val="3"/>
          </w:tcPr>
          <w:p>
            <w:pPr>
              <w:spacing w:after="0"/>
              <w:rPr>
                <w:sz w:val="21"/>
                <w:szCs w:val="21"/>
                <w:color w:val="auto"/>
              </w:rPr>
            </w:pPr>
          </w:p>
        </w:tc>
        <w:tc>
          <w:tcPr>
            <w:tcW w:w="3400" w:type="dxa"/>
            <w:vAlign w:val="bottom"/>
            <w:gridSpan w:val="16"/>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52"/>
        </w:trPr>
        <w:tc>
          <w:tcPr>
            <w:tcW w:w="880" w:type="dxa"/>
            <w:vAlign w:val="bottom"/>
            <w:tcBorders>
              <w:bottom w:val="single" w:sz="8" w:color="EDEDED"/>
            </w:tcBorders>
            <w:vMerge w:val="continue"/>
            <w:shd w:val="clear" w:color="auto" w:fill="EDEDED"/>
          </w:tcPr>
          <w:p>
            <w:pPr>
              <w:spacing w:after="0"/>
              <w:rPr>
                <w:sz w:val="21"/>
                <w:szCs w:val="21"/>
                <w:color w:val="auto"/>
              </w:rPr>
            </w:pPr>
          </w:p>
        </w:tc>
        <w:tc>
          <w:tcPr>
            <w:tcW w:w="2480" w:type="dxa"/>
            <w:vAlign w:val="bottom"/>
            <w:tcBorders>
              <w:bottom w:val="single" w:sz="8" w:color="EDEDED"/>
            </w:tcBorders>
            <w:shd w:val="clear" w:color="auto" w:fill="EDEDED"/>
          </w:tcPr>
          <w:p>
            <w:pPr>
              <w:spacing w:after="0"/>
              <w:rPr>
                <w:sz w:val="21"/>
                <w:szCs w:val="21"/>
                <w:color w:val="auto"/>
              </w:rPr>
            </w:pPr>
          </w:p>
        </w:tc>
        <w:tc>
          <w:tcPr>
            <w:tcW w:w="300" w:type="dxa"/>
            <w:vAlign w:val="bottom"/>
            <w:tcBorders>
              <w:bottom w:val="single" w:sz="8" w:color="EDEDED"/>
            </w:tcBorders>
            <w:shd w:val="clear" w:color="auto" w:fill="EDEDED"/>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Borders>
              <w:bottom w:val="single" w:sz="8" w:color="0000EE"/>
            </w:tcBorders>
            <w:gridSpan w:val="7"/>
          </w:tcPr>
          <w:p>
            <w:pPr>
              <w:spacing w:after="0"/>
              <w:rPr>
                <w:rFonts w:ascii="Arial" w:cs="Arial" w:eastAsia="Arial" w:hAnsi="Arial"/>
                <w:sz w:val="16"/>
                <w:szCs w:val="16"/>
                <w:color w:val="0000EE"/>
                <w:w w:val="96"/>
              </w:rPr>
            </w:pPr>
            <w:hyperlink w:anchor="page92">
              <w:r>
                <w:rPr>
                  <w:rFonts w:ascii="Arial" w:cs="Arial" w:eastAsia="Arial" w:hAnsi="Arial"/>
                  <w:sz w:val="16"/>
                  <w:szCs w:val="16"/>
                  <w:color w:val="0000EE"/>
                  <w:w w:val="96"/>
                </w:rPr>
                <w:t>Election of Directors</w:t>
              </w:r>
            </w:hyperlink>
          </w:p>
        </w:tc>
        <w:tc>
          <w:tcPr>
            <w:tcW w:w="3180" w:type="dxa"/>
            <w:vAlign w:val="bottom"/>
            <w:gridSpan w:val="15"/>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52"/>
        </w:trPr>
        <w:tc>
          <w:tcPr>
            <w:tcW w:w="880" w:type="dxa"/>
            <w:vAlign w:val="bottom"/>
            <w:tcBorders>
              <w:bottom w:val="single" w:sz="8" w:color="EDEDED"/>
            </w:tcBorders>
            <w:shd w:val="clear" w:color="auto" w:fill="EDEDED"/>
          </w:tcPr>
          <w:p>
            <w:pPr>
              <w:spacing w:after="0"/>
              <w:rPr>
                <w:sz w:val="21"/>
                <w:szCs w:val="21"/>
                <w:color w:val="auto"/>
              </w:rPr>
            </w:pPr>
          </w:p>
        </w:tc>
        <w:tc>
          <w:tcPr>
            <w:tcW w:w="2480" w:type="dxa"/>
            <w:vAlign w:val="bottom"/>
            <w:tcBorders>
              <w:bottom w:val="single" w:sz="8" w:color="EDEDED"/>
            </w:tcBorders>
            <w:shd w:val="clear" w:color="auto" w:fill="EDEDED"/>
          </w:tcPr>
          <w:p>
            <w:pPr>
              <w:spacing w:after="0"/>
              <w:rPr>
                <w:sz w:val="21"/>
                <w:szCs w:val="21"/>
                <w:color w:val="auto"/>
              </w:rPr>
            </w:pPr>
          </w:p>
        </w:tc>
        <w:tc>
          <w:tcPr>
            <w:tcW w:w="300" w:type="dxa"/>
            <w:vAlign w:val="bottom"/>
            <w:tcBorders>
              <w:bottom w:val="single" w:sz="8" w:color="EDEDED"/>
            </w:tcBorders>
            <w:shd w:val="clear" w:color="auto" w:fill="EDEDED"/>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Borders>
              <w:bottom w:val="single" w:sz="8" w:color="0000EE"/>
            </w:tcBorders>
            <w:gridSpan w:val="2"/>
          </w:tcPr>
          <w:p>
            <w:pPr>
              <w:spacing w:after="0"/>
              <w:rPr>
                <w:rFonts w:ascii="Arial" w:cs="Arial" w:eastAsia="Arial" w:hAnsi="Arial"/>
                <w:sz w:val="16"/>
                <w:szCs w:val="16"/>
                <w:color w:val="0000EE"/>
                <w:w w:val="92"/>
              </w:rPr>
            </w:pPr>
            <w:hyperlink w:anchor="page93">
              <w:r>
                <w:rPr>
                  <w:rFonts w:ascii="Arial" w:cs="Arial" w:eastAsia="Arial" w:hAnsi="Arial"/>
                  <w:sz w:val="16"/>
                  <w:szCs w:val="16"/>
                  <w:color w:val="0000EE"/>
                  <w:w w:val="92"/>
                </w:rPr>
                <w:t>Voting</w:t>
              </w:r>
            </w:hyperlink>
          </w:p>
        </w:tc>
        <w:tc>
          <w:tcPr>
            <w:tcW w:w="4140" w:type="dxa"/>
            <w:vAlign w:val="bottom"/>
            <w:gridSpan w:val="20"/>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78"/>
        </w:trPr>
        <w:tc>
          <w:tcPr>
            <w:tcW w:w="880" w:type="dxa"/>
            <w:vAlign w:val="bottom"/>
            <w:tcBorders>
              <w:bottom w:val="single" w:sz="8" w:color="EDEDED"/>
            </w:tcBorders>
            <w:shd w:val="clear" w:color="auto" w:fill="EDEDED"/>
          </w:tcPr>
          <w:p>
            <w:pPr>
              <w:spacing w:after="0"/>
              <w:rPr>
                <w:sz w:val="24"/>
                <w:szCs w:val="24"/>
                <w:color w:val="auto"/>
              </w:rPr>
            </w:pPr>
          </w:p>
        </w:tc>
        <w:tc>
          <w:tcPr>
            <w:tcW w:w="2480" w:type="dxa"/>
            <w:vAlign w:val="bottom"/>
            <w:tcBorders>
              <w:bottom w:val="single" w:sz="8" w:color="EDEDED"/>
            </w:tcBorders>
            <w:shd w:val="clear" w:color="auto" w:fill="EDEDED"/>
          </w:tcPr>
          <w:p>
            <w:pPr>
              <w:spacing w:after="0"/>
              <w:rPr>
                <w:sz w:val="24"/>
                <w:szCs w:val="24"/>
                <w:color w:val="auto"/>
              </w:rPr>
            </w:pPr>
          </w:p>
        </w:tc>
        <w:tc>
          <w:tcPr>
            <w:tcW w:w="300" w:type="dxa"/>
            <w:vAlign w:val="bottom"/>
            <w:tcBorders>
              <w:bottom w:val="single" w:sz="8" w:color="EDEDED"/>
            </w:tcBorders>
            <w:shd w:val="clear" w:color="auto" w:fill="EDEDED"/>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60" w:type="dxa"/>
            <w:vAlign w:val="bottom"/>
            <w:tcBorders>
              <w:bottom w:val="single" w:sz="8" w:color="0000EE"/>
            </w:tcBorders>
            <w:gridSpan w:val="12"/>
          </w:tcPr>
          <w:p>
            <w:pPr>
              <w:spacing w:after="0"/>
              <w:rPr>
                <w:rFonts w:ascii="Arial" w:cs="Arial" w:eastAsia="Arial" w:hAnsi="Arial"/>
                <w:sz w:val="16"/>
                <w:szCs w:val="16"/>
                <w:color w:val="0000EE"/>
                <w:w w:val="96"/>
              </w:rPr>
            </w:pPr>
            <w:hyperlink w:anchor="page93">
              <w:r>
                <w:rPr>
                  <w:rFonts w:ascii="Arial" w:cs="Arial" w:eastAsia="Arial" w:hAnsi="Arial"/>
                  <w:sz w:val="16"/>
                  <w:szCs w:val="16"/>
                  <w:color w:val="0000EE"/>
                  <w:w w:val="96"/>
                </w:rPr>
                <w:t>Shareholders Entitled to Vote; Quorum</w:t>
              </w:r>
            </w:hyperlink>
          </w:p>
        </w:tc>
        <w:tc>
          <w:tcPr>
            <w:tcW w:w="1600" w:type="dxa"/>
            <w:vAlign w:val="bottom"/>
            <w:gridSpan w:val="9"/>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65"/>
        </w:trPr>
        <w:tc>
          <w:tcPr>
            <w:tcW w:w="880" w:type="dxa"/>
            <w:vAlign w:val="bottom"/>
            <w:tcBorders>
              <w:bottom w:val="single" w:sz="8" w:color="EDEDED"/>
            </w:tcBorders>
            <w:shd w:val="clear" w:color="auto" w:fill="EDEDED"/>
          </w:tcPr>
          <w:p>
            <w:pPr>
              <w:spacing w:after="0"/>
              <w:rPr>
                <w:sz w:val="23"/>
                <w:szCs w:val="23"/>
                <w:color w:val="auto"/>
              </w:rPr>
            </w:pPr>
          </w:p>
        </w:tc>
        <w:tc>
          <w:tcPr>
            <w:tcW w:w="2480" w:type="dxa"/>
            <w:vAlign w:val="bottom"/>
            <w:tcBorders>
              <w:bottom w:val="single" w:sz="8" w:color="EDEDED"/>
            </w:tcBorders>
            <w:shd w:val="clear" w:color="auto" w:fill="EDEDED"/>
          </w:tcPr>
          <w:p>
            <w:pPr>
              <w:spacing w:after="0"/>
              <w:rPr>
                <w:sz w:val="23"/>
                <w:szCs w:val="23"/>
                <w:color w:val="auto"/>
              </w:rPr>
            </w:pPr>
          </w:p>
        </w:tc>
        <w:tc>
          <w:tcPr>
            <w:tcW w:w="300" w:type="dxa"/>
            <w:vAlign w:val="bottom"/>
            <w:tcBorders>
              <w:bottom w:val="single" w:sz="8" w:color="EDEDED"/>
            </w:tcBorders>
            <w:shd w:val="clear" w:color="auto" w:fill="EDEDED"/>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300" w:type="dxa"/>
            <w:vAlign w:val="bottom"/>
            <w:tcBorders>
              <w:bottom w:val="single" w:sz="8" w:color="0000EE"/>
            </w:tcBorders>
            <w:gridSpan w:val="16"/>
          </w:tcPr>
          <w:p>
            <w:pPr>
              <w:spacing w:after="0"/>
              <w:rPr>
                <w:rFonts w:ascii="Arial" w:cs="Arial" w:eastAsia="Arial" w:hAnsi="Arial"/>
                <w:sz w:val="16"/>
                <w:szCs w:val="16"/>
                <w:color w:val="0000EE"/>
                <w:w w:val="96"/>
              </w:rPr>
            </w:pPr>
            <w:hyperlink w:anchor="page93">
              <w:r>
                <w:rPr>
                  <w:rFonts w:ascii="Arial" w:cs="Arial" w:eastAsia="Arial" w:hAnsi="Arial"/>
                  <w:sz w:val="16"/>
                  <w:szCs w:val="16"/>
                  <w:color w:val="0000EE"/>
                  <w:w w:val="96"/>
                </w:rPr>
                <w:t>Vote Required; Effect of Abstentions and Broker</w:t>
              </w:r>
            </w:hyperlink>
          </w:p>
        </w:tc>
        <w:tc>
          <w:tcPr>
            <w:tcW w:w="960" w:type="dxa"/>
            <w:vAlign w:val="bottom"/>
            <w:gridSpan w:val="5"/>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1"/>
        </w:trPr>
        <w:tc>
          <w:tcPr>
            <w:tcW w:w="880" w:type="dxa"/>
            <w:vAlign w:val="bottom"/>
            <w:tcBorders>
              <w:bottom w:val="single" w:sz="8" w:color="EDEDED"/>
            </w:tcBorders>
            <w:shd w:val="clear" w:color="auto" w:fill="EDEDED"/>
          </w:tcPr>
          <w:p>
            <w:pPr>
              <w:spacing w:after="0"/>
              <w:rPr>
                <w:sz w:val="14"/>
                <w:szCs w:val="14"/>
                <w:color w:val="auto"/>
              </w:rPr>
            </w:pPr>
          </w:p>
        </w:tc>
        <w:tc>
          <w:tcPr>
            <w:tcW w:w="2480" w:type="dxa"/>
            <w:vAlign w:val="bottom"/>
            <w:tcBorders>
              <w:bottom w:val="single" w:sz="8" w:color="EDEDED"/>
            </w:tcBorders>
            <w:shd w:val="clear" w:color="auto" w:fill="EDEDED"/>
          </w:tcPr>
          <w:p>
            <w:pPr>
              <w:spacing w:after="0"/>
              <w:rPr>
                <w:sz w:val="14"/>
                <w:szCs w:val="14"/>
                <w:color w:val="auto"/>
              </w:rPr>
            </w:pPr>
          </w:p>
        </w:tc>
        <w:tc>
          <w:tcPr>
            <w:tcW w:w="300" w:type="dxa"/>
            <w:vAlign w:val="bottom"/>
            <w:tcBorders>
              <w:bottom w:val="single" w:sz="8" w:color="EDEDED"/>
            </w:tcBorders>
            <w:shd w:val="clear" w:color="auto" w:fill="EDEDED"/>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Borders>
              <w:bottom w:val="single" w:sz="8" w:color="0000EE"/>
            </w:tcBorders>
            <w:gridSpan w:val="3"/>
          </w:tcPr>
          <w:p>
            <w:pPr>
              <w:spacing w:after="0" w:line="161" w:lineRule="exact"/>
              <w:rPr>
                <w:rFonts w:ascii="Arial" w:cs="Arial" w:eastAsia="Arial" w:hAnsi="Arial"/>
                <w:sz w:val="16"/>
                <w:szCs w:val="16"/>
                <w:color w:val="0000EE"/>
                <w:w w:val="92"/>
              </w:rPr>
            </w:pPr>
            <w:hyperlink w:anchor="page93">
              <w:r>
                <w:rPr>
                  <w:rFonts w:ascii="Arial" w:cs="Arial" w:eastAsia="Arial" w:hAnsi="Arial"/>
                  <w:sz w:val="16"/>
                  <w:szCs w:val="16"/>
                  <w:color w:val="0000EE"/>
                  <w:w w:val="92"/>
                </w:rPr>
                <w:t>Non-Votes</w:t>
              </w:r>
            </w:hyperlink>
          </w:p>
        </w:tc>
        <w:tc>
          <w:tcPr>
            <w:tcW w:w="3540" w:type="dxa"/>
            <w:vAlign w:val="bottom"/>
            <w:gridSpan w:val="18"/>
          </w:tcPr>
          <w:p>
            <w:pPr>
              <w:spacing w:after="0"/>
              <w:rPr>
                <w:sz w:val="14"/>
                <w:szCs w:val="14"/>
                <w:color w:val="auto"/>
              </w:rPr>
            </w:pPr>
          </w:p>
        </w:tc>
        <w:tc>
          <w:tcPr>
            <w:tcW w:w="560" w:type="dxa"/>
            <w:vAlign w:val="bottom"/>
          </w:tcPr>
          <w:p>
            <w:pPr>
              <w:jc w:val="right"/>
              <w:spacing w:after="0" w:line="161" w:lineRule="exact"/>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65"/>
        </w:trPr>
        <w:tc>
          <w:tcPr>
            <w:tcW w:w="880" w:type="dxa"/>
            <w:vAlign w:val="bottom"/>
            <w:shd w:val="clear" w:color="auto" w:fill="EDEDED"/>
          </w:tcPr>
          <w:p>
            <w:pPr>
              <w:spacing w:after="0"/>
              <w:rPr>
                <w:sz w:val="23"/>
                <w:szCs w:val="23"/>
                <w:color w:val="auto"/>
              </w:rPr>
            </w:pPr>
          </w:p>
        </w:tc>
        <w:tc>
          <w:tcPr>
            <w:tcW w:w="2480" w:type="dxa"/>
            <w:vAlign w:val="bottom"/>
            <w:shd w:val="clear" w:color="auto" w:fill="EDEDED"/>
          </w:tcPr>
          <w:p>
            <w:pPr>
              <w:spacing w:after="0"/>
              <w:rPr>
                <w:sz w:val="23"/>
                <w:szCs w:val="23"/>
                <w:color w:val="auto"/>
              </w:rPr>
            </w:pPr>
          </w:p>
        </w:tc>
        <w:tc>
          <w:tcPr>
            <w:tcW w:w="300" w:type="dxa"/>
            <w:vAlign w:val="bottom"/>
            <w:shd w:val="clear" w:color="auto" w:fill="EDEDED"/>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260" w:type="dxa"/>
            <w:vAlign w:val="bottom"/>
            <w:gridSpan w:val="21"/>
          </w:tcPr>
          <w:p>
            <w:pPr>
              <w:spacing w:after="0"/>
              <w:rPr>
                <w:rFonts w:ascii="Arial" w:cs="Arial" w:eastAsia="Arial" w:hAnsi="Arial"/>
                <w:sz w:val="16"/>
                <w:szCs w:val="16"/>
                <w:color w:val="0000EE"/>
              </w:rPr>
            </w:pPr>
            <w:hyperlink w:anchor="page93">
              <w:r>
                <w:rPr>
                  <w:rFonts w:ascii="Arial" w:cs="Arial" w:eastAsia="Arial" w:hAnsi="Arial"/>
                  <w:sz w:val="16"/>
                  <w:szCs w:val="16"/>
                  <w:color w:val="0000EE"/>
                </w:rPr>
                <w:t>Vote Confidentiality</w:t>
              </w:r>
            </w:hyperlink>
          </w:p>
        </w:tc>
        <w:tc>
          <w:tcPr>
            <w:tcW w:w="560" w:type="dxa"/>
            <w:vAlign w:val="bottom"/>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65"/>
        </w:trPr>
        <w:tc>
          <w:tcPr>
            <w:tcW w:w="880" w:type="dxa"/>
            <w:vAlign w:val="bottom"/>
            <w:tcBorders>
              <w:top w:val="single" w:sz="8" w:color="EDEDED"/>
            </w:tcBorders>
            <w:shd w:val="clear" w:color="auto" w:fill="EDEDED"/>
          </w:tcPr>
          <w:p>
            <w:pPr>
              <w:spacing w:after="0"/>
              <w:rPr>
                <w:sz w:val="23"/>
                <w:szCs w:val="23"/>
                <w:color w:val="auto"/>
              </w:rPr>
            </w:pPr>
          </w:p>
        </w:tc>
        <w:tc>
          <w:tcPr>
            <w:tcW w:w="2480" w:type="dxa"/>
            <w:vAlign w:val="bottom"/>
            <w:tcBorders>
              <w:top w:val="single" w:sz="8" w:color="EDEDED"/>
            </w:tcBorders>
            <w:shd w:val="clear" w:color="auto" w:fill="EDEDED"/>
          </w:tcPr>
          <w:p>
            <w:pPr>
              <w:spacing w:after="0"/>
              <w:rPr>
                <w:sz w:val="23"/>
                <w:szCs w:val="23"/>
                <w:color w:val="auto"/>
              </w:rPr>
            </w:pPr>
          </w:p>
        </w:tc>
        <w:tc>
          <w:tcPr>
            <w:tcW w:w="300" w:type="dxa"/>
            <w:vAlign w:val="bottom"/>
            <w:tcBorders>
              <w:top w:val="single" w:sz="8" w:color="EDEDED"/>
            </w:tcBorders>
            <w:shd w:val="clear" w:color="auto" w:fill="EDEDED"/>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20" w:type="dxa"/>
            <w:vAlign w:val="bottom"/>
            <w:tcBorders>
              <w:top w:val="single" w:sz="8" w:color="0000EE"/>
            </w:tcBorders>
            <w:gridSpan w:val="8"/>
          </w:tcPr>
          <w:p>
            <w:pPr>
              <w:spacing w:after="0"/>
              <w:rPr>
                <w:rFonts w:ascii="Arial" w:cs="Arial" w:eastAsia="Arial" w:hAnsi="Arial"/>
                <w:sz w:val="16"/>
                <w:szCs w:val="16"/>
                <w:color w:val="0000EE"/>
                <w:w w:val="94"/>
              </w:rPr>
            </w:pPr>
            <w:hyperlink w:anchor="page94">
              <w:r>
                <w:rPr>
                  <w:rFonts w:ascii="Arial" w:cs="Arial" w:eastAsia="Arial" w:hAnsi="Arial"/>
                  <w:sz w:val="16"/>
                  <w:szCs w:val="16"/>
                  <w:color w:val="0000EE"/>
                  <w:w w:val="94"/>
                </w:rPr>
                <w:t>Tabulation of Votes</w:t>
              </w:r>
            </w:hyperlink>
          </w:p>
        </w:tc>
        <w:tc>
          <w:tcPr>
            <w:tcW w:w="2940" w:type="dxa"/>
            <w:vAlign w:val="bottom"/>
            <w:gridSpan w:val="13"/>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0"/>
        </w:trPr>
        <w:tc>
          <w:tcPr>
            <w:tcW w:w="880" w:type="dxa"/>
            <w:vAlign w:val="bottom"/>
            <w:shd w:val="clear" w:color="auto" w:fill="EDEDED"/>
          </w:tcPr>
          <w:p>
            <w:pPr>
              <w:spacing w:after="0" w:line="20" w:lineRule="exact"/>
              <w:rPr>
                <w:sz w:val="1"/>
                <w:szCs w:val="1"/>
                <w:color w:val="auto"/>
              </w:rPr>
            </w:pPr>
          </w:p>
        </w:tc>
        <w:tc>
          <w:tcPr>
            <w:tcW w:w="2480" w:type="dxa"/>
            <w:vAlign w:val="bottom"/>
            <w:shd w:val="clear" w:color="auto" w:fill="EDEDED"/>
          </w:tcPr>
          <w:p>
            <w:pPr>
              <w:spacing w:after="0" w:line="20" w:lineRule="exact"/>
              <w:rPr>
                <w:sz w:val="1"/>
                <w:szCs w:val="1"/>
                <w:color w:val="auto"/>
              </w:rPr>
            </w:pPr>
          </w:p>
        </w:tc>
        <w:tc>
          <w:tcPr>
            <w:tcW w:w="300" w:type="dxa"/>
            <w:vAlign w:val="bottom"/>
            <w:shd w:val="clear" w:color="auto" w:fill="EDEDED"/>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880" w:type="dxa"/>
            <w:vAlign w:val="bottom"/>
            <w:shd w:val="clear" w:color="auto" w:fill="EDEDED"/>
          </w:tcPr>
          <w:p>
            <w:pPr>
              <w:spacing w:after="0"/>
              <w:rPr>
                <w:sz w:val="23"/>
                <w:szCs w:val="23"/>
                <w:color w:val="auto"/>
              </w:rPr>
            </w:pPr>
          </w:p>
        </w:tc>
        <w:tc>
          <w:tcPr>
            <w:tcW w:w="2480" w:type="dxa"/>
            <w:vAlign w:val="bottom"/>
            <w:shd w:val="clear" w:color="auto" w:fill="EDEDED"/>
          </w:tcPr>
          <w:p>
            <w:pPr>
              <w:spacing w:after="0"/>
              <w:rPr>
                <w:sz w:val="23"/>
                <w:szCs w:val="23"/>
                <w:color w:val="auto"/>
              </w:rPr>
            </w:pPr>
          </w:p>
        </w:tc>
        <w:tc>
          <w:tcPr>
            <w:tcW w:w="300" w:type="dxa"/>
            <w:vAlign w:val="bottom"/>
            <w:shd w:val="clear" w:color="auto" w:fill="EDEDED"/>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260" w:type="dxa"/>
            <w:vAlign w:val="bottom"/>
            <w:gridSpan w:val="21"/>
          </w:tcPr>
          <w:p>
            <w:pPr>
              <w:spacing w:after="0"/>
              <w:rPr>
                <w:rFonts w:ascii="Arial" w:cs="Arial" w:eastAsia="Arial" w:hAnsi="Arial"/>
                <w:sz w:val="16"/>
                <w:szCs w:val="16"/>
                <w:color w:val="0000EE"/>
              </w:rPr>
            </w:pPr>
            <w:hyperlink w:anchor="page94">
              <w:r>
                <w:rPr>
                  <w:rFonts w:ascii="Arial" w:cs="Arial" w:eastAsia="Arial" w:hAnsi="Arial"/>
                  <w:sz w:val="16"/>
                  <w:szCs w:val="16"/>
                  <w:color w:val="0000EE"/>
                </w:rPr>
                <w:t>Where to Find More Proxy Voting Information</w:t>
              </w:r>
            </w:hyperlink>
          </w:p>
        </w:tc>
        <w:tc>
          <w:tcPr>
            <w:tcW w:w="560" w:type="dxa"/>
            <w:vAlign w:val="bottom"/>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0"/>
        </w:trPr>
        <w:tc>
          <w:tcPr>
            <w:tcW w:w="880" w:type="dxa"/>
            <w:vAlign w:val="bottom"/>
            <w:shd w:val="clear" w:color="auto" w:fill="EDEDED"/>
          </w:tcPr>
          <w:p>
            <w:pPr>
              <w:spacing w:after="0" w:line="20" w:lineRule="exact"/>
              <w:rPr>
                <w:sz w:val="1"/>
                <w:szCs w:val="1"/>
                <w:color w:val="auto"/>
              </w:rPr>
            </w:pPr>
          </w:p>
        </w:tc>
        <w:tc>
          <w:tcPr>
            <w:tcW w:w="2480" w:type="dxa"/>
            <w:vAlign w:val="bottom"/>
            <w:shd w:val="clear" w:color="auto" w:fill="EDEDED"/>
          </w:tcPr>
          <w:p>
            <w:pPr>
              <w:spacing w:after="0" w:line="20" w:lineRule="exact"/>
              <w:rPr>
                <w:sz w:val="1"/>
                <w:szCs w:val="1"/>
                <w:color w:val="auto"/>
              </w:rPr>
            </w:pPr>
          </w:p>
        </w:tc>
        <w:tc>
          <w:tcPr>
            <w:tcW w:w="300" w:type="dxa"/>
            <w:vAlign w:val="bottom"/>
            <w:shd w:val="clear" w:color="auto" w:fill="EDEDED"/>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880" w:type="dxa"/>
            <w:vAlign w:val="bottom"/>
            <w:tcBorders>
              <w:bottom w:val="single" w:sz="8" w:color="EDEDED"/>
            </w:tcBorders>
            <w:shd w:val="clear" w:color="auto" w:fill="EDEDED"/>
          </w:tcPr>
          <w:p>
            <w:pPr>
              <w:spacing w:after="0"/>
              <w:rPr>
                <w:sz w:val="23"/>
                <w:szCs w:val="23"/>
                <w:color w:val="auto"/>
              </w:rPr>
            </w:pPr>
          </w:p>
        </w:tc>
        <w:tc>
          <w:tcPr>
            <w:tcW w:w="2480" w:type="dxa"/>
            <w:vAlign w:val="bottom"/>
            <w:tcBorders>
              <w:bottom w:val="single" w:sz="8" w:color="EDEDED"/>
            </w:tcBorders>
            <w:shd w:val="clear" w:color="auto" w:fill="EDEDED"/>
          </w:tcPr>
          <w:p>
            <w:pPr>
              <w:spacing w:after="0"/>
              <w:rPr>
                <w:sz w:val="23"/>
                <w:szCs w:val="23"/>
                <w:color w:val="auto"/>
              </w:rPr>
            </w:pPr>
          </w:p>
        </w:tc>
        <w:tc>
          <w:tcPr>
            <w:tcW w:w="300" w:type="dxa"/>
            <w:vAlign w:val="bottom"/>
            <w:tcBorders>
              <w:bottom w:val="single" w:sz="8" w:color="EDEDED"/>
            </w:tcBorders>
            <w:shd w:val="clear" w:color="auto" w:fill="EDEDED"/>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700" w:type="dxa"/>
            <w:vAlign w:val="bottom"/>
            <w:tcBorders>
              <w:bottom w:val="single" w:sz="8" w:color="0000EE"/>
            </w:tcBorders>
            <w:gridSpan w:val="18"/>
          </w:tcPr>
          <w:p>
            <w:pPr>
              <w:spacing w:after="0"/>
              <w:rPr>
                <w:rFonts w:ascii="Arial" w:cs="Arial" w:eastAsia="Arial" w:hAnsi="Arial"/>
                <w:sz w:val="16"/>
                <w:szCs w:val="16"/>
                <w:color w:val="0000EE"/>
                <w:w w:val="96"/>
              </w:rPr>
            </w:pPr>
            <w:hyperlink w:anchor="page94">
              <w:r>
                <w:rPr>
                  <w:rFonts w:ascii="Arial" w:cs="Arial" w:eastAsia="Arial" w:hAnsi="Arial"/>
                  <w:sz w:val="16"/>
                  <w:szCs w:val="16"/>
                  <w:color w:val="0000EE"/>
                  <w:w w:val="96"/>
                </w:rPr>
                <w:t>Where to Find our Corporate Governance Documents</w:t>
              </w:r>
            </w:hyperlink>
          </w:p>
        </w:tc>
        <w:tc>
          <w:tcPr>
            <w:tcW w:w="560" w:type="dxa"/>
            <w:vAlign w:val="bottom"/>
            <w:gridSpan w:val="3"/>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65"/>
        </w:trPr>
        <w:tc>
          <w:tcPr>
            <w:tcW w:w="880" w:type="dxa"/>
            <w:vAlign w:val="bottom"/>
            <w:shd w:val="clear" w:color="auto" w:fill="EDEDED"/>
          </w:tcPr>
          <w:p>
            <w:pPr>
              <w:spacing w:after="0"/>
              <w:rPr>
                <w:sz w:val="23"/>
                <w:szCs w:val="23"/>
                <w:color w:val="auto"/>
              </w:rPr>
            </w:pPr>
          </w:p>
        </w:tc>
        <w:tc>
          <w:tcPr>
            <w:tcW w:w="2480" w:type="dxa"/>
            <w:vAlign w:val="bottom"/>
            <w:shd w:val="clear" w:color="auto" w:fill="EDEDED"/>
          </w:tcPr>
          <w:p>
            <w:pPr>
              <w:spacing w:after="0"/>
              <w:rPr>
                <w:sz w:val="23"/>
                <w:szCs w:val="23"/>
                <w:color w:val="auto"/>
              </w:rPr>
            </w:pPr>
          </w:p>
        </w:tc>
        <w:tc>
          <w:tcPr>
            <w:tcW w:w="300" w:type="dxa"/>
            <w:vAlign w:val="bottom"/>
            <w:shd w:val="clear" w:color="auto" w:fill="EDEDED"/>
          </w:tcPr>
          <w:p>
            <w:pPr>
              <w:spacing w:after="0"/>
              <w:rPr>
                <w:sz w:val="23"/>
                <w:szCs w:val="23"/>
                <w:color w:val="auto"/>
              </w:rPr>
            </w:pPr>
          </w:p>
        </w:tc>
        <w:tc>
          <w:tcPr>
            <w:tcW w:w="240" w:type="dxa"/>
            <w:vAlign w:val="bottom"/>
          </w:tcPr>
          <w:p>
            <w:pPr>
              <w:spacing w:after="0"/>
              <w:rPr>
                <w:sz w:val="23"/>
                <w:szCs w:val="23"/>
                <w:color w:val="auto"/>
              </w:rPr>
            </w:pPr>
          </w:p>
        </w:tc>
        <w:tc>
          <w:tcPr>
            <w:tcW w:w="4580" w:type="dxa"/>
            <w:vAlign w:val="bottom"/>
            <w:gridSpan w:val="22"/>
          </w:tcPr>
          <w:p>
            <w:pPr>
              <w:spacing w:after="0"/>
              <w:rPr>
                <w:rFonts w:ascii="Arial" w:cs="Arial" w:eastAsia="Arial" w:hAnsi="Arial"/>
                <w:sz w:val="16"/>
                <w:szCs w:val="16"/>
                <w:color w:val="0000EE"/>
              </w:rPr>
            </w:pPr>
            <w:hyperlink w:anchor="page94">
              <w:r>
                <w:rPr>
                  <w:rFonts w:ascii="Arial" w:cs="Arial" w:eastAsia="Arial" w:hAnsi="Arial"/>
                  <w:sz w:val="16"/>
                  <w:szCs w:val="16"/>
                  <w:color w:val="0000EE"/>
                </w:rPr>
                <w:t>Proposals by Shareholders for 2022 Annual Meeting</w:t>
              </w:r>
            </w:hyperlink>
          </w:p>
        </w:tc>
        <w:tc>
          <w:tcPr>
            <w:tcW w:w="560" w:type="dxa"/>
            <w:vAlign w:val="bottom"/>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65"/>
        </w:trPr>
        <w:tc>
          <w:tcPr>
            <w:tcW w:w="880" w:type="dxa"/>
            <w:vAlign w:val="bottom"/>
            <w:tcBorders>
              <w:top w:val="single" w:sz="8" w:color="EDEDED"/>
            </w:tcBorders>
            <w:shd w:val="clear" w:color="auto" w:fill="EDEDED"/>
          </w:tcPr>
          <w:p>
            <w:pPr>
              <w:spacing w:after="0"/>
              <w:rPr>
                <w:sz w:val="23"/>
                <w:szCs w:val="23"/>
                <w:color w:val="auto"/>
              </w:rPr>
            </w:pPr>
          </w:p>
        </w:tc>
        <w:tc>
          <w:tcPr>
            <w:tcW w:w="2480" w:type="dxa"/>
            <w:vAlign w:val="bottom"/>
            <w:tcBorders>
              <w:top w:val="single" w:sz="8" w:color="EDEDED"/>
            </w:tcBorders>
            <w:shd w:val="clear" w:color="auto" w:fill="EDEDED"/>
          </w:tcPr>
          <w:p>
            <w:pPr>
              <w:spacing w:after="0"/>
              <w:rPr>
                <w:sz w:val="23"/>
                <w:szCs w:val="23"/>
                <w:color w:val="auto"/>
              </w:rPr>
            </w:pPr>
          </w:p>
        </w:tc>
        <w:tc>
          <w:tcPr>
            <w:tcW w:w="300" w:type="dxa"/>
            <w:vAlign w:val="bottom"/>
            <w:tcBorders>
              <w:top w:val="single" w:sz="8" w:color="EDEDED"/>
            </w:tcBorders>
            <w:shd w:val="clear" w:color="auto" w:fill="EDEDED"/>
          </w:tcPr>
          <w:p>
            <w:pPr>
              <w:spacing w:after="0"/>
              <w:rPr>
                <w:sz w:val="23"/>
                <w:szCs w:val="23"/>
                <w:color w:val="auto"/>
              </w:rPr>
            </w:pPr>
          </w:p>
        </w:tc>
        <w:tc>
          <w:tcPr>
            <w:tcW w:w="240" w:type="dxa"/>
            <w:vAlign w:val="bottom"/>
          </w:tcPr>
          <w:p>
            <w:pPr>
              <w:spacing w:after="0"/>
              <w:rPr>
                <w:sz w:val="23"/>
                <w:szCs w:val="23"/>
                <w:color w:val="auto"/>
              </w:rPr>
            </w:pPr>
          </w:p>
        </w:tc>
        <w:tc>
          <w:tcPr>
            <w:tcW w:w="3600" w:type="dxa"/>
            <w:vAlign w:val="bottom"/>
            <w:tcBorders>
              <w:top w:val="single" w:sz="8" w:color="0000EE"/>
            </w:tcBorders>
            <w:gridSpan w:val="16"/>
          </w:tcPr>
          <w:p>
            <w:pPr>
              <w:spacing w:after="0"/>
              <w:rPr>
                <w:rFonts w:ascii="Arial" w:cs="Arial" w:eastAsia="Arial" w:hAnsi="Arial"/>
                <w:sz w:val="16"/>
                <w:szCs w:val="16"/>
                <w:color w:val="0000EE"/>
              </w:rPr>
            </w:pPr>
            <w:hyperlink w:anchor="page95">
              <w:r>
                <w:rPr>
                  <w:rFonts w:ascii="Arial" w:cs="Arial" w:eastAsia="Arial" w:hAnsi="Arial"/>
                  <w:sz w:val="16"/>
                  <w:szCs w:val="16"/>
                  <w:color w:val="0000EE"/>
                </w:rPr>
                <w:t>Other Business</w:t>
              </w:r>
            </w:hyperlink>
          </w:p>
        </w:tc>
        <w:tc>
          <w:tcPr>
            <w:tcW w:w="980" w:type="dxa"/>
            <w:vAlign w:val="bottom"/>
            <w:gridSpan w:val="6"/>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97"/>
        </w:trPr>
        <w:tc>
          <w:tcPr>
            <w:tcW w:w="880" w:type="dxa"/>
            <w:vAlign w:val="bottom"/>
            <w:tcBorders>
              <w:top w:val="single" w:sz="8" w:color="EDEDED"/>
              <w:bottom w:val="single" w:sz="8" w:color="0075C9"/>
            </w:tcBorders>
            <w:shd w:val="clear" w:color="auto" w:fill="EDEDED"/>
          </w:tcPr>
          <w:p>
            <w:pPr>
              <w:spacing w:after="0"/>
              <w:rPr>
                <w:sz w:val="8"/>
                <w:szCs w:val="8"/>
                <w:color w:val="auto"/>
              </w:rPr>
            </w:pPr>
          </w:p>
        </w:tc>
        <w:tc>
          <w:tcPr>
            <w:tcW w:w="2480" w:type="dxa"/>
            <w:vAlign w:val="bottom"/>
            <w:tcBorders>
              <w:top w:val="single" w:sz="8" w:color="EDEDED"/>
              <w:bottom w:val="single" w:sz="8" w:color="0075C9"/>
            </w:tcBorders>
            <w:shd w:val="clear" w:color="auto" w:fill="EDEDED"/>
          </w:tcPr>
          <w:p>
            <w:pPr>
              <w:spacing w:after="0"/>
              <w:rPr>
                <w:sz w:val="8"/>
                <w:szCs w:val="8"/>
                <w:color w:val="auto"/>
              </w:rPr>
            </w:pPr>
          </w:p>
        </w:tc>
        <w:tc>
          <w:tcPr>
            <w:tcW w:w="300" w:type="dxa"/>
            <w:vAlign w:val="bottom"/>
            <w:tcBorders>
              <w:top w:val="single" w:sz="8" w:color="EDEDED"/>
              <w:bottom w:val="single" w:sz="8" w:color="0075C9"/>
            </w:tcBorders>
            <w:shd w:val="clear" w:color="auto" w:fill="EDEDED"/>
          </w:tcPr>
          <w:p>
            <w:pPr>
              <w:spacing w:after="0"/>
              <w:rPr>
                <w:sz w:val="8"/>
                <w:szCs w:val="8"/>
                <w:color w:val="auto"/>
              </w:rPr>
            </w:pPr>
          </w:p>
        </w:tc>
        <w:tc>
          <w:tcPr>
            <w:tcW w:w="240" w:type="dxa"/>
            <w:vAlign w:val="bottom"/>
            <w:tcBorders>
              <w:bottom w:val="single" w:sz="8" w:color="0075C9"/>
            </w:tcBorders>
          </w:tcPr>
          <w:p>
            <w:pPr>
              <w:spacing w:after="0"/>
              <w:rPr>
                <w:sz w:val="8"/>
                <w:szCs w:val="8"/>
                <w:color w:val="auto"/>
              </w:rPr>
            </w:pPr>
          </w:p>
        </w:tc>
        <w:tc>
          <w:tcPr>
            <w:tcW w:w="320" w:type="dxa"/>
            <w:vAlign w:val="bottom"/>
            <w:tcBorders>
              <w:top w:val="single" w:sz="8" w:color="0000EE"/>
              <w:bottom w:val="single" w:sz="8" w:color="0075C9"/>
            </w:tcBorders>
          </w:tcPr>
          <w:p>
            <w:pPr>
              <w:spacing w:after="0"/>
              <w:rPr>
                <w:sz w:val="8"/>
                <w:szCs w:val="8"/>
                <w:color w:val="auto"/>
              </w:rPr>
            </w:pPr>
          </w:p>
        </w:tc>
        <w:tc>
          <w:tcPr>
            <w:tcW w:w="120" w:type="dxa"/>
            <w:vAlign w:val="bottom"/>
            <w:tcBorders>
              <w:top w:val="single" w:sz="8" w:color="0000EE"/>
              <w:bottom w:val="single" w:sz="8" w:color="0075C9"/>
            </w:tcBorders>
          </w:tcPr>
          <w:p>
            <w:pPr>
              <w:spacing w:after="0"/>
              <w:rPr>
                <w:sz w:val="8"/>
                <w:szCs w:val="8"/>
                <w:color w:val="auto"/>
              </w:rPr>
            </w:pPr>
          </w:p>
        </w:tc>
        <w:tc>
          <w:tcPr>
            <w:tcW w:w="520" w:type="dxa"/>
            <w:vAlign w:val="bottom"/>
            <w:tcBorders>
              <w:top w:val="single" w:sz="8" w:color="0000EE"/>
              <w:bottom w:val="single" w:sz="8" w:color="0075C9"/>
            </w:tcBorders>
          </w:tcPr>
          <w:p>
            <w:pPr>
              <w:spacing w:after="0"/>
              <w:rPr>
                <w:sz w:val="8"/>
                <w:szCs w:val="8"/>
                <w:color w:val="auto"/>
              </w:rPr>
            </w:pPr>
          </w:p>
        </w:tc>
        <w:tc>
          <w:tcPr>
            <w:tcW w:w="80" w:type="dxa"/>
            <w:vAlign w:val="bottom"/>
            <w:tcBorders>
              <w:top w:val="single" w:sz="8" w:color="0000EE"/>
              <w:bottom w:val="single" w:sz="8" w:color="0075C9"/>
            </w:tcBorders>
          </w:tcPr>
          <w:p>
            <w:pPr>
              <w:spacing w:after="0"/>
              <w:rPr>
                <w:sz w:val="8"/>
                <w:szCs w:val="8"/>
                <w:color w:val="auto"/>
              </w:rPr>
            </w:pPr>
          </w:p>
        </w:tc>
        <w:tc>
          <w:tcPr>
            <w:tcW w:w="20" w:type="dxa"/>
            <w:vAlign w:val="bottom"/>
            <w:tcBorders>
              <w:top w:val="single" w:sz="8" w:color="0000EE"/>
              <w:bottom w:val="single" w:sz="8" w:color="0075C9"/>
            </w:tcBorders>
          </w:tcPr>
          <w:p>
            <w:pPr>
              <w:spacing w:after="0"/>
              <w:rPr>
                <w:sz w:val="8"/>
                <w:szCs w:val="8"/>
                <w:color w:val="auto"/>
              </w:rPr>
            </w:pPr>
          </w:p>
        </w:tc>
        <w:tc>
          <w:tcPr>
            <w:tcW w:w="120" w:type="dxa"/>
            <w:vAlign w:val="bottom"/>
            <w:tcBorders>
              <w:bottom w:val="single" w:sz="8" w:color="0075C9"/>
            </w:tcBorders>
          </w:tcPr>
          <w:p>
            <w:pPr>
              <w:spacing w:after="0"/>
              <w:rPr>
                <w:sz w:val="8"/>
                <w:szCs w:val="8"/>
                <w:color w:val="auto"/>
              </w:rPr>
            </w:pPr>
          </w:p>
        </w:tc>
        <w:tc>
          <w:tcPr>
            <w:tcW w:w="220" w:type="dxa"/>
            <w:vAlign w:val="bottom"/>
            <w:tcBorders>
              <w:bottom w:val="single" w:sz="8" w:color="0075C9"/>
            </w:tcBorders>
          </w:tcPr>
          <w:p>
            <w:pPr>
              <w:spacing w:after="0"/>
              <w:rPr>
                <w:sz w:val="8"/>
                <w:szCs w:val="8"/>
                <w:color w:val="auto"/>
              </w:rPr>
            </w:pPr>
          </w:p>
        </w:tc>
        <w:tc>
          <w:tcPr>
            <w:tcW w:w="220" w:type="dxa"/>
            <w:vAlign w:val="bottom"/>
            <w:tcBorders>
              <w:bottom w:val="single" w:sz="8" w:color="0075C9"/>
            </w:tcBorders>
          </w:tcPr>
          <w:p>
            <w:pPr>
              <w:spacing w:after="0"/>
              <w:rPr>
                <w:sz w:val="8"/>
                <w:szCs w:val="8"/>
                <w:color w:val="auto"/>
              </w:rPr>
            </w:pPr>
          </w:p>
        </w:tc>
        <w:tc>
          <w:tcPr>
            <w:tcW w:w="20" w:type="dxa"/>
            <w:vAlign w:val="bottom"/>
            <w:tcBorders>
              <w:bottom w:val="single" w:sz="8" w:color="0075C9"/>
            </w:tcBorders>
          </w:tcPr>
          <w:p>
            <w:pPr>
              <w:spacing w:after="0"/>
              <w:rPr>
                <w:sz w:val="8"/>
                <w:szCs w:val="8"/>
                <w:color w:val="auto"/>
              </w:rPr>
            </w:pPr>
          </w:p>
        </w:tc>
        <w:tc>
          <w:tcPr>
            <w:tcW w:w="580" w:type="dxa"/>
            <w:vAlign w:val="bottom"/>
            <w:tcBorders>
              <w:bottom w:val="single" w:sz="8" w:color="0075C9"/>
            </w:tcBorders>
          </w:tcPr>
          <w:p>
            <w:pPr>
              <w:spacing w:after="0"/>
              <w:rPr>
                <w:sz w:val="8"/>
                <w:szCs w:val="8"/>
                <w:color w:val="auto"/>
              </w:rPr>
            </w:pPr>
          </w:p>
        </w:tc>
        <w:tc>
          <w:tcPr>
            <w:tcW w:w="80" w:type="dxa"/>
            <w:vAlign w:val="bottom"/>
            <w:tcBorders>
              <w:bottom w:val="single" w:sz="8" w:color="0075C9"/>
            </w:tcBorders>
          </w:tcPr>
          <w:p>
            <w:pPr>
              <w:spacing w:after="0"/>
              <w:rPr>
                <w:sz w:val="8"/>
                <w:szCs w:val="8"/>
                <w:color w:val="auto"/>
              </w:rPr>
            </w:pPr>
          </w:p>
        </w:tc>
        <w:tc>
          <w:tcPr>
            <w:tcW w:w="100" w:type="dxa"/>
            <w:vAlign w:val="bottom"/>
            <w:tcBorders>
              <w:bottom w:val="single" w:sz="8" w:color="0075C9"/>
            </w:tcBorders>
          </w:tcPr>
          <w:p>
            <w:pPr>
              <w:spacing w:after="0"/>
              <w:rPr>
                <w:sz w:val="8"/>
                <w:szCs w:val="8"/>
                <w:color w:val="auto"/>
              </w:rPr>
            </w:pPr>
          </w:p>
        </w:tc>
        <w:tc>
          <w:tcPr>
            <w:tcW w:w="580" w:type="dxa"/>
            <w:vAlign w:val="bottom"/>
            <w:tcBorders>
              <w:bottom w:val="single" w:sz="8" w:color="0075C9"/>
            </w:tcBorders>
          </w:tcPr>
          <w:p>
            <w:pPr>
              <w:spacing w:after="0"/>
              <w:rPr>
                <w:sz w:val="8"/>
                <w:szCs w:val="8"/>
                <w:color w:val="auto"/>
              </w:rPr>
            </w:pPr>
          </w:p>
        </w:tc>
        <w:tc>
          <w:tcPr>
            <w:tcW w:w="80" w:type="dxa"/>
            <w:vAlign w:val="bottom"/>
            <w:tcBorders>
              <w:bottom w:val="single" w:sz="8" w:color="0075C9"/>
            </w:tcBorders>
          </w:tcPr>
          <w:p>
            <w:pPr>
              <w:spacing w:after="0"/>
              <w:rPr>
                <w:sz w:val="8"/>
                <w:szCs w:val="8"/>
                <w:color w:val="auto"/>
              </w:rPr>
            </w:pPr>
          </w:p>
        </w:tc>
        <w:tc>
          <w:tcPr>
            <w:tcW w:w="320" w:type="dxa"/>
            <w:vAlign w:val="bottom"/>
            <w:tcBorders>
              <w:bottom w:val="single" w:sz="8" w:color="0075C9"/>
            </w:tcBorders>
          </w:tcPr>
          <w:p>
            <w:pPr>
              <w:spacing w:after="0"/>
              <w:rPr>
                <w:sz w:val="8"/>
                <w:szCs w:val="8"/>
                <w:color w:val="auto"/>
              </w:rPr>
            </w:pPr>
          </w:p>
        </w:tc>
        <w:tc>
          <w:tcPr>
            <w:tcW w:w="220" w:type="dxa"/>
            <w:vAlign w:val="bottom"/>
            <w:tcBorders>
              <w:bottom w:val="single" w:sz="8" w:color="0075C9"/>
            </w:tcBorders>
          </w:tcPr>
          <w:p>
            <w:pPr>
              <w:spacing w:after="0"/>
              <w:rPr>
                <w:sz w:val="8"/>
                <w:szCs w:val="8"/>
                <w:color w:val="auto"/>
              </w:rPr>
            </w:pPr>
          </w:p>
        </w:tc>
        <w:tc>
          <w:tcPr>
            <w:tcW w:w="20" w:type="dxa"/>
            <w:vAlign w:val="bottom"/>
            <w:tcBorders>
              <w:bottom w:val="single" w:sz="8" w:color="0075C9"/>
            </w:tcBorders>
          </w:tcPr>
          <w:p>
            <w:pPr>
              <w:spacing w:after="0"/>
              <w:rPr>
                <w:sz w:val="8"/>
                <w:szCs w:val="8"/>
                <w:color w:val="auto"/>
              </w:rPr>
            </w:pPr>
          </w:p>
        </w:tc>
        <w:tc>
          <w:tcPr>
            <w:tcW w:w="280" w:type="dxa"/>
            <w:vAlign w:val="bottom"/>
            <w:tcBorders>
              <w:bottom w:val="single" w:sz="8" w:color="0075C9"/>
            </w:tcBorders>
          </w:tcPr>
          <w:p>
            <w:pPr>
              <w:spacing w:after="0"/>
              <w:rPr>
                <w:sz w:val="8"/>
                <w:szCs w:val="8"/>
                <w:color w:val="auto"/>
              </w:rPr>
            </w:pPr>
          </w:p>
        </w:tc>
        <w:tc>
          <w:tcPr>
            <w:tcW w:w="120" w:type="dxa"/>
            <w:vAlign w:val="bottom"/>
            <w:tcBorders>
              <w:bottom w:val="single" w:sz="8" w:color="0075C9"/>
            </w:tcBorders>
          </w:tcPr>
          <w:p>
            <w:pPr>
              <w:spacing w:after="0"/>
              <w:rPr>
                <w:sz w:val="8"/>
                <w:szCs w:val="8"/>
                <w:color w:val="auto"/>
              </w:rPr>
            </w:pPr>
          </w:p>
        </w:tc>
        <w:tc>
          <w:tcPr>
            <w:tcW w:w="60" w:type="dxa"/>
            <w:vAlign w:val="bottom"/>
            <w:tcBorders>
              <w:bottom w:val="single" w:sz="8" w:color="0075C9"/>
            </w:tcBorders>
          </w:tcPr>
          <w:p>
            <w:pPr>
              <w:spacing w:after="0"/>
              <w:rPr>
                <w:sz w:val="8"/>
                <w:szCs w:val="8"/>
                <w:color w:val="auto"/>
              </w:rPr>
            </w:pPr>
          </w:p>
        </w:tc>
        <w:tc>
          <w:tcPr>
            <w:tcW w:w="480" w:type="dxa"/>
            <w:vAlign w:val="bottom"/>
            <w:tcBorders>
              <w:bottom w:val="single" w:sz="8" w:color="0075C9"/>
            </w:tcBorders>
          </w:tcPr>
          <w:p>
            <w:pPr>
              <w:spacing w:after="0"/>
              <w:rPr>
                <w:sz w:val="8"/>
                <w:szCs w:val="8"/>
                <w:color w:val="auto"/>
              </w:rPr>
            </w:pPr>
          </w:p>
        </w:tc>
        <w:tc>
          <w:tcPr>
            <w:tcW w:w="20" w:type="dxa"/>
            <w:vAlign w:val="bottom"/>
            <w:tcBorders>
              <w:bottom w:val="single" w:sz="8" w:color="0075C9"/>
            </w:tcBorders>
          </w:tcPr>
          <w:p>
            <w:pPr>
              <w:spacing w:after="0"/>
              <w:rPr>
                <w:sz w:val="8"/>
                <w:szCs w:val="8"/>
                <w:color w:val="auto"/>
              </w:rPr>
            </w:pPr>
          </w:p>
        </w:tc>
        <w:tc>
          <w:tcPr>
            <w:tcW w:w="560" w:type="dxa"/>
            <w:vAlign w:val="bottom"/>
            <w:tcBorders>
              <w:bottom w:val="single" w:sz="8" w:color="0075C9"/>
            </w:tcBorders>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8480" w:type="dxa"/>
            <w:vAlign w:val="bottom"/>
            <w:gridSpan w:val="26"/>
          </w:tcPr>
          <w:p>
            <w:pPr>
              <w:spacing w:after="0"/>
              <w:rPr>
                <w:rFonts w:ascii="Arial" w:cs="Arial" w:eastAsia="Arial" w:hAnsi="Arial"/>
                <w:sz w:val="22"/>
                <w:szCs w:val="22"/>
                <w:color w:val="0000EE"/>
              </w:rPr>
            </w:pPr>
            <w:hyperlink w:anchor="page96">
              <w:r>
                <w:rPr>
                  <w:rFonts w:ascii="Arial" w:cs="Arial" w:eastAsia="Arial" w:hAnsi="Arial"/>
                  <w:sz w:val="22"/>
                  <w:szCs w:val="22"/>
                  <w:color w:val="0000EE"/>
                </w:rPr>
                <w:t>Annex A — Employee Stock Purchase Plan</w:t>
              </w:r>
            </w:hyperlink>
          </w:p>
        </w:tc>
        <w:tc>
          <w:tcPr>
            <w:tcW w:w="560" w:type="dxa"/>
            <w:vAlign w:val="bottom"/>
          </w:tcPr>
          <w:p>
            <w:pPr>
              <w:jc w:val="right"/>
              <w:spacing w:after="0"/>
              <w:rPr>
                <w:sz w:val="20"/>
                <w:szCs w:val="20"/>
                <w:color w:val="auto"/>
              </w:rPr>
            </w:pPr>
            <w:r>
              <w:rPr>
                <w:rFonts w:ascii="Arial" w:cs="Arial" w:eastAsia="Arial" w:hAnsi="Arial"/>
                <w:sz w:val="22"/>
                <w:szCs w:val="22"/>
                <w:b w:val="1"/>
                <w:bCs w:val="1"/>
                <w:color w:val="0075C9"/>
              </w:rPr>
              <w:t>88</w:t>
            </w:r>
          </w:p>
        </w:tc>
        <w:tc>
          <w:tcPr>
            <w:tcW w:w="0" w:type="dxa"/>
            <w:vAlign w:val="bottom"/>
          </w:tcPr>
          <w:p>
            <w:pPr>
              <w:spacing w:after="0"/>
              <w:rPr>
                <w:sz w:val="1"/>
                <w:szCs w:val="1"/>
                <w:color w:val="auto"/>
              </w:rPr>
            </w:pPr>
          </w:p>
        </w:tc>
      </w:tr>
      <w:tr>
        <w:trPr>
          <w:trHeight w:val="161"/>
        </w:trPr>
        <w:tc>
          <w:tcPr>
            <w:tcW w:w="880" w:type="dxa"/>
            <w:vAlign w:val="bottom"/>
            <w:tcBorders>
              <w:top w:val="single" w:sz="8" w:color="0000EE"/>
              <w:bottom w:val="single" w:sz="8" w:color="0075C9"/>
            </w:tcBorders>
          </w:tcPr>
          <w:p>
            <w:pPr>
              <w:spacing w:after="0"/>
              <w:rPr>
                <w:sz w:val="14"/>
                <w:szCs w:val="14"/>
                <w:color w:val="auto"/>
              </w:rPr>
            </w:pPr>
          </w:p>
        </w:tc>
        <w:tc>
          <w:tcPr>
            <w:tcW w:w="2480" w:type="dxa"/>
            <w:vAlign w:val="bottom"/>
            <w:tcBorders>
              <w:top w:val="single" w:sz="8" w:color="0000EE"/>
              <w:bottom w:val="single" w:sz="8" w:color="0075C9"/>
            </w:tcBorders>
          </w:tcPr>
          <w:p>
            <w:pPr>
              <w:spacing w:after="0"/>
              <w:rPr>
                <w:sz w:val="14"/>
                <w:szCs w:val="14"/>
                <w:color w:val="auto"/>
              </w:rPr>
            </w:pPr>
          </w:p>
        </w:tc>
        <w:tc>
          <w:tcPr>
            <w:tcW w:w="300" w:type="dxa"/>
            <w:vAlign w:val="bottom"/>
            <w:tcBorders>
              <w:top w:val="single" w:sz="8" w:color="0000EE"/>
              <w:bottom w:val="single" w:sz="8" w:color="0075C9"/>
            </w:tcBorders>
          </w:tcPr>
          <w:p>
            <w:pPr>
              <w:spacing w:after="0"/>
              <w:rPr>
                <w:sz w:val="14"/>
                <w:szCs w:val="14"/>
                <w:color w:val="auto"/>
              </w:rPr>
            </w:pPr>
          </w:p>
        </w:tc>
        <w:tc>
          <w:tcPr>
            <w:tcW w:w="240" w:type="dxa"/>
            <w:vAlign w:val="bottom"/>
            <w:tcBorders>
              <w:top w:val="single" w:sz="8" w:color="0000EE"/>
              <w:bottom w:val="single" w:sz="8" w:color="0075C9"/>
            </w:tcBorders>
          </w:tcPr>
          <w:p>
            <w:pPr>
              <w:spacing w:after="0"/>
              <w:rPr>
                <w:sz w:val="14"/>
                <w:szCs w:val="14"/>
                <w:color w:val="auto"/>
              </w:rPr>
            </w:pPr>
          </w:p>
        </w:tc>
        <w:tc>
          <w:tcPr>
            <w:tcW w:w="320" w:type="dxa"/>
            <w:vAlign w:val="bottom"/>
            <w:tcBorders>
              <w:top w:val="single" w:sz="8" w:color="0000EE"/>
              <w:bottom w:val="single" w:sz="8" w:color="0075C9"/>
            </w:tcBorders>
          </w:tcPr>
          <w:p>
            <w:pPr>
              <w:spacing w:after="0"/>
              <w:rPr>
                <w:sz w:val="14"/>
                <w:szCs w:val="14"/>
                <w:color w:val="auto"/>
              </w:rPr>
            </w:pPr>
          </w:p>
        </w:tc>
        <w:tc>
          <w:tcPr>
            <w:tcW w:w="120" w:type="dxa"/>
            <w:vAlign w:val="bottom"/>
            <w:tcBorders>
              <w:top w:val="single" w:sz="8" w:color="0000EE"/>
              <w:bottom w:val="single" w:sz="8" w:color="0075C9"/>
            </w:tcBorders>
          </w:tcPr>
          <w:p>
            <w:pPr>
              <w:spacing w:after="0"/>
              <w:rPr>
                <w:sz w:val="14"/>
                <w:szCs w:val="14"/>
                <w:color w:val="auto"/>
              </w:rPr>
            </w:pPr>
          </w:p>
        </w:tc>
        <w:tc>
          <w:tcPr>
            <w:tcW w:w="520" w:type="dxa"/>
            <w:vAlign w:val="bottom"/>
            <w:tcBorders>
              <w:bottom w:val="single" w:sz="8" w:color="0075C9"/>
            </w:tcBorders>
          </w:tcPr>
          <w:p>
            <w:pPr>
              <w:spacing w:after="0"/>
              <w:rPr>
                <w:sz w:val="14"/>
                <w:szCs w:val="14"/>
                <w:color w:val="auto"/>
              </w:rPr>
            </w:pPr>
          </w:p>
        </w:tc>
        <w:tc>
          <w:tcPr>
            <w:tcW w:w="80" w:type="dxa"/>
            <w:vAlign w:val="bottom"/>
            <w:tcBorders>
              <w:bottom w:val="single" w:sz="8" w:color="0075C9"/>
            </w:tcBorders>
          </w:tcPr>
          <w:p>
            <w:pPr>
              <w:spacing w:after="0"/>
              <w:rPr>
                <w:sz w:val="14"/>
                <w:szCs w:val="14"/>
                <w:color w:val="auto"/>
              </w:rPr>
            </w:pPr>
          </w:p>
        </w:tc>
        <w:tc>
          <w:tcPr>
            <w:tcW w:w="20" w:type="dxa"/>
            <w:vAlign w:val="bottom"/>
            <w:tcBorders>
              <w:bottom w:val="single" w:sz="8" w:color="0075C9"/>
            </w:tcBorders>
          </w:tcPr>
          <w:p>
            <w:pPr>
              <w:spacing w:after="0"/>
              <w:rPr>
                <w:sz w:val="14"/>
                <w:szCs w:val="14"/>
                <w:color w:val="auto"/>
              </w:rPr>
            </w:pPr>
          </w:p>
        </w:tc>
        <w:tc>
          <w:tcPr>
            <w:tcW w:w="120" w:type="dxa"/>
            <w:vAlign w:val="bottom"/>
            <w:tcBorders>
              <w:bottom w:val="single" w:sz="8" w:color="0075C9"/>
            </w:tcBorders>
          </w:tcPr>
          <w:p>
            <w:pPr>
              <w:spacing w:after="0"/>
              <w:rPr>
                <w:sz w:val="14"/>
                <w:szCs w:val="14"/>
                <w:color w:val="auto"/>
              </w:rPr>
            </w:pPr>
          </w:p>
        </w:tc>
        <w:tc>
          <w:tcPr>
            <w:tcW w:w="220" w:type="dxa"/>
            <w:vAlign w:val="bottom"/>
            <w:tcBorders>
              <w:bottom w:val="single" w:sz="8" w:color="0075C9"/>
            </w:tcBorders>
          </w:tcPr>
          <w:p>
            <w:pPr>
              <w:spacing w:after="0"/>
              <w:rPr>
                <w:sz w:val="14"/>
                <w:szCs w:val="14"/>
                <w:color w:val="auto"/>
              </w:rPr>
            </w:pPr>
          </w:p>
        </w:tc>
        <w:tc>
          <w:tcPr>
            <w:tcW w:w="220" w:type="dxa"/>
            <w:vAlign w:val="bottom"/>
            <w:tcBorders>
              <w:bottom w:val="single" w:sz="8" w:color="0075C9"/>
            </w:tcBorders>
          </w:tcPr>
          <w:p>
            <w:pPr>
              <w:spacing w:after="0"/>
              <w:rPr>
                <w:sz w:val="14"/>
                <w:szCs w:val="14"/>
                <w:color w:val="auto"/>
              </w:rPr>
            </w:pPr>
          </w:p>
        </w:tc>
        <w:tc>
          <w:tcPr>
            <w:tcW w:w="20" w:type="dxa"/>
            <w:vAlign w:val="bottom"/>
            <w:tcBorders>
              <w:bottom w:val="single" w:sz="8" w:color="0075C9"/>
            </w:tcBorders>
          </w:tcPr>
          <w:p>
            <w:pPr>
              <w:spacing w:after="0"/>
              <w:rPr>
                <w:sz w:val="14"/>
                <w:szCs w:val="14"/>
                <w:color w:val="auto"/>
              </w:rPr>
            </w:pPr>
          </w:p>
        </w:tc>
        <w:tc>
          <w:tcPr>
            <w:tcW w:w="580" w:type="dxa"/>
            <w:vAlign w:val="bottom"/>
            <w:tcBorders>
              <w:bottom w:val="single" w:sz="8" w:color="0075C9"/>
            </w:tcBorders>
          </w:tcPr>
          <w:p>
            <w:pPr>
              <w:spacing w:after="0"/>
              <w:rPr>
                <w:sz w:val="14"/>
                <w:szCs w:val="14"/>
                <w:color w:val="auto"/>
              </w:rPr>
            </w:pPr>
          </w:p>
        </w:tc>
        <w:tc>
          <w:tcPr>
            <w:tcW w:w="80" w:type="dxa"/>
            <w:vAlign w:val="bottom"/>
            <w:tcBorders>
              <w:bottom w:val="single" w:sz="8" w:color="0075C9"/>
            </w:tcBorders>
          </w:tcPr>
          <w:p>
            <w:pPr>
              <w:spacing w:after="0"/>
              <w:rPr>
                <w:sz w:val="14"/>
                <w:szCs w:val="14"/>
                <w:color w:val="auto"/>
              </w:rPr>
            </w:pPr>
          </w:p>
        </w:tc>
        <w:tc>
          <w:tcPr>
            <w:tcW w:w="100" w:type="dxa"/>
            <w:vAlign w:val="bottom"/>
            <w:tcBorders>
              <w:bottom w:val="single" w:sz="8" w:color="0075C9"/>
            </w:tcBorders>
          </w:tcPr>
          <w:p>
            <w:pPr>
              <w:spacing w:after="0"/>
              <w:rPr>
                <w:sz w:val="14"/>
                <w:szCs w:val="14"/>
                <w:color w:val="auto"/>
              </w:rPr>
            </w:pPr>
          </w:p>
        </w:tc>
        <w:tc>
          <w:tcPr>
            <w:tcW w:w="580" w:type="dxa"/>
            <w:vAlign w:val="bottom"/>
            <w:tcBorders>
              <w:bottom w:val="single" w:sz="8" w:color="0075C9"/>
            </w:tcBorders>
          </w:tcPr>
          <w:p>
            <w:pPr>
              <w:spacing w:after="0"/>
              <w:rPr>
                <w:sz w:val="14"/>
                <w:szCs w:val="14"/>
                <w:color w:val="auto"/>
              </w:rPr>
            </w:pPr>
          </w:p>
        </w:tc>
        <w:tc>
          <w:tcPr>
            <w:tcW w:w="80" w:type="dxa"/>
            <w:vAlign w:val="bottom"/>
            <w:tcBorders>
              <w:bottom w:val="single" w:sz="8" w:color="0075C9"/>
            </w:tcBorders>
          </w:tcPr>
          <w:p>
            <w:pPr>
              <w:spacing w:after="0"/>
              <w:rPr>
                <w:sz w:val="14"/>
                <w:szCs w:val="14"/>
                <w:color w:val="auto"/>
              </w:rPr>
            </w:pPr>
          </w:p>
        </w:tc>
        <w:tc>
          <w:tcPr>
            <w:tcW w:w="320" w:type="dxa"/>
            <w:vAlign w:val="bottom"/>
            <w:tcBorders>
              <w:bottom w:val="single" w:sz="8" w:color="0075C9"/>
            </w:tcBorders>
          </w:tcPr>
          <w:p>
            <w:pPr>
              <w:spacing w:after="0"/>
              <w:rPr>
                <w:sz w:val="14"/>
                <w:szCs w:val="14"/>
                <w:color w:val="auto"/>
              </w:rPr>
            </w:pPr>
          </w:p>
        </w:tc>
        <w:tc>
          <w:tcPr>
            <w:tcW w:w="220" w:type="dxa"/>
            <w:vAlign w:val="bottom"/>
            <w:tcBorders>
              <w:bottom w:val="single" w:sz="8" w:color="0075C9"/>
            </w:tcBorders>
          </w:tcPr>
          <w:p>
            <w:pPr>
              <w:spacing w:after="0"/>
              <w:rPr>
                <w:sz w:val="14"/>
                <w:szCs w:val="14"/>
                <w:color w:val="auto"/>
              </w:rPr>
            </w:pPr>
          </w:p>
        </w:tc>
        <w:tc>
          <w:tcPr>
            <w:tcW w:w="20" w:type="dxa"/>
            <w:vAlign w:val="bottom"/>
            <w:tcBorders>
              <w:bottom w:val="single" w:sz="8" w:color="0075C9"/>
            </w:tcBorders>
          </w:tcPr>
          <w:p>
            <w:pPr>
              <w:spacing w:after="0"/>
              <w:rPr>
                <w:sz w:val="14"/>
                <w:szCs w:val="14"/>
                <w:color w:val="auto"/>
              </w:rPr>
            </w:pPr>
          </w:p>
        </w:tc>
        <w:tc>
          <w:tcPr>
            <w:tcW w:w="280" w:type="dxa"/>
            <w:vAlign w:val="bottom"/>
            <w:tcBorders>
              <w:bottom w:val="single" w:sz="8" w:color="0075C9"/>
            </w:tcBorders>
          </w:tcPr>
          <w:p>
            <w:pPr>
              <w:spacing w:after="0"/>
              <w:rPr>
                <w:sz w:val="14"/>
                <w:szCs w:val="14"/>
                <w:color w:val="auto"/>
              </w:rPr>
            </w:pPr>
          </w:p>
        </w:tc>
        <w:tc>
          <w:tcPr>
            <w:tcW w:w="120" w:type="dxa"/>
            <w:vAlign w:val="bottom"/>
            <w:tcBorders>
              <w:bottom w:val="single" w:sz="8" w:color="0075C9"/>
            </w:tcBorders>
          </w:tcPr>
          <w:p>
            <w:pPr>
              <w:spacing w:after="0"/>
              <w:rPr>
                <w:sz w:val="14"/>
                <w:szCs w:val="14"/>
                <w:color w:val="auto"/>
              </w:rPr>
            </w:pPr>
          </w:p>
        </w:tc>
        <w:tc>
          <w:tcPr>
            <w:tcW w:w="60" w:type="dxa"/>
            <w:vAlign w:val="bottom"/>
            <w:tcBorders>
              <w:bottom w:val="single" w:sz="8" w:color="0075C9"/>
            </w:tcBorders>
          </w:tcPr>
          <w:p>
            <w:pPr>
              <w:spacing w:after="0"/>
              <w:rPr>
                <w:sz w:val="14"/>
                <w:szCs w:val="14"/>
                <w:color w:val="auto"/>
              </w:rPr>
            </w:pPr>
          </w:p>
        </w:tc>
        <w:tc>
          <w:tcPr>
            <w:tcW w:w="480" w:type="dxa"/>
            <w:vAlign w:val="bottom"/>
            <w:tcBorders>
              <w:bottom w:val="single" w:sz="8" w:color="0075C9"/>
            </w:tcBorders>
          </w:tcPr>
          <w:p>
            <w:pPr>
              <w:spacing w:after="0"/>
              <w:rPr>
                <w:sz w:val="14"/>
                <w:szCs w:val="14"/>
                <w:color w:val="auto"/>
              </w:rPr>
            </w:pPr>
          </w:p>
        </w:tc>
        <w:tc>
          <w:tcPr>
            <w:tcW w:w="20" w:type="dxa"/>
            <w:vAlign w:val="bottom"/>
            <w:tcBorders>
              <w:bottom w:val="single" w:sz="8" w:color="0075C9"/>
            </w:tcBorders>
          </w:tcPr>
          <w:p>
            <w:pPr>
              <w:spacing w:after="0"/>
              <w:rPr>
                <w:sz w:val="14"/>
                <w:szCs w:val="14"/>
                <w:color w:val="auto"/>
              </w:rPr>
            </w:pPr>
          </w:p>
        </w:tc>
        <w:tc>
          <w:tcPr>
            <w:tcW w:w="560" w:type="dxa"/>
            <w:vAlign w:val="bottom"/>
            <w:tcBorders>
              <w:bottom w:val="single" w:sz="8" w:color="0075C9"/>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2021 PROXY STATEMENT </w:t>
      </w:r>
      <w:r>
        <w:rPr>
          <w:rFonts w:ascii="Arial" w:cs="Arial" w:eastAsia="Arial" w:hAnsi="Arial"/>
          <w:sz w:val="14"/>
          <w:szCs w:val="14"/>
          <w:b w:val="1"/>
          <w:bCs w:val="1"/>
          <w:color w:val="0075C9"/>
        </w:rPr>
        <w:t>iii</w:t>
      </w:r>
    </w:p>
    <w:p>
      <w:pPr>
        <w:sectPr>
          <w:pgSz w:w="11900" w:h="16838" w:orient="portrait"/>
          <w:cols w:equalWidth="0" w:num="1">
            <w:col w:w="10280"/>
          </w:cols>
          <w:pgMar w:left="320" w:top="445" w:right="1299" w:bottom="1440" w:gutter="0" w:footer="0" w:header="0"/>
        </w:sectPr>
      </w:pPr>
    </w:p>
    <w:bookmarkStart w:id="8" w:name="page9"/>
    <w:bookmarkEnd w:id="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637540</wp:posOffset>
            </wp:positionH>
            <wp:positionV relativeFrom="paragraph">
              <wp:posOffset>226060</wp:posOffset>
            </wp:positionV>
            <wp:extent cx="5868035" cy="76771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68035" cy="767715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1200"/>
        <w:spacing w:after="0"/>
        <w:rPr>
          <w:sz w:val="20"/>
          <w:szCs w:val="20"/>
          <w:color w:val="auto"/>
        </w:rPr>
      </w:pPr>
      <w:r>
        <w:rPr>
          <w:rFonts w:ascii="Arial" w:cs="Arial" w:eastAsia="Arial" w:hAnsi="Arial"/>
          <w:sz w:val="33"/>
          <w:szCs w:val="33"/>
          <w:b w:val="1"/>
          <w:bCs w:val="1"/>
          <w:color w:val="auto"/>
        </w:rPr>
        <w:t>Proxy Summary</w:t>
      </w:r>
    </w:p>
    <w:p>
      <w:pPr>
        <w:spacing w:after="0" w:line="244" w:lineRule="exact"/>
        <w:rPr>
          <w:sz w:val="20"/>
          <w:szCs w:val="20"/>
          <w:color w:val="auto"/>
        </w:rPr>
      </w:pPr>
    </w:p>
    <w:p>
      <w:pPr>
        <w:ind w:left="1200" w:right="1040"/>
        <w:spacing w:after="0" w:line="239" w:lineRule="auto"/>
        <w:rPr>
          <w:sz w:val="20"/>
          <w:szCs w:val="20"/>
          <w:color w:val="auto"/>
        </w:rPr>
      </w:pPr>
      <w:r>
        <w:rPr>
          <w:rFonts w:ascii="Arial" w:cs="Arial" w:eastAsia="Arial" w:hAnsi="Arial"/>
          <w:sz w:val="16"/>
          <w:szCs w:val="16"/>
          <w:color w:val="auto"/>
        </w:rPr>
        <w:t>This summary highlights information contained elsewhere in this Proxy Statement. This summary does not contain all information you should consider. Please read this entire Proxy Statement carefully before voting.</w:t>
      </w:r>
    </w:p>
    <w:p>
      <w:pPr>
        <w:sectPr>
          <w:pgSz w:w="11900" w:h="16838" w:orient="portrait"/>
          <w:cols w:equalWidth="0" w:num="1">
            <w:col w:w="10280"/>
          </w:cols>
          <w:pgMar w:left="320" w:top="445"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 xml:space="preserve">Date: </w:t>
      </w:r>
      <w:r>
        <w:rPr>
          <w:rFonts w:ascii="Arial" w:cs="Arial" w:eastAsia="Arial" w:hAnsi="Arial"/>
          <w:sz w:val="16"/>
          <w:szCs w:val="16"/>
          <w:color w:val="auto"/>
        </w:rPr>
        <w:t>November 30, 2021</w:t>
      </w:r>
    </w:p>
    <w:p>
      <w:pPr>
        <w:spacing w:after="0" w:line="153"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 xml:space="preserve">Time: </w:t>
      </w:r>
      <w:r>
        <w:rPr>
          <w:rFonts w:ascii="Arial" w:cs="Arial" w:eastAsia="Arial" w:hAnsi="Arial"/>
          <w:sz w:val="16"/>
          <w:szCs w:val="16"/>
          <w:color w:val="auto"/>
        </w:rPr>
        <w:t>8:30 a.m. Pacific Time</w:t>
      </w:r>
    </w:p>
    <w:p>
      <w:pPr>
        <w:spacing w:after="0" w:line="153"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Meeting Agenda:</w:t>
      </w:r>
    </w:p>
    <w:p>
      <w:pPr>
        <w:spacing w:after="0" w:line="15" w:lineRule="exact"/>
        <w:rPr>
          <w:sz w:val="20"/>
          <w:szCs w:val="20"/>
          <w:color w:val="auto"/>
        </w:rPr>
      </w:pPr>
    </w:p>
    <w:p>
      <w:pPr>
        <w:ind w:left="1440"/>
        <w:spacing w:after="0" w:line="279" w:lineRule="auto"/>
        <w:rPr>
          <w:sz w:val="20"/>
          <w:szCs w:val="20"/>
          <w:color w:val="auto"/>
        </w:rPr>
      </w:pPr>
      <w:r>
        <w:rPr>
          <w:rFonts w:ascii="Arial" w:cs="Arial" w:eastAsia="Arial" w:hAnsi="Arial"/>
          <w:sz w:val="14"/>
          <w:szCs w:val="14"/>
          <w:color w:val="auto"/>
        </w:rPr>
        <w:t>The meeting will cover the proposals listed under voting matters and vote recommendations below, and any other business that may properly come before the meeting.</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Annual Shareholders Meeting</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 xml:space="preserve">Place: </w:t>
      </w:r>
      <w:r>
        <w:rPr>
          <w:rFonts w:ascii="Arial" w:cs="Arial" w:eastAsia="Arial" w:hAnsi="Arial"/>
          <w:sz w:val="16"/>
          <w:szCs w:val="16"/>
          <w:u w:val="single" w:color="auto"/>
          <w:color w:val="auto"/>
        </w:rPr>
        <w:t>virtualshareholdermeeting.com/MSFT21</w:t>
      </w:r>
    </w:p>
    <w:p>
      <w:pPr>
        <w:spacing w:after="0" w:line="127" w:lineRule="exact"/>
        <w:rPr>
          <w:sz w:val="20"/>
          <w:szCs w:val="20"/>
          <w:color w:val="auto"/>
        </w:rPr>
      </w:pPr>
    </w:p>
    <w:tbl>
      <w:tblPr>
        <w:tblLayout w:type="fixed"/>
        <w:tblInd w:w="240" w:type="dxa"/>
        <w:tblCellMar>
          <w:top w:w="0" w:type="dxa"/>
          <w:left w:w="0" w:type="dxa"/>
          <w:bottom w:w="0" w:type="dxa"/>
          <w:right w:w="0" w:type="dxa"/>
        </w:tblCellMar>
      </w:tblPr>
      <w:tr>
        <w:trPr>
          <w:trHeight w:val="199"/>
        </w:trPr>
        <w:tc>
          <w:tcPr>
            <w:tcW w:w="2800" w:type="dxa"/>
            <w:vAlign w:val="bottom"/>
          </w:tcPr>
          <w:p>
            <w:pPr>
              <w:spacing w:after="0"/>
              <w:rPr>
                <w:sz w:val="20"/>
                <w:szCs w:val="20"/>
                <w:color w:val="auto"/>
              </w:rPr>
            </w:pPr>
            <w:r>
              <w:rPr>
                <w:rFonts w:ascii="Arial" w:cs="Arial" w:eastAsia="Arial" w:hAnsi="Arial"/>
                <w:sz w:val="16"/>
                <w:szCs w:val="16"/>
                <w:b w:val="1"/>
                <w:bCs w:val="1"/>
                <w:color w:val="auto"/>
              </w:rPr>
              <w:t xml:space="preserve">Record Date: </w:t>
            </w:r>
            <w:r>
              <w:rPr>
                <w:rFonts w:ascii="Arial" w:cs="Arial" w:eastAsia="Arial" w:hAnsi="Arial"/>
                <w:sz w:val="16"/>
                <w:szCs w:val="16"/>
                <w:color w:val="auto"/>
              </w:rPr>
              <w:t>September 30, 2021</w:t>
            </w:r>
          </w:p>
        </w:tc>
        <w:tc>
          <w:tcPr>
            <w:tcW w:w="2760" w:type="dxa"/>
            <w:vAlign w:val="bottom"/>
          </w:tcPr>
          <w:p>
            <w:pPr>
              <w:ind w:left="60"/>
              <w:spacing w:after="0"/>
              <w:rPr>
                <w:sz w:val="20"/>
                <w:szCs w:val="20"/>
                <w:color w:val="auto"/>
              </w:rPr>
            </w:pPr>
            <w:r>
              <w:rPr>
                <w:rFonts w:ascii="Arial" w:cs="Arial" w:eastAsia="Arial" w:hAnsi="Arial"/>
                <w:sz w:val="16"/>
                <w:szCs w:val="16"/>
                <w:b w:val="1"/>
                <w:bCs w:val="1"/>
                <w:color w:val="auto"/>
              </w:rPr>
              <w:t>Voting:</w:t>
            </w:r>
          </w:p>
        </w:tc>
        <w:tc>
          <w:tcPr>
            <w:tcW w:w="0" w:type="dxa"/>
            <w:vAlign w:val="bottom"/>
          </w:tcPr>
          <w:p>
            <w:pPr>
              <w:spacing w:after="0"/>
              <w:rPr>
                <w:sz w:val="1"/>
                <w:szCs w:val="1"/>
                <w:color w:val="auto"/>
              </w:rPr>
            </w:pPr>
          </w:p>
        </w:tc>
      </w:tr>
      <w:tr>
        <w:trPr>
          <w:trHeight w:val="181"/>
        </w:trPr>
        <w:tc>
          <w:tcPr>
            <w:tcW w:w="2800" w:type="dxa"/>
            <w:vAlign w:val="bottom"/>
            <w:vMerge w:val="restart"/>
          </w:tcPr>
          <w:p>
            <w:pPr>
              <w:spacing w:after="0"/>
              <w:rPr>
                <w:sz w:val="20"/>
                <w:szCs w:val="20"/>
                <w:color w:val="auto"/>
              </w:rPr>
            </w:pPr>
            <w:r>
              <w:rPr>
                <w:rFonts w:ascii="Arial" w:cs="Arial" w:eastAsia="Arial" w:hAnsi="Arial"/>
                <w:sz w:val="16"/>
                <w:szCs w:val="16"/>
                <w:b w:val="1"/>
                <w:bCs w:val="1"/>
                <w:color w:val="auto"/>
              </w:rPr>
              <w:t>Mailing Date:</w:t>
            </w:r>
          </w:p>
        </w:tc>
        <w:tc>
          <w:tcPr>
            <w:tcW w:w="2760" w:type="dxa"/>
            <w:vAlign w:val="bottom"/>
          </w:tcPr>
          <w:p>
            <w:pPr>
              <w:ind w:left="60"/>
              <w:spacing w:after="0" w:line="181" w:lineRule="exact"/>
              <w:rPr>
                <w:sz w:val="20"/>
                <w:szCs w:val="20"/>
                <w:color w:val="auto"/>
              </w:rPr>
            </w:pPr>
            <w:r>
              <w:rPr>
                <w:rFonts w:ascii="Arial" w:cs="Arial" w:eastAsia="Arial" w:hAnsi="Arial"/>
                <w:sz w:val="16"/>
                <w:szCs w:val="16"/>
                <w:color w:val="auto"/>
                <w:w w:val="97"/>
              </w:rPr>
              <w:t>Shareholders as of the record date are</w:t>
            </w:r>
          </w:p>
        </w:tc>
        <w:tc>
          <w:tcPr>
            <w:tcW w:w="0" w:type="dxa"/>
            <w:vAlign w:val="bottom"/>
          </w:tcPr>
          <w:p>
            <w:pPr>
              <w:spacing w:after="0"/>
              <w:rPr>
                <w:sz w:val="1"/>
                <w:szCs w:val="1"/>
                <w:color w:val="auto"/>
              </w:rPr>
            </w:pPr>
          </w:p>
        </w:tc>
      </w:tr>
      <w:tr>
        <w:trPr>
          <w:trHeight w:val="155"/>
        </w:trPr>
        <w:tc>
          <w:tcPr>
            <w:tcW w:w="2800" w:type="dxa"/>
            <w:vAlign w:val="bottom"/>
            <w:vMerge w:val="continue"/>
          </w:tcPr>
          <w:p>
            <w:pPr>
              <w:spacing w:after="0"/>
              <w:rPr>
                <w:sz w:val="13"/>
                <w:szCs w:val="13"/>
                <w:color w:val="auto"/>
              </w:rPr>
            </w:pPr>
          </w:p>
        </w:tc>
        <w:tc>
          <w:tcPr>
            <w:tcW w:w="2760" w:type="dxa"/>
            <w:vAlign w:val="bottom"/>
          </w:tcPr>
          <w:p>
            <w:pPr>
              <w:ind w:left="60"/>
              <w:spacing w:after="0" w:line="155" w:lineRule="exact"/>
              <w:rPr>
                <w:sz w:val="20"/>
                <w:szCs w:val="20"/>
                <w:color w:val="auto"/>
              </w:rPr>
            </w:pPr>
            <w:r>
              <w:rPr>
                <w:rFonts w:ascii="Arial" w:cs="Arial" w:eastAsia="Arial" w:hAnsi="Arial"/>
                <w:sz w:val="16"/>
                <w:szCs w:val="16"/>
                <w:color w:val="auto"/>
                <w:w w:val="96"/>
              </w:rPr>
              <w:t>entitled to vote. Each share of common</w:t>
            </w:r>
          </w:p>
        </w:tc>
        <w:tc>
          <w:tcPr>
            <w:tcW w:w="0" w:type="dxa"/>
            <w:vAlign w:val="bottom"/>
          </w:tcPr>
          <w:p>
            <w:pPr>
              <w:spacing w:after="0"/>
              <w:rPr>
                <w:sz w:val="1"/>
                <w:szCs w:val="1"/>
                <w:color w:val="auto"/>
              </w:rPr>
            </w:pPr>
          </w:p>
        </w:tc>
      </w:tr>
      <w:tr>
        <w:trPr>
          <w:trHeight w:val="181"/>
        </w:trPr>
        <w:tc>
          <w:tcPr>
            <w:tcW w:w="2800" w:type="dxa"/>
            <w:vAlign w:val="bottom"/>
          </w:tcPr>
          <w:p>
            <w:pPr>
              <w:spacing w:after="0" w:line="181" w:lineRule="exact"/>
              <w:rPr>
                <w:sz w:val="20"/>
                <w:szCs w:val="20"/>
                <w:color w:val="auto"/>
              </w:rPr>
            </w:pPr>
            <w:r>
              <w:rPr>
                <w:rFonts w:ascii="Arial" w:cs="Arial" w:eastAsia="Arial" w:hAnsi="Arial"/>
                <w:sz w:val="16"/>
                <w:szCs w:val="16"/>
                <w:color w:val="auto"/>
              </w:rPr>
              <w:t>This Proxy Statement was first mailed</w:t>
            </w:r>
          </w:p>
        </w:tc>
        <w:tc>
          <w:tcPr>
            <w:tcW w:w="2760" w:type="dxa"/>
            <w:vAlign w:val="bottom"/>
          </w:tcPr>
          <w:p>
            <w:pPr>
              <w:ind w:left="60"/>
              <w:spacing w:after="0" w:line="181" w:lineRule="exact"/>
              <w:rPr>
                <w:sz w:val="20"/>
                <w:szCs w:val="20"/>
                <w:color w:val="auto"/>
              </w:rPr>
            </w:pPr>
            <w:r>
              <w:rPr>
                <w:rFonts w:ascii="Arial" w:cs="Arial" w:eastAsia="Arial" w:hAnsi="Arial"/>
                <w:sz w:val="16"/>
                <w:szCs w:val="16"/>
                <w:color w:val="auto"/>
              </w:rPr>
              <w:t>stock of Microsoft Corporation</w:t>
            </w:r>
          </w:p>
        </w:tc>
        <w:tc>
          <w:tcPr>
            <w:tcW w:w="0" w:type="dxa"/>
            <w:vAlign w:val="bottom"/>
          </w:tcPr>
          <w:p>
            <w:pPr>
              <w:spacing w:after="0"/>
              <w:rPr>
                <w:sz w:val="1"/>
                <w:szCs w:val="1"/>
                <w:color w:val="auto"/>
              </w:rPr>
            </w:pPr>
          </w:p>
        </w:tc>
      </w:tr>
      <w:tr>
        <w:trPr>
          <w:trHeight w:val="181"/>
        </w:trPr>
        <w:tc>
          <w:tcPr>
            <w:tcW w:w="2800" w:type="dxa"/>
            <w:vAlign w:val="bottom"/>
          </w:tcPr>
          <w:p>
            <w:pPr>
              <w:spacing w:after="0" w:line="181" w:lineRule="exact"/>
              <w:rPr>
                <w:sz w:val="20"/>
                <w:szCs w:val="20"/>
                <w:color w:val="auto"/>
              </w:rPr>
            </w:pPr>
            <w:r>
              <w:rPr>
                <w:rFonts w:ascii="Arial" w:cs="Arial" w:eastAsia="Arial" w:hAnsi="Arial"/>
                <w:sz w:val="16"/>
                <w:szCs w:val="16"/>
                <w:color w:val="auto"/>
                <w:w w:val="97"/>
              </w:rPr>
              <w:t>to shareholders on or about October 20,</w:t>
            </w:r>
          </w:p>
        </w:tc>
        <w:tc>
          <w:tcPr>
            <w:tcW w:w="2760" w:type="dxa"/>
            <w:vAlign w:val="bottom"/>
          </w:tcPr>
          <w:p>
            <w:pPr>
              <w:ind w:left="60"/>
              <w:spacing w:after="0" w:line="181" w:lineRule="exact"/>
              <w:rPr>
                <w:sz w:val="20"/>
                <w:szCs w:val="20"/>
                <w:color w:val="auto"/>
              </w:rPr>
            </w:pPr>
            <w:r>
              <w:rPr>
                <w:rFonts w:ascii="Arial" w:cs="Arial" w:eastAsia="Arial" w:hAnsi="Arial"/>
                <w:sz w:val="16"/>
                <w:szCs w:val="16"/>
                <w:color w:val="auto"/>
                <w:w w:val="99"/>
              </w:rPr>
              <w:t>(“Company”) is entitled to one vote for</w:t>
            </w:r>
          </w:p>
        </w:tc>
        <w:tc>
          <w:tcPr>
            <w:tcW w:w="0" w:type="dxa"/>
            <w:vAlign w:val="bottom"/>
          </w:tcPr>
          <w:p>
            <w:pPr>
              <w:spacing w:after="0"/>
              <w:rPr>
                <w:sz w:val="1"/>
                <w:szCs w:val="1"/>
                <w:color w:val="auto"/>
              </w:rPr>
            </w:pPr>
          </w:p>
        </w:tc>
      </w:tr>
      <w:tr>
        <w:trPr>
          <w:trHeight w:val="207"/>
        </w:trPr>
        <w:tc>
          <w:tcPr>
            <w:tcW w:w="2800" w:type="dxa"/>
            <w:vAlign w:val="bottom"/>
          </w:tcPr>
          <w:p>
            <w:pPr>
              <w:spacing w:after="0"/>
              <w:rPr>
                <w:sz w:val="20"/>
                <w:szCs w:val="20"/>
                <w:color w:val="auto"/>
              </w:rPr>
            </w:pPr>
            <w:r>
              <w:rPr>
                <w:rFonts w:ascii="Arial" w:cs="Arial" w:eastAsia="Arial" w:hAnsi="Arial"/>
                <w:sz w:val="16"/>
                <w:szCs w:val="16"/>
                <w:color w:val="auto"/>
              </w:rPr>
              <w:t>2021.</w:t>
            </w:r>
          </w:p>
        </w:tc>
        <w:tc>
          <w:tcPr>
            <w:tcW w:w="2760" w:type="dxa"/>
            <w:vAlign w:val="bottom"/>
          </w:tcPr>
          <w:p>
            <w:pPr>
              <w:ind w:left="60"/>
              <w:spacing w:after="0"/>
              <w:rPr>
                <w:sz w:val="20"/>
                <w:szCs w:val="20"/>
                <w:color w:val="auto"/>
              </w:rPr>
            </w:pPr>
            <w:r>
              <w:rPr>
                <w:rFonts w:ascii="Arial" w:cs="Arial" w:eastAsia="Arial" w:hAnsi="Arial"/>
                <w:sz w:val="16"/>
                <w:szCs w:val="16"/>
                <w:color w:val="auto"/>
                <w:w w:val="96"/>
              </w:rPr>
              <w:t>each director nominee and one vote for</w:t>
            </w:r>
          </w:p>
        </w:tc>
        <w:tc>
          <w:tcPr>
            <w:tcW w:w="0" w:type="dxa"/>
            <w:vAlign w:val="bottom"/>
          </w:tcPr>
          <w:p>
            <w:pPr>
              <w:spacing w:after="0"/>
              <w:rPr>
                <w:sz w:val="1"/>
                <w:szCs w:val="1"/>
                <w:color w:val="auto"/>
              </w:rPr>
            </w:pPr>
          </w:p>
        </w:tc>
      </w:tr>
      <w:tr>
        <w:trPr>
          <w:trHeight w:val="187"/>
        </w:trPr>
        <w:tc>
          <w:tcPr>
            <w:tcW w:w="2800" w:type="dxa"/>
            <w:vAlign w:val="bottom"/>
          </w:tcPr>
          <w:p>
            <w:pPr>
              <w:spacing w:after="0"/>
              <w:rPr>
                <w:sz w:val="16"/>
                <w:szCs w:val="16"/>
                <w:color w:val="auto"/>
              </w:rPr>
            </w:pPr>
          </w:p>
        </w:tc>
        <w:tc>
          <w:tcPr>
            <w:tcW w:w="2760" w:type="dxa"/>
            <w:vAlign w:val="bottom"/>
          </w:tcPr>
          <w:p>
            <w:pPr>
              <w:ind w:left="60"/>
              <w:spacing w:after="0"/>
              <w:rPr>
                <w:sz w:val="20"/>
                <w:szCs w:val="20"/>
                <w:color w:val="auto"/>
              </w:rPr>
            </w:pPr>
            <w:r>
              <w:rPr>
                <w:rFonts w:ascii="Arial" w:cs="Arial" w:eastAsia="Arial" w:hAnsi="Arial"/>
                <w:sz w:val="16"/>
                <w:szCs w:val="16"/>
                <w:color w:val="auto"/>
              </w:rPr>
              <w:t>each of the proposals.</w:t>
            </w:r>
          </w:p>
        </w:tc>
        <w:tc>
          <w:tcPr>
            <w:tcW w:w="0" w:type="dxa"/>
            <w:vAlign w:val="bottom"/>
          </w:tcPr>
          <w:p>
            <w:pPr>
              <w:spacing w:after="0"/>
              <w:rPr>
                <w:sz w:val="1"/>
                <w:szCs w:val="1"/>
                <w:color w:val="auto"/>
              </w:rPr>
            </w:pPr>
          </w:p>
        </w:tc>
      </w:tr>
    </w:tbl>
    <w:p>
      <w:pPr>
        <w:spacing w:after="0" w:line="405" w:lineRule="exact"/>
        <w:rPr>
          <w:sz w:val="20"/>
          <w:szCs w:val="20"/>
          <w:color w:val="auto"/>
        </w:rPr>
      </w:pPr>
    </w:p>
    <w:p>
      <w:pPr>
        <w:sectPr>
          <w:pgSz w:w="11900" w:h="16838" w:orient="portrait"/>
          <w:cols w:equalWidth="0" w:num="2">
            <w:col w:w="3960" w:space="160"/>
            <w:col w:w="6160"/>
          </w:cols>
          <w:pgMar w:left="320" w:top="445" w:right="1299" w:bottom="1440" w:gutter="0" w:footer="0" w:header="0"/>
          <w:type w:val="continuous"/>
        </w:sectPr>
      </w:pPr>
    </w:p>
    <w:p>
      <w:pPr>
        <w:spacing w:after="0" w:line="229" w:lineRule="exact"/>
        <w:rPr>
          <w:sz w:val="20"/>
          <w:szCs w:val="20"/>
          <w:color w:val="auto"/>
        </w:rPr>
      </w:pPr>
    </w:p>
    <w:p>
      <w:pPr>
        <w:ind w:left="4100"/>
        <w:spacing w:after="0"/>
        <w:rPr>
          <w:sz w:val="20"/>
          <w:szCs w:val="20"/>
          <w:color w:val="auto"/>
        </w:rPr>
      </w:pPr>
      <w:r>
        <w:rPr>
          <w:rFonts w:ascii="Arial" w:cs="Arial" w:eastAsia="Arial" w:hAnsi="Arial"/>
          <w:sz w:val="21"/>
          <w:szCs w:val="21"/>
          <w:b w:val="1"/>
          <w:bCs w:val="1"/>
          <w:color w:val="auto"/>
        </w:rPr>
        <w:t>Vote in Advance of the Meeting</w:t>
      </w:r>
    </w:p>
    <w:p>
      <w:pPr>
        <w:spacing w:after="0" w:line="23" w:lineRule="exact"/>
        <w:rPr>
          <w:sz w:val="20"/>
          <w:szCs w:val="20"/>
          <w:color w:val="auto"/>
        </w:rPr>
      </w:pPr>
    </w:p>
    <w:p>
      <w:pPr>
        <w:ind w:left="1880"/>
        <w:spacing w:after="0"/>
        <w:rPr>
          <w:sz w:val="20"/>
          <w:szCs w:val="20"/>
          <w:color w:val="auto"/>
        </w:rPr>
      </w:pPr>
      <w:r>
        <w:rPr>
          <w:rFonts w:ascii="Arial" w:cs="Arial" w:eastAsia="Arial" w:hAnsi="Arial"/>
          <w:sz w:val="16"/>
          <w:szCs w:val="16"/>
          <w:b w:val="1"/>
          <w:bCs w:val="1"/>
          <w:color w:val="auto"/>
        </w:rPr>
        <w:t xml:space="preserve">Vote your shares at </w:t>
      </w:r>
      <w:r>
        <w:rPr>
          <w:rFonts w:ascii="Arial" w:cs="Arial" w:eastAsia="Arial" w:hAnsi="Arial"/>
          <w:sz w:val="16"/>
          <w:szCs w:val="16"/>
          <w:b w:val="1"/>
          <w:bCs w:val="1"/>
          <w:u w:val="single" w:color="auto"/>
          <w:color w:val="auto"/>
        </w:rPr>
        <w:t>proxyvote.com</w:t>
      </w:r>
      <w:r>
        <w:rPr>
          <w:rFonts w:ascii="Arial" w:cs="Arial" w:eastAsia="Arial" w:hAnsi="Arial"/>
          <w:sz w:val="16"/>
          <w:szCs w:val="16"/>
          <w:b w:val="1"/>
          <w:bCs w:val="1"/>
          <w:color w:val="auto"/>
        </w:rPr>
        <w:t>.</w:t>
      </w:r>
    </w:p>
    <w:p>
      <w:pPr>
        <w:ind w:left="1880"/>
        <w:spacing w:after="0"/>
        <w:rPr>
          <w:sz w:val="20"/>
          <w:szCs w:val="20"/>
          <w:color w:val="auto"/>
        </w:rPr>
      </w:pPr>
      <w:r>
        <w:rPr>
          <w:rFonts w:ascii="Arial" w:cs="Arial" w:eastAsia="Arial" w:hAnsi="Arial"/>
          <w:sz w:val="16"/>
          <w:szCs w:val="16"/>
          <w:color w:val="auto"/>
        </w:rPr>
        <w:t>Have your Notice of Internet Availability or proxy card for the 16-digit Control Number needed to vote.</w:t>
      </w:r>
    </w:p>
    <w:p>
      <w:pPr>
        <w:spacing w:after="0" w:line="122" w:lineRule="exact"/>
        <w:rPr>
          <w:sz w:val="20"/>
          <w:szCs w:val="20"/>
          <w:color w:val="auto"/>
        </w:rPr>
      </w:pPr>
    </w:p>
    <w:p>
      <w:pPr>
        <w:ind w:left="1880"/>
        <w:spacing w:after="0"/>
        <w:rPr>
          <w:sz w:val="20"/>
          <w:szCs w:val="20"/>
          <w:color w:val="auto"/>
        </w:rPr>
      </w:pPr>
      <w:r>
        <w:rPr>
          <w:rFonts w:ascii="Arial" w:cs="Arial" w:eastAsia="Arial" w:hAnsi="Arial"/>
          <w:sz w:val="16"/>
          <w:szCs w:val="16"/>
          <w:b w:val="1"/>
          <w:bCs w:val="1"/>
          <w:color w:val="auto"/>
        </w:rPr>
        <w:t>Call toll-free number 1-800-690-6903.</w:t>
      </w:r>
    </w:p>
    <w:p>
      <w:pPr>
        <w:spacing w:after="0" w:line="140" w:lineRule="exact"/>
        <w:rPr>
          <w:sz w:val="20"/>
          <w:szCs w:val="20"/>
          <w:color w:val="auto"/>
        </w:rPr>
      </w:pPr>
    </w:p>
    <w:p>
      <w:pPr>
        <w:ind w:left="1880"/>
        <w:spacing w:after="0"/>
        <w:rPr>
          <w:sz w:val="20"/>
          <w:szCs w:val="20"/>
          <w:color w:val="auto"/>
        </w:rPr>
      </w:pPr>
      <w:r>
        <w:rPr>
          <w:rFonts w:ascii="Arial" w:cs="Arial" w:eastAsia="Arial" w:hAnsi="Arial"/>
          <w:sz w:val="16"/>
          <w:szCs w:val="16"/>
          <w:b w:val="1"/>
          <w:bCs w:val="1"/>
          <w:color w:val="auto"/>
        </w:rPr>
        <w:t>Sign, date, and return the enclosed proxy card or voting instruction form.</w:t>
      </w:r>
    </w:p>
    <w:p>
      <w:pPr>
        <w:spacing w:after="0" w:line="214" w:lineRule="exact"/>
        <w:rPr>
          <w:sz w:val="20"/>
          <w:szCs w:val="20"/>
          <w:color w:val="auto"/>
        </w:rPr>
      </w:pPr>
    </w:p>
    <w:p>
      <w:pPr>
        <w:ind w:left="4080"/>
        <w:spacing w:after="0"/>
        <w:rPr>
          <w:sz w:val="20"/>
          <w:szCs w:val="20"/>
          <w:color w:val="auto"/>
        </w:rPr>
      </w:pPr>
      <w:r>
        <w:rPr>
          <w:rFonts w:ascii="Arial" w:cs="Arial" w:eastAsia="Arial" w:hAnsi="Arial"/>
          <w:sz w:val="21"/>
          <w:szCs w:val="21"/>
          <w:b w:val="1"/>
          <w:bCs w:val="1"/>
          <w:color w:val="auto"/>
        </w:rPr>
        <w:t>Vote Online During the Meeting</w:t>
      </w:r>
    </w:p>
    <w:p>
      <w:pPr>
        <w:spacing w:after="0" w:line="59" w:lineRule="exact"/>
        <w:rPr>
          <w:sz w:val="20"/>
          <w:szCs w:val="20"/>
          <w:color w:val="auto"/>
        </w:rPr>
      </w:pPr>
    </w:p>
    <w:p>
      <w:pPr>
        <w:ind w:left="1880" w:right="480"/>
        <w:spacing w:after="0" w:line="263" w:lineRule="auto"/>
        <w:rPr>
          <w:sz w:val="20"/>
          <w:szCs w:val="20"/>
          <w:color w:val="auto"/>
        </w:rPr>
      </w:pPr>
      <w:r>
        <w:rPr>
          <w:rFonts w:ascii="Arial" w:cs="Arial" w:eastAsia="Arial" w:hAnsi="Arial"/>
          <w:sz w:val="16"/>
          <w:szCs w:val="16"/>
          <w:b w:val="1"/>
          <w:bCs w:val="1"/>
          <w:color w:val="auto"/>
        </w:rPr>
        <w:t xml:space="preserve">See page 86 </w:t>
      </w:r>
      <w:r>
        <w:rPr>
          <w:rFonts w:ascii="Arial" w:cs="Arial" w:eastAsia="Arial" w:hAnsi="Arial"/>
          <w:sz w:val="16"/>
          <w:szCs w:val="16"/>
          <w:color w:val="auto"/>
        </w:rPr>
        <w:t>in Part 5 – Information About the Meeting for details on voting your shares during the meeting through</w:t>
      </w:r>
      <w:r>
        <w:rPr>
          <w:rFonts w:ascii="Arial" w:cs="Arial" w:eastAsia="Arial" w:hAnsi="Arial"/>
          <w:sz w:val="16"/>
          <w:szCs w:val="16"/>
          <w:b w:val="1"/>
          <w:bCs w:val="1"/>
          <w:color w:val="auto"/>
        </w:rPr>
        <w:t xml:space="preserve"> </w:t>
      </w:r>
      <w:r>
        <w:rPr>
          <w:rFonts w:ascii="Arial" w:cs="Arial" w:eastAsia="Arial" w:hAnsi="Arial"/>
          <w:sz w:val="16"/>
          <w:szCs w:val="16"/>
          <w:color w:val="auto"/>
        </w:rPr>
        <w:t>proxyvote.com.</w:t>
      </w:r>
    </w:p>
    <w:p>
      <w:pPr>
        <w:spacing w:after="0" w:line="387" w:lineRule="exact"/>
        <w:rPr>
          <w:sz w:val="20"/>
          <w:szCs w:val="20"/>
          <w:color w:val="auto"/>
        </w:rPr>
      </w:pPr>
    </w:p>
    <w:tbl>
      <w:tblPr>
        <w:tblLayout w:type="fixed"/>
        <w:tblInd w:w="1000" w:type="dxa"/>
        <w:tblCellMar>
          <w:top w:w="0" w:type="dxa"/>
          <w:left w:w="0" w:type="dxa"/>
          <w:bottom w:w="0" w:type="dxa"/>
          <w:right w:w="0" w:type="dxa"/>
        </w:tblCellMar>
      </w:tblPr>
      <w:tr>
        <w:trPr>
          <w:trHeight w:val="321"/>
        </w:trPr>
        <w:tc>
          <w:tcPr>
            <w:tcW w:w="6560" w:type="dxa"/>
            <w:vAlign w:val="bottom"/>
            <w:gridSpan w:val="2"/>
          </w:tcPr>
          <w:p>
            <w:pPr>
              <w:ind w:left="200"/>
              <w:spacing w:after="0"/>
              <w:rPr>
                <w:sz w:val="20"/>
                <w:szCs w:val="20"/>
                <w:color w:val="auto"/>
              </w:rPr>
            </w:pPr>
            <w:r>
              <w:rPr>
                <w:rFonts w:ascii="Arial" w:cs="Arial" w:eastAsia="Arial" w:hAnsi="Arial"/>
                <w:sz w:val="24"/>
                <w:szCs w:val="24"/>
                <w:b w:val="1"/>
                <w:bCs w:val="1"/>
                <w:color w:val="0075C9"/>
              </w:rPr>
              <w:t>Voting Matters and Vote Recommendations</w:t>
            </w:r>
          </w:p>
        </w:tc>
        <w:tc>
          <w:tcPr>
            <w:tcW w:w="1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560" w:type="dxa"/>
            <w:vAlign w:val="bottom"/>
            <w:gridSpan w:val="2"/>
          </w:tcPr>
          <w:p>
            <w:pPr>
              <w:ind w:left="200"/>
              <w:spacing w:after="0"/>
              <w:rPr>
                <w:sz w:val="20"/>
                <w:szCs w:val="20"/>
                <w:color w:val="auto"/>
              </w:rPr>
            </w:pPr>
            <w:r>
              <w:rPr>
                <w:rFonts w:ascii="Arial" w:cs="Arial" w:eastAsia="Arial" w:hAnsi="Arial"/>
                <w:sz w:val="16"/>
                <w:szCs w:val="16"/>
                <w:b w:val="1"/>
                <w:bCs w:val="1"/>
                <w:color w:val="auto"/>
              </w:rPr>
              <w:t>See Part 4 – Proposals to be Voted on During the Meeting for more information.</w:t>
            </w:r>
          </w:p>
        </w:tc>
        <w:tc>
          <w:tcPr>
            <w:tcW w:w="168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Board</w:t>
            </w:r>
          </w:p>
        </w:tc>
        <w:tc>
          <w:tcPr>
            <w:tcW w:w="1040" w:type="dxa"/>
            <w:vAlign w:val="bottom"/>
            <w:gridSpan w:val="3"/>
            <w:vMerge w:val="restart"/>
          </w:tcPr>
          <w:p>
            <w:pPr>
              <w:ind w:left="320"/>
              <w:spacing w:after="0"/>
              <w:rPr>
                <w:sz w:val="20"/>
                <w:szCs w:val="20"/>
                <w:color w:val="auto"/>
              </w:rPr>
            </w:pPr>
            <w:r>
              <w:rPr>
                <w:rFonts w:ascii="Arial" w:cs="Arial" w:eastAsia="Arial" w:hAnsi="Arial"/>
                <w:sz w:val="17"/>
                <w:szCs w:val="17"/>
                <w:b w:val="1"/>
                <w:bCs w:val="1"/>
                <w:color w:val="auto"/>
              </w:rPr>
              <w:t>See</w:t>
            </w:r>
          </w:p>
        </w:tc>
        <w:tc>
          <w:tcPr>
            <w:tcW w:w="0" w:type="dxa"/>
            <w:vAlign w:val="bottom"/>
          </w:tcPr>
          <w:p>
            <w:pPr>
              <w:spacing w:after="0"/>
              <w:rPr>
                <w:sz w:val="1"/>
                <w:szCs w:val="1"/>
                <w:color w:val="auto"/>
              </w:rPr>
            </w:pPr>
          </w:p>
        </w:tc>
      </w:tr>
      <w:tr>
        <w:trPr>
          <w:trHeight w:val="164"/>
        </w:trPr>
        <w:tc>
          <w:tcPr>
            <w:tcW w:w="20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63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Recommends</w:t>
            </w:r>
          </w:p>
        </w:tc>
        <w:tc>
          <w:tcPr>
            <w:tcW w:w="800" w:type="dxa"/>
            <w:vAlign w:val="bottom"/>
            <w:tcBorders>
              <w:bottom w:val="single" w:sz="8" w:color="auto"/>
            </w:tcBorders>
          </w:tcPr>
          <w:p>
            <w:pPr>
              <w:jc w:val="right"/>
              <w:ind w:right="41"/>
              <w:spacing w:after="0"/>
              <w:rPr>
                <w:sz w:val="20"/>
                <w:szCs w:val="20"/>
                <w:color w:val="auto"/>
              </w:rPr>
            </w:pPr>
            <w:r>
              <w:rPr>
                <w:rFonts w:ascii="Arial" w:cs="Arial" w:eastAsia="Arial" w:hAnsi="Arial"/>
                <w:sz w:val="17"/>
                <w:szCs w:val="17"/>
                <w:b w:val="1"/>
                <w:bCs w:val="1"/>
                <w:color w:val="auto"/>
              </w:rPr>
              <w:t>Page</w:t>
            </w:r>
          </w:p>
        </w:tc>
        <w:tc>
          <w:tcPr>
            <w:tcW w:w="24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6560" w:type="dxa"/>
            <w:vAlign w:val="bottom"/>
            <w:gridSpan w:val="2"/>
          </w:tcPr>
          <w:p>
            <w:pPr>
              <w:ind w:left="200"/>
              <w:spacing w:after="0"/>
              <w:rPr>
                <w:sz w:val="20"/>
                <w:szCs w:val="20"/>
                <w:color w:val="auto"/>
              </w:rPr>
            </w:pPr>
            <w:r>
              <w:rPr>
                <w:rFonts w:ascii="Arial" w:cs="Arial" w:eastAsia="Arial" w:hAnsi="Arial"/>
                <w:sz w:val="17"/>
                <w:szCs w:val="17"/>
                <w:b w:val="1"/>
                <w:bCs w:val="1"/>
                <w:color w:val="auto"/>
              </w:rPr>
              <w:t>Management Proposals</w:t>
            </w:r>
          </w:p>
        </w:tc>
        <w:tc>
          <w:tcPr>
            <w:tcW w:w="1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200" w:type="dxa"/>
            <w:vAlign w:val="bottom"/>
          </w:tcPr>
          <w:p>
            <w:pPr>
              <w:spacing w:after="0"/>
              <w:rPr>
                <w:sz w:val="3"/>
                <w:szCs w:val="3"/>
                <w:color w:val="auto"/>
              </w:rPr>
            </w:pPr>
          </w:p>
        </w:tc>
        <w:tc>
          <w:tcPr>
            <w:tcW w:w="636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0" w:type="dxa"/>
            <w:vAlign w:val="bottom"/>
          </w:tcPr>
          <w:p>
            <w:pPr>
              <w:spacing w:after="0"/>
              <w:rPr>
                <w:sz w:val="24"/>
                <w:szCs w:val="24"/>
                <w:color w:val="auto"/>
              </w:rPr>
            </w:pPr>
          </w:p>
        </w:tc>
        <w:tc>
          <w:tcPr>
            <w:tcW w:w="6360" w:type="dxa"/>
            <w:vAlign w:val="bottom"/>
          </w:tcPr>
          <w:p>
            <w:pPr>
              <w:ind w:left="320"/>
              <w:spacing w:after="0"/>
              <w:rPr>
                <w:sz w:val="20"/>
                <w:szCs w:val="20"/>
                <w:color w:val="auto"/>
              </w:rPr>
            </w:pPr>
            <w:r>
              <w:rPr>
                <w:rFonts w:ascii="Arial" w:cs="Arial" w:eastAsia="Arial" w:hAnsi="Arial"/>
                <w:sz w:val="16"/>
                <w:szCs w:val="16"/>
                <w:color w:val="auto"/>
              </w:rPr>
              <w:t>Election of 12 Directors</w:t>
            </w:r>
          </w:p>
        </w:tc>
        <w:tc>
          <w:tcPr>
            <w:tcW w:w="1680" w:type="dxa"/>
            <w:vAlign w:val="bottom"/>
          </w:tcPr>
          <w:p>
            <w:pPr>
              <w:jc w:val="center"/>
              <w:spacing w:after="0"/>
              <w:rPr>
                <w:sz w:val="20"/>
                <w:szCs w:val="20"/>
                <w:color w:val="auto"/>
              </w:rPr>
            </w:pPr>
            <w:r>
              <w:rPr>
                <w:rFonts w:ascii="Arial" w:cs="Arial" w:eastAsia="Arial" w:hAnsi="Arial"/>
                <w:sz w:val="16"/>
                <w:szCs w:val="16"/>
                <w:color w:val="auto"/>
              </w:rPr>
              <w:t>FOR</w:t>
            </w:r>
          </w:p>
        </w:tc>
        <w:tc>
          <w:tcPr>
            <w:tcW w:w="800" w:type="dxa"/>
            <w:vAlign w:val="bottom"/>
          </w:tcPr>
          <w:p>
            <w:pPr>
              <w:jc w:val="right"/>
              <w:ind w:right="101"/>
              <w:spacing w:after="0"/>
              <w:rPr>
                <w:sz w:val="20"/>
                <w:szCs w:val="20"/>
                <w:color w:val="auto"/>
              </w:rPr>
            </w:pPr>
            <w:r>
              <w:rPr>
                <w:rFonts w:ascii="Arial" w:cs="Arial" w:eastAsia="Arial" w:hAnsi="Arial"/>
                <w:sz w:val="16"/>
                <w:szCs w:val="16"/>
                <w:b w:val="1"/>
                <w:bCs w:val="1"/>
                <w:color w:val="auto"/>
              </w:rPr>
              <w:t>66</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200" w:type="dxa"/>
            <w:vAlign w:val="bottom"/>
          </w:tcPr>
          <w:p>
            <w:pPr>
              <w:spacing w:after="0"/>
              <w:rPr>
                <w:sz w:val="2"/>
                <w:szCs w:val="2"/>
                <w:color w:val="auto"/>
              </w:rPr>
            </w:pPr>
          </w:p>
        </w:tc>
        <w:tc>
          <w:tcPr>
            <w:tcW w:w="6360" w:type="dxa"/>
            <w:vAlign w:val="bottom"/>
            <w:tcBorders>
              <w:bottom w:val="single" w:sz="8" w:color="0075C9"/>
            </w:tcBorders>
          </w:tcPr>
          <w:p>
            <w:pPr>
              <w:spacing w:after="0"/>
              <w:rPr>
                <w:sz w:val="2"/>
                <w:szCs w:val="2"/>
                <w:color w:val="auto"/>
              </w:rPr>
            </w:pPr>
          </w:p>
        </w:tc>
        <w:tc>
          <w:tcPr>
            <w:tcW w:w="1680" w:type="dxa"/>
            <w:vAlign w:val="bottom"/>
            <w:tcBorders>
              <w:bottom w:val="single" w:sz="8" w:color="0075C9"/>
            </w:tcBorders>
          </w:tcPr>
          <w:p>
            <w:pPr>
              <w:spacing w:after="0"/>
              <w:rPr>
                <w:sz w:val="2"/>
                <w:szCs w:val="2"/>
                <w:color w:val="auto"/>
              </w:rPr>
            </w:pPr>
          </w:p>
        </w:tc>
        <w:tc>
          <w:tcPr>
            <w:tcW w:w="800" w:type="dxa"/>
            <w:vAlign w:val="bottom"/>
            <w:tcBorders>
              <w:bottom w:val="single" w:sz="8" w:color="0075C9"/>
            </w:tcBorders>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6360" w:type="dxa"/>
            <w:vAlign w:val="bottom"/>
          </w:tcPr>
          <w:p>
            <w:pPr>
              <w:ind w:left="320"/>
              <w:spacing w:after="0"/>
              <w:rPr>
                <w:sz w:val="20"/>
                <w:szCs w:val="20"/>
                <w:color w:val="auto"/>
              </w:rPr>
            </w:pPr>
            <w:r>
              <w:rPr>
                <w:rFonts w:ascii="Arial" w:cs="Arial" w:eastAsia="Arial" w:hAnsi="Arial"/>
                <w:sz w:val="16"/>
                <w:szCs w:val="16"/>
                <w:color w:val="auto"/>
              </w:rPr>
              <w:t>Advisory Vote to Approve Named Executive Officer Compensation (“say-on-pay</w:t>
            </w:r>
          </w:p>
        </w:tc>
        <w:tc>
          <w:tcPr>
            <w:tcW w:w="1680" w:type="dxa"/>
            <w:vAlign w:val="bottom"/>
            <w:vMerge w:val="restart"/>
          </w:tcPr>
          <w:p>
            <w:pPr>
              <w:jc w:val="center"/>
              <w:spacing w:after="0"/>
              <w:rPr>
                <w:sz w:val="20"/>
                <w:szCs w:val="20"/>
                <w:color w:val="auto"/>
              </w:rPr>
            </w:pPr>
            <w:r>
              <w:rPr>
                <w:rFonts w:ascii="Arial" w:cs="Arial" w:eastAsia="Arial" w:hAnsi="Arial"/>
                <w:sz w:val="16"/>
                <w:szCs w:val="16"/>
                <w:color w:val="auto"/>
              </w:rPr>
              <w:t>FOR</w:t>
            </w:r>
          </w:p>
        </w:tc>
        <w:tc>
          <w:tcPr>
            <w:tcW w:w="800" w:type="dxa"/>
            <w:vAlign w:val="bottom"/>
            <w:vMerge w:val="restart"/>
          </w:tcPr>
          <w:p>
            <w:pPr>
              <w:jc w:val="right"/>
              <w:ind w:right="101"/>
              <w:spacing w:after="0"/>
              <w:rPr>
                <w:sz w:val="20"/>
                <w:szCs w:val="20"/>
                <w:color w:val="auto"/>
              </w:rPr>
            </w:pPr>
            <w:r>
              <w:rPr>
                <w:rFonts w:ascii="Arial" w:cs="Arial" w:eastAsia="Arial" w:hAnsi="Arial"/>
                <w:sz w:val="16"/>
                <w:szCs w:val="16"/>
                <w:b w:val="1"/>
                <w:bCs w:val="1"/>
                <w:color w:val="auto"/>
              </w:rPr>
              <w:t>67</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0" w:type="dxa"/>
            <w:vAlign w:val="bottom"/>
          </w:tcPr>
          <w:p>
            <w:pPr>
              <w:spacing w:after="0"/>
              <w:rPr>
                <w:sz w:val="11"/>
                <w:szCs w:val="11"/>
                <w:color w:val="auto"/>
              </w:rPr>
            </w:pPr>
          </w:p>
        </w:tc>
        <w:tc>
          <w:tcPr>
            <w:tcW w:w="6360" w:type="dxa"/>
            <w:vAlign w:val="bottom"/>
            <w:vMerge w:val="restart"/>
          </w:tcPr>
          <w:p>
            <w:pPr>
              <w:ind w:left="320"/>
              <w:spacing w:after="0"/>
              <w:rPr>
                <w:sz w:val="20"/>
                <w:szCs w:val="20"/>
                <w:color w:val="auto"/>
              </w:rPr>
            </w:pPr>
            <w:r>
              <w:rPr>
                <w:rFonts w:ascii="Arial" w:cs="Arial" w:eastAsia="Arial" w:hAnsi="Arial"/>
                <w:sz w:val="16"/>
                <w:szCs w:val="16"/>
                <w:color w:val="auto"/>
              </w:rPr>
              <w:t>vote”)</w:t>
            </w:r>
          </w:p>
        </w:tc>
        <w:tc>
          <w:tcPr>
            <w:tcW w:w="16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200" w:type="dxa"/>
            <w:vAlign w:val="bottom"/>
          </w:tcPr>
          <w:p>
            <w:pPr>
              <w:spacing w:after="0"/>
              <w:rPr>
                <w:sz w:val="4"/>
                <w:szCs w:val="4"/>
                <w:color w:val="auto"/>
              </w:rPr>
            </w:pPr>
          </w:p>
        </w:tc>
        <w:tc>
          <w:tcPr>
            <w:tcW w:w="6360" w:type="dxa"/>
            <w:vAlign w:val="bottom"/>
            <w:vMerge w:val="continue"/>
          </w:tcPr>
          <w:p>
            <w:pPr>
              <w:spacing w:after="0"/>
              <w:rPr>
                <w:sz w:val="4"/>
                <w:szCs w:val="4"/>
                <w:color w:val="auto"/>
              </w:rPr>
            </w:pPr>
          </w:p>
        </w:tc>
        <w:tc>
          <w:tcPr>
            <w:tcW w:w="1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0" w:type="dxa"/>
            <w:vAlign w:val="bottom"/>
          </w:tcPr>
          <w:p>
            <w:pPr>
              <w:spacing w:after="0"/>
              <w:rPr>
                <w:sz w:val="2"/>
                <w:szCs w:val="2"/>
                <w:color w:val="auto"/>
              </w:rPr>
            </w:pPr>
          </w:p>
        </w:tc>
        <w:tc>
          <w:tcPr>
            <w:tcW w:w="6360" w:type="dxa"/>
            <w:vAlign w:val="bottom"/>
            <w:tcBorders>
              <w:bottom w:val="single" w:sz="8" w:color="0075C9"/>
            </w:tcBorders>
          </w:tcPr>
          <w:p>
            <w:pPr>
              <w:spacing w:after="0"/>
              <w:rPr>
                <w:sz w:val="2"/>
                <w:szCs w:val="2"/>
                <w:color w:val="auto"/>
              </w:rPr>
            </w:pPr>
          </w:p>
        </w:tc>
        <w:tc>
          <w:tcPr>
            <w:tcW w:w="1680" w:type="dxa"/>
            <w:vAlign w:val="bottom"/>
            <w:tcBorders>
              <w:bottom w:val="single" w:sz="8" w:color="0075C9"/>
            </w:tcBorders>
          </w:tcPr>
          <w:p>
            <w:pPr>
              <w:spacing w:after="0"/>
              <w:rPr>
                <w:sz w:val="2"/>
                <w:szCs w:val="2"/>
                <w:color w:val="auto"/>
              </w:rPr>
            </w:pPr>
          </w:p>
        </w:tc>
        <w:tc>
          <w:tcPr>
            <w:tcW w:w="800" w:type="dxa"/>
            <w:vAlign w:val="bottom"/>
            <w:tcBorders>
              <w:bottom w:val="single" w:sz="8" w:color="0075C9"/>
            </w:tcBorders>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11"/>
        </w:trPr>
        <w:tc>
          <w:tcPr>
            <w:tcW w:w="200" w:type="dxa"/>
            <w:vAlign w:val="bottom"/>
          </w:tcPr>
          <w:p>
            <w:pPr>
              <w:spacing w:after="0"/>
              <w:rPr>
                <w:sz w:val="24"/>
                <w:szCs w:val="24"/>
                <w:color w:val="auto"/>
              </w:rPr>
            </w:pPr>
          </w:p>
        </w:tc>
        <w:tc>
          <w:tcPr>
            <w:tcW w:w="6360" w:type="dxa"/>
            <w:vAlign w:val="bottom"/>
          </w:tcPr>
          <w:p>
            <w:pPr>
              <w:ind w:left="320"/>
              <w:spacing w:after="0"/>
              <w:rPr>
                <w:sz w:val="20"/>
                <w:szCs w:val="20"/>
                <w:color w:val="auto"/>
              </w:rPr>
            </w:pPr>
            <w:r>
              <w:rPr>
                <w:rFonts w:ascii="Arial" w:cs="Arial" w:eastAsia="Arial" w:hAnsi="Arial"/>
                <w:sz w:val="16"/>
                <w:szCs w:val="16"/>
                <w:color w:val="auto"/>
              </w:rPr>
              <w:t>Approve Employee Stock Purchase Plan</w:t>
            </w:r>
          </w:p>
        </w:tc>
        <w:tc>
          <w:tcPr>
            <w:tcW w:w="1680" w:type="dxa"/>
            <w:vAlign w:val="bottom"/>
          </w:tcPr>
          <w:p>
            <w:pPr>
              <w:jc w:val="center"/>
              <w:spacing w:after="0"/>
              <w:rPr>
                <w:sz w:val="20"/>
                <w:szCs w:val="20"/>
                <w:color w:val="auto"/>
              </w:rPr>
            </w:pPr>
            <w:r>
              <w:rPr>
                <w:rFonts w:ascii="Arial" w:cs="Arial" w:eastAsia="Arial" w:hAnsi="Arial"/>
                <w:sz w:val="16"/>
                <w:szCs w:val="16"/>
                <w:color w:val="auto"/>
              </w:rPr>
              <w:t>FOR</w:t>
            </w:r>
          </w:p>
        </w:tc>
        <w:tc>
          <w:tcPr>
            <w:tcW w:w="800" w:type="dxa"/>
            <w:vAlign w:val="bottom"/>
          </w:tcPr>
          <w:p>
            <w:pPr>
              <w:jc w:val="right"/>
              <w:ind w:right="101"/>
              <w:spacing w:after="0"/>
              <w:rPr>
                <w:sz w:val="20"/>
                <w:szCs w:val="20"/>
                <w:color w:val="auto"/>
              </w:rPr>
            </w:pPr>
            <w:r>
              <w:rPr>
                <w:rFonts w:ascii="Arial" w:cs="Arial" w:eastAsia="Arial" w:hAnsi="Arial"/>
                <w:sz w:val="16"/>
                <w:szCs w:val="16"/>
                <w:b w:val="1"/>
                <w:bCs w:val="1"/>
                <w:color w:val="auto"/>
              </w:rPr>
              <w:t>69</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200" w:type="dxa"/>
            <w:vAlign w:val="bottom"/>
          </w:tcPr>
          <w:p>
            <w:pPr>
              <w:spacing w:after="0"/>
              <w:rPr>
                <w:sz w:val="2"/>
                <w:szCs w:val="2"/>
                <w:color w:val="auto"/>
              </w:rPr>
            </w:pPr>
          </w:p>
        </w:tc>
        <w:tc>
          <w:tcPr>
            <w:tcW w:w="6360" w:type="dxa"/>
            <w:vAlign w:val="bottom"/>
            <w:tcBorders>
              <w:bottom w:val="single" w:sz="8" w:color="0075C9"/>
            </w:tcBorders>
          </w:tcPr>
          <w:p>
            <w:pPr>
              <w:spacing w:after="0"/>
              <w:rPr>
                <w:sz w:val="2"/>
                <w:szCs w:val="2"/>
                <w:color w:val="auto"/>
              </w:rPr>
            </w:pPr>
          </w:p>
        </w:tc>
        <w:tc>
          <w:tcPr>
            <w:tcW w:w="1680" w:type="dxa"/>
            <w:vAlign w:val="bottom"/>
            <w:tcBorders>
              <w:bottom w:val="single" w:sz="8" w:color="0075C9"/>
            </w:tcBorders>
          </w:tcPr>
          <w:p>
            <w:pPr>
              <w:spacing w:after="0"/>
              <w:rPr>
                <w:sz w:val="2"/>
                <w:szCs w:val="2"/>
                <w:color w:val="auto"/>
              </w:rPr>
            </w:pPr>
          </w:p>
        </w:tc>
        <w:tc>
          <w:tcPr>
            <w:tcW w:w="800" w:type="dxa"/>
            <w:vAlign w:val="bottom"/>
            <w:tcBorders>
              <w:bottom w:val="single" w:sz="8" w:color="0075C9"/>
            </w:tcBorders>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6360" w:type="dxa"/>
            <w:vAlign w:val="bottom"/>
          </w:tcPr>
          <w:p>
            <w:pPr>
              <w:ind w:left="320"/>
              <w:spacing w:after="0"/>
              <w:rPr>
                <w:sz w:val="20"/>
                <w:szCs w:val="20"/>
                <w:color w:val="auto"/>
              </w:rPr>
            </w:pPr>
            <w:r>
              <w:rPr>
                <w:rFonts w:ascii="Arial" w:cs="Arial" w:eastAsia="Arial" w:hAnsi="Arial"/>
                <w:sz w:val="16"/>
                <w:szCs w:val="16"/>
                <w:color w:val="auto"/>
              </w:rPr>
              <w:t>Ratification of the Selection of Deloitte &amp; Touche LLP as our Independent Auditor for</w:t>
            </w:r>
          </w:p>
        </w:tc>
        <w:tc>
          <w:tcPr>
            <w:tcW w:w="1680" w:type="dxa"/>
            <w:vAlign w:val="bottom"/>
            <w:vMerge w:val="restart"/>
          </w:tcPr>
          <w:p>
            <w:pPr>
              <w:jc w:val="center"/>
              <w:spacing w:after="0"/>
              <w:rPr>
                <w:sz w:val="20"/>
                <w:szCs w:val="20"/>
                <w:color w:val="auto"/>
              </w:rPr>
            </w:pPr>
            <w:r>
              <w:rPr>
                <w:rFonts w:ascii="Arial" w:cs="Arial" w:eastAsia="Arial" w:hAnsi="Arial"/>
                <w:sz w:val="16"/>
                <w:szCs w:val="16"/>
                <w:color w:val="auto"/>
              </w:rPr>
              <w:t>FOR</w:t>
            </w:r>
          </w:p>
        </w:tc>
        <w:tc>
          <w:tcPr>
            <w:tcW w:w="800" w:type="dxa"/>
            <w:vAlign w:val="bottom"/>
            <w:vMerge w:val="restart"/>
          </w:tcPr>
          <w:p>
            <w:pPr>
              <w:jc w:val="right"/>
              <w:ind w:right="101"/>
              <w:spacing w:after="0"/>
              <w:rPr>
                <w:sz w:val="20"/>
                <w:szCs w:val="20"/>
                <w:color w:val="auto"/>
              </w:rPr>
            </w:pPr>
            <w:r>
              <w:rPr>
                <w:rFonts w:ascii="Arial" w:cs="Arial" w:eastAsia="Arial" w:hAnsi="Arial"/>
                <w:sz w:val="16"/>
                <w:szCs w:val="16"/>
                <w:b w:val="1"/>
                <w:bCs w:val="1"/>
                <w:color w:val="auto"/>
              </w:rPr>
              <w:t>72</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0" w:type="dxa"/>
            <w:vAlign w:val="bottom"/>
          </w:tcPr>
          <w:p>
            <w:pPr>
              <w:spacing w:after="0"/>
              <w:rPr>
                <w:sz w:val="11"/>
                <w:szCs w:val="11"/>
                <w:color w:val="auto"/>
              </w:rPr>
            </w:pPr>
          </w:p>
        </w:tc>
        <w:tc>
          <w:tcPr>
            <w:tcW w:w="6360" w:type="dxa"/>
            <w:vAlign w:val="bottom"/>
            <w:vMerge w:val="restart"/>
          </w:tcPr>
          <w:p>
            <w:pPr>
              <w:ind w:left="320"/>
              <w:spacing w:after="0"/>
              <w:rPr>
                <w:sz w:val="20"/>
                <w:szCs w:val="20"/>
                <w:color w:val="auto"/>
              </w:rPr>
            </w:pPr>
            <w:r>
              <w:rPr>
                <w:rFonts w:ascii="Arial" w:cs="Arial" w:eastAsia="Arial" w:hAnsi="Arial"/>
                <w:sz w:val="16"/>
                <w:szCs w:val="16"/>
                <w:color w:val="auto"/>
              </w:rPr>
              <w:t>Fiscal Year 2022</w:t>
            </w:r>
          </w:p>
        </w:tc>
        <w:tc>
          <w:tcPr>
            <w:tcW w:w="16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200" w:type="dxa"/>
            <w:vAlign w:val="bottom"/>
          </w:tcPr>
          <w:p>
            <w:pPr>
              <w:spacing w:after="0"/>
              <w:rPr>
                <w:sz w:val="4"/>
                <w:szCs w:val="4"/>
                <w:color w:val="auto"/>
              </w:rPr>
            </w:pPr>
          </w:p>
        </w:tc>
        <w:tc>
          <w:tcPr>
            <w:tcW w:w="6360" w:type="dxa"/>
            <w:vAlign w:val="bottom"/>
            <w:vMerge w:val="continue"/>
          </w:tcPr>
          <w:p>
            <w:pPr>
              <w:spacing w:after="0"/>
              <w:rPr>
                <w:sz w:val="4"/>
                <w:szCs w:val="4"/>
                <w:color w:val="auto"/>
              </w:rPr>
            </w:pPr>
          </w:p>
        </w:tc>
        <w:tc>
          <w:tcPr>
            <w:tcW w:w="1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0" w:type="dxa"/>
            <w:vAlign w:val="bottom"/>
          </w:tcPr>
          <w:p>
            <w:pPr>
              <w:spacing w:after="0"/>
              <w:rPr>
                <w:sz w:val="2"/>
                <w:szCs w:val="2"/>
                <w:color w:val="auto"/>
              </w:rPr>
            </w:pPr>
          </w:p>
        </w:tc>
        <w:tc>
          <w:tcPr>
            <w:tcW w:w="63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6560" w:type="dxa"/>
            <w:vAlign w:val="bottom"/>
            <w:gridSpan w:val="2"/>
          </w:tcPr>
          <w:p>
            <w:pPr>
              <w:ind w:left="200"/>
              <w:spacing w:after="0"/>
              <w:rPr>
                <w:sz w:val="20"/>
                <w:szCs w:val="20"/>
                <w:color w:val="auto"/>
              </w:rPr>
            </w:pPr>
            <w:r>
              <w:rPr>
                <w:rFonts w:ascii="Arial" w:cs="Arial" w:eastAsia="Arial" w:hAnsi="Arial"/>
                <w:sz w:val="17"/>
                <w:szCs w:val="17"/>
                <w:b w:val="1"/>
                <w:bCs w:val="1"/>
                <w:color w:val="auto"/>
              </w:rPr>
              <w:t>Shareholder Proposals</w:t>
            </w:r>
          </w:p>
        </w:tc>
        <w:tc>
          <w:tcPr>
            <w:tcW w:w="1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200" w:type="dxa"/>
            <w:vAlign w:val="bottom"/>
          </w:tcPr>
          <w:p>
            <w:pPr>
              <w:spacing w:after="0"/>
              <w:rPr>
                <w:sz w:val="4"/>
                <w:szCs w:val="4"/>
                <w:color w:val="auto"/>
              </w:rPr>
            </w:pPr>
          </w:p>
        </w:tc>
        <w:tc>
          <w:tcPr>
            <w:tcW w:w="636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3"/>
        </w:trPr>
        <w:tc>
          <w:tcPr>
            <w:tcW w:w="200" w:type="dxa"/>
            <w:vAlign w:val="bottom"/>
          </w:tcPr>
          <w:p>
            <w:pPr>
              <w:spacing w:after="0"/>
              <w:rPr>
                <w:sz w:val="20"/>
                <w:szCs w:val="20"/>
                <w:color w:val="auto"/>
              </w:rPr>
            </w:pPr>
          </w:p>
        </w:tc>
        <w:tc>
          <w:tcPr>
            <w:tcW w:w="6360" w:type="dxa"/>
            <w:vAlign w:val="bottom"/>
            <w:vMerge w:val="restart"/>
          </w:tcPr>
          <w:p>
            <w:pPr>
              <w:ind w:left="320"/>
              <w:spacing w:after="0"/>
              <w:rPr>
                <w:sz w:val="20"/>
                <w:szCs w:val="20"/>
                <w:color w:val="auto"/>
              </w:rPr>
            </w:pPr>
            <w:r>
              <w:rPr>
                <w:rFonts w:ascii="Arial" w:cs="Arial" w:eastAsia="Arial" w:hAnsi="Arial"/>
                <w:sz w:val="16"/>
                <w:szCs w:val="16"/>
                <w:color w:val="auto"/>
              </w:rPr>
              <w:t>Report on median pay gaps across race and gender</w:t>
            </w:r>
          </w:p>
        </w:tc>
        <w:tc>
          <w:tcPr>
            <w:tcW w:w="1680" w:type="dxa"/>
            <w:vAlign w:val="bottom"/>
          </w:tcPr>
          <w:p>
            <w:pPr>
              <w:jc w:val="center"/>
              <w:spacing w:after="0"/>
              <w:rPr>
                <w:sz w:val="20"/>
                <w:szCs w:val="20"/>
                <w:color w:val="auto"/>
              </w:rPr>
            </w:pPr>
            <w:r>
              <w:rPr>
                <w:rFonts w:ascii="Arial" w:cs="Arial" w:eastAsia="Arial" w:hAnsi="Arial"/>
                <w:sz w:val="16"/>
                <w:szCs w:val="16"/>
                <w:color w:val="auto"/>
                <w:w w:val="96"/>
              </w:rPr>
              <w:t>AGAINST</w:t>
            </w:r>
          </w:p>
        </w:tc>
        <w:tc>
          <w:tcPr>
            <w:tcW w:w="800" w:type="dxa"/>
            <w:vAlign w:val="bottom"/>
          </w:tcPr>
          <w:p>
            <w:pPr>
              <w:jc w:val="right"/>
              <w:ind w:right="101"/>
              <w:spacing w:after="0"/>
              <w:rPr>
                <w:sz w:val="20"/>
                <w:szCs w:val="20"/>
                <w:color w:val="auto"/>
              </w:rPr>
            </w:pPr>
            <w:r>
              <w:rPr>
                <w:rFonts w:ascii="Arial" w:cs="Arial" w:eastAsia="Arial" w:hAnsi="Arial"/>
                <w:sz w:val="16"/>
                <w:szCs w:val="16"/>
                <w:b w:val="1"/>
                <w:bCs w:val="1"/>
                <w:color w:val="auto"/>
              </w:rPr>
              <w:t>73</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8"/>
        </w:trPr>
        <w:tc>
          <w:tcPr>
            <w:tcW w:w="200" w:type="dxa"/>
            <w:vAlign w:val="bottom"/>
          </w:tcPr>
          <w:p>
            <w:pPr>
              <w:spacing w:after="0"/>
              <w:rPr>
                <w:sz w:val="6"/>
                <w:szCs w:val="6"/>
                <w:color w:val="auto"/>
              </w:rPr>
            </w:pPr>
          </w:p>
        </w:tc>
        <w:tc>
          <w:tcPr>
            <w:tcW w:w="6360" w:type="dxa"/>
            <w:vAlign w:val="bottom"/>
            <w:vMerge w:val="continue"/>
          </w:tcPr>
          <w:p>
            <w:pPr>
              <w:spacing w:after="0"/>
              <w:rPr>
                <w:sz w:val="6"/>
                <w:szCs w:val="6"/>
                <w:color w:val="auto"/>
              </w:rPr>
            </w:pPr>
          </w:p>
        </w:tc>
        <w:tc>
          <w:tcPr>
            <w:tcW w:w="1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
        </w:trPr>
        <w:tc>
          <w:tcPr>
            <w:tcW w:w="200" w:type="dxa"/>
            <w:vAlign w:val="bottom"/>
          </w:tcPr>
          <w:p>
            <w:pPr>
              <w:spacing w:after="0"/>
              <w:rPr>
                <w:sz w:val="2"/>
                <w:szCs w:val="2"/>
                <w:color w:val="auto"/>
              </w:rPr>
            </w:pPr>
          </w:p>
        </w:tc>
        <w:tc>
          <w:tcPr>
            <w:tcW w:w="6360" w:type="dxa"/>
            <w:vAlign w:val="bottom"/>
            <w:tcBorders>
              <w:bottom w:val="single" w:sz="8" w:color="0075C9"/>
            </w:tcBorders>
          </w:tcPr>
          <w:p>
            <w:pPr>
              <w:spacing w:after="0"/>
              <w:rPr>
                <w:sz w:val="2"/>
                <w:szCs w:val="2"/>
                <w:color w:val="auto"/>
              </w:rPr>
            </w:pPr>
          </w:p>
        </w:tc>
        <w:tc>
          <w:tcPr>
            <w:tcW w:w="1680" w:type="dxa"/>
            <w:vAlign w:val="bottom"/>
            <w:tcBorders>
              <w:bottom w:val="single" w:sz="8" w:color="0075C9"/>
            </w:tcBorders>
          </w:tcPr>
          <w:p>
            <w:pPr>
              <w:spacing w:after="0"/>
              <w:rPr>
                <w:sz w:val="2"/>
                <w:szCs w:val="2"/>
                <w:color w:val="auto"/>
              </w:rPr>
            </w:pPr>
          </w:p>
        </w:tc>
        <w:tc>
          <w:tcPr>
            <w:tcW w:w="800" w:type="dxa"/>
            <w:vAlign w:val="bottom"/>
            <w:tcBorders>
              <w:bottom w:val="single" w:sz="8" w:color="0075C9"/>
            </w:tcBorders>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0" w:type="dxa"/>
            <w:vAlign w:val="bottom"/>
          </w:tcPr>
          <w:p>
            <w:pPr>
              <w:spacing w:after="0"/>
              <w:rPr>
                <w:sz w:val="20"/>
                <w:szCs w:val="20"/>
                <w:color w:val="auto"/>
              </w:rPr>
            </w:pPr>
          </w:p>
        </w:tc>
        <w:tc>
          <w:tcPr>
            <w:tcW w:w="6360" w:type="dxa"/>
            <w:vAlign w:val="bottom"/>
            <w:vMerge w:val="restart"/>
          </w:tcPr>
          <w:p>
            <w:pPr>
              <w:ind w:left="320"/>
              <w:spacing w:after="0"/>
              <w:rPr>
                <w:sz w:val="20"/>
                <w:szCs w:val="20"/>
                <w:color w:val="auto"/>
              </w:rPr>
            </w:pPr>
            <w:r>
              <w:rPr>
                <w:rFonts w:ascii="Arial" w:cs="Arial" w:eastAsia="Arial" w:hAnsi="Arial"/>
                <w:sz w:val="16"/>
                <w:szCs w:val="16"/>
                <w:color w:val="auto"/>
              </w:rPr>
              <w:t>Report on effectiveness of workplace sexual harassment policies</w:t>
            </w:r>
          </w:p>
        </w:tc>
        <w:tc>
          <w:tcPr>
            <w:tcW w:w="1680" w:type="dxa"/>
            <w:vAlign w:val="bottom"/>
          </w:tcPr>
          <w:p>
            <w:pPr>
              <w:jc w:val="center"/>
              <w:spacing w:after="0"/>
              <w:rPr>
                <w:sz w:val="20"/>
                <w:szCs w:val="20"/>
                <w:color w:val="auto"/>
              </w:rPr>
            </w:pPr>
            <w:r>
              <w:rPr>
                <w:rFonts w:ascii="Arial" w:cs="Arial" w:eastAsia="Arial" w:hAnsi="Arial"/>
                <w:sz w:val="16"/>
                <w:szCs w:val="16"/>
                <w:color w:val="auto"/>
                <w:w w:val="96"/>
              </w:rPr>
              <w:t>AGAINST</w:t>
            </w:r>
          </w:p>
        </w:tc>
        <w:tc>
          <w:tcPr>
            <w:tcW w:w="800" w:type="dxa"/>
            <w:vAlign w:val="bottom"/>
          </w:tcPr>
          <w:p>
            <w:pPr>
              <w:jc w:val="right"/>
              <w:ind w:right="101"/>
              <w:spacing w:after="0"/>
              <w:rPr>
                <w:sz w:val="20"/>
                <w:szCs w:val="20"/>
                <w:color w:val="auto"/>
              </w:rPr>
            </w:pPr>
            <w:r>
              <w:rPr>
                <w:rFonts w:ascii="Arial" w:cs="Arial" w:eastAsia="Arial" w:hAnsi="Arial"/>
                <w:sz w:val="16"/>
                <w:szCs w:val="16"/>
                <w:b w:val="1"/>
                <w:bCs w:val="1"/>
                <w:color w:val="auto"/>
              </w:rPr>
              <w:t>75</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8"/>
        </w:trPr>
        <w:tc>
          <w:tcPr>
            <w:tcW w:w="200" w:type="dxa"/>
            <w:vAlign w:val="bottom"/>
          </w:tcPr>
          <w:p>
            <w:pPr>
              <w:spacing w:after="0"/>
              <w:rPr>
                <w:sz w:val="6"/>
                <w:szCs w:val="6"/>
                <w:color w:val="auto"/>
              </w:rPr>
            </w:pPr>
          </w:p>
        </w:tc>
        <w:tc>
          <w:tcPr>
            <w:tcW w:w="6360" w:type="dxa"/>
            <w:vAlign w:val="bottom"/>
            <w:vMerge w:val="continue"/>
          </w:tcPr>
          <w:p>
            <w:pPr>
              <w:spacing w:after="0"/>
              <w:rPr>
                <w:sz w:val="6"/>
                <w:szCs w:val="6"/>
                <w:color w:val="auto"/>
              </w:rPr>
            </w:pPr>
          </w:p>
        </w:tc>
        <w:tc>
          <w:tcPr>
            <w:tcW w:w="1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
        </w:trPr>
        <w:tc>
          <w:tcPr>
            <w:tcW w:w="200" w:type="dxa"/>
            <w:vAlign w:val="bottom"/>
          </w:tcPr>
          <w:p>
            <w:pPr>
              <w:spacing w:after="0"/>
              <w:rPr>
                <w:sz w:val="2"/>
                <w:szCs w:val="2"/>
                <w:color w:val="auto"/>
              </w:rPr>
            </w:pPr>
          </w:p>
        </w:tc>
        <w:tc>
          <w:tcPr>
            <w:tcW w:w="6360" w:type="dxa"/>
            <w:vAlign w:val="bottom"/>
            <w:tcBorders>
              <w:bottom w:val="single" w:sz="8" w:color="0075C9"/>
            </w:tcBorders>
          </w:tcPr>
          <w:p>
            <w:pPr>
              <w:spacing w:after="0"/>
              <w:rPr>
                <w:sz w:val="2"/>
                <w:szCs w:val="2"/>
                <w:color w:val="auto"/>
              </w:rPr>
            </w:pPr>
          </w:p>
        </w:tc>
        <w:tc>
          <w:tcPr>
            <w:tcW w:w="1680" w:type="dxa"/>
            <w:vAlign w:val="bottom"/>
            <w:tcBorders>
              <w:bottom w:val="single" w:sz="8" w:color="0075C9"/>
            </w:tcBorders>
          </w:tcPr>
          <w:p>
            <w:pPr>
              <w:spacing w:after="0"/>
              <w:rPr>
                <w:sz w:val="2"/>
                <w:szCs w:val="2"/>
                <w:color w:val="auto"/>
              </w:rPr>
            </w:pPr>
          </w:p>
        </w:tc>
        <w:tc>
          <w:tcPr>
            <w:tcW w:w="800" w:type="dxa"/>
            <w:vAlign w:val="bottom"/>
            <w:tcBorders>
              <w:bottom w:val="single" w:sz="8" w:color="0075C9"/>
            </w:tcBorders>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0" w:type="dxa"/>
            <w:vAlign w:val="bottom"/>
          </w:tcPr>
          <w:p>
            <w:pPr>
              <w:spacing w:after="0"/>
              <w:rPr>
                <w:sz w:val="20"/>
                <w:szCs w:val="20"/>
                <w:color w:val="auto"/>
              </w:rPr>
            </w:pPr>
          </w:p>
        </w:tc>
        <w:tc>
          <w:tcPr>
            <w:tcW w:w="6360" w:type="dxa"/>
            <w:vAlign w:val="bottom"/>
            <w:vMerge w:val="restart"/>
          </w:tcPr>
          <w:p>
            <w:pPr>
              <w:ind w:left="320"/>
              <w:spacing w:after="0"/>
              <w:rPr>
                <w:sz w:val="20"/>
                <w:szCs w:val="20"/>
                <w:color w:val="auto"/>
              </w:rPr>
            </w:pPr>
            <w:r>
              <w:rPr>
                <w:rFonts w:ascii="Arial" w:cs="Arial" w:eastAsia="Arial" w:hAnsi="Arial"/>
                <w:sz w:val="16"/>
                <w:szCs w:val="16"/>
                <w:color w:val="auto"/>
              </w:rPr>
              <w:t>Prohibition on sales of facial recognition technology to all government entities</w:t>
            </w:r>
          </w:p>
        </w:tc>
        <w:tc>
          <w:tcPr>
            <w:tcW w:w="1680" w:type="dxa"/>
            <w:vAlign w:val="bottom"/>
          </w:tcPr>
          <w:p>
            <w:pPr>
              <w:jc w:val="center"/>
              <w:spacing w:after="0"/>
              <w:rPr>
                <w:sz w:val="20"/>
                <w:szCs w:val="20"/>
                <w:color w:val="auto"/>
              </w:rPr>
            </w:pPr>
            <w:r>
              <w:rPr>
                <w:rFonts w:ascii="Arial" w:cs="Arial" w:eastAsia="Arial" w:hAnsi="Arial"/>
                <w:sz w:val="16"/>
                <w:szCs w:val="16"/>
                <w:color w:val="auto"/>
                <w:w w:val="96"/>
              </w:rPr>
              <w:t>AGAINST</w:t>
            </w:r>
          </w:p>
        </w:tc>
        <w:tc>
          <w:tcPr>
            <w:tcW w:w="800" w:type="dxa"/>
            <w:vAlign w:val="bottom"/>
          </w:tcPr>
          <w:p>
            <w:pPr>
              <w:jc w:val="right"/>
              <w:ind w:right="101"/>
              <w:spacing w:after="0"/>
              <w:rPr>
                <w:sz w:val="20"/>
                <w:szCs w:val="20"/>
                <w:color w:val="auto"/>
              </w:rPr>
            </w:pPr>
            <w:r>
              <w:rPr>
                <w:rFonts w:ascii="Arial" w:cs="Arial" w:eastAsia="Arial" w:hAnsi="Arial"/>
                <w:sz w:val="16"/>
                <w:szCs w:val="16"/>
                <w:b w:val="1"/>
                <w:bCs w:val="1"/>
                <w:color w:val="auto"/>
              </w:rPr>
              <w:t>77</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8"/>
        </w:trPr>
        <w:tc>
          <w:tcPr>
            <w:tcW w:w="200" w:type="dxa"/>
            <w:vAlign w:val="bottom"/>
          </w:tcPr>
          <w:p>
            <w:pPr>
              <w:spacing w:after="0"/>
              <w:rPr>
                <w:sz w:val="6"/>
                <w:szCs w:val="6"/>
                <w:color w:val="auto"/>
              </w:rPr>
            </w:pPr>
          </w:p>
        </w:tc>
        <w:tc>
          <w:tcPr>
            <w:tcW w:w="6360" w:type="dxa"/>
            <w:vAlign w:val="bottom"/>
            <w:vMerge w:val="continue"/>
          </w:tcPr>
          <w:p>
            <w:pPr>
              <w:spacing w:after="0"/>
              <w:rPr>
                <w:sz w:val="6"/>
                <w:szCs w:val="6"/>
                <w:color w:val="auto"/>
              </w:rPr>
            </w:pPr>
          </w:p>
        </w:tc>
        <w:tc>
          <w:tcPr>
            <w:tcW w:w="1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
        </w:trPr>
        <w:tc>
          <w:tcPr>
            <w:tcW w:w="200" w:type="dxa"/>
            <w:vAlign w:val="bottom"/>
          </w:tcPr>
          <w:p>
            <w:pPr>
              <w:spacing w:after="0"/>
              <w:rPr>
                <w:sz w:val="2"/>
                <w:szCs w:val="2"/>
                <w:color w:val="auto"/>
              </w:rPr>
            </w:pPr>
          </w:p>
        </w:tc>
        <w:tc>
          <w:tcPr>
            <w:tcW w:w="6360" w:type="dxa"/>
            <w:vAlign w:val="bottom"/>
            <w:tcBorders>
              <w:bottom w:val="single" w:sz="8" w:color="0075C9"/>
            </w:tcBorders>
          </w:tcPr>
          <w:p>
            <w:pPr>
              <w:spacing w:after="0"/>
              <w:rPr>
                <w:sz w:val="2"/>
                <w:szCs w:val="2"/>
                <w:color w:val="auto"/>
              </w:rPr>
            </w:pPr>
          </w:p>
        </w:tc>
        <w:tc>
          <w:tcPr>
            <w:tcW w:w="1680" w:type="dxa"/>
            <w:vAlign w:val="bottom"/>
            <w:tcBorders>
              <w:bottom w:val="single" w:sz="8" w:color="0075C9"/>
            </w:tcBorders>
          </w:tcPr>
          <w:p>
            <w:pPr>
              <w:spacing w:after="0"/>
              <w:rPr>
                <w:sz w:val="2"/>
                <w:szCs w:val="2"/>
                <w:color w:val="auto"/>
              </w:rPr>
            </w:pPr>
          </w:p>
        </w:tc>
        <w:tc>
          <w:tcPr>
            <w:tcW w:w="800" w:type="dxa"/>
            <w:vAlign w:val="bottom"/>
            <w:tcBorders>
              <w:bottom w:val="single" w:sz="8" w:color="0075C9"/>
            </w:tcBorders>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0" w:type="dxa"/>
            <w:vAlign w:val="bottom"/>
          </w:tcPr>
          <w:p>
            <w:pPr>
              <w:spacing w:after="0"/>
              <w:rPr>
                <w:sz w:val="20"/>
                <w:szCs w:val="20"/>
                <w:color w:val="auto"/>
              </w:rPr>
            </w:pPr>
          </w:p>
        </w:tc>
        <w:tc>
          <w:tcPr>
            <w:tcW w:w="6360" w:type="dxa"/>
            <w:vAlign w:val="bottom"/>
            <w:vMerge w:val="restart"/>
          </w:tcPr>
          <w:p>
            <w:pPr>
              <w:ind w:left="320"/>
              <w:spacing w:after="0"/>
              <w:rPr>
                <w:sz w:val="20"/>
                <w:szCs w:val="20"/>
                <w:color w:val="auto"/>
              </w:rPr>
            </w:pPr>
            <w:r>
              <w:rPr>
                <w:rFonts w:ascii="Arial" w:cs="Arial" w:eastAsia="Arial" w:hAnsi="Arial"/>
                <w:sz w:val="16"/>
                <w:szCs w:val="16"/>
                <w:color w:val="auto"/>
              </w:rPr>
              <w:t>Report on implementation of the Fair Chance Business Pledge</w:t>
            </w:r>
          </w:p>
        </w:tc>
        <w:tc>
          <w:tcPr>
            <w:tcW w:w="1680" w:type="dxa"/>
            <w:vAlign w:val="bottom"/>
          </w:tcPr>
          <w:p>
            <w:pPr>
              <w:jc w:val="center"/>
              <w:spacing w:after="0"/>
              <w:rPr>
                <w:sz w:val="20"/>
                <w:szCs w:val="20"/>
                <w:color w:val="auto"/>
              </w:rPr>
            </w:pPr>
            <w:r>
              <w:rPr>
                <w:rFonts w:ascii="Arial" w:cs="Arial" w:eastAsia="Arial" w:hAnsi="Arial"/>
                <w:sz w:val="16"/>
                <w:szCs w:val="16"/>
                <w:color w:val="auto"/>
                <w:w w:val="96"/>
              </w:rPr>
              <w:t>AGAINST</w:t>
            </w:r>
          </w:p>
        </w:tc>
        <w:tc>
          <w:tcPr>
            <w:tcW w:w="800" w:type="dxa"/>
            <w:vAlign w:val="bottom"/>
          </w:tcPr>
          <w:p>
            <w:pPr>
              <w:jc w:val="right"/>
              <w:ind w:right="101"/>
              <w:spacing w:after="0"/>
              <w:rPr>
                <w:sz w:val="20"/>
                <w:szCs w:val="20"/>
                <w:color w:val="auto"/>
              </w:rPr>
            </w:pPr>
            <w:r>
              <w:rPr>
                <w:rFonts w:ascii="Arial" w:cs="Arial" w:eastAsia="Arial" w:hAnsi="Arial"/>
                <w:sz w:val="16"/>
                <w:szCs w:val="16"/>
                <w:b w:val="1"/>
                <w:bCs w:val="1"/>
                <w:color w:val="auto"/>
              </w:rPr>
              <w:t>79</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8"/>
        </w:trPr>
        <w:tc>
          <w:tcPr>
            <w:tcW w:w="200" w:type="dxa"/>
            <w:vAlign w:val="bottom"/>
          </w:tcPr>
          <w:p>
            <w:pPr>
              <w:spacing w:after="0"/>
              <w:rPr>
                <w:sz w:val="6"/>
                <w:szCs w:val="6"/>
                <w:color w:val="auto"/>
              </w:rPr>
            </w:pPr>
          </w:p>
        </w:tc>
        <w:tc>
          <w:tcPr>
            <w:tcW w:w="6360" w:type="dxa"/>
            <w:vAlign w:val="bottom"/>
            <w:vMerge w:val="continue"/>
          </w:tcPr>
          <w:p>
            <w:pPr>
              <w:spacing w:after="0"/>
              <w:rPr>
                <w:sz w:val="6"/>
                <w:szCs w:val="6"/>
                <w:color w:val="auto"/>
              </w:rPr>
            </w:pPr>
          </w:p>
        </w:tc>
        <w:tc>
          <w:tcPr>
            <w:tcW w:w="1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
        </w:trPr>
        <w:tc>
          <w:tcPr>
            <w:tcW w:w="200" w:type="dxa"/>
            <w:vAlign w:val="bottom"/>
          </w:tcPr>
          <w:p>
            <w:pPr>
              <w:spacing w:after="0"/>
              <w:rPr>
                <w:sz w:val="2"/>
                <w:szCs w:val="2"/>
                <w:color w:val="auto"/>
              </w:rPr>
            </w:pPr>
          </w:p>
        </w:tc>
        <w:tc>
          <w:tcPr>
            <w:tcW w:w="6360" w:type="dxa"/>
            <w:vAlign w:val="bottom"/>
            <w:tcBorders>
              <w:bottom w:val="single" w:sz="8" w:color="0075C9"/>
            </w:tcBorders>
          </w:tcPr>
          <w:p>
            <w:pPr>
              <w:spacing w:after="0"/>
              <w:rPr>
                <w:sz w:val="2"/>
                <w:szCs w:val="2"/>
                <w:color w:val="auto"/>
              </w:rPr>
            </w:pPr>
          </w:p>
        </w:tc>
        <w:tc>
          <w:tcPr>
            <w:tcW w:w="1680" w:type="dxa"/>
            <w:vAlign w:val="bottom"/>
            <w:tcBorders>
              <w:bottom w:val="single" w:sz="8" w:color="0075C9"/>
            </w:tcBorders>
          </w:tcPr>
          <w:p>
            <w:pPr>
              <w:spacing w:after="0"/>
              <w:rPr>
                <w:sz w:val="2"/>
                <w:szCs w:val="2"/>
                <w:color w:val="auto"/>
              </w:rPr>
            </w:pPr>
          </w:p>
        </w:tc>
        <w:tc>
          <w:tcPr>
            <w:tcW w:w="800" w:type="dxa"/>
            <w:vAlign w:val="bottom"/>
            <w:tcBorders>
              <w:bottom w:val="single" w:sz="8" w:color="0075C9"/>
            </w:tcBorders>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0" w:type="dxa"/>
            <w:vAlign w:val="bottom"/>
          </w:tcPr>
          <w:p>
            <w:pPr>
              <w:spacing w:after="0"/>
              <w:rPr>
                <w:sz w:val="20"/>
                <w:szCs w:val="20"/>
                <w:color w:val="auto"/>
              </w:rPr>
            </w:pPr>
          </w:p>
        </w:tc>
        <w:tc>
          <w:tcPr>
            <w:tcW w:w="6360" w:type="dxa"/>
            <w:vAlign w:val="bottom"/>
            <w:vMerge w:val="restart"/>
          </w:tcPr>
          <w:p>
            <w:pPr>
              <w:ind w:left="320"/>
              <w:spacing w:after="0"/>
              <w:rPr>
                <w:sz w:val="20"/>
                <w:szCs w:val="20"/>
                <w:color w:val="auto"/>
              </w:rPr>
            </w:pPr>
            <w:r>
              <w:rPr>
                <w:rFonts w:ascii="Arial" w:cs="Arial" w:eastAsia="Arial" w:hAnsi="Arial"/>
                <w:sz w:val="16"/>
                <w:szCs w:val="16"/>
                <w:color w:val="auto"/>
              </w:rPr>
              <w:t>Report on how lobbying activities align with Company policies</w:t>
            </w:r>
          </w:p>
        </w:tc>
        <w:tc>
          <w:tcPr>
            <w:tcW w:w="1680" w:type="dxa"/>
            <w:vAlign w:val="bottom"/>
          </w:tcPr>
          <w:p>
            <w:pPr>
              <w:jc w:val="center"/>
              <w:spacing w:after="0"/>
              <w:rPr>
                <w:sz w:val="20"/>
                <w:szCs w:val="20"/>
                <w:color w:val="auto"/>
              </w:rPr>
            </w:pPr>
            <w:r>
              <w:rPr>
                <w:rFonts w:ascii="Arial" w:cs="Arial" w:eastAsia="Arial" w:hAnsi="Arial"/>
                <w:sz w:val="16"/>
                <w:szCs w:val="16"/>
                <w:color w:val="auto"/>
                <w:w w:val="96"/>
              </w:rPr>
              <w:t>AGAINST</w:t>
            </w:r>
          </w:p>
        </w:tc>
        <w:tc>
          <w:tcPr>
            <w:tcW w:w="800" w:type="dxa"/>
            <w:vAlign w:val="bottom"/>
          </w:tcPr>
          <w:p>
            <w:pPr>
              <w:jc w:val="right"/>
              <w:ind w:right="101"/>
              <w:spacing w:after="0"/>
              <w:rPr>
                <w:sz w:val="20"/>
                <w:szCs w:val="20"/>
                <w:color w:val="auto"/>
              </w:rPr>
            </w:pPr>
            <w:r>
              <w:rPr>
                <w:rFonts w:ascii="Arial" w:cs="Arial" w:eastAsia="Arial" w:hAnsi="Arial"/>
                <w:sz w:val="16"/>
                <w:szCs w:val="16"/>
                <w:b w:val="1"/>
                <w:bCs w:val="1"/>
                <w:color w:val="auto"/>
              </w:rPr>
              <w:t>81</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8"/>
        </w:trPr>
        <w:tc>
          <w:tcPr>
            <w:tcW w:w="200" w:type="dxa"/>
            <w:vAlign w:val="bottom"/>
          </w:tcPr>
          <w:p>
            <w:pPr>
              <w:spacing w:after="0"/>
              <w:rPr>
                <w:sz w:val="6"/>
                <w:szCs w:val="6"/>
                <w:color w:val="auto"/>
              </w:rPr>
            </w:pPr>
          </w:p>
        </w:tc>
        <w:tc>
          <w:tcPr>
            <w:tcW w:w="6360" w:type="dxa"/>
            <w:vAlign w:val="bottom"/>
            <w:vMerge w:val="continue"/>
          </w:tcPr>
          <w:p>
            <w:pPr>
              <w:spacing w:after="0"/>
              <w:rPr>
                <w:sz w:val="6"/>
                <w:szCs w:val="6"/>
                <w:color w:val="auto"/>
              </w:rPr>
            </w:pPr>
          </w:p>
        </w:tc>
        <w:tc>
          <w:tcPr>
            <w:tcW w:w="1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
        </w:trPr>
        <w:tc>
          <w:tcPr>
            <w:tcW w:w="200" w:type="dxa"/>
            <w:vAlign w:val="bottom"/>
          </w:tcPr>
          <w:p>
            <w:pPr>
              <w:spacing w:after="0"/>
              <w:rPr>
                <w:sz w:val="2"/>
                <w:szCs w:val="2"/>
                <w:color w:val="auto"/>
              </w:rPr>
            </w:pPr>
          </w:p>
        </w:tc>
        <w:tc>
          <w:tcPr>
            <w:tcW w:w="6360" w:type="dxa"/>
            <w:vAlign w:val="bottom"/>
            <w:tcBorders>
              <w:bottom w:val="single" w:sz="8" w:color="0075C9"/>
            </w:tcBorders>
          </w:tcPr>
          <w:p>
            <w:pPr>
              <w:spacing w:after="0"/>
              <w:rPr>
                <w:sz w:val="2"/>
                <w:szCs w:val="2"/>
                <w:color w:val="auto"/>
              </w:rPr>
            </w:pPr>
          </w:p>
        </w:tc>
        <w:tc>
          <w:tcPr>
            <w:tcW w:w="2480" w:type="dxa"/>
            <w:vAlign w:val="bottom"/>
            <w:tcBorders>
              <w:bottom w:val="single" w:sz="8" w:color="0075C9"/>
            </w:tcBorders>
            <w:gridSpan w:val="2"/>
          </w:tcPr>
          <w:p>
            <w:pPr>
              <w:spacing w:after="0"/>
              <w:rPr>
                <w:sz w:val="2"/>
                <w:szCs w:val="2"/>
                <w:color w:val="auto"/>
              </w:rPr>
            </w:pPr>
          </w:p>
        </w:tc>
        <w:tc>
          <w:tcPr>
            <w:tcW w:w="2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200" w:type="dxa"/>
            <w:vAlign w:val="bottom"/>
            <w:tcBorders>
              <w:bottom w:val="single" w:sz="8" w:color="0075C9"/>
            </w:tcBorders>
          </w:tcPr>
          <w:p>
            <w:pPr>
              <w:spacing w:after="0"/>
              <w:rPr>
                <w:sz w:val="23"/>
                <w:szCs w:val="23"/>
                <w:color w:val="auto"/>
              </w:rPr>
            </w:pPr>
          </w:p>
        </w:tc>
        <w:tc>
          <w:tcPr>
            <w:tcW w:w="6360" w:type="dxa"/>
            <w:vAlign w:val="bottom"/>
            <w:tcBorders>
              <w:bottom w:val="single" w:sz="8" w:color="0075C9"/>
            </w:tcBorders>
          </w:tcPr>
          <w:p>
            <w:pPr>
              <w:spacing w:after="0"/>
              <w:rPr>
                <w:sz w:val="23"/>
                <w:szCs w:val="23"/>
                <w:color w:val="auto"/>
              </w:rPr>
            </w:pPr>
          </w:p>
        </w:tc>
        <w:tc>
          <w:tcPr>
            <w:tcW w:w="1680" w:type="dxa"/>
            <w:vAlign w:val="bottom"/>
            <w:tcBorders>
              <w:bottom w:val="single" w:sz="8" w:color="0075C9"/>
            </w:tcBorders>
          </w:tcPr>
          <w:p>
            <w:pPr>
              <w:spacing w:after="0"/>
              <w:rPr>
                <w:sz w:val="23"/>
                <w:szCs w:val="23"/>
                <w:color w:val="auto"/>
              </w:rPr>
            </w:pPr>
          </w:p>
        </w:tc>
        <w:tc>
          <w:tcPr>
            <w:tcW w:w="800" w:type="dxa"/>
            <w:vAlign w:val="bottom"/>
            <w:tcBorders>
              <w:bottom w:val="single" w:sz="8" w:color="0075C9"/>
            </w:tcBorders>
          </w:tcPr>
          <w:p>
            <w:pPr>
              <w:spacing w:after="0"/>
              <w:rPr>
                <w:sz w:val="23"/>
                <w:szCs w:val="23"/>
                <w:color w:val="auto"/>
              </w:rPr>
            </w:pPr>
          </w:p>
        </w:tc>
        <w:tc>
          <w:tcPr>
            <w:tcW w:w="200" w:type="dxa"/>
            <w:vAlign w:val="bottom"/>
            <w:tcBorders>
              <w:bottom w:val="single" w:sz="8" w:color="0075C9"/>
            </w:tcBorders>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4"/>
        </w:trPr>
        <w:tc>
          <w:tcPr>
            <w:tcW w:w="20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2720" w:type="dxa"/>
            <w:vAlign w:val="bottom"/>
            <w:gridSpan w:val="4"/>
          </w:tcPr>
          <w:p>
            <w:pPr>
              <w:ind w:left="900"/>
              <w:spacing w:after="0"/>
              <w:rPr>
                <w:sz w:val="20"/>
                <w:szCs w:val="20"/>
                <w:color w:val="auto"/>
              </w:rPr>
            </w:pPr>
            <w:r>
              <w:rPr>
                <w:rFonts w:ascii="Arial" w:cs="Arial" w:eastAsia="Arial" w:hAnsi="Arial"/>
                <w:sz w:val="14"/>
                <w:szCs w:val="14"/>
                <w:color w:val="auto"/>
                <w:w w:val="97"/>
              </w:rPr>
              <w:t xml:space="preserve">2021 PROXY STATEMENT </w:t>
            </w:r>
            <w:r>
              <w:rPr>
                <w:rFonts w:ascii="Arial" w:cs="Arial" w:eastAsia="Arial" w:hAnsi="Arial"/>
                <w:sz w:val="14"/>
                <w:szCs w:val="14"/>
                <w:b w:val="1"/>
                <w:bCs w:val="1"/>
                <w:color w:val="0075C9"/>
                <w:w w:val="97"/>
              </w:rPr>
              <w:t>1</w:t>
            </w:r>
          </w:p>
        </w:tc>
        <w:tc>
          <w:tcPr>
            <w:tcW w:w="0" w:type="dxa"/>
            <w:vAlign w:val="bottom"/>
          </w:tcPr>
          <w:p>
            <w:pPr>
              <w:spacing w:after="0"/>
              <w:rPr>
                <w:sz w:val="1"/>
                <w:szCs w:val="1"/>
                <w:color w:val="auto"/>
              </w:rPr>
            </w:pPr>
          </w:p>
        </w:tc>
      </w:tr>
    </w:tbl>
    <w:p>
      <w:pPr>
        <w:sectPr>
          <w:pgSz w:w="11900" w:h="16838" w:orient="portrait"/>
          <w:cols w:equalWidth="0" w:num="1">
            <w:col w:w="10280"/>
          </w:cols>
          <w:pgMar w:left="320" w:top="445" w:right="1299" w:bottom="1440" w:gutter="0" w:footer="0" w:header="0"/>
          <w:type w:val="continuous"/>
        </w:sectPr>
      </w:pPr>
    </w:p>
    <w:bookmarkStart w:id="9" w:name="page10"/>
    <w:bookmarkEnd w:id="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637540</wp:posOffset>
            </wp:positionH>
            <wp:positionV relativeFrom="paragraph">
              <wp:posOffset>226060</wp:posOffset>
            </wp:positionV>
            <wp:extent cx="5868035" cy="6484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68035" cy="648462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1200"/>
        <w:spacing w:after="0"/>
        <w:rPr>
          <w:sz w:val="20"/>
          <w:szCs w:val="20"/>
          <w:color w:val="auto"/>
        </w:rPr>
      </w:pPr>
      <w:r>
        <w:rPr>
          <w:rFonts w:ascii="Arial" w:cs="Arial" w:eastAsia="Arial" w:hAnsi="Arial"/>
          <w:sz w:val="24"/>
          <w:szCs w:val="24"/>
          <w:b w:val="1"/>
          <w:bCs w:val="1"/>
          <w:color w:val="0075C9"/>
        </w:rPr>
        <w:t>Our Director Nominees</w:t>
      </w:r>
    </w:p>
    <w:p>
      <w:pPr>
        <w:spacing w:after="0" w:line="125"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See Part 1 – Governance and our Board of Directors for more information.</w:t>
      </w:r>
    </w:p>
    <w:p>
      <w:pPr>
        <w:spacing w:after="0" w:line="119" w:lineRule="exact"/>
        <w:rPr>
          <w:sz w:val="20"/>
          <w:szCs w:val="20"/>
          <w:color w:val="auto"/>
        </w:rPr>
      </w:pPr>
    </w:p>
    <w:p>
      <w:pPr>
        <w:ind w:left="1200" w:right="119"/>
        <w:spacing w:after="0" w:line="238" w:lineRule="auto"/>
        <w:rPr>
          <w:sz w:val="20"/>
          <w:szCs w:val="20"/>
          <w:color w:val="auto"/>
        </w:rPr>
      </w:pPr>
      <w:r>
        <w:rPr>
          <w:rFonts w:ascii="Arial" w:cs="Arial" w:eastAsia="Arial" w:hAnsi="Arial"/>
          <w:sz w:val="16"/>
          <w:szCs w:val="16"/>
          <w:color w:val="auto"/>
        </w:rPr>
        <w:t>The following table provides summary information about each of the 12 director nominees. Each director is elected annually by a majority of votes cast. The Board has nominated Carlos Rodriguez for election as director. If elected, his term will begin on November 30, 2021. The Board has approved an increase in its size from 11 members to 12 members effective as of November 30, 2021.</w:t>
      </w:r>
    </w:p>
    <w:p>
      <w:pPr>
        <w:spacing w:after="0" w:line="211" w:lineRule="exact"/>
        <w:rPr>
          <w:sz w:val="20"/>
          <w:szCs w:val="20"/>
          <w:color w:val="auto"/>
        </w:rPr>
      </w:pPr>
    </w:p>
    <w:tbl>
      <w:tblPr>
        <w:tblLayout w:type="fixed"/>
        <w:tblInd w:w="1200" w:type="dxa"/>
        <w:tblCellMar>
          <w:top w:w="0" w:type="dxa"/>
          <w:left w:w="0" w:type="dxa"/>
          <w:bottom w:w="0" w:type="dxa"/>
          <w:right w:w="0" w:type="dxa"/>
        </w:tblCellMar>
      </w:tblPr>
      <w:tr>
        <w:trPr>
          <w:trHeight w:val="197"/>
        </w:trPr>
        <w:tc>
          <w:tcPr>
            <w:tcW w:w="3620" w:type="dxa"/>
            <w:vAlign w:val="bottom"/>
          </w:tcPr>
          <w:p>
            <w:pPr>
              <w:ind w:left="80"/>
              <w:spacing w:after="0"/>
              <w:rPr>
                <w:sz w:val="20"/>
                <w:szCs w:val="20"/>
                <w:color w:val="auto"/>
              </w:rPr>
            </w:pPr>
            <w:r>
              <w:rPr>
                <w:rFonts w:ascii="Arial" w:cs="Arial" w:eastAsia="Arial" w:hAnsi="Arial"/>
                <w:sz w:val="16"/>
                <w:szCs w:val="16"/>
                <w:b w:val="1"/>
                <w:bCs w:val="1"/>
                <w:color w:val="auto"/>
              </w:rPr>
              <w:t>Name</w:t>
            </w:r>
          </w:p>
        </w:tc>
        <w:tc>
          <w:tcPr>
            <w:tcW w:w="42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w w:val="97"/>
              </w:rPr>
              <w:t>Director</w:t>
            </w:r>
          </w:p>
        </w:tc>
        <w:tc>
          <w:tcPr>
            <w:tcW w:w="106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6"/>
              </w:rPr>
              <w:t>Other Public</w:t>
            </w:r>
          </w:p>
        </w:tc>
        <w:tc>
          <w:tcPr>
            <w:tcW w:w="19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w w:val="97"/>
              </w:rPr>
              <w:t>Committee Memberships</w:t>
            </w:r>
          </w:p>
        </w:tc>
        <w:tc>
          <w:tcPr>
            <w:tcW w:w="0" w:type="dxa"/>
            <w:vAlign w:val="bottom"/>
          </w:tcPr>
          <w:p>
            <w:pPr>
              <w:spacing w:after="0"/>
              <w:rPr>
                <w:sz w:val="1"/>
                <w:szCs w:val="1"/>
                <w:color w:val="auto"/>
              </w:rPr>
            </w:pPr>
          </w:p>
        </w:tc>
      </w:tr>
      <w:tr>
        <w:trPr>
          <w:trHeight w:val="174"/>
        </w:trPr>
        <w:tc>
          <w:tcPr>
            <w:tcW w:w="3620" w:type="dxa"/>
            <w:vAlign w:val="bottom"/>
            <w:tcBorders>
              <w:bottom w:val="single" w:sz="8" w:color="auto"/>
            </w:tcBorders>
          </w:tcPr>
          <w:p>
            <w:pPr>
              <w:ind w:left="80"/>
              <w:spacing w:after="0" w:line="175" w:lineRule="exact"/>
              <w:rPr>
                <w:sz w:val="20"/>
                <w:szCs w:val="20"/>
                <w:color w:val="auto"/>
              </w:rPr>
            </w:pPr>
            <w:r>
              <w:rPr>
                <w:rFonts w:ascii="Arial" w:cs="Arial" w:eastAsia="Arial" w:hAnsi="Arial"/>
                <w:sz w:val="16"/>
                <w:szCs w:val="16"/>
                <w:b w:val="1"/>
                <w:bCs w:val="1"/>
                <w:color w:val="auto"/>
              </w:rPr>
              <w:t>Occupation</w:t>
            </w:r>
          </w:p>
        </w:tc>
        <w:tc>
          <w:tcPr>
            <w:tcW w:w="42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99"/>
              </w:rPr>
              <w:t>Age</w:t>
            </w:r>
          </w:p>
        </w:tc>
        <w:tc>
          <w:tcPr>
            <w:tcW w:w="72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93"/>
              </w:rPr>
              <w:t>Since</w:t>
            </w:r>
          </w:p>
        </w:tc>
        <w:tc>
          <w:tcPr>
            <w:tcW w:w="106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96"/>
              </w:rPr>
              <w:t>Independent</w:t>
            </w:r>
          </w:p>
        </w:tc>
        <w:tc>
          <w:tcPr>
            <w:tcW w:w="108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94"/>
              </w:rPr>
              <w:t>Boards</w:t>
            </w:r>
          </w:p>
        </w:tc>
        <w:tc>
          <w:tcPr>
            <w:tcW w:w="1940" w:type="dxa"/>
            <w:vAlign w:val="bottom"/>
            <w:tcBorders>
              <w:bottom w:val="single" w:sz="8" w:color="auto"/>
            </w:tcBorders>
          </w:tcPr>
          <w:p>
            <w:pPr>
              <w:ind w:left="40"/>
              <w:spacing w:after="0" w:line="175" w:lineRule="exact"/>
              <w:rPr>
                <w:sz w:val="20"/>
                <w:szCs w:val="20"/>
                <w:color w:val="auto"/>
              </w:rPr>
            </w:pPr>
            <w:r>
              <w:rPr>
                <w:rFonts w:ascii="Arial" w:cs="Arial" w:eastAsia="Arial" w:hAnsi="Arial"/>
                <w:sz w:val="16"/>
                <w:szCs w:val="16"/>
                <w:b w:val="1"/>
                <w:bCs w:val="1"/>
                <w:color w:val="auto"/>
              </w:rPr>
              <w:t>AC   CC   GN   RPP</w:t>
            </w:r>
          </w:p>
        </w:tc>
        <w:tc>
          <w:tcPr>
            <w:tcW w:w="0" w:type="dxa"/>
            <w:vAlign w:val="bottom"/>
          </w:tcPr>
          <w:p>
            <w:pPr>
              <w:spacing w:after="0"/>
              <w:rPr>
                <w:sz w:val="1"/>
                <w:szCs w:val="1"/>
                <w:color w:val="auto"/>
              </w:rPr>
            </w:pPr>
          </w:p>
        </w:tc>
      </w:tr>
      <w:tr>
        <w:trPr>
          <w:trHeight w:val="173"/>
        </w:trPr>
        <w:tc>
          <w:tcPr>
            <w:tcW w:w="3620" w:type="dxa"/>
            <w:vAlign w:val="bottom"/>
          </w:tcPr>
          <w:p>
            <w:pPr>
              <w:ind w:left="80"/>
              <w:spacing w:after="0" w:line="173" w:lineRule="exact"/>
              <w:rPr>
                <w:sz w:val="20"/>
                <w:szCs w:val="20"/>
                <w:color w:val="auto"/>
              </w:rPr>
            </w:pPr>
            <w:r>
              <w:rPr>
                <w:rFonts w:ascii="Arial" w:cs="Arial" w:eastAsia="Arial" w:hAnsi="Arial"/>
                <w:sz w:val="16"/>
                <w:szCs w:val="16"/>
                <w:b w:val="1"/>
                <w:bCs w:val="1"/>
                <w:color w:val="0075C9"/>
              </w:rPr>
              <w:t>Reid G. Hoffman</w:t>
            </w:r>
          </w:p>
        </w:tc>
        <w:tc>
          <w:tcPr>
            <w:tcW w:w="420" w:type="dxa"/>
            <w:vAlign w:val="bottom"/>
            <w:vMerge w:val="restart"/>
          </w:tcPr>
          <w:p>
            <w:pPr>
              <w:jc w:val="center"/>
              <w:spacing w:after="0"/>
              <w:rPr>
                <w:sz w:val="20"/>
                <w:szCs w:val="20"/>
                <w:color w:val="auto"/>
              </w:rPr>
            </w:pPr>
            <w:r>
              <w:rPr>
                <w:rFonts w:ascii="Arial" w:cs="Arial" w:eastAsia="Arial" w:hAnsi="Arial"/>
                <w:sz w:val="16"/>
                <w:szCs w:val="16"/>
                <w:color w:val="auto"/>
              </w:rPr>
              <w:t>54</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auto"/>
              </w:rPr>
              <w:t>2017</w:t>
            </w: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w w:val="86"/>
              </w:rPr>
              <w:t>Yes</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auto"/>
                <w:w w:val="89"/>
              </w:rPr>
              <w:t>2</w:t>
            </w: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3620" w:type="dxa"/>
            <w:vAlign w:val="bottom"/>
            <w:vMerge w:val="restart"/>
          </w:tcPr>
          <w:p>
            <w:pPr>
              <w:ind w:left="80"/>
              <w:spacing w:after="0"/>
              <w:rPr>
                <w:sz w:val="20"/>
                <w:szCs w:val="20"/>
                <w:color w:val="auto"/>
              </w:rPr>
            </w:pPr>
            <w:r>
              <w:rPr>
                <w:rFonts w:ascii="Arial" w:cs="Arial" w:eastAsia="Arial" w:hAnsi="Arial"/>
                <w:sz w:val="16"/>
                <w:szCs w:val="16"/>
                <w:i w:val="1"/>
                <w:iCs w:val="1"/>
                <w:color w:val="auto"/>
              </w:rPr>
              <w:t>General Partner, Greylock Partners</w:t>
            </w:r>
          </w:p>
        </w:tc>
        <w:tc>
          <w:tcPr>
            <w:tcW w:w="4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3620" w:type="dxa"/>
            <w:vAlign w:val="bottom"/>
            <w:tcBorders>
              <w:bottom w:val="single" w:sz="8" w:color="0075C9"/>
            </w:tcBorders>
            <w:vMerge w:val="continue"/>
          </w:tcPr>
          <w:p>
            <w:pPr>
              <w:spacing w:after="0"/>
              <w:rPr>
                <w:sz w:val="8"/>
                <w:szCs w:val="8"/>
                <w:color w:val="auto"/>
              </w:rPr>
            </w:pPr>
          </w:p>
        </w:tc>
        <w:tc>
          <w:tcPr>
            <w:tcW w:w="420" w:type="dxa"/>
            <w:vAlign w:val="bottom"/>
            <w:tcBorders>
              <w:bottom w:val="single" w:sz="8" w:color="0075C9"/>
            </w:tcBorders>
          </w:tcPr>
          <w:p>
            <w:pPr>
              <w:spacing w:after="0"/>
              <w:rPr>
                <w:sz w:val="8"/>
                <w:szCs w:val="8"/>
                <w:color w:val="auto"/>
              </w:rPr>
            </w:pPr>
          </w:p>
        </w:tc>
        <w:tc>
          <w:tcPr>
            <w:tcW w:w="720" w:type="dxa"/>
            <w:vAlign w:val="bottom"/>
            <w:tcBorders>
              <w:bottom w:val="single" w:sz="8" w:color="0075C9"/>
            </w:tcBorders>
          </w:tcPr>
          <w:p>
            <w:pPr>
              <w:spacing w:after="0"/>
              <w:rPr>
                <w:sz w:val="8"/>
                <w:szCs w:val="8"/>
                <w:color w:val="auto"/>
              </w:rPr>
            </w:pPr>
          </w:p>
        </w:tc>
        <w:tc>
          <w:tcPr>
            <w:tcW w:w="1060" w:type="dxa"/>
            <w:vAlign w:val="bottom"/>
            <w:tcBorders>
              <w:bottom w:val="single" w:sz="8" w:color="0075C9"/>
            </w:tcBorders>
          </w:tcPr>
          <w:p>
            <w:pPr>
              <w:spacing w:after="0"/>
              <w:rPr>
                <w:sz w:val="8"/>
                <w:szCs w:val="8"/>
                <w:color w:val="auto"/>
              </w:rPr>
            </w:pPr>
          </w:p>
        </w:tc>
        <w:tc>
          <w:tcPr>
            <w:tcW w:w="1080" w:type="dxa"/>
            <w:vAlign w:val="bottom"/>
            <w:tcBorders>
              <w:bottom w:val="single" w:sz="8" w:color="0075C9"/>
            </w:tcBorders>
          </w:tcPr>
          <w:p>
            <w:pPr>
              <w:spacing w:after="0"/>
              <w:rPr>
                <w:sz w:val="8"/>
                <w:szCs w:val="8"/>
                <w:color w:val="auto"/>
              </w:rPr>
            </w:pPr>
          </w:p>
        </w:tc>
        <w:tc>
          <w:tcPr>
            <w:tcW w:w="1940" w:type="dxa"/>
            <w:vAlign w:val="bottom"/>
            <w:tcBorders>
              <w:bottom w:val="single" w:sz="8" w:color="0075C9"/>
            </w:tcBorders>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3620" w:type="dxa"/>
            <w:vAlign w:val="bottom"/>
          </w:tcPr>
          <w:p>
            <w:pPr>
              <w:ind w:left="80"/>
              <w:spacing w:after="0" w:line="176" w:lineRule="exact"/>
              <w:rPr>
                <w:sz w:val="20"/>
                <w:szCs w:val="20"/>
                <w:color w:val="auto"/>
              </w:rPr>
            </w:pPr>
            <w:r>
              <w:rPr>
                <w:rFonts w:ascii="Arial" w:cs="Arial" w:eastAsia="Arial" w:hAnsi="Arial"/>
                <w:sz w:val="16"/>
                <w:szCs w:val="16"/>
                <w:b w:val="1"/>
                <w:bCs w:val="1"/>
                <w:color w:val="0075C9"/>
              </w:rPr>
              <w:t>Hugh F. Johnston</w:t>
            </w: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620" w:type="dxa"/>
            <w:vAlign w:val="bottom"/>
          </w:tcPr>
          <w:p>
            <w:pPr>
              <w:ind w:left="80"/>
              <w:spacing w:after="0" w:line="181" w:lineRule="exact"/>
              <w:rPr>
                <w:sz w:val="20"/>
                <w:szCs w:val="20"/>
                <w:color w:val="auto"/>
              </w:rPr>
            </w:pPr>
            <w:r>
              <w:rPr>
                <w:rFonts w:ascii="Arial" w:cs="Arial" w:eastAsia="Arial" w:hAnsi="Arial"/>
                <w:sz w:val="16"/>
                <w:szCs w:val="16"/>
                <w:i w:val="1"/>
                <w:iCs w:val="1"/>
                <w:color w:val="auto"/>
              </w:rPr>
              <w:t>Vice Chairman, Executive Vice President, and</w:t>
            </w:r>
          </w:p>
        </w:tc>
        <w:tc>
          <w:tcPr>
            <w:tcW w:w="420" w:type="dxa"/>
            <w:vAlign w:val="bottom"/>
          </w:tcPr>
          <w:p>
            <w:pPr>
              <w:jc w:val="center"/>
              <w:spacing w:after="0" w:line="181" w:lineRule="exact"/>
              <w:rPr>
                <w:sz w:val="20"/>
                <w:szCs w:val="20"/>
                <w:color w:val="auto"/>
              </w:rPr>
            </w:pPr>
            <w:r>
              <w:rPr>
                <w:rFonts w:ascii="Arial" w:cs="Arial" w:eastAsia="Arial" w:hAnsi="Arial"/>
                <w:sz w:val="16"/>
                <w:szCs w:val="16"/>
                <w:color w:val="auto"/>
              </w:rPr>
              <w:t>60</w:t>
            </w:r>
          </w:p>
        </w:tc>
        <w:tc>
          <w:tcPr>
            <w:tcW w:w="720" w:type="dxa"/>
            <w:vAlign w:val="bottom"/>
          </w:tcPr>
          <w:p>
            <w:pPr>
              <w:jc w:val="center"/>
              <w:spacing w:after="0" w:line="181" w:lineRule="exact"/>
              <w:rPr>
                <w:sz w:val="20"/>
                <w:szCs w:val="20"/>
                <w:color w:val="auto"/>
              </w:rPr>
            </w:pPr>
            <w:r>
              <w:rPr>
                <w:rFonts w:ascii="Arial" w:cs="Arial" w:eastAsia="Arial" w:hAnsi="Arial"/>
                <w:sz w:val="16"/>
                <w:szCs w:val="16"/>
                <w:color w:val="auto"/>
              </w:rPr>
              <w:t>2017</w:t>
            </w:r>
          </w:p>
        </w:tc>
        <w:tc>
          <w:tcPr>
            <w:tcW w:w="1060" w:type="dxa"/>
            <w:vAlign w:val="bottom"/>
          </w:tcPr>
          <w:p>
            <w:pPr>
              <w:jc w:val="center"/>
              <w:spacing w:after="0" w:line="181" w:lineRule="exact"/>
              <w:rPr>
                <w:sz w:val="20"/>
                <w:szCs w:val="20"/>
                <w:color w:val="auto"/>
              </w:rPr>
            </w:pPr>
            <w:r>
              <w:rPr>
                <w:rFonts w:ascii="Arial" w:cs="Arial" w:eastAsia="Arial" w:hAnsi="Arial"/>
                <w:sz w:val="16"/>
                <w:szCs w:val="16"/>
                <w:color w:val="auto"/>
                <w:w w:val="86"/>
              </w:rPr>
              <w:t>Yes</w:t>
            </w:r>
          </w:p>
        </w:tc>
        <w:tc>
          <w:tcPr>
            <w:tcW w:w="1080" w:type="dxa"/>
            <w:vAlign w:val="bottom"/>
          </w:tcPr>
          <w:p>
            <w:pPr>
              <w:jc w:val="center"/>
              <w:spacing w:after="0" w:line="181" w:lineRule="exact"/>
              <w:rPr>
                <w:sz w:val="20"/>
                <w:szCs w:val="20"/>
                <w:color w:val="auto"/>
              </w:rPr>
            </w:pPr>
            <w:r>
              <w:rPr>
                <w:rFonts w:ascii="Arial" w:cs="Arial" w:eastAsia="Arial" w:hAnsi="Arial"/>
                <w:sz w:val="16"/>
                <w:szCs w:val="16"/>
                <w:color w:val="auto"/>
                <w:w w:val="89"/>
              </w:rPr>
              <w:t>1</w:t>
            </w: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620" w:type="dxa"/>
            <w:vAlign w:val="bottom"/>
            <w:tcBorders>
              <w:bottom w:val="single" w:sz="8" w:color="0075C9"/>
            </w:tcBorders>
          </w:tcPr>
          <w:p>
            <w:pPr>
              <w:ind w:left="80"/>
              <w:spacing w:after="0"/>
              <w:rPr>
                <w:sz w:val="20"/>
                <w:szCs w:val="20"/>
                <w:color w:val="auto"/>
              </w:rPr>
            </w:pPr>
            <w:r>
              <w:rPr>
                <w:rFonts w:ascii="Arial" w:cs="Arial" w:eastAsia="Arial" w:hAnsi="Arial"/>
                <w:sz w:val="16"/>
                <w:szCs w:val="16"/>
                <w:i w:val="1"/>
                <w:iCs w:val="1"/>
                <w:color w:val="auto"/>
              </w:rPr>
              <w:t>CFO, PepsiCo, Inc.</w:t>
            </w:r>
          </w:p>
        </w:tc>
        <w:tc>
          <w:tcPr>
            <w:tcW w:w="420" w:type="dxa"/>
            <w:vAlign w:val="bottom"/>
            <w:tcBorders>
              <w:bottom w:val="single" w:sz="8" w:color="0075C9"/>
            </w:tcBorders>
          </w:tcPr>
          <w:p>
            <w:pPr>
              <w:spacing w:after="0"/>
              <w:rPr>
                <w:sz w:val="17"/>
                <w:szCs w:val="17"/>
                <w:color w:val="auto"/>
              </w:rPr>
            </w:pPr>
          </w:p>
        </w:tc>
        <w:tc>
          <w:tcPr>
            <w:tcW w:w="720" w:type="dxa"/>
            <w:vAlign w:val="bottom"/>
            <w:tcBorders>
              <w:bottom w:val="single" w:sz="8" w:color="0075C9"/>
            </w:tcBorders>
          </w:tcPr>
          <w:p>
            <w:pPr>
              <w:spacing w:after="0"/>
              <w:rPr>
                <w:sz w:val="17"/>
                <w:szCs w:val="17"/>
                <w:color w:val="auto"/>
              </w:rPr>
            </w:pPr>
          </w:p>
        </w:tc>
        <w:tc>
          <w:tcPr>
            <w:tcW w:w="1060" w:type="dxa"/>
            <w:vAlign w:val="bottom"/>
            <w:tcBorders>
              <w:bottom w:val="single" w:sz="8" w:color="0075C9"/>
            </w:tcBorders>
          </w:tcPr>
          <w:p>
            <w:pPr>
              <w:spacing w:after="0"/>
              <w:rPr>
                <w:sz w:val="17"/>
                <w:szCs w:val="17"/>
                <w:color w:val="auto"/>
              </w:rPr>
            </w:pPr>
          </w:p>
        </w:tc>
        <w:tc>
          <w:tcPr>
            <w:tcW w:w="1080" w:type="dxa"/>
            <w:vAlign w:val="bottom"/>
            <w:tcBorders>
              <w:bottom w:val="single" w:sz="8" w:color="0075C9"/>
            </w:tcBorders>
          </w:tcPr>
          <w:p>
            <w:pPr>
              <w:spacing w:after="0"/>
              <w:rPr>
                <w:sz w:val="17"/>
                <w:szCs w:val="17"/>
                <w:color w:val="auto"/>
              </w:rPr>
            </w:pPr>
          </w:p>
        </w:tc>
        <w:tc>
          <w:tcPr>
            <w:tcW w:w="1940" w:type="dxa"/>
            <w:vAlign w:val="bottom"/>
            <w:tcBorders>
              <w:bottom w:val="single" w:sz="8" w:color="0075C9"/>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620" w:type="dxa"/>
            <w:vAlign w:val="bottom"/>
          </w:tcPr>
          <w:p>
            <w:pPr>
              <w:ind w:left="80"/>
              <w:spacing w:after="0" w:line="176" w:lineRule="exact"/>
              <w:rPr>
                <w:sz w:val="20"/>
                <w:szCs w:val="20"/>
                <w:color w:val="auto"/>
              </w:rPr>
            </w:pPr>
            <w:r>
              <w:rPr>
                <w:rFonts w:ascii="Arial" w:cs="Arial" w:eastAsia="Arial" w:hAnsi="Arial"/>
                <w:sz w:val="16"/>
                <w:szCs w:val="16"/>
                <w:b w:val="1"/>
                <w:bCs w:val="1"/>
                <w:color w:val="0075C9"/>
              </w:rPr>
              <w:t>Teri L. List</w:t>
            </w: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620" w:type="dxa"/>
            <w:vAlign w:val="bottom"/>
          </w:tcPr>
          <w:p>
            <w:pPr>
              <w:ind w:left="80"/>
              <w:spacing w:after="0" w:line="181" w:lineRule="exact"/>
              <w:rPr>
                <w:sz w:val="20"/>
                <w:szCs w:val="20"/>
                <w:color w:val="auto"/>
              </w:rPr>
            </w:pPr>
            <w:r>
              <w:rPr>
                <w:rFonts w:ascii="Arial" w:cs="Arial" w:eastAsia="Arial" w:hAnsi="Arial"/>
                <w:sz w:val="16"/>
                <w:szCs w:val="16"/>
                <w:i w:val="1"/>
                <w:iCs w:val="1"/>
                <w:color w:val="auto"/>
              </w:rPr>
              <w:t>Former Executive Vice President and CFO,</w:t>
            </w:r>
          </w:p>
        </w:tc>
        <w:tc>
          <w:tcPr>
            <w:tcW w:w="420" w:type="dxa"/>
            <w:vAlign w:val="bottom"/>
          </w:tcPr>
          <w:p>
            <w:pPr>
              <w:jc w:val="center"/>
              <w:spacing w:after="0" w:line="181" w:lineRule="exact"/>
              <w:rPr>
                <w:sz w:val="20"/>
                <w:szCs w:val="20"/>
                <w:color w:val="auto"/>
              </w:rPr>
            </w:pPr>
            <w:r>
              <w:rPr>
                <w:rFonts w:ascii="Arial" w:cs="Arial" w:eastAsia="Arial" w:hAnsi="Arial"/>
                <w:sz w:val="16"/>
                <w:szCs w:val="16"/>
                <w:color w:val="auto"/>
              </w:rPr>
              <w:t>58</w:t>
            </w:r>
          </w:p>
        </w:tc>
        <w:tc>
          <w:tcPr>
            <w:tcW w:w="720" w:type="dxa"/>
            <w:vAlign w:val="bottom"/>
          </w:tcPr>
          <w:p>
            <w:pPr>
              <w:jc w:val="center"/>
              <w:spacing w:after="0" w:line="181" w:lineRule="exact"/>
              <w:rPr>
                <w:sz w:val="20"/>
                <w:szCs w:val="20"/>
                <w:color w:val="auto"/>
              </w:rPr>
            </w:pPr>
            <w:r>
              <w:rPr>
                <w:rFonts w:ascii="Arial" w:cs="Arial" w:eastAsia="Arial" w:hAnsi="Arial"/>
                <w:sz w:val="16"/>
                <w:szCs w:val="16"/>
                <w:color w:val="auto"/>
              </w:rPr>
              <w:t>2014</w:t>
            </w:r>
          </w:p>
        </w:tc>
        <w:tc>
          <w:tcPr>
            <w:tcW w:w="1060" w:type="dxa"/>
            <w:vAlign w:val="bottom"/>
          </w:tcPr>
          <w:p>
            <w:pPr>
              <w:jc w:val="center"/>
              <w:spacing w:after="0" w:line="181" w:lineRule="exact"/>
              <w:rPr>
                <w:sz w:val="20"/>
                <w:szCs w:val="20"/>
                <w:color w:val="auto"/>
              </w:rPr>
            </w:pPr>
            <w:r>
              <w:rPr>
                <w:rFonts w:ascii="Arial" w:cs="Arial" w:eastAsia="Arial" w:hAnsi="Arial"/>
                <w:sz w:val="16"/>
                <w:szCs w:val="16"/>
                <w:color w:val="auto"/>
                <w:w w:val="86"/>
              </w:rPr>
              <w:t>Yes</w:t>
            </w:r>
          </w:p>
        </w:tc>
        <w:tc>
          <w:tcPr>
            <w:tcW w:w="1080" w:type="dxa"/>
            <w:vAlign w:val="bottom"/>
          </w:tcPr>
          <w:p>
            <w:pPr>
              <w:jc w:val="center"/>
              <w:spacing w:after="0" w:line="181" w:lineRule="exact"/>
              <w:rPr>
                <w:sz w:val="20"/>
                <w:szCs w:val="20"/>
                <w:color w:val="auto"/>
              </w:rPr>
            </w:pPr>
            <w:r>
              <w:rPr>
                <w:rFonts w:ascii="Arial" w:cs="Arial" w:eastAsia="Arial" w:hAnsi="Arial"/>
                <w:sz w:val="16"/>
                <w:szCs w:val="16"/>
                <w:color w:val="auto"/>
                <w:w w:val="89"/>
              </w:rPr>
              <w:t>3</w:t>
            </w: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620" w:type="dxa"/>
            <w:vAlign w:val="bottom"/>
            <w:tcBorders>
              <w:bottom w:val="single" w:sz="8" w:color="0075C9"/>
            </w:tcBorders>
          </w:tcPr>
          <w:p>
            <w:pPr>
              <w:ind w:left="80"/>
              <w:spacing w:after="0"/>
              <w:rPr>
                <w:sz w:val="20"/>
                <w:szCs w:val="20"/>
                <w:color w:val="auto"/>
              </w:rPr>
            </w:pPr>
            <w:r>
              <w:rPr>
                <w:rFonts w:ascii="Arial" w:cs="Arial" w:eastAsia="Arial" w:hAnsi="Arial"/>
                <w:sz w:val="16"/>
                <w:szCs w:val="16"/>
                <w:i w:val="1"/>
                <w:iCs w:val="1"/>
                <w:color w:val="auto"/>
              </w:rPr>
              <w:t>The Gap, Inc.</w:t>
            </w:r>
          </w:p>
        </w:tc>
        <w:tc>
          <w:tcPr>
            <w:tcW w:w="420" w:type="dxa"/>
            <w:vAlign w:val="bottom"/>
            <w:tcBorders>
              <w:bottom w:val="single" w:sz="8" w:color="0075C9"/>
            </w:tcBorders>
          </w:tcPr>
          <w:p>
            <w:pPr>
              <w:spacing w:after="0"/>
              <w:rPr>
                <w:sz w:val="17"/>
                <w:szCs w:val="17"/>
                <w:color w:val="auto"/>
              </w:rPr>
            </w:pPr>
          </w:p>
        </w:tc>
        <w:tc>
          <w:tcPr>
            <w:tcW w:w="720" w:type="dxa"/>
            <w:vAlign w:val="bottom"/>
            <w:tcBorders>
              <w:bottom w:val="single" w:sz="8" w:color="0075C9"/>
            </w:tcBorders>
          </w:tcPr>
          <w:p>
            <w:pPr>
              <w:spacing w:after="0"/>
              <w:rPr>
                <w:sz w:val="17"/>
                <w:szCs w:val="17"/>
                <w:color w:val="auto"/>
              </w:rPr>
            </w:pPr>
          </w:p>
        </w:tc>
        <w:tc>
          <w:tcPr>
            <w:tcW w:w="1060" w:type="dxa"/>
            <w:vAlign w:val="bottom"/>
            <w:tcBorders>
              <w:bottom w:val="single" w:sz="8" w:color="0075C9"/>
            </w:tcBorders>
          </w:tcPr>
          <w:p>
            <w:pPr>
              <w:spacing w:after="0"/>
              <w:rPr>
                <w:sz w:val="17"/>
                <w:szCs w:val="17"/>
                <w:color w:val="auto"/>
              </w:rPr>
            </w:pPr>
          </w:p>
        </w:tc>
        <w:tc>
          <w:tcPr>
            <w:tcW w:w="1080" w:type="dxa"/>
            <w:vAlign w:val="bottom"/>
            <w:tcBorders>
              <w:bottom w:val="single" w:sz="8" w:color="0075C9"/>
            </w:tcBorders>
          </w:tcPr>
          <w:p>
            <w:pPr>
              <w:spacing w:after="0"/>
              <w:rPr>
                <w:sz w:val="17"/>
                <w:szCs w:val="17"/>
                <w:color w:val="auto"/>
              </w:rPr>
            </w:pPr>
          </w:p>
        </w:tc>
        <w:tc>
          <w:tcPr>
            <w:tcW w:w="1940" w:type="dxa"/>
            <w:vAlign w:val="bottom"/>
            <w:tcBorders>
              <w:bottom w:val="single" w:sz="8" w:color="0075C9"/>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620" w:type="dxa"/>
            <w:vAlign w:val="bottom"/>
          </w:tcPr>
          <w:p>
            <w:pPr>
              <w:ind w:left="80"/>
              <w:spacing w:after="0" w:line="176" w:lineRule="exact"/>
              <w:rPr>
                <w:sz w:val="20"/>
                <w:szCs w:val="20"/>
                <w:color w:val="auto"/>
              </w:rPr>
            </w:pPr>
            <w:r>
              <w:rPr>
                <w:rFonts w:ascii="Arial" w:cs="Arial" w:eastAsia="Arial" w:hAnsi="Arial"/>
                <w:sz w:val="16"/>
                <w:szCs w:val="16"/>
                <w:b w:val="1"/>
                <w:bCs w:val="1"/>
                <w:color w:val="0075C9"/>
              </w:rPr>
              <w:t>Satya Nadella</w:t>
            </w:r>
          </w:p>
        </w:tc>
        <w:tc>
          <w:tcPr>
            <w:tcW w:w="420" w:type="dxa"/>
            <w:vAlign w:val="bottom"/>
            <w:vMerge w:val="restart"/>
          </w:tcPr>
          <w:p>
            <w:pPr>
              <w:jc w:val="center"/>
              <w:spacing w:after="0"/>
              <w:rPr>
                <w:sz w:val="20"/>
                <w:szCs w:val="20"/>
                <w:color w:val="auto"/>
              </w:rPr>
            </w:pPr>
            <w:r>
              <w:rPr>
                <w:rFonts w:ascii="Arial" w:cs="Arial" w:eastAsia="Arial" w:hAnsi="Arial"/>
                <w:sz w:val="16"/>
                <w:szCs w:val="16"/>
                <w:color w:val="auto"/>
              </w:rPr>
              <w:t>54</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auto"/>
              </w:rPr>
              <w:t>2014</w:t>
            </w: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w w:val="97"/>
              </w:rPr>
              <w:t>No</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auto"/>
                <w:w w:val="89"/>
              </w:rPr>
              <w:t>1</w:t>
            </w: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3620" w:type="dxa"/>
            <w:vAlign w:val="bottom"/>
            <w:vMerge w:val="restart"/>
          </w:tcPr>
          <w:p>
            <w:pPr>
              <w:ind w:left="80"/>
              <w:spacing w:after="0"/>
              <w:rPr>
                <w:sz w:val="20"/>
                <w:szCs w:val="20"/>
                <w:color w:val="auto"/>
              </w:rPr>
            </w:pPr>
            <w:r>
              <w:rPr>
                <w:rFonts w:ascii="Arial" w:cs="Arial" w:eastAsia="Arial" w:hAnsi="Arial"/>
                <w:sz w:val="16"/>
                <w:szCs w:val="16"/>
                <w:i w:val="1"/>
                <w:iCs w:val="1"/>
                <w:color w:val="auto"/>
              </w:rPr>
              <w:t>Chairman and CEO, Microsoft Corporation</w:t>
            </w:r>
          </w:p>
        </w:tc>
        <w:tc>
          <w:tcPr>
            <w:tcW w:w="4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3620" w:type="dxa"/>
            <w:vAlign w:val="bottom"/>
            <w:tcBorders>
              <w:bottom w:val="single" w:sz="8" w:color="0075C9"/>
            </w:tcBorders>
            <w:vMerge w:val="continue"/>
          </w:tcPr>
          <w:p>
            <w:pPr>
              <w:spacing w:after="0"/>
              <w:rPr>
                <w:sz w:val="8"/>
                <w:szCs w:val="8"/>
                <w:color w:val="auto"/>
              </w:rPr>
            </w:pPr>
          </w:p>
        </w:tc>
        <w:tc>
          <w:tcPr>
            <w:tcW w:w="420" w:type="dxa"/>
            <w:vAlign w:val="bottom"/>
            <w:tcBorders>
              <w:bottom w:val="single" w:sz="8" w:color="0075C9"/>
            </w:tcBorders>
          </w:tcPr>
          <w:p>
            <w:pPr>
              <w:spacing w:after="0"/>
              <w:rPr>
                <w:sz w:val="8"/>
                <w:szCs w:val="8"/>
                <w:color w:val="auto"/>
              </w:rPr>
            </w:pPr>
          </w:p>
        </w:tc>
        <w:tc>
          <w:tcPr>
            <w:tcW w:w="720" w:type="dxa"/>
            <w:vAlign w:val="bottom"/>
            <w:tcBorders>
              <w:bottom w:val="single" w:sz="8" w:color="0075C9"/>
            </w:tcBorders>
          </w:tcPr>
          <w:p>
            <w:pPr>
              <w:spacing w:after="0"/>
              <w:rPr>
                <w:sz w:val="8"/>
                <w:szCs w:val="8"/>
                <w:color w:val="auto"/>
              </w:rPr>
            </w:pPr>
          </w:p>
        </w:tc>
        <w:tc>
          <w:tcPr>
            <w:tcW w:w="1060" w:type="dxa"/>
            <w:vAlign w:val="bottom"/>
            <w:tcBorders>
              <w:bottom w:val="single" w:sz="8" w:color="0075C9"/>
            </w:tcBorders>
          </w:tcPr>
          <w:p>
            <w:pPr>
              <w:spacing w:after="0"/>
              <w:rPr>
                <w:sz w:val="8"/>
                <w:szCs w:val="8"/>
                <w:color w:val="auto"/>
              </w:rPr>
            </w:pPr>
          </w:p>
        </w:tc>
        <w:tc>
          <w:tcPr>
            <w:tcW w:w="1080" w:type="dxa"/>
            <w:vAlign w:val="bottom"/>
            <w:tcBorders>
              <w:bottom w:val="single" w:sz="8" w:color="0075C9"/>
            </w:tcBorders>
          </w:tcPr>
          <w:p>
            <w:pPr>
              <w:spacing w:after="0"/>
              <w:rPr>
                <w:sz w:val="8"/>
                <w:szCs w:val="8"/>
                <w:color w:val="auto"/>
              </w:rPr>
            </w:pPr>
          </w:p>
        </w:tc>
        <w:tc>
          <w:tcPr>
            <w:tcW w:w="1940" w:type="dxa"/>
            <w:vAlign w:val="bottom"/>
            <w:tcBorders>
              <w:bottom w:val="single" w:sz="8" w:color="0075C9"/>
            </w:tcBorders>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3620" w:type="dxa"/>
            <w:vAlign w:val="bottom"/>
          </w:tcPr>
          <w:p>
            <w:pPr>
              <w:ind w:left="80"/>
              <w:spacing w:after="0" w:line="176" w:lineRule="exact"/>
              <w:rPr>
                <w:sz w:val="20"/>
                <w:szCs w:val="20"/>
                <w:color w:val="auto"/>
              </w:rPr>
            </w:pPr>
            <w:r>
              <w:rPr>
                <w:rFonts w:ascii="Arial" w:cs="Arial" w:eastAsia="Arial" w:hAnsi="Arial"/>
                <w:sz w:val="16"/>
                <w:szCs w:val="16"/>
                <w:b w:val="1"/>
                <w:bCs w:val="1"/>
                <w:color w:val="0075C9"/>
              </w:rPr>
              <w:t>Sandra E. Peterson</w:t>
            </w:r>
          </w:p>
        </w:tc>
        <w:tc>
          <w:tcPr>
            <w:tcW w:w="420" w:type="dxa"/>
            <w:vAlign w:val="bottom"/>
            <w:vMerge w:val="restart"/>
          </w:tcPr>
          <w:p>
            <w:pPr>
              <w:jc w:val="center"/>
              <w:spacing w:after="0"/>
              <w:rPr>
                <w:sz w:val="20"/>
                <w:szCs w:val="20"/>
                <w:color w:val="auto"/>
              </w:rPr>
            </w:pPr>
            <w:r>
              <w:rPr>
                <w:rFonts w:ascii="Arial" w:cs="Arial" w:eastAsia="Arial" w:hAnsi="Arial"/>
                <w:sz w:val="16"/>
                <w:szCs w:val="16"/>
                <w:color w:val="auto"/>
              </w:rPr>
              <w:t>62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auto"/>
              </w:rPr>
              <w:t>2015</w:t>
            </w: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w w:val="86"/>
              </w:rPr>
              <w:t>Yes</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auto"/>
                <w:w w:val="89"/>
              </w:rPr>
              <w:t>2</w:t>
            </w: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3620" w:type="dxa"/>
            <w:vAlign w:val="bottom"/>
            <w:vMerge w:val="restart"/>
          </w:tcPr>
          <w:p>
            <w:pPr>
              <w:ind w:left="80"/>
              <w:spacing w:after="0"/>
              <w:rPr>
                <w:sz w:val="20"/>
                <w:szCs w:val="20"/>
                <w:color w:val="auto"/>
              </w:rPr>
            </w:pPr>
            <w:r>
              <w:rPr>
                <w:rFonts w:ascii="Arial" w:cs="Arial" w:eastAsia="Arial" w:hAnsi="Arial"/>
                <w:sz w:val="16"/>
                <w:szCs w:val="16"/>
                <w:i w:val="1"/>
                <w:iCs w:val="1"/>
                <w:color w:val="auto"/>
              </w:rPr>
              <w:t>Operating Partner, Clayton, Dubilier &amp; Rice, LLC</w:t>
            </w:r>
          </w:p>
        </w:tc>
        <w:tc>
          <w:tcPr>
            <w:tcW w:w="4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3620" w:type="dxa"/>
            <w:vAlign w:val="bottom"/>
            <w:tcBorders>
              <w:bottom w:val="single" w:sz="8" w:color="0075C9"/>
            </w:tcBorders>
            <w:vMerge w:val="continue"/>
          </w:tcPr>
          <w:p>
            <w:pPr>
              <w:spacing w:after="0"/>
              <w:rPr>
                <w:sz w:val="8"/>
                <w:szCs w:val="8"/>
                <w:color w:val="auto"/>
              </w:rPr>
            </w:pPr>
          </w:p>
        </w:tc>
        <w:tc>
          <w:tcPr>
            <w:tcW w:w="420" w:type="dxa"/>
            <w:vAlign w:val="bottom"/>
            <w:tcBorders>
              <w:bottom w:val="single" w:sz="8" w:color="0075C9"/>
            </w:tcBorders>
          </w:tcPr>
          <w:p>
            <w:pPr>
              <w:spacing w:after="0"/>
              <w:rPr>
                <w:sz w:val="8"/>
                <w:szCs w:val="8"/>
                <w:color w:val="auto"/>
              </w:rPr>
            </w:pPr>
          </w:p>
        </w:tc>
        <w:tc>
          <w:tcPr>
            <w:tcW w:w="720" w:type="dxa"/>
            <w:vAlign w:val="bottom"/>
            <w:tcBorders>
              <w:bottom w:val="single" w:sz="8" w:color="0075C9"/>
            </w:tcBorders>
          </w:tcPr>
          <w:p>
            <w:pPr>
              <w:spacing w:after="0"/>
              <w:rPr>
                <w:sz w:val="8"/>
                <w:szCs w:val="8"/>
                <w:color w:val="auto"/>
              </w:rPr>
            </w:pPr>
          </w:p>
        </w:tc>
        <w:tc>
          <w:tcPr>
            <w:tcW w:w="1060" w:type="dxa"/>
            <w:vAlign w:val="bottom"/>
            <w:tcBorders>
              <w:bottom w:val="single" w:sz="8" w:color="0075C9"/>
            </w:tcBorders>
          </w:tcPr>
          <w:p>
            <w:pPr>
              <w:spacing w:after="0"/>
              <w:rPr>
                <w:sz w:val="8"/>
                <w:szCs w:val="8"/>
                <w:color w:val="auto"/>
              </w:rPr>
            </w:pPr>
          </w:p>
        </w:tc>
        <w:tc>
          <w:tcPr>
            <w:tcW w:w="1080" w:type="dxa"/>
            <w:vAlign w:val="bottom"/>
            <w:tcBorders>
              <w:bottom w:val="single" w:sz="8" w:color="0075C9"/>
            </w:tcBorders>
          </w:tcPr>
          <w:p>
            <w:pPr>
              <w:spacing w:after="0"/>
              <w:rPr>
                <w:sz w:val="8"/>
                <w:szCs w:val="8"/>
                <w:color w:val="auto"/>
              </w:rPr>
            </w:pPr>
          </w:p>
        </w:tc>
        <w:tc>
          <w:tcPr>
            <w:tcW w:w="1940" w:type="dxa"/>
            <w:vAlign w:val="bottom"/>
            <w:tcBorders>
              <w:bottom w:val="single" w:sz="8" w:color="0075C9"/>
            </w:tcBorders>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3620" w:type="dxa"/>
            <w:vAlign w:val="bottom"/>
          </w:tcPr>
          <w:p>
            <w:pPr>
              <w:ind w:left="80"/>
              <w:spacing w:after="0" w:line="176" w:lineRule="exact"/>
              <w:rPr>
                <w:sz w:val="20"/>
                <w:szCs w:val="20"/>
                <w:color w:val="auto"/>
              </w:rPr>
            </w:pPr>
            <w:r>
              <w:rPr>
                <w:rFonts w:ascii="Arial" w:cs="Arial" w:eastAsia="Arial" w:hAnsi="Arial"/>
                <w:sz w:val="16"/>
                <w:szCs w:val="16"/>
                <w:b w:val="1"/>
                <w:bCs w:val="1"/>
                <w:color w:val="0075C9"/>
              </w:rPr>
              <w:t>Penny S. Pritzker</w:t>
            </w:r>
          </w:p>
        </w:tc>
        <w:tc>
          <w:tcPr>
            <w:tcW w:w="420" w:type="dxa"/>
            <w:vAlign w:val="bottom"/>
            <w:vMerge w:val="restart"/>
          </w:tcPr>
          <w:p>
            <w:pPr>
              <w:jc w:val="center"/>
              <w:spacing w:after="0"/>
              <w:rPr>
                <w:sz w:val="20"/>
                <w:szCs w:val="20"/>
                <w:color w:val="auto"/>
              </w:rPr>
            </w:pPr>
            <w:r>
              <w:rPr>
                <w:rFonts w:ascii="Arial" w:cs="Arial" w:eastAsia="Arial" w:hAnsi="Arial"/>
                <w:sz w:val="16"/>
                <w:szCs w:val="16"/>
                <w:color w:val="auto"/>
              </w:rPr>
              <w:t>62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auto"/>
              </w:rPr>
              <w:t>2017</w:t>
            </w: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w w:val="86"/>
              </w:rPr>
              <w:t>Yes</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auto"/>
                <w:w w:val="89"/>
              </w:rPr>
              <w:t>0</w:t>
            </w: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3620" w:type="dxa"/>
            <w:vAlign w:val="bottom"/>
            <w:vMerge w:val="restart"/>
          </w:tcPr>
          <w:p>
            <w:pPr>
              <w:ind w:left="80"/>
              <w:spacing w:after="0"/>
              <w:rPr>
                <w:sz w:val="20"/>
                <w:szCs w:val="20"/>
                <w:color w:val="auto"/>
              </w:rPr>
            </w:pPr>
            <w:r>
              <w:rPr>
                <w:rFonts w:ascii="Arial" w:cs="Arial" w:eastAsia="Arial" w:hAnsi="Arial"/>
                <w:sz w:val="16"/>
                <w:szCs w:val="16"/>
                <w:i w:val="1"/>
                <w:iCs w:val="1"/>
                <w:color w:val="auto"/>
              </w:rPr>
              <w:t>Founder and Chairman, PSP Partners, LLC</w:t>
            </w:r>
          </w:p>
        </w:tc>
        <w:tc>
          <w:tcPr>
            <w:tcW w:w="4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3620" w:type="dxa"/>
            <w:vAlign w:val="bottom"/>
            <w:tcBorders>
              <w:bottom w:val="single" w:sz="8" w:color="0075C9"/>
            </w:tcBorders>
            <w:vMerge w:val="continue"/>
          </w:tcPr>
          <w:p>
            <w:pPr>
              <w:spacing w:after="0"/>
              <w:rPr>
                <w:sz w:val="8"/>
                <w:szCs w:val="8"/>
                <w:color w:val="auto"/>
              </w:rPr>
            </w:pPr>
          </w:p>
        </w:tc>
        <w:tc>
          <w:tcPr>
            <w:tcW w:w="420" w:type="dxa"/>
            <w:vAlign w:val="bottom"/>
            <w:tcBorders>
              <w:bottom w:val="single" w:sz="8" w:color="0075C9"/>
            </w:tcBorders>
          </w:tcPr>
          <w:p>
            <w:pPr>
              <w:spacing w:after="0"/>
              <w:rPr>
                <w:sz w:val="8"/>
                <w:szCs w:val="8"/>
                <w:color w:val="auto"/>
              </w:rPr>
            </w:pPr>
          </w:p>
        </w:tc>
        <w:tc>
          <w:tcPr>
            <w:tcW w:w="720" w:type="dxa"/>
            <w:vAlign w:val="bottom"/>
            <w:tcBorders>
              <w:bottom w:val="single" w:sz="8" w:color="0075C9"/>
            </w:tcBorders>
          </w:tcPr>
          <w:p>
            <w:pPr>
              <w:spacing w:after="0"/>
              <w:rPr>
                <w:sz w:val="8"/>
                <w:szCs w:val="8"/>
                <w:color w:val="auto"/>
              </w:rPr>
            </w:pPr>
          </w:p>
        </w:tc>
        <w:tc>
          <w:tcPr>
            <w:tcW w:w="1060" w:type="dxa"/>
            <w:vAlign w:val="bottom"/>
            <w:tcBorders>
              <w:bottom w:val="single" w:sz="8" w:color="0075C9"/>
            </w:tcBorders>
          </w:tcPr>
          <w:p>
            <w:pPr>
              <w:spacing w:after="0"/>
              <w:rPr>
                <w:sz w:val="8"/>
                <w:szCs w:val="8"/>
                <w:color w:val="auto"/>
              </w:rPr>
            </w:pPr>
          </w:p>
        </w:tc>
        <w:tc>
          <w:tcPr>
            <w:tcW w:w="1080" w:type="dxa"/>
            <w:vAlign w:val="bottom"/>
            <w:tcBorders>
              <w:bottom w:val="single" w:sz="8" w:color="0075C9"/>
            </w:tcBorders>
          </w:tcPr>
          <w:p>
            <w:pPr>
              <w:spacing w:after="0"/>
              <w:rPr>
                <w:sz w:val="8"/>
                <w:szCs w:val="8"/>
                <w:color w:val="auto"/>
              </w:rPr>
            </w:pPr>
          </w:p>
        </w:tc>
        <w:tc>
          <w:tcPr>
            <w:tcW w:w="1940" w:type="dxa"/>
            <w:vAlign w:val="bottom"/>
            <w:tcBorders>
              <w:bottom w:val="single" w:sz="8" w:color="0075C9"/>
            </w:tcBorders>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3620" w:type="dxa"/>
            <w:vAlign w:val="bottom"/>
          </w:tcPr>
          <w:p>
            <w:pPr>
              <w:ind w:left="80"/>
              <w:spacing w:after="0" w:line="176" w:lineRule="exact"/>
              <w:rPr>
                <w:sz w:val="20"/>
                <w:szCs w:val="20"/>
                <w:color w:val="auto"/>
              </w:rPr>
            </w:pPr>
            <w:r>
              <w:rPr>
                <w:rFonts w:ascii="Arial" w:cs="Arial" w:eastAsia="Arial" w:hAnsi="Arial"/>
                <w:sz w:val="16"/>
                <w:szCs w:val="16"/>
                <w:b w:val="1"/>
                <w:bCs w:val="1"/>
                <w:color w:val="0075C9"/>
              </w:rPr>
              <w:t>Carlos A. Rodriguez</w:t>
            </w: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620" w:type="dxa"/>
            <w:vAlign w:val="bottom"/>
          </w:tcPr>
          <w:p>
            <w:pPr>
              <w:ind w:left="80"/>
              <w:spacing w:after="0" w:line="181" w:lineRule="exact"/>
              <w:rPr>
                <w:sz w:val="20"/>
                <w:szCs w:val="20"/>
                <w:color w:val="auto"/>
              </w:rPr>
            </w:pPr>
            <w:r>
              <w:rPr>
                <w:rFonts w:ascii="Arial" w:cs="Arial" w:eastAsia="Arial" w:hAnsi="Arial"/>
                <w:sz w:val="16"/>
                <w:szCs w:val="16"/>
                <w:i w:val="1"/>
                <w:iCs w:val="1"/>
                <w:color w:val="auto"/>
              </w:rPr>
              <w:t>President, CEO, and Director, Automatic Data</w:t>
            </w:r>
          </w:p>
        </w:tc>
        <w:tc>
          <w:tcPr>
            <w:tcW w:w="420" w:type="dxa"/>
            <w:vAlign w:val="bottom"/>
          </w:tcPr>
          <w:p>
            <w:pPr>
              <w:jc w:val="center"/>
              <w:spacing w:after="0" w:line="181" w:lineRule="exact"/>
              <w:rPr>
                <w:sz w:val="20"/>
                <w:szCs w:val="20"/>
                <w:color w:val="auto"/>
              </w:rPr>
            </w:pPr>
            <w:r>
              <w:rPr>
                <w:rFonts w:ascii="Arial" w:cs="Arial" w:eastAsia="Arial" w:hAnsi="Arial"/>
                <w:sz w:val="16"/>
                <w:szCs w:val="16"/>
                <w:color w:val="auto"/>
              </w:rPr>
              <w:t>57</w:t>
            </w:r>
          </w:p>
        </w:tc>
        <w:tc>
          <w:tcPr>
            <w:tcW w:w="720" w:type="dxa"/>
            <w:vAlign w:val="bottom"/>
          </w:tcPr>
          <w:p>
            <w:pPr>
              <w:jc w:val="center"/>
              <w:spacing w:after="0" w:line="181" w:lineRule="exact"/>
              <w:rPr>
                <w:sz w:val="20"/>
                <w:szCs w:val="20"/>
                <w:color w:val="auto"/>
              </w:rPr>
            </w:pPr>
            <w:r>
              <w:rPr>
                <w:rFonts w:ascii="Arial" w:cs="Arial" w:eastAsia="Arial" w:hAnsi="Arial"/>
                <w:sz w:val="16"/>
                <w:szCs w:val="16"/>
                <w:color w:val="auto"/>
                <w:w w:val="96"/>
              </w:rPr>
              <w:t>Nominee</w:t>
            </w:r>
          </w:p>
        </w:tc>
        <w:tc>
          <w:tcPr>
            <w:tcW w:w="1060" w:type="dxa"/>
            <w:vAlign w:val="bottom"/>
          </w:tcPr>
          <w:p>
            <w:pPr>
              <w:jc w:val="center"/>
              <w:spacing w:after="0" w:line="181" w:lineRule="exact"/>
              <w:rPr>
                <w:sz w:val="20"/>
                <w:szCs w:val="20"/>
                <w:color w:val="auto"/>
              </w:rPr>
            </w:pPr>
            <w:r>
              <w:rPr>
                <w:rFonts w:ascii="Arial" w:cs="Arial" w:eastAsia="Arial" w:hAnsi="Arial"/>
                <w:sz w:val="16"/>
                <w:szCs w:val="16"/>
                <w:color w:val="auto"/>
                <w:w w:val="86"/>
              </w:rPr>
              <w:t>Yes</w:t>
            </w:r>
          </w:p>
        </w:tc>
        <w:tc>
          <w:tcPr>
            <w:tcW w:w="1080" w:type="dxa"/>
            <w:vAlign w:val="bottom"/>
          </w:tcPr>
          <w:p>
            <w:pPr>
              <w:jc w:val="center"/>
              <w:spacing w:after="0" w:line="181" w:lineRule="exact"/>
              <w:rPr>
                <w:sz w:val="20"/>
                <w:szCs w:val="20"/>
                <w:color w:val="auto"/>
              </w:rPr>
            </w:pPr>
            <w:r>
              <w:rPr>
                <w:rFonts w:ascii="Arial" w:cs="Arial" w:eastAsia="Arial" w:hAnsi="Arial"/>
                <w:sz w:val="16"/>
                <w:szCs w:val="16"/>
                <w:color w:val="auto"/>
                <w:w w:val="89"/>
              </w:rPr>
              <w:t>1</w:t>
            </w: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620" w:type="dxa"/>
            <w:vAlign w:val="bottom"/>
            <w:tcBorders>
              <w:bottom w:val="single" w:sz="8" w:color="0075C9"/>
            </w:tcBorders>
          </w:tcPr>
          <w:p>
            <w:pPr>
              <w:ind w:left="80"/>
              <w:spacing w:after="0"/>
              <w:rPr>
                <w:sz w:val="20"/>
                <w:szCs w:val="20"/>
                <w:color w:val="auto"/>
              </w:rPr>
            </w:pPr>
            <w:r>
              <w:rPr>
                <w:rFonts w:ascii="Arial" w:cs="Arial" w:eastAsia="Arial" w:hAnsi="Arial"/>
                <w:sz w:val="16"/>
                <w:szCs w:val="16"/>
                <w:i w:val="1"/>
                <w:iCs w:val="1"/>
                <w:color w:val="auto"/>
              </w:rPr>
              <w:t>Processing, Inc.</w:t>
            </w:r>
          </w:p>
        </w:tc>
        <w:tc>
          <w:tcPr>
            <w:tcW w:w="420" w:type="dxa"/>
            <w:vAlign w:val="bottom"/>
            <w:tcBorders>
              <w:bottom w:val="single" w:sz="8" w:color="0075C9"/>
            </w:tcBorders>
          </w:tcPr>
          <w:p>
            <w:pPr>
              <w:spacing w:after="0"/>
              <w:rPr>
                <w:sz w:val="17"/>
                <w:szCs w:val="17"/>
                <w:color w:val="auto"/>
              </w:rPr>
            </w:pPr>
          </w:p>
        </w:tc>
        <w:tc>
          <w:tcPr>
            <w:tcW w:w="720" w:type="dxa"/>
            <w:vAlign w:val="bottom"/>
            <w:tcBorders>
              <w:bottom w:val="single" w:sz="8" w:color="0075C9"/>
            </w:tcBorders>
          </w:tcPr>
          <w:p>
            <w:pPr>
              <w:spacing w:after="0"/>
              <w:rPr>
                <w:sz w:val="17"/>
                <w:szCs w:val="17"/>
                <w:color w:val="auto"/>
              </w:rPr>
            </w:pPr>
          </w:p>
        </w:tc>
        <w:tc>
          <w:tcPr>
            <w:tcW w:w="1060" w:type="dxa"/>
            <w:vAlign w:val="bottom"/>
            <w:tcBorders>
              <w:bottom w:val="single" w:sz="8" w:color="0075C9"/>
            </w:tcBorders>
          </w:tcPr>
          <w:p>
            <w:pPr>
              <w:spacing w:after="0"/>
              <w:rPr>
                <w:sz w:val="17"/>
                <w:szCs w:val="17"/>
                <w:color w:val="auto"/>
              </w:rPr>
            </w:pPr>
          </w:p>
        </w:tc>
        <w:tc>
          <w:tcPr>
            <w:tcW w:w="1080" w:type="dxa"/>
            <w:vAlign w:val="bottom"/>
            <w:tcBorders>
              <w:bottom w:val="single" w:sz="8" w:color="0075C9"/>
            </w:tcBorders>
          </w:tcPr>
          <w:p>
            <w:pPr>
              <w:spacing w:after="0"/>
              <w:rPr>
                <w:sz w:val="17"/>
                <w:szCs w:val="17"/>
                <w:color w:val="auto"/>
              </w:rPr>
            </w:pPr>
          </w:p>
        </w:tc>
        <w:tc>
          <w:tcPr>
            <w:tcW w:w="1940" w:type="dxa"/>
            <w:vAlign w:val="bottom"/>
            <w:tcBorders>
              <w:bottom w:val="single" w:sz="8" w:color="0075C9"/>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620" w:type="dxa"/>
            <w:vAlign w:val="bottom"/>
          </w:tcPr>
          <w:p>
            <w:pPr>
              <w:ind w:left="80"/>
              <w:spacing w:after="0" w:line="176" w:lineRule="exact"/>
              <w:rPr>
                <w:sz w:val="20"/>
                <w:szCs w:val="20"/>
                <w:color w:val="auto"/>
              </w:rPr>
            </w:pPr>
            <w:r>
              <w:rPr>
                <w:rFonts w:ascii="Arial" w:cs="Arial" w:eastAsia="Arial" w:hAnsi="Arial"/>
                <w:sz w:val="16"/>
                <w:szCs w:val="16"/>
                <w:b w:val="1"/>
                <w:bCs w:val="1"/>
                <w:color w:val="0075C9"/>
              </w:rPr>
              <w:t>Charles W. Scharf</w:t>
            </w: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620" w:type="dxa"/>
            <w:vAlign w:val="bottom"/>
          </w:tcPr>
          <w:p>
            <w:pPr>
              <w:ind w:left="80"/>
              <w:spacing w:after="0" w:line="181" w:lineRule="exact"/>
              <w:rPr>
                <w:sz w:val="20"/>
                <w:szCs w:val="20"/>
                <w:color w:val="auto"/>
              </w:rPr>
            </w:pPr>
            <w:r>
              <w:rPr>
                <w:rFonts w:ascii="Arial" w:cs="Arial" w:eastAsia="Arial" w:hAnsi="Arial"/>
                <w:sz w:val="16"/>
                <w:szCs w:val="16"/>
                <w:i w:val="1"/>
                <w:iCs w:val="1"/>
                <w:color w:val="auto"/>
              </w:rPr>
              <w:t>CEO, President, and Director, Wells Fargo &amp;</w:t>
            </w:r>
          </w:p>
        </w:tc>
        <w:tc>
          <w:tcPr>
            <w:tcW w:w="420" w:type="dxa"/>
            <w:vAlign w:val="bottom"/>
          </w:tcPr>
          <w:p>
            <w:pPr>
              <w:jc w:val="center"/>
              <w:spacing w:after="0" w:line="181" w:lineRule="exact"/>
              <w:rPr>
                <w:sz w:val="20"/>
                <w:szCs w:val="20"/>
                <w:color w:val="auto"/>
              </w:rPr>
            </w:pPr>
            <w:r>
              <w:rPr>
                <w:rFonts w:ascii="Arial" w:cs="Arial" w:eastAsia="Arial" w:hAnsi="Arial"/>
                <w:sz w:val="16"/>
                <w:szCs w:val="16"/>
                <w:color w:val="auto"/>
              </w:rPr>
              <w:t>56</w:t>
            </w:r>
          </w:p>
        </w:tc>
        <w:tc>
          <w:tcPr>
            <w:tcW w:w="720" w:type="dxa"/>
            <w:vAlign w:val="bottom"/>
          </w:tcPr>
          <w:p>
            <w:pPr>
              <w:jc w:val="center"/>
              <w:spacing w:after="0" w:line="181" w:lineRule="exact"/>
              <w:rPr>
                <w:sz w:val="20"/>
                <w:szCs w:val="20"/>
                <w:color w:val="auto"/>
              </w:rPr>
            </w:pPr>
            <w:r>
              <w:rPr>
                <w:rFonts w:ascii="Arial" w:cs="Arial" w:eastAsia="Arial" w:hAnsi="Arial"/>
                <w:sz w:val="16"/>
                <w:szCs w:val="16"/>
                <w:color w:val="auto"/>
              </w:rPr>
              <w:t>2014</w:t>
            </w:r>
          </w:p>
        </w:tc>
        <w:tc>
          <w:tcPr>
            <w:tcW w:w="1060" w:type="dxa"/>
            <w:vAlign w:val="bottom"/>
          </w:tcPr>
          <w:p>
            <w:pPr>
              <w:jc w:val="center"/>
              <w:spacing w:after="0" w:line="181" w:lineRule="exact"/>
              <w:rPr>
                <w:sz w:val="20"/>
                <w:szCs w:val="20"/>
                <w:color w:val="auto"/>
              </w:rPr>
            </w:pPr>
            <w:r>
              <w:rPr>
                <w:rFonts w:ascii="Arial" w:cs="Arial" w:eastAsia="Arial" w:hAnsi="Arial"/>
                <w:sz w:val="16"/>
                <w:szCs w:val="16"/>
                <w:color w:val="auto"/>
                <w:w w:val="86"/>
              </w:rPr>
              <w:t>Yes</w:t>
            </w:r>
          </w:p>
        </w:tc>
        <w:tc>
          <w:tcPr>
            <w:tcW w:w="1080" w:type="dxa"/>
            <w:vAlign w:val="bottom"/>
          </w:tcPr>
          <w:p>
            <w:pPr>
              <w:jc w:val="center"/>
              <w:spacing w:after="0" w:line="181" w:lineRule="exact"/>
              <w:rPr>
                <w:sz w:val="20"/>
                <w:szCs w:val="20"/>
                <w:color w:val="auto"/>
              </w:rPr>
            </w:pPr>
            <w:r>
              <w:rPr>
                <w:rFonts w:ascii="Arial" w:cs="Arial" w:eastAsia="Arial" w:hAnsi="Arial"/>
                <w:sz w:val="16"/>
                <w:szCs w:val="16"/>
                <w:color w:val="auto"/>
                <w:w w:val="89"/>
              </w:rPr>
              <w:t>1</w:t>
            </w: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620" w:type="dxa"/>
            <w:vAlign w:val="bottom"/>
            <w:tcBorders>
              <w:bottom w:val="single" w:sz="8" w:color="0075C9"/>
            </w:tcBorders>
          </w:tcPr>
          <w:p>
            <w:pPr>
              <w:ind w:left="80"/>
              <w:spacing w:after="0"/>
              <w:rPr>
                <w:sz w:val="20"/>
                <w:szCs w:val="20"/>
                <w:color w:val="auto"/>
              </w:rPr>
            </w:pPr>
            <w:r>
              <w:rPr>
                <w:rFonts w:ascii="Arial" w:cs="Arial" w:eastAsia="Arial" w:hAnsi="Arial"/>
                <w:sz w:val="16"/>
                <w:szCs w:val="16"/>
                <w:i w:val="1"/>
                <w:iCs w:val="1"/>
                <w:color w:val="auto"/>
              </w:rPr>
              <w:t>Company</w:t>
            </w:r>
          </w:p>
        </w:tc>
        <w:tc>
          <w:tcPr>
            <w:tcW w:w="420" w:type="dxa"/>
            <w:vAlign w:val="bottom"/>
            <w:tcBorders>
              <w:bottom w:val="single" w:sz="8" w:color="0075C9"/>
            </w:tcBorders>
          </w:tcPr>
          <w:p>
            <w:pPr>
              <w:spacing w:after="0"/>
              <w:rPr>
                <w:sz w:val="17"/>
                <w:szCs w:val="17"/>
                <w:color w:val="auto"/>
              </w:rPr>
            </w:pPr>
          </w:p>
        </w:tc>
        <w:tc>
          <w:tcPr>
            <w:tcW w:w="720" w:type="dxa"/>
            <w:vAlign w:val="bottom"/>
            <w:tcBorders>
              <w:bottom w:val="single" w:sz="8" w:color="0075C9"/>
            </w:tcBorders>
          </w:tcPr>
          <w:p>
            <w:pPr>
              <w:spacing w:after="0"/>
              <w:rPr>
                <w:sz w:val="17"/>
                <w:szCs w:val="17"/>
                <w:color w:val="auto"/>
              </w:rPr>
            </w:pPr>
          </w:p>
        </w:tc>
        <w:tc>
          <w:tcPr>
            <w:tcW w:w="1060" w:type="dxa"/>
            <w:vAlign w:val="bottom"/>
            <w:tcBorders>
              <w:bottom w:val="single" w:sz="8" w:color="0075C9"/>
            </w:tcBorders>
          </w:tcPr>
          <w:p>
            <w:pPr>
              <w:spacing w:after="0"/>
              <w:rPr>
                <w:sz w:val="17"/>
                <w:szCs w:val="17"/>
                <w:color w:val="auto"/>
              </w:rPr>
            </w:pPr>
          </w:p>
        </w:tc>
        <w:tc>
          <w:tcPr>
            <w:tcW w:w="1080" w:type="dxa"/>
            <w:vAlign w:val="bottom"/>
            <w:tcBorders>
              <w:bottom w:val="single" w:sz="8" w:color="0075C9"/>
            </w:tcBorders>
          </w:tcPr>
          <w:p>
            <w:pPr>
              <w:spacing w:after="0"/>
              <w:rPr>
                <w:sz w:val="17"/>
                <w:szCs w:val="17"/>
                <w:color w:val="auto"/>
              </w:rPr>
            </w:pPr>
          </w:p>
        </w:tc>
        <w:tc>
          <w:tcPr>
            <w:tcW w:w="1940" w:type="dxa"/>
            <w:vAlign w:val="bottom"/>
            <w:tcBorders>
              <w:bottom w:val="single" w:sz="8" w:color="0075C9"/>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620" w:type="dxa"/>
            <w:vAlign w:val="bottom"/>
          </w:tcPr>
          <w:p>
            <w:pPr>
              <w:ind w:left="80"/>
              <w:spacing w:after="0" w:line="176" w:lineRule="exact"/>
              <w:rPr>
                <w:sz w:val="20"/>
                <w:szCs w:val="20"/>
                <w:color w:val="auto"/>
              </w:rPr>
            </w:pPr>
            <w:r>
              <w:rPr>
                <w:rFonts w:ascii="Arial" w:cs="Arial" w:eastAsia="Arial" w:hAnsi="Arial"/>
                <w:sz w:val="16"/>
                <w:szCs w:val="16"/>
                <w:b w:val="1"/>
                <w:bCs w:val="1"/>
                <w:color w:val="0075C9"/>
              </w:rPr>
              <w:t>John W. Stanton</w:t>
            </w:r>
          </w:p>
        </w:tc>
        <w:tc>
          <w:tcPr>
            <w:tcW w:w="420" w:type="dxa"/>
            <w:vAlign w:val="bottom"/>
            <w:vMerge w:val="restart"/>
          </w:tcPr>
          <w:p>
            <w:pPr>
              <w:jc w:val="center"/>
              <w:spacing w:after="0"/>
              <w:rPr>
                <w:sz w:val="20"/>
                <w:szCs w:val="20"/>
                <w:color w:val="auto"/>
              </w:rPr>
            </w:pPr>
            <w:r>
              <w:rPr>
                <w:rFonts w:ascii="Arial" w:cs="Arial" w:eastAsia="Arial" w:hAnsi="Arial"/>
                <w:sz w:val="16"/>
                <w:szCs w:val="16"/>
                <w:color w:val="auto"/>
              </w:rPr>
              <w:t>66</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auto"/>
              </w:rPr>
              <w:t>2014</w:t>
            </w: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w w:val="86"/>
              </w:rPr>
              <w:t>Yes</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auto"/>
                <w:w w:val="89"/>
              </w:rPr>
              <w:t>2</w:t>
            </w: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3620" w:type="dxa"/>
            <w:vAlign w:val="bottom"/>
            <w:vMerge w:val="restart"/>
          </w:tcPr>
          <w:p>
            <w:pPr>
              <w:ind w:left="80"/>
              <w:spacing w:after="0"/>
              <w:rPr>
                <w:sz w:val="20"/>
                <w:szCs w:val="20"/>
                <w:color w:val="auto"/>
              </w:rPr>
            </w:pPr>
            <w:r>
              <w:rPr>
                <w:rFonts w:ascii="Arial" w:cs="Arial" w:eastAsia="Arial" w:hAnsi="Arial"/>
                <w:sz w:val="16"/>
                <w:szCs w:val="16"/>
                <w:i w:val="1"/>
                <w:iCs w:val="1"/>
                <w:color w:val="auto"/>
              </w:rPr>
              <w:t>Founder and Chairman, Trilogy Partnerships</w:t>
            </w:r>
          </w:p>
        </w:tc>
        <w:tc>
          <w:tcPr>
            <w:tcW w:w="4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3620" w:type="dxa"/>
            <w:vAlign w:val="bottom"/>
            <w:tcBorders>
              <w:bottom w:val="single" w:sz="8" w:color="0075C9"/>
            </w:tcBorders>
            <w:vMerge w:val="continue"/>
          </w:tcPr>
          <w:p>
            <w:pPr>
              <w:spacing w:after="0"/>
              <w:rPr>
                <w:sz w:val="8"/>
                <w:szCs w:val="8"/>
                <w:color w:val="auto"/>
              </w:rPr>
            </w:pPr>
          </w:p>
        </w:tc>
        <w:tc>
          <w:tcPr>
            <w:tcW w:w="420" w:type="dxa"/>
            <w:vAlign w:val="bottom"/>
            <w:tcBorders>
              <w:bottom w:val="single" w:sz="8" w:color="0075C9"/>
            </w:tcBorders>
          </w:tcPr>
          <w:p>
            <w:pPr>
              <w:spacing w:after="0"/>
              <w:rPr>
                <w:sz w:val="8"/>
                <w:szCs w:val="8"/>
                <w:color w:val="auto"/>
              </w:rPr>
            </w:pPr>
          </w:p>
        </w:tc>
        <w:tc>
          <w:tcPr>
            <w:tcW w:w="720" w:type="dxa"/>
            <w:vAlign w:val="bottom"/>
            <w:tcBorders>
              <w:bottom w:val="single" w:sz="8" w:color="0075C9"/>
            </w:tcBorders>
          </w:tcPr>
          <w:p>
            <w:pPr>
              <w:spacing w:after="0"/>
              <w:rPr>
                <w:sz w:val="8"/>
                <w:szCs w:val="8"/>
                <w:color w:val="auto"/>
              </w:rPr>
            </w:pPr>
          </w:p>
        </w:tc>
        <w:tc>
          <w:tcPr>
            <w:tcW w:w="1060" w:type="dxa"/>
            <w:vAlign w:val="bottom"/>
            <w:tcBorders>
              <w:bottom w:val="single" w:sz="8" w:color="0075C9"/>
            </w:tcBorders>
          </w:tcPr>
          <w:p>
            <w:pPr>
              <w:spacing w:after="0"/>
              <w:rPr>
                <w:sz w:val="8"/>
                <w:szCs w:val="8"/>
                <w:color w:val="auto"/>
              </w:rPr>
            </w:pPr>
          </w:p>
        </w:tc>
        <w:tc>
          <w:tcPr>
            <w:tcW w:w="1080" w:type="dxa"/>
            <w:vAlign w:val="bottom"/>
            <w:tcBorders>
              <w:bottom w:val="single" w:sz="8" w:color="0075C9"/>
            </w:tcBorders>
          </w:tcPr>
          <w:p>
            <w:pPr>
              <w:spacing w:after="0"/>
              <w:rPr>
                <w:sz w:val="8"/>
                <w:szCs w:val="8"/>
                <w:color w:val="auto"/>
              </w:rPr>
            </w:pPr>
          </w:p>
        </w:tc>
        <w:tc>
          <w:tcPr>
            <w:tcW w:w="1940" w:type="dxa"/>
            <w:vAlign w:val="bottom"/>
            <w:tcBorders>
              <w:bottom w:val="single" w:sz="8" w:color="0075C9"/>
            </w:tcBorders>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3620" w:type="dxa"/>
            <w:vAlign w:val="bottom"/>
          </w:tcPr>
          <w:p>
            <w:pPr>
              <w:ind w:left="80"/>
              <w:spacing w:after="0" w:line="176" w:lineRule="exact"/>
              <w:rPr>
                <w:sz w:val="20"/>
                <w:szCs w:val="20"/>
                <w:color w:val="auto"/>
              </w:rPr>
            </w:pPr>
            <w:r>
              <w:rPr>
                <w:rFonts w:ascii="Arial" w:cs="Arial" w:eastAsia="Arial" w:hAnsi="Arial"/>
                <w:sz w:val="16"/>
                <w:szCs w:val="16"/>
                <w:b w:val="1"/>
                <w:bCs w:val="1"/>
                <w:color w:val="0075C9"/>
              </w:rPr>
              <w:t>John W. Thompson</w:t>
            </w: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620" w:type="dxa"/>
            <w:vAlign w:val="bottom"/>
          </w:tcPr>
          <w:p>
            <w:pPr>
              <w:ind w:left="80"/>
              <w:spacing w:after="0" w:line="181" w:lineRule="exact"/>
              <w:rPr>
                <w:sz w:val="20"/>
                <w:szCs w:val="20"/>
                <w:color w:val="auto"/>
              </w:rPr>
            </w:pPr>
            <w:r>
              <w:rPr>
                <w:rFonts w:ascii="Arial" w:cs="Arial" w:eastAsia="Arial" w:hAnsi="Arial"/>
                <w:sz w:val="16"/>
                <w:szCs w:val="16"/>
                <w:i w:val="1"/>
                <w:iCs w:val="1"/>
                <w:color w:val="auto"/>
                <w:w w:val="98"/>
              </w:rPr>
              <w:t>Lead Independent Director, Microsoft Corporation;</w:t>
            </w:r>
          </w:p>
        </w:tc>
        <w:tc>
          <w:tcPr>
            <w:tcW w:w="420" w:type="dxa"/>
            <w:vAlign w:val="bottom"/>
            <w:vMerge w:val="restart"/>
          </w:tcPr>
          <w:p>
            <w:pPr>
              <w:jc w:val="center"/>
              <w:spacing w:after="0"/>
              <w:rPr>
                <w:sz w:val="20"/>
                <w:szCs w:val="20"/>
                <w:color w:val="auto"/>
              </w:rPr>
            </w:pPr>
            <w:r>
              <w:rPr>
                <w:rFonts w:ascii="Arial" w:cs="Arial" w:eastAsia="Arial" w:hAnsi="Arial"/>
                <w:sz w:val="16"/>
                <w:szCs w:val="16"/>
                <w:color w:val="auto"/>
              </w:rPr>
              <w:t>72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auto"/>
              </w:rPr>
              <w:t>2012</w:t>
            </w: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w w:val="86"/>
              </w:rPr>
              <w:t>Yes</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auto"/>
                <w:w w:val="89"/>
              </w:rPr>
              <w:t>1</w:t>
            </w: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3620" w:type="dxa"/>
            <w:vAlign w:val="bottom"/>
            <w:vMerge w:val="restart"/>
          </w:tcPr>
          <w:p>
            <w:pPr>
              <w:ind w:left="80"/>
              <w:spacing w:after="0" w:line="181" w:lineRule="exact"/>
              <w:rPr>
                <w:sz w:val="20"/>
                <w:szCs w:val="20"/>
                <w:color w:val="auto"/>
              </w:rPr>
            </w:pPr>
            <w:r>
              <w:rPr>
                <w:rFonts w:ascii="Arial" w:cs="Arial" w:eastAsia="Arial" w:hAnsi="Arial"/>
                <w:sz w:val="16"/>
                <w:szCs w:val="16"/>
                <w:i w:val="1"/>
                <w:iCs w:val="1"/>
                <w:color w:val="auto"/>
              </w:rPr>
              <w:t>Former CEO and Director, Virtual Instruments</w:t>
            </w:r>
          </w:p>
        </w:tc>
        <w:tc>
          <w:tcPr>
            <w:tcW w:w="4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36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3620" w:type="dxa"/>
            <w:vAlign w:val="bottom"/>
            <w:tcBorders>
              <w:bottom w:val="single" w:sz="8" w:color="0075C9"/>
            </w:tcBorders>
          </w:tcPr>
          <w:p>
            <w:pPr>
              <w:ind w:left="80"/>
              <w:spacing w:after="0"/>
              <w:rPr>
                <w:sz w:val="20"/>
                <w:szCs w:val="20"/>
                <w:color w:val="auto"/>
              </w:rPr>
            </w:pPr>
            <w:r>
              <w:rPr>
                <w:rFonts w:ascii="Arial" w:cs="Arial" w:eastAsia="Arial" w:hAnsi="Arial"/>
                <w:sz w:val="16"/>
                <w:szCs w:val="16"/>
                <w:i w:val="1"/>
                <w:iCs w:val="1"/>
                <w:color w:val="auto"/>
              </w:rPr>
              <w:t>Corporation</w:t>
            </w:r>
          </w:p>
        </w:tc>
        <w:tc>
          <w:tcPr>
            <w:tcW w:w="420" w:type="dxa"/>
            <w:vAlign w:val="bottom"/>
            <w:tcBorders>
              <w:bottom w:val="single" w:sz="8" w:color="0075C9"/>
            </w:tcBorders>
          </w:tcPr>
          <w:p>
            <w:pPr>
              <w:spacing w:after="0"/>
              <w:rPr>
                <w:sz w:val="17"/>
                <w:szCs w:val="17"/>
                <w:color w:val="auto"/>
              </w:rPr>
            </w:pPr>
          </w:p>
        </w:tc>
        <w:tc>
          <w:tcPr>
            <w:tcW w:w="720" w:type="dxa"/>
            <w:vAlign w:val="bottom"/>
            <w:tcBorders>
              <w:bottom w:val="single" w:sz="8" w:color="0075C9"/>
            </w:tcBorders>
          </w:tcPr>
          <w:p>
            <w:pPr>
              <w:spacing w:after="0"/>
              <w:rPr>
                <w:sz w:val="17"/>
                <w:szCs w:val="17"/>
                <w:color w:val="auto"/>
              </w:rPr>
            </w:pPr>
          </w:p>
        </w:tc>
        <w:tc>
          <w:tcPr>
            <w:tcW w:w="1060" w:type="dxa"/>
            <w:vAlign w:val="bottom"/>
            <w:tcBorders>
              <w:bottom w:val="single" w:sz="8" w:color="0075C9"/>
            </w:tcBorders>
          </w:tcPr>
          <w:p>
            <w:pPr>
              <w:spacing w:after="0"/>
              <w:rPr>
                <w:sz w:val="17"/>
                <w:szCs w:val="17"/>
                <w:color w:val="auto"/>
              </w:rPr>
            </w:pPr>
          </w:p>
        </w:tc>
        <w:tc>
          <w:tcPr>
            <w:tcW w:w="1080" w:type="dxa"/>
            <w:vAlign w:val="bottom"/>
            <w:tcBorders>
              <w:bottom w:val="single" w:sz="8" w:color="0075C9"/>
            </w:tcBorders>
          </w:tcPr>
          <w:p>
            <w:pPr>
              <w:spacing w:after="0"/>
              <w:rPr>
                <w:sz w:val="17"/>
                <w:szCs w:val="17"/>
                <w:color w:val="auto"/>
              </w:rPr>
            </w:pPr>
          </w:p>
        </w:tc>
        <w:tc>
          <w:tcPr>
            <w:tcW w:w="1940" w:type="dxa"/>
            <w:vAlign w:val="bottom"/>
            <w:tcBorders>
              <w:bottom w:val="single" w:sz="8" w:color="0075C9"/>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620" w:type="dxa"/>
            <w:vAlign w:val="bottom"/>
          </w:tcPr>
          <w:p>
            <w:pPr>
              <w:ind w:left="80"/>
              <w:spacing w:after="0" w:line="176" w:lineRule="exact"/>
              <w:rPr>
                <w:sz w:val="20"/>
                <w:szCs w:val="20"/>
                <w:color w:val="auto"/>
              </w:rPr>
            </w:pPr>
            <w:r>
              <w:rPr>
                <w:rFonts w:ascii="Arial" w:cs="Arial" w:eastAsia="Arial" w:hAnsi="Arial"/>
                <w:sz w:val="16"/>
                <w:szCs w:val="16"/>
                <w:b w:val="1"/>
                <w:bCs w:val="1"/>
                <w:color w:val="0075C9"/>
              </w:rPr>
              <w:t>Emma N. Walmsley</w:t>
            </w:r>
          </w:p>
        </w:tc>
        <w:tc>
          <w:tcPr>
            <w:tcW w:w="420" w:type="dxa"/>
            <w:vAlign w:val="bottom"/>
            <w:vMerge w:val="restart"/>
          </w:tcPr>
          <w:p>
            <w:pPr>
              <w:jc w:val="center"/>
              <w:spacing w:after="0"/>
              <w:rPr>
                <w:sz w:val="20"/>
                <w:szCs w:val="20"/>
                <w:color w:val="auto"/>
              </w:rPr>
            </w:pPr>
            <w:r>
              <w:rPr>
                <w:rFonts w:ascii="Arial" w:cs="Arial" w:eastAsia="Arial" w:hAnsi="Arial"/>
                <w:sz w:val="16"/>
                <w:szCs w:val="16"/>
                <w:color w:val="auto"/>
              </w:rPr>
              <w:t>52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auto"/>
              </w:rPr>
              <w:t>2019</w:t>
            </w: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w w:val="86"/>
              </w:rPr>
              <w:t>Yes</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auto"/>
                <w:w w:val="89"/>
              </w:rPr>
              <w:t>1</w:t>
            </w: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3620" w:type="dxa"/>
            <w:vAlign w:val="bottom"/>
            <w:vMerge w:val="restart"/>
          </w:tcPr>
          <w:p>
            <w:pPr>
              <w:ind w:left="80"/>
              <w:spacing w:after="0"/>
              <w:rPr>
                <w:sz w:val="20"/>
                <w:szCs w:val="20"/>
                <w:color w:val="auto"/>
              </w:rPr>
            </w:pPr>
            <w:r>
              <w:rPr>
                <w:rFonts w:ascii="Arial" w:cs="Arial" w:eastAsia="Arial" w:hAnsi="Arial"/>
                <w:sz w:val="16"/>
                <w:szCs w:val="16"/>
                <w:i w:val="1"/>
                <w:iCs w:val="1"/>
                <w:color w:val="auto"/>
              </w:rPr>
              <w:t>CEO and Director, GlaxoSmithKline plc</w:t>
            </w:r>
          </w:p>
        </w:tc>
        <w:tc>
          <w:tcPr>
            <w:tcW w:w="4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3620" w:type="dxa"/>
            <w:vAlign w:val="bottom"/>
            <w:tcBorders>
              <w:bottom w:val="single" w:sz="8" w:color="0075C9"/>
            </w:tcBorders>
            <w:vMerge w:val="continue"/>
          </w:tcPr>
          <w:p>
            <w:pPr>
              <w:spacing w:after="0"/>
              <w:rPr>
                <w:sz w:val="8"/>
                <w:szCs w:val="8"/>
                <w:color w:val="auto"/>
              </w:rPr>
            </w:pPr>
          </w:p>
        </w:tc>
        <w:tc>
          <w:tcPr>
            <w:tcW w:w="420" w:type="dxa"/>
            <w:vAlign w:val="bottom"/>
            <w:tcBorders>
              <w:bottom w:val="single" w:sz="8" w:color="0075C9"/>
            </w:tcBorders>
          </w:tcPr>
          <w:p>
            <w:pPr>
              <w:spacing w:after="0"/>
              <w:rPr>
                <w:sz w:val="8"/>
                <w:szCs w:val="8"/>
                <w:color w:val="auto"/>
              </w:rPr>
            </w:pPr>
          </w:p>
        </w:tc>
        <w:tc>
          <w:tcPr>
            <w:tcW w:w="720" w:type="dxa"/>
            <w:vAlign w:val="bottom"/>
            <w:tcBorders>
              <w:bottom w:val="single" w:sz="8" w:color="0075C9"/>
            </w:tcBorders>
          </w:tcPr>
          <w:p>
            <w:pPr>
              <w:spacing w:after="0"/>
              <w:rPr>
                <w:sz w:val="8"/>
                <w:szCs w:val="8"/>
                <w:color w:val="auto"/>
              </w:rPr>
            </w:pPr>
          </w:p>
        </w:tc>
        <w:tc>
          <w:tcPr>
            <w:tcW w:w="1060" w:type="dxa"/>
            <w:vAlign w:val="bottom"/>
            <w:tcBorders>
              <w:bottom w:val="single" w:sz="8" w:color="0075C9"/>
            </w:tcBorders>
          </w:tcPr>
          <w:p>
            <w:pPr>
              <w:spacing w:after="0"/>
              <w:rPr>
                <w:sz w:val="8"/>
                <w:szCs w:val="8"/>
                <w:color w:val="auto"/>
              </w:rPr>
            </w:pPr>
          </w:p>
        </w:tc>
        <w:tc>
          <w:tcPr>
            <w:tcW w:w="1080" w:type="dxa"/>
            <w:vAlign w:val="bottom"/>
            <w:tcBorders>
              <w:bottom w:val="single" w:sz="8" w:color="0075C9"/>
            </w:tcBorders>
          </w:tcPr>
          <w:p>
            <w:pPr>
              <w:spacing w:after="0"/>
              <w:rPr>
                <w:sz w:val="8"/>
                <w:szCs w:val="8"/>
                <w:color w:val="auto"/>
              </w:rPr>
            </w:pPr>
          </w:p>
        </w:tc>
        <w:tc>
          <w:tcPr>
            <w:tcW w:w="1940" w:type="dxa"/>
            <w:vAlign w:val="bottom"/>
            <w:tcBorders>
              <w:bottom w:val="single" w:sz="8" w:color="0075C9"/>
            </w:tcBorders>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3620" w:type="dxa"/>
            <w:vAlign w:val="bottom"/>
          </w:tcPr>
          <w:p>
            <w:pPr>
              <w:ind w:left="80"/>
              <w:spacing w:after="0" w:line="176" w:lineRule="exact"/>
              <w:rPr>
                <w:sz w:val="20"/>
                <w:szCs w:val="20"/>
                <w:color w:val="auto"/>
              </w:rPr>
            </w:pPr>
            <w:r>
              <w:rPr>
                <w:rFonts w:ascii="Arial" w:cs="Arial" w:eastAsia="Arial" w:hAnsi="Arial"/>
                <w:sz w:val="16"/>
                <w:szCs w:val="16"/>
                <w:b w:val="1"/>
                <w:bCs w:val="1"/>
                <w:color w:val="0075C9"/>
              </w:rPr>
              <w:t>Padmasree Warrior</w:t>
            </w:r>
          </w:p>
        </w:tc>
        <w:tc>
          <w:tcPr>
            <w:tcW w:w="420" w:type="dxa"/>
            <w:vAlign w:val="bottom"/>
            <w:vMerge w:val="restart"/>
          </w:tcPr>
          <w:p>
            <w:pPr>
              <w:jc w:val="center"/>
              <w:spacing w:after="0"/>
              <w:rPr>
                <w:sz w:val="20"/>
                <w:szCs w:val="20"/>
                <w:color w:val="auto"/>
              </w:rPr>
            </w:pPr>
            <w:r>
              <w:rPr>
                <w:rFonts w:ascii="Arial" w:cs="Arial" w:eastAsia="Arial" w:hAnsi="Arial"/>
                <w:sz w:val="16"/>
                <w:szCs w:val="16"/>
                <w:color w:val="auto"/>
              </w:rPr>
              <w:t>60</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auto"/>
              </w:rPr>
              <w:t>2015</w:t>
            </w: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w w:val="86"/>
              </w:rPr>
              <w:t>Yes</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auto"/>
                <w:w w:val="89"/>
              </w:rPr>
              <w:t>1</w:t>
            </w: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3620" w:type="dxa"/>
            <w:vAlign w:val="bottom"/>
            <w:vMerge w:val="restart"/>
          </w:tcPr>
          <w:p>
            <w:pPr>
              <w:ind w:left="80"/>
              <w:spacing w:after="0"/>
              <w:rPr>
                <w:sz w:val="20"/>
                <w:szCs w:val="20"/>
                <w:color w:val="auto"/>
              </w:rPr>
            </w:pPr>
            <w:r>
              <w:rPr>
                <w:rFonts w:ascii="Arial" w:cs="Arial" w:eastAsia="Arial" w:hAnsi="Arial"/>
                <w:sz w:val="16"/>
                <w:szCs w:val="16"/>
                <w:i w:val="1"/>
                <w:iCs w:val="1"/>
                <w:color w:val="auto"/>
              </w:rPr>
              <w:t>Founder, President, and CEO, Fable Group, Inc.</w:t>
            </w:r>
          </w:p>
        </w:tc>
        <w:tc>
          <w:tcPr>
            <w:tcW w:w="4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3620" w:type="dxa"/>
            <w:vAlign w:val="bottom"/>
            <w:tcBorders>
              <w:bottom w:val="single" w:sz="8" w:color="0075C9"/>
            </w:tcBorders>
            <w:vMerge w:val="continue"/>
          </w:tcPr>
          <w:p>
            <w:pPr>
              <w:spacing w:after="0"/>
              <w:rPr>
                <w:sz w:val="8"/>
                <w:szCs w:val="8"/>
                <w:color w:val="auto"/>
              </w:rPr>
            </w:pPr>
          </w:p>
        </w:tc>
        <w:tc>
          <w:tcPr>
            <w:tcW w:w="420" w:type="dxa"/>
            <w:vAlign w:val="bottom"/>
            <w:tcBorders>
              <w:bottom w:val="single" w:sz="8" w:color="0075C9"/>
            </w:tcBorders>
          </w:tcPr>
          <w:p>
            <w:pPr>
              <w:spacing w:after="0"/>
              <w:rPr>
                <w:sz w:val="8"/>
                <w:szCs w:val="8"/>
                <w:color w:val="auto"/>
              </w:rPr>
            </w:pPr>
          </w:p>
        </w:tc>
        <w:tc>
          <w:tcPr>
            <w:tcW w:w="720" w:type="dxa"/>
            <w:vAlign w:val="bottom"/>
            <w:tcBorders>
              <w:bottom w:val="single" w:sz="8" w:color="0075C9"/>
            </w:tcBorders>
          </w:tcPr>
          <w:p>
            <w:pPr>
              <w:spacing w:after="0"/>
              <w:rPr>
                <w:sz w:val="8"/>
                <w:szCs w:val="8"/>
                <w:color w:val="auto"/>
              </w:rPr>
            </w:pPr>
          </w:p>
        </w:tc>
        <w:tc>
          <w:tcPr>
            <w:tcW w:w="1060" w:type="dxa"/>
            <w:vAlign w:val="bottom"/>
            <w:tcBorders>
              <w:bottom w:val="single" w:sz="8" w:color="0075C9"/>
            </w:tcBorders>
          </w:tcPr>
          <w:p>
            <w:pPr>
              <w:spacing w:after="0"/>
              <w:rPr>
                <w:sz w:val="8"/>
                <w:szCs w:val="8"/>
                <w:color w:val="auto"/>
              </w:rPr>
            </w:pPr>
          </w:p>
        </w:tc>
        <w:tc>
          <w:tcPr>
            <w:tcW w:w="1080" w:type="dxa"/>
            <w:vAlign w:val="bottom"/>
            <w:tcBorders>
              <w:bottom w:val="single" w:sz="8" w:color="0075C9"/>
            </w:tcBorders>
          </w:tcPr>
          <w:p>
            <w:pPr>
              <w:spacing w:after="0"/>
              <w:rPr>
                <w:sz w:val="8"/>
                <w:szCs w:val="8"/>
                <w:color w:val="auto"/>
              </w:rPr>
            </w:pPr>
          </w:p>
        </w:tc>
        <w:tc>
          <w:tcPr>
            <w:tcW w:w="1940" w:type="dxa"/>
            <w:vAlign w:val="bottom"/>
            <w:tcBorders>
              <w:bottom w:val="single" w:sz="8" w:color="0075C9"/>
            </w:tcBorders>
          </w:tcPr>
          <w:p>
            <w:pPr>
              <w:spacing w:after="0"/>
              <w:rPr>
                <w:sz w:val="8"/>
                <w:szCs w:val="8"/>
                <w:color w:val="auto"/>
              </w:rPr>
            </w:pPr>
          </w:p>
        </w:tc>
        <w:tc>
          <w:tcPr>
            <w:tcW w:w="0" w:type="dxa"/>
            <w:vAlign w:val="bottom"/>
          </w:tcPr>
          <w:p>
            <w:pPr>
              <w:spacing w:after="0"/>
              <w:rPr>
                <w:sz w:val="1"/>
                <w:szCs w:val="1"/>
                <w:color w:val="auto"/>
              </w:rPr>
            </w:pPr>
          </w:p>
        </w:tc>
      </w:tr>
      <w:tr>
        <w:trPr>
          <w:trHeight w:val="459"/>
        </w:trPr>
        <w:tc>
          <w:tcPr>
            <w:tcW w:w="3620" w:type="dxa"/>
            <w:vAlign w:val="bottom"/>
          </w:tcPr>
          <w:p>
            <w:pPr>
              <w:spacing w:after="0"/>
              <w:rPr>
                <w:sz w:val="20"/>
                <w:szCs w:val="20"/>
                <w:color w:val="auto"/>
              </w:rPr>
            </w:pPr>
            <w:r>
              <w:rPr>
                <w:rFonts w:ascii="Arial" w:cs="Arial" w:eastAsia="Arial" w:hAnsi="Arial"/>
                <w:sz w:val="16"/>
                <w:szCs w:val="16"/>
                <w:b w:val="1"/>
                <w:bCs w:val="1"/>
                <w:color w:val="auto"/>
              </w:rPr>
              <w:t xml:space="preserve">AC: </w:t>
            </w:r>
            <w:r>
              <w:rPr>
                <w:rFonts w:ascii="Arial" w:cs="Arial" w:eastAsia="Arial" w:hAnsi="Arial"/>
                <w:sz w:val="16"/>
                <w:szCs w:val="16"/>
                <w:color w:val="auto"/>
              </w:rPr>
              <w:t>Audit Committee</w:t>
            </w: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620" w:type="dxa"/>
            <w:vAlign w:val="bottom"/>
          </w:tcPr>
          <w:p>
            <w:pPr>
              <w:spacing w:after="0" w:line="181" w:lineRule="exact"/>
              <w:rPr>
                <w:sz w:val="20"/>
                <w:szCs w:val="20"/>
                <w:color w:val="auto"/>
              </w:rPr>
            </w:pPr>
            <w:r>
              <w:rPr>
                <w:rFonts w:ascii="Arial" w:cs="Arial" w:eastAsia="Arial" w:hAnsi="Arial"/>
                <w:sz w:val="16"/>
                <w:szCs w:val="16"/>
                <w:b w:val="1"/>
                <w:bCs w:val="1"/>
                <w:color w:val="auto"/>
              </w:rPr>
              <w:t xml:space="preserve">CC: </w:t>
            </w:r>
            <w:r>
              <w:rPr>
                <w:rFonts w:ascii="Arial" w:cs="Arial" w:eastAsia="Arial" w:hAnsi="Arial"/>
                <w:sz w:val="16"/>
                <w:szCs w:val="16"/>
                <w:color w:val="auto"/>
              </w:rPr>
              <w:t>Compensation Committee</w:t>
            </w: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20" w:type="dxa"/>
            <w:vAlign w:val="bottom"/>
            <w:gridSpan w:val="2"/>
          </w:tcPr>
          <w:p>
            <w:pPr>
              <w:ind w:left="900"/>
              <w:spacing w:after="0" w:line="181" w:lineRule="exact"/>
              <w:rPr>
                <w:sz w:val="20"/>
                <w:szCs w:val="20"/>
                <w:color w:val="auto"/>
              </w:rPr>
            </w:pPr>
            <w:r>
              <w:rPr>
                <w:rFonts w:ascii="Arial" w:cs="Arial" w:eastAsia="Arial" w:hAnsi="Arial"/>
                <w:sz w:val="16"/>
                <w:szCs w:val="16"/>
                <w:color w:val="auto"/>
              </w:rPr>
              <w:t>Chair</w:t>
            </w:r>
          </w:p>
        </w:tc>
        <w:tc>
          <w:tcPr>
            <w:tcW w:w="0" w:type="dxa"/>
            <w:vAlign w:val="bottom"/>
          </w:tcPr>
          <w:p>
            <w:pPr>
              <w:spacing w:after="0"/>
              <w:rPr>
                <w:sz w:val="1"/>
                <w:szCs w:val="1"/>
                <w:color w:val="auto"/>
              </w:rPr>
            </w:pPr>
          </w:p>
        </w:tc>
      </w:tr>
      <w:tr>
        <w:trPr>
          <w:trHeight w:val="181"/>
        </w:trPr>
        <w:tc>
          <w:tcPr>
            <w:tcW w:w="3620" w:type="dxa"/>
            <w:vAlign w:val="bottom"/>
          </w:tcPr>
          <w:p>
            <w:pPr>
              <w:spacing w:after="0" w:line="181" w:lineRule="exact"/>
              <w:rPr>
                <w:sz w:val="20"/>
                <w:szCs w:val="20"/>
                <w:color w:val="auto"/>
              </w:rPr>
            </w:pPr>
            <w:r>
              <w:rPr>
                <w:rFonts w:ascii="Arial" w:cs="Arial" w:eastAsia="Arial" w:hAnsi="Arial"/>
                <w:sz w:val="16"/>
                <w:szCs w:val="16"/>
                <w:b w:val="1"/>
                <w:bCs w:val="1"/>
                <w:color w:val="auto"/>
              </w:rPr>
              <w:t xml:space="preserve">GN: </w:t>
            </w:r>
            <w:r>
              <w:rPr>
                <w:rFonts w:ascii="Arial" w:cs="Arial" w:eastAsia="Arial" w:hAnsi="Arial"/>
                <w:sz w:val="16"/>
                <w:szCs w:val="16"/>
                <w:color w:val="auto"/>
              </w:rPr>
              <w:t>Governance and Nominating Committee</w:t>
            </w: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620" w:type="dxa"/>
            <w:vAlign w:val="bottom"/>
          </w:tcPr>
          <w:p>
            <w:pPr>
              <w:spacing w:after="0"/>
              <w:rPr>
                <w:sz w:val="20"/>
                <w:szCs w:val="20"/>
                <w:color w:val="auto"/>
              </w:rPr>
            </w:pPr>
            <w:r>
              <w:rPr>
                <w:rFonts w:ascii="Arial" w:cs="Arial" w:eastAsia="Arial" w:hAnsi="Arial"/>
                <w:sz w:val="16"/>
                <w:szCs w:val="16"/>
                <w:b w:val="1"/>
                <w:bCs w:val="1"/>
                <w:color w:val="auto"/>
              </w:rPr>
              <w:t xml:space="preserve">RPP: </w:t>
            </w:r>
            <w:r>
              <w:rPr>
                <w:rFonts w:ascii="Arial" w:cs="Arial" w:eastAsia="Arial" w:hAnsi="Arial"/>
                <w:sz w:val="16"/>
                <w:szCs w:val="16"/>
                <w:color w:val="auto"/>
              </w:rPr>
              <w:t>Regulatory and Public Policy Committee</w:t>
            </w: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20" w:type="dxa"/>
            <w:vAlign w:val="bottom"/>
            <w:gridSpan w:val="2"/>
          </w:tcPr>
          <w:p>
            <w:pPr>
              <w:ind w:left="900"/>
              <w:spacing w:after="0"/>
              <w:rPr>
                <w:sz w:val="20"/>
                <w:szCs w:val="20"/>
                <w:color w:val="auto"/>
              </w:rPr>
            </w:pPr>
            <w:r>
              <w:rPr>
                <w:rFonts w:ascii="Arial" w:cs="Arial" w:eastAsia="Arial" w:hAnsi="Arial"/>
                <w:sz w:val="16"/>
                <w:szCs w:val="16"/>
                <w:color w:val="auto"/>
              </w:rPr>
              <w:t>Member</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7920"/>
        <w:spacing w:after="0"/>
        <w:rPr>
          <w:sz w:val="20"/>
          <w:szCs w:val="20"/>
          <w:color w:val="auto"/>
        </w:rPr>
      </w:pPr>
      <w:r>
        <w:rPr>
          <w:rFonts w:ascii="Arial" w:cs="Arial" w:eastAsia="Arial" w:hAnsi="Arial"/>
          <w:sz w:val="16"/>
          <w:szCs w:val="16"/>
          <w:color w:val="auto"/>
        </w:rPr>
        <w:t>Financial Expert and Member</w:t>
      </w:r>
    </w:p>
    <w:p>
      <w:pPr>
        <w:spacing w:after="0" w:line="246" w:lineRule="exact"/>
        <w:rPr>
          <w:sz w:val="20"/>
          <w:szCs w:val="20"/>
          <w:color w:val="auto"/>
        </w:rPr>
      </w:pPr>
    </w:p>
    <w:p>
      <w:pPr>
        <w:ind w:left="1200"/>
        <w:spacing w:after="0"/>
        <w:rPr>
          <w:sz w:val="20"/>
          <w:szCs w:val="20"/>
          <w:color w:val="auto"/>
        </w:rPr>
      </w:pPr>
      <w:r>
        <w:rPr>
          <w:rFonts w:ascii="Arial" w:cs="Arial" w:eastAsia="Arial" w:hAnsi="Arial"/>
          <w:sz w:val="14"/>
          <w:szCs w:val="14"/>
          <w:color w:val="auto"/>
        </w:rPr>
        <w:t>The Board will consider committee appointments for Carlos Rodriguez if he is elected to the Board.</w:t>
      </w:r>
    </w:p>
    <w:p>
      <w:pPr>
        <w:spacing w:after="0" w:line="200" w:lineRule="exact"/>
        <w:rPr>
          <w:sz w:val="20"/>
          <w:szCs w:val="20"/>
          <w:color w:val="auto"/>
        </w:rPr>
      </w:pPr>
    </w:p>
    <w:p>
      <w:pPr>
        <w:spacing w:after="0" w:line="258"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-94615</wp:posOffset>
            </wp:positionV>
            <wp:extent cx="485140" cy="984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39"/>
          </w:cols>
          <w:pgMar w:left="320" w:top="445" w:right="1440"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637540</wp:posOffset>
            </wp:positionH>
            <wp:positionV relativeFrom="paragraph">
              <wp:posOffset>226060</wp:posOffset>
            </wp:positionV>
            <wp:extent cx="5868035" cy="74961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68035" cy="749617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1200"/>
        <w:spacing w:after="0"/>
        <w:rPr>
          <w:sz w:val="20"/>
          <w:szCs w:val="20"/>
          <w:color w:val="auto"/>
        </w:rPr>
      </w:pPr>
      <w:r>
        <w:rPr>
          <w:rFonts w:ascii="Arial" w:cs="Arial" w:eastAsia="Arial" w:hAnsi="Arial"/>
          <w:sz w:val="24"/>
          <w:szCs w:val="24"/>
          <w:b w:val="1"/>
          <w:bCs w:val="1"/>
          <w:color w:val="0075C9"/>
        </w:rPr>
        <w:t>Executive Compensation Advisory Vote</w:t>
      </w:r>
    </w:p>
    <w:p>
      <w:pPr>
        <w:spacing w:after="0" w:line="143" w:lineRule="exact"/>
        <w:rPr>
          <w:sz w:val="20"/>
          <w:szCs w:val="20"/>
          <w:color w:val="auto"/>
        </w:rPr>
      </w:pPr>
    </w:p>
    <w:p>
      <w:pPr>
        <w:ind w:left="1200" w:right="280"/>
        <w:spacing w:after="0" w:line="308" w:lineRule="auto"/>
        <w:rPr>
          <w:sz w:val="20"/>
          <w:szCs w:val="20"/>
          <w:color w:val="auto"/>
        </w:rPr>
      </w:pPr>
      <w:r>
        <w:rPr>
          <w:rFonts w:ascii="Arial" w:cs="Arial" w:eastAsia="Arial" w:hAnsi="Arial"/>
          <w:sz w:val="14"/>
          <w:szCs w:val="14"/>
          <w:color w:val="auto"/>
        </w:rPr>
        <w:t>Our Board recommends that shareholders vote to approve, on an advisory basis, the compensation paid to the Company’s named executive officers (“Named Executives”) as described in this Proxy Statement (“say-on-pay vote”), for the reasons below.</w:t>
      </w:r>
    </w:p>
    <w:p>
      <w:pPr>
        <w:spacing w:after="0" w:line="291" w:lineRule="exact"/>
        <w:rPr>
          <w:sz w:val="20"/>
          <w:szCs w:val="20"/>
          <w:color w:val="auto"/>
        </w:rPr>
      </w:pPr>
    </w:p>
    <w:p>
      <w:pPr>
        <w:ind w:left="4580"/>
        <w:spacing w:after="0"/>
        <w:rPr>
          <w:sz w:val="20"/>
          <w:szCs w:val="20"/>
          <w:color w:val="auto"/>
        </w:rPr>
      </w:pPr>
      <w:r>
        <w:rPr>
          <w:rFonts w:ascii="Arial" w:cs="Arial" w:eastAsia="Arial" w:hAnsi="Arial"/>
          <w:sz w:val="21"/>
          <w:szCs w:val="21"/>
          <w:b w:val="1"/>
          <w:bCs w:val="1"/>
          <w:color w:val="auto"/>
        </w:rPr>
        <w:t>Pay for Performance</w:t>
      </w:r>
    </w:p>
    <w:p>
      <w:pPr>
        <w:spacing w:after="0" w:line="59" w:lineRule="exact"/>
        <w:rPr>
          <w:sz w:val="20"/>
          <w:szCs w:val="20"/>
          <w:color w:val="auto"/>
        </w:rPr>
      </w:pPr>
    </w:p>
    <w:p>
      <w:pPr>
        <w:ind w:left="1500"/>
        <w:spacing w:after="0"/>
        <w:rPr>
          <w:sz w:val="20"/>
          <w:szCs w:val="20"/>
          <w:color w:val="auto"/>
        </w:rPr>
      </w:pPr>
      <w:r>
        <w:rPr>
          <w:rFonts w:ascii="Arial" w:cs="Arial" w:eastAsia="Arial" w:hAnsi="Arial"/>
          <w:sz w:val="16"/>
          <w:szCs w:val="16"/>
          <w:b w:val="1"/>
          <w:bCs w:val="1"/>
          <w:color w:val="auto"/>
        </w:rPr>
        <w:t>We have executed on our pay for performance philosophy.</w:t>
      </w:r>
    </w:p>
    <w:p>
      <w:pPr>
        <w:sectPr>
          <w:pgSz w:w="11900" w:h="16838" w:orient="portrait"/>
          <w:cols w:equalWidth="0" w:num="1">
            <w:col w:w="10280"/>
          </w:cols>
          <w:pgMar w:left="320" w:top="445" w:right="1299" w:bottom="1440" w:gutter="0" w:footer="0" w:header="0"/>
        </w:sectPr>
      </w:pPr>
    </w:p>
    <w:p>
      <w:pPr>
        <w:spacing w:after="0" w:line="132" w:lineRule="exact"/>
        <w:rPr>
          <w:sz w:val="20"/>
          <w:szCs w:val="20"/>
          <w:color w:val="auto"/>
        </w:rPr>
      </w:pPr>
    </w:p>
    <w:p>
      <w:pPr>
        <w:ind w:left="1640" w:hanging="147"/>
        <w:spacing w:after="0" w:line="238" w:lineRule="auto"/>
        <w:tabs>
          <w:tab w:leader="none" w:pos="1648" w:val="left"/>
        </w:tabs>
        <w:numPr>
          <w:ilvl w:val="0"/>
          <w:numId w:val="6"/>
        </w:numPr>
        <w:rPr>
          <w:rFonts w:ascii="Arial" w:cs="Arial" w:eastAsia="Arial" w:hAnsi="Arial"/>
          <w:sz w:val="16"/>
          <w:szCs w:val="16"/>
          <w:color w:val="auto"/>
        </w:rPr>
      </w:pPr>
      <w:r>
        <w:rPr>
          <w:rFonts w:ascii="Arial" w:cs="Arial" w:eastAsia="Arial" w:hAnsi="Arial"/>
          <w:sz w:val="16"/>
          <w:szCs w:val="16"/>
          <w:color w:val="auto"/>
        </w:rPr>
        <w:t>Over 60% of the annual target compensation opportunity for our Named Executives was performance-based on average</w:t>
      </w:r>
    </w:p>
    <w:p>
      <w:pPr>
        <w:spacing w:after="0" w:line="113" w:lineRule="exact"/>
        <w:rPr>
          <w:rFonts w:ascii="Arial" w:cs="Arial" w:eastAsia="Arial" w:hAnsi="Arial"/>
          <w:sz w:val="16"/>
          <w:szCs w:val="16"/>
          <w:color w:val="auto"/>
        </w:rPr>
      </w:pPr>
    </w:p>
    <w:p>
      <w:pPr>
        <w:ind w:left="1640" w:right="140" w:hanging="147"/>
        <w:spacing w:after="0" w:line="237" w:lineRule="auto"/>
        <w:tabs>
          <w:tab w:leader="none" w:pos="1648" w:val="left"/>
        </w:tabs>
        <w:numPr>
          <w:ilvl w:val="0"/>
          <w:numId w:val="6"/>
        </w:numPr>
        <w:rPr>
          <w:rFonts w:ascii="Arial" w:cs="Arial" w:eastAsia="Arial" w:hAnsi="Arial"/>
          <w:sz w:val="16"/>
          <w:szCs w:val="16"/>
          <w:color w:val="auto"/>
        </w:rPr>
      </w:pPr>
      <w:r>
        <w:rPr>
          <w:rFonts w:ascii="Arial" w:cs="Arial" w:eastAsia="Arial" w:hAnsi="Arial"/>
          <w:sz w:val="16"/>
          <w:szCs w:val="16"/>
          <w:color w:val="auto"/>
        </w:rPr>
        <w:t>50% (70% for the CEO) of the annual cash incentive is determined based on pre-established financial targets, and the other 50% (30% for the CEO) is determined based on operational performance in three weighted performance categories</w:t>
      </w:r>
    </w:p>
    <w:p>
      <w:pPr>
        <w:spacing w:after="0" w:line="114" w:lineRule="exact"/>
        <w:rPr>
          <w:rFonts w:ascii="Arial" w:cs="Arial" w:eastAsia="Arial" w:hAnsi="Arial"/>
          <w:sz w:val="16"/>
          <w:szCs w:val="16"/>
          <w:color w:val="auto"/>
        </w:rPr>
      </w:pPr>
    </w:p>
    <w:p>
      <w:pPr>
        <w:ind w:left="1640" w:right="240" w:hanging="147"/>
        <w:spacing w:after="0" w:line="238" w:lineRule="auto"/>
        <w:tabs>
          <w:tab w:leader="none" w:pos="1614"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metrics for our performance stock awards are reviewed annually to ensure they reflect key business developments that drive long-term growth</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ind w:left="153" w:right="440" w:hanging="153"/>
        <w:spacing w:after="0" w:line="238" w:lineRule="auto"/>
        <w:tabs>
          <w:tab w:leader="none" w:pos="129"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performance stock awards (“PSAs”) include a relative total shareholder return (“TSR”) modifier to reward significant positive outperformance and align executives’ and shareholders’ long-term interests</w:t>
      </w:r>
    </w:p>
    <w:p>
      <w:pPr>
        <w:spacing w:after="0" w:line="111" w:lineRule="exact"/>
        <w:rPr>
          <w:rFonts w:ascii="Arial" w:cs="Arial" w:eastAsia="Arial" w:hAnsi="Arial"/>
          <w:sz w:val="16"/>
          <w:szCs w:val="16"/>
          <w:color w:val="auto"/>
        </w:rPr>
      </w:pPr>
    </w:p>
    <w:p>
      <w:pPr>
        <w:ind w:left="153" w:right="760" w:hanging="153"/>
        <w:spacing w:after="0" w:line="238" w:lineRule="auto"/>
        <w:tabs>
          <w:tab w:leader="none" w:pos="152" w:val="left"/>
        </w:tabs>
        <w:numPr>
          <w:ilvl w:val="0"/>
          <w:numId w:val="7"/>
        </w:numPr>
        <w:rPr>
          <w:rFonts w:ascii="Arial" w:cs="Arial" w:eastAsia="Arial" w:hAnsi="Arial"/>
          <w:sz w:val="16"/>
          <w:szCs w:val="16"/>
          <w:color w:val="auto"/>
        </w:rPr>
      </w:pPr>
      <w:r>
        <w:rPr>
          <w:rFonts w:ascii="Arial" w:cs="Arial" w:eastAsia="Arial" w:hAnsi="Arial"/>
          <w:sz w:val="16"/>
          <w:szCs w:val="16"/>
          <w:color w:val="auto"/>
        </w:rPr>
        <w:t>At least 70% of target compensation for our Named Executives was equity-based, providing incentives to drive long-term business success and direct alignment with returns to shareholders</w:t>
      </w:r>
    </w:p>
    <w:p>
      <w:pPr>
        <w:spacing w:after="0" w:line="767" w:lineRule="exact"/>
        <w:rPr>
          <w:sz w:val="20"/>
          <w:szCs w:val="20"/>
          <w:color w:val="auto"/>
        </w:rPr>
      </w:pPr>
    </w:p>
    <w:p>
      <w:pPr>
        <w:sectPr>
          <w:pgSz w:w="11900" w:h="16838" w:orient="portrait"/>
          <w:cols w:equalWidth="0" w:num="2">
            <w:col w:w="5560" w:space="167"/>
            <w:col w:w="4553"/>
          </w:cols>
          <w:pgMar w:left="320" w:top="445" w:right="1299" w:bottom="1440" w:gutter="0" w:footer="0" w:header="0"/>
          <w:type w:val="continuous"/>
        </w:sectPr>
      </w:pPr>
    </w:p>
    <w:p>
      <w:pPr>
        <w:ind w:left="1560"/>
        <w:spacing w:after="0"/>
        <w:rPr>
          <w:sz w:val="20"/>
          <w:szCs w:val="20"/>
          <w:color w:val="auto"/>
        </w:rPr>
      </w:pPr>
      <w:r>
        <w:rPr>
          <w:rFonts w:ascii="Arial" w:cs="Arial" w:eastAsia="Arial" w:hAnsi="Arial"/>
          <w:sz w:val="16"/>
          <w:szCs w:val="16"/>
          <w:b w:val="1"/>
          <w:bCs w:val="1"/>
          <w:color w:val="auto"/>
        </w:rPr>
        <w:t>See Part 2 – Named Executive Officer Compensation for more information.</w:t>
      </w:r>
    </w:p>
    <w:p>
      <w:pPr>
        <w:spacing w:after="0" w:line="200" w:lineRule="exact"/>
        <w:rPr>
          <w:sz w:val="20"/>
          <w:szCs w:val="20"/>
          <w:color w:val="auto"/>
        </w:rPr>
      </w:pPr>
    </w:p>
    <w:p>
      <w:pPr>
        <w:spacing w:after="0" w:line="377" w:lineRule="exact"/>
        <w:rPr>
          <w:sz w:val="20"/>
          <w:szCs w:val="20"/>
          <w:color w:val="auto"/>
        </w:rPr>
      </w:pPr>
    </w:p>
    <w:p>
      <w:pPr>
        <w:jc w:val="center"/>
        <w:ind w:right="-999"/>
        <w:spacing w:after="0"/>
        <w:rPr>
          <w:sz w:val="20"/>
          <w:szCs w:val="20"/>
          <w:color w:val="auto"/>
        </w:rPr>
      </w:pPr>
      <w:r>
        <w:rPr>
          <w:rFonts w:ascii="Arial" w:cs="Arial" w:eastAsia="Arial" w:hAnsi="Arial"/>
          <w:sz w:val="21"/>
          <w:szCs w:val="21"/>
          <w:b w:val="1"/>
          <w:bCs w:val="1"/>
          <w:color w:val="auto"/>
        </w:rPr>
        <w:t>Sound Program Design</w:t>
      </w:r>
    </w:p>
    <w:p>
      <w:pPr>
        <w:spacing w:after="0" w:line="77" w:lineRule="exact"/>
        <w:rPr>
          <w:sz w:val="20"/>
          <w:szCs w:val="20"/>
          <w:color w:val="auto"/>
        </w:rPr>
      </w:pPr>
    </w:p>
    <w:p>
      <w:pPr>
        <w:jc w:val="both"/>
        <w:ind w:left="1500" w:right="780"/>
        <w:spacing w:after="0" w:line="289" w:lineRule="auto"/>
        <w:rPr>
          <w:sz w:val="20"/>
          <w:szCs w:val="20"/>
          <w:color w:val="auto"/>
        </w:rPr>
      </w:pPr>
      <w:r>
        <w:rPr>
          <w:rFonts w:ascii="Arial" w:cs="Arial" w:eastAsia="Arial" w:hAnsi="Arial"/>
          <w:sz w:val="14"/>
          <w:szCs w:val="14"/>
          <w:color w:val="auto"/>
        </w:rPr>
        <w:t>We design our executive officer compensation programs to attract, motivate, and retain the key executives who drive our success and industry leadership, while considering individual and Company performance and alignment with the long-term interests of our shareholders. We achieve our objectives through compensation that:</w:t>
      </w:r>
    </w:p>
    <w:p>
      <w:pPr>
        <w:sectPr>
          <w:pgSz w:w="11900" w:h="16838" w:orient="portrait"/>
          <w:cols w:equalWidth="0" w:num="1">
            <w:col w:w="10280"/>
          </w:cols>
          <w:pgMar w:left="320" w:top="445" w:right="1299" w:bottom="1440" w:gutter="0" w:footer="0" w:header="0"/>
          <w:type w:val="continuous"/>
        </w:sectPr>
      </w:pPr>
    </w:p>
    <w:p>
      <w:pPr>
        <w:spacing w:after="0" w:line="92" w:lineRule="exact"/>
        <w:rPr>
          <w:sz w:val="20"/>
          <w:szCs w:val="20"/>
          <w:color w:val="auto"/>
        </w:rPr>
      </w:pPr>
    </w:p>
    <w:p>
      <w:pPr>
        <w:ind w:left="1660" w:hanging="167"/>
        <w:spacing w:after="0"/>
        <w:tabs>
          <w:tab w:leader="none" w:pos="1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Provides a competitive total pay opportunity</w:t>
      </w:r>
    </w:p>
    <w:p>
      <w:pPr>
        <w:spacing w:after="0" w:line="113" w:lineRule="exact"/>
        <w:rPr>
          <w:rFonts w:ascii="Arial" w:cs="Arial" w:eastAsia="Arial" w:hAnsi="Arial"/>
          <w:sz w:val="16"/>
          <w:szCs w:val="16"/>
          <w:color w:val="auto"/>
        </w:rPr>
      </w:pPr>
    </w:p>
    <w:p>
      <w:pPr>
        <w:ind w:left="1660" w:hanging="167"/>
        <w:spacing w:after="0"/>
        <w:tabs>
          <w:tab w:leader="none" w:pos="1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Delivers a majority of pay based on performance</w:t>
      </w:r>
    </w:p>
    <w:p>
      <w:pPr>
        <w:spacing w:after="0" w:line="136" w:lineRule="exact"/>
        <w:rPr>
          <w:rFonts w:ascii="Arial" w:cs="Arial" w:eastAsia="Arial" w:hAnsi="Arial"/>
          <w:sz w:val="14"/>
          <w:szCs w:val="14"/>
          <w:color w:val="auto"/>
        </w:rPr>
      </w:pPr>
    </w:p>
    <w:p>
      <w:pPr>
        <w:ind w:left="1660" w:hanging="167"/>
        <w:spacing w:after="0"/>
        <w:tabs>
          <w:tab w:leader="none" w:pos="1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Consists primarily of stock-based compensation</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153" w:right="580" w:hanging="153"/>
        <w:spacing w:after="0" w:line="239" w:lineRule="auto"/>
        <w:tabs>
          <w:tab w:leader="none" w:pos="160" w:val="left"/>
        </w:tabs>
        <w:numPr>
          <w:ilvl w:val="0"/>
          <w:numId w:val="9"/>
        </w:numPr>
        <w:rPr>
          <w:rFonts w:ascii="Arial" w:cs="Arial" w:eastAsia="Arial" w:hAnsi="Arial"/>
          <w:sz w:val="16"/>
          <w:szCs w:val="16"/>
          <w:color w:val="auto"/>
        </w:rPr>
      </w:pPr>
      <w:r>
        <w:rPr>
          <w:rFonts w:ascii="Arial" w:cs="Arial" w:eastAsia="Arial" w:hAnsi="Arial"/>
          <w:sz w:val="16"/>
          <w:szCs w:val="16"/>
          <w:color w:val="auto"/>
        </w:rPr>
        <w:t>Enhances long-term focus through multi-year vesting of stock awards</w:t>
      </w:r>
    </w:p>
    <w:p>
      <w:pPr>
        <w:spacing w:after="0" w:line="112" w:lineRule="exact"/>
        <w:rPr>
          <w:rFonts w:ascii="Arial" w:cs="Arial" w:eastAsia="Arial" w:hAnsi="Arial"/>
          <w:sz w:val="16"/>
          <w:szCs w:val="16"/>
          <w:color w:val="auto"/>
        </w:rPr>
      </w:pPr>
    </w:p>
    <w:p>
      <w:pPr>
        <w:ind w:left="153" w:right="760" w:hanging="153"/>
        <w:spacing w:after="0" w:line="239" w:lineRule="auto"/>
        <w:tabs>
          <w:tab w:leader="none" w:pos="160" w:val="left"/>
        </w:tabs>
        <w:numPr>
          <w:ilvl w:val="0"/>
          <w:numId w:val="9"/>
        </w:numPr>
        <w:rPr>
          <w:rFonts w:ascii="Arial" w:cs="Arial" w:eastAsia="Arial" w:hAnsi="Arial"/>
          <w:sz w:val="16"/>
          <w:szCs w:val="16"/>
          <w:color w:val="auto"/>
        </w:rPr>
      </w:pPr>
      <w:r>
        <w:rPr>
          <w:rFonts w:ascii="Arial" w:cs="Arial" w:eastAsia="Arial" w:hAnsi="Arial"/>
          <w:sz w:val="16"/>
          <w:szCs w:val="16"/>
          <w:color w:val="auto"/>
        </w:rPr>
        <w:t>Does not encourage unnecessary and excessive risk taking</w:t>
      </w:r>
    </w:p>
    <w:p>
      <w:pPr>
        <w:spacing w:after="0" w:line="200" w:lineRule="exact"/>
        <w:rPr>
          <w:sz w:val="20"/>
          <w:szCs w:val="20"/>
          <w:color w:val="auto"/>
        </w:rPr>
      </w:pPr>
    </w:p>
    <w:p>
      <w:pPr>
        <w:sectPr>
          <w:pgSz w:w="11900" w:h="16838" w:orient="portrait"/>
          <w:cols w:equalWidth="0" w:num="2">
            <w:col w:w="5007" w:space="720"/>
            <w:col w:w="4553"/>
          </w:cols>
          <w:pgMar w:left="320" w:top="445" w:right="1299" w:bottom="1440" w:gutter="0" w:footer="0" w:header="0"/>
          <w:type w:val="continuous"/>
        </w:sectPr>
      </w:pPr>
    </w:p>
    <w:p>
      <w:pPr>
        <w:spacing w:after="0" w:line="345" w:lineRule="exact"/>
        <w:rPr>
          <w:sz w:val="20"/>
          <w:szCs w:val="20"/>
          <w:color w:val="auto"/>
        </w:rPr>
      </w:pPr>
    </w:p>
    <w:p>
      <w:pPr>
        <w:jc w:val="center"/>
        <w:ind w:right="-919"/>
        <w:spacing w:after="0"/>
        <w:rPr>
          <w:sz w:val="20"/>
          <w:szCs w:val="20"/>
          <w:color w:val="auto"/>
        </w:rPr>
      </w:pPr>
      <w:r>
        <w:rPr>
          <w:rFonts w:ascii="Arial" w:cs="Arial" w:eastAsia="Arial" w:hAnsi="Arial"/>
          <w:sz w:val="21"/>
          <w:szCs w:val="21"/>
          <w:b w:val="1"/>
          <w:bCs w:val="1"/>
          <w:color w:val="auto"/>
        </w:rPr>
        <w:t>Executive Pay Program Incorporates Shareholder Feedback</w:t>
      </w:r>
    </w:p>
    <w:p>
      <w:pPr>
        <w:spacing w:after="0" w:line="77" w:lineRule="exact"/>
        <w:rPr>
          <w:sz w:val="20"/>
          <w:szCs w:val="20"/>
          <w:color w:val="auto"/>
        </w:rPr>
      </w:pPr>
    </w:p>
    <w:p>
      <w:pPr>
        <w:ind w:left="1500" w:right="520"/>
        <w:spacing w:after="0" w:line="237" w:lineRule="auto"/>
        <w:rPr>
          <w:sz w:val="20"/>
          <w:szCs w:val="20"/>
          <w:color w:val="auto"/>
        </w:rPr>
      </w:pPr>
      <w:r>
        <w:rPr>
          <w:rFonts w:ascii="Arial" w:cs="Arial" w:eastAsia="Arial" w:hAnsi="Arial"/>
          <w:sz w:val="16"/>
          <w:szCs w:val="16"/>
          <w:color w:val="auto"/>
        </w:rPr>
        <w:t>In discussing the design of our compensation program with investors in fiscal year 2021, several key themes emerged in the feedback we received. The Compensation Committee evaluated these themes and implemented enhancements to our fiscal year 2021 compensation program that both respond directly to shareholder input and further increase pay-for-performance alignment at Microsoft. Shareholder feedback and responsive actions taken in fiscal year 2021 include:</w:t>
      </w:r>
    </w:p>
    <w:p>
      <w:pPr>
        <w:spacing w:after="0" w:line="103" w:lineRule="exact"/>
        <w:rPr>
          <w:sz w:val="20"/>
          <w:szCs w:val="20"/>
          <w:color w:val="auto"/>
        </w:rPr>
      </w:pPr>
    </w:p>
    <w:p>
      <w:pPr>
        <w:ind w:left="1500"/>
        <w:spacing w:after="0"/>
        <w:tabs>
          <w:tab w:leader="none" w:pos="5700" w:val="left"/>
        </w:tabs>
        <w:rPr>
          <w:sz w:val="20"/>
          <w:szCs w:val="20"/>
          <w:color w:val="auto"/>
        </w:rPr>
      </w:pPr>
      <w:r>
        <w:rPr>
          <w:rFonts w:ascii="Arial" w:cs="Arial" w:eastAsia="Arial" w:hAnsi="Arial"/>
          <w:sz w:val="17"/>
          <w:szCs w:val="17"/>
          <w:b w:val="1"/>
          <w:bCs w:val="1"/>
          <w:color w:val="0075C9"/>
        </w:rPr>
        <w:t>Feedback Themes</w:t>
      </w:r>
      <w:r>
        <w:rPr>
          <w:sz w:val="20"/>
          <w:szCs w:val="20"/>
          <w:color w:val="auto"/>
        </w:rPr>
        <w:tab/>
      </w:r>
      <w:r>
        <w:rPr>
          <w:rFonts w:ascii="Arial" w:cs="Arial" w:eastAsia="Arial" w:hAnsi="Arial"/>
          <w:sz w:val="17"/>
          <w:szCs w:val="17"/>
          <w:b w:val="1"/>
          <w:bCs w:val="1"/>
          <w:color w:val="0075C9"/>
        </w:rPr>
        <w:t>Actions Taken</w:t>
      </w:r>
    </w:p>
    <w:p>
      <w:pPr>
        <w:sectPr>
          <w:pgSz w:w="11900" w:h="16838" w:orient="portrait"/>
          <w:cols w:equalWidth="0" w:num="1">
            <w:col w:w="10280"/>
          </w:cols>
          <w:pgMar w:left="320" w:top="445" w:right="1299" w:bottom="1440" w:gutter="0" w:footer="0" w:header="0"/>
          <w:type w:val="continuous"/>
        </w:sectPr>
      </w:pPr>
    </w:p>
    <w:p>
      <w:pPr>
        <w:spacing w:after="0" w:line="140" w:lineRule="exact"/>
        <w:rPr>
          <w:sz w:val="20"/>
          <w:szCs w:val="20"/>
          <w:color w:val="auto"/>
        </w:rPr>
      </w:pPr>
    </w:p>
    <w:p>
      <w:pPr>
        <w:ind w:left="1660" w:right="20" w:hanging="154"/>
        <w:spacing w:after="0" w:line="237" w:lineRule="auto"/>
        <w:tabs>
          <w:tab w:leader="none" w:pos="1668"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Increase the component of the annual cash incentive based on pre-established metrics to further strengthen our CEO’s accountability to achieving results on the objective financial metrics that most closely align with our business strategy</w:t>
      </w:r>
    </w:p>
    <w:p>
      <w:pPr>
        <w:spacing w:after="0" w:line="114" w:lineRule="exact"/>
        <w:rPr>
          <w:rFonts w:ascii="Arial" w:cs="Arial" w:eastAsia="Arial" w:hAnsi="Arial"/>
          <w:sz w:val="16"/>
          <w:szCs w:val="16"/>
          <w:color w:val="auto"/>
        </w:rPr>
      </w:pPr>
    </w:p>
    <w:p>
      <w:pPr>
        <w:ind w:left="1660" w:right="800" w:hanging="154"/>
        <w:spacing w:after="0" w:line="239" w:lineRule="auto"/>
        <w:tabs>
          <w:tab w:leader="none" w:pos="1668" w:val="left"/>
        </w:tabs>
        <w:numPr>
          <w:ilvl w:val="0"/>
          <w:numId w:val="10"/>
        </w:numPr>
        <w:rPr>
          <w:rFonts w:ascii="Arial" w:cs="Arial" w:eastAsia="Arial" w:hAnsi="Arial"/>
          <w:sz w:val="16"/>
          <w:szCs w:val="16"/>
          <w:color w:val="auto"/>
        </w:rPr>
      </w:pPr>
      <w:r>
        <w:rPr>
          <w:rFonts w:ascii="Arial" w:cs="Arial" w:eastAsia="Arial" w:hAnsi="Arial"/>
          <w:sz w:val="16"/>
          <w:szCs w:val="16"/>
          <w:color w:val="auto"/>
        </w:rPr>
        <w:t>Shift the mix of our CEO’s equity to be majority performance stock award</w:t>
      </w:r>
    </w:p>
    <w:p>
      <w:pPr>
        <w:spacing w:after="0" w:line="112" w:lineRule="exact"/>
        <w:rPr>
          <w:rFonts w:ascii="Arial" w:cs="Arial" w:eastAsia="Arial" w:hAnsi="Arial"/>
          <w:sz w:val="16"/>
          <w:szCs w:val="16"/>
          <w:color w:val="auto"/>
        </w:rPr>
      </w:pPr>
    </w:p>
    <w:p>
      <w:pPr>
        <w:ind w:left="1660" w:hanging="154"/>
        <w:spacing w:after="0" w:line="238" w:lineRule="auto"/>
        <w:tabs>
          <w:tab w:leader="none" w:pos="1668"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 a downside adjustment on the PSA payout, so that the TSR multiplier provides both upside and downside exposure for executives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left="153" w:right="580" w:hanging="153"/>
        <w:spacing w:after="0" w:line="237" w:lineRule="auto"/>
        <w:tabs>
          <w:tab w:leader="none" w:pos="1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Increased the weighting of the financial performance portion of the CEO’s annual cash incentive from 50% to 70% for fiscal year 2021, split evenly between Incentive Plan Revenue (35%) and Incentive Plan Operating Income (35%)</w:t>
      </w:r>
    </w:p>
    <w:p>
      <w:pPr>
        <w:spacing w:after="0" w:line="114" w:lineRule="exact"/>
        <w:rPr>
          <w:rFonts w:ascii="Arial" w:cs="Arial" w:eastAsia="Arial" w:hAnsi="Arial"/>
          <w:sz w:val="16"/>
          <w:szCs w:val="16"/>
          <w:color w:val="auto"/>
        </w:rPr>
      </w:pPr>
    </w:p>
    <w:p>
      <w:pPr>
        <w:jc w:val="both"/>
        <w:ind w:left="153" w:right="700" w:hanging="153"/>
        <w:spacing w:after="0" w:line="308" w:lineRule="auto"/>
        <w:tabs>
          <w:tab w:leader="none" w:pos="1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Increased the performance stock award portion of our CEO’s equity awards from 50% to 70% for fiscal 2021</w:t>
      </w:r>
    </w:p>
    <w:p>
      <w:pPr>
        <w:spacing w:after="0" w:line="65" w:lineRule="exact"/>
        <w:rPr>
          <w:rFonts w:ascii="Arial" w:cs="Arial" w:eastAsia="Arial" w:hAnsi="Arial"/>
          <w:sz w:val="14"/>
          <w:szCs w:val="14"/>
          <w:color w:val="auto"/>
        </w:rPr>
      </w:pPr>
    </w:p>
    <w:p>
      <w:pPr>
        <w:ind w:left="153" w:right="520" w:hanging="153"/>
        <w:spacing w:after="0" w:line="238" w:lineRule="auto"/>
        <w:tabs>
          <w:tab w:leader="none" w:pos="1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Revised the relative TSR modifier for fiscal year 2021 PSAs to include a downside adjustment on PSA payouts if relative TSR falls below the 40th percentile of the S&amp;P 500</w:t>
      </w:r>
    </w:p>
    <w:p>
      <w:pPr>
        <w:spacing w:after="0" w:line="200" w:lineRule="exact"/>
        <w:rPr>
          <w:sz w:val="20"/>
          <w:szCs w:val="20"/>
          <w:color w:val="auto"/>
        </w:rPr>
      </w:pPr>
    </w:p>
    <w:p>
      <w:pPr>
        <w:sectPr>
          <w:pgSz w:w="11900" w:h="16838" w:orient="portrait"/>
          <w:cols w:equalWidth="0" w:num="2">
            <w:col w:w="5680" w:space="47"/>
            <w:col w:w="4553"/>
          </w:cols>
          <w:pgMar w:left="320" w:top="445" w:right="1299" w:bottom="144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8460"/>
        <w:spacing w:after="0"/>
        <w:rPr>
          <w:sz w:val="20"/>
          <w:szCs w:val="20"/>
          <w:color w:val="auto"/>
        </w:rPr>
      </w:pPr>
      <w:r>
        <w:rPr>
          <w:rFonts w:ascii="Arial" w:cs="Arial" w:eastAsia="Arial" w:hAnsi="Arial"/>
          <w:sz w:val="13"/>
          <w:szCs w:val="13"/>
          <w:color w:val="auto"/>
        </w:rPr>
        <w:t xml:space="preserve">2021 PROXY STATEMENT </w:t>
      </w:r>
      <w:r>
        <w:rPr>
          <w:rFonts w:ascii="Arial" w:cs="Arial" w:eastAsia="Arial" w:hAnsi="Arial"/>
          <w:sz w:val="13"/>
          <w:szCs w:val="13"/>
          <w:b w:val="1"/>
          <w:bCs w:val="1"/>
          <w:color w:val="0075C9"/>
        </w:rPr>
        <w:t>3</w:t>
      </w:r>
    </w:p>
    <w:p>
      <w:pPr>
        <w:sectPr>
          <w:pgSz w:w="11900" w:h="16838" w:orient="portrait"/>
          <w:cols w:equalWidth="0" w:num="1">
            <w:col w:w="10280"/>
          </w:cols>
          <w:pgMar w:left="320" w:top="445" w:right="1299" w:bottom="1440" w:gutter="0" w:footer="0" w:header="0"/>
          <w:type w:val="continuous"/>
        </w:sectPr>
      </w:pPr>
    </w:p>
    <w:bookmarkStart w:id="11" w:name="page12"/>
    <w:bookmarkEnd w:id="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637540</wp:posOffset>
            </wp:positionH>
            <wp:positionV relativeFrom="paragraph">
              <wp:posOffset>226060</wp:posOffset>
            </wp:positionV>
            <wp:extent cx="5868035" cy="77590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68035" cy="775906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1200"/>
        <w:spacing w:after="0"/>
        <w:rPr>
          <w:sz w:val="20"/>
          <w:szCs w:val="20"/>
          <w:color w:val="auto"/>
        </w:rPr>
      </w:pPr>
      <w:r>
        <w:rPr>
          <w:rFonts w:ascii="Arial" w:cs="Arial" w:eastAsia="Arial" w:hAnsi="Arial"/>
          <w:sz w:val="43"/>
          <w:szCs w:val="43"/>
          <w:b w:val="1"/>
          <w:bCs w:val="1"/>
          <w:color w:val="auto"/>
        </w:rPr>
        <w:t>Business Overview</w:t>
      </w:r>
    </w:p>
    <w:p>
      <w:pPr>
        <w:spacing w:after="0" w:line="200" w:lineRule="exact"/>
        <w:rPr>
          <w:sz w:val="20"/>
          <w:szCs w:val="20"/>
          <w:color w:val="auto"/>
        </w:rPr>
      </w:pPr>
    </w:p>
    <w:p>
      <w:pPr>
        <w:spacing w:after="0" w:line="240" w:lineRule="exact"/>
        <w:rPr>
          <w:sz w:val="20"/>
          <w:szCs w:val="20"/>
          <w:color w:val="auto"/>
        </w:rPr>
      </w:pPr>
    </w:p>
    <w:p>
      <w:pPr>
        <w:ind w:left="1200"/>
        <w:spacing w:after="0"/>
        <w:rPr>
          <w:sz w:val="20"/>
          <w:szCs w:val="20"/>
          <w:color w:val="auto"/>
        </w:rPr>
      </w:pPr>
      <w:r>
        <w:rPr>
          <w:rFonts w:ascii="Arial" w:cs="Arial" w:eastAsia="Arial" w:hAnsi="Arial"/>
          <w:sz w:val="24"/>
          <w:szCs w:val="24"/>
          <w:b w:val="1"/>
          <w:bCs w:val="1"/>
          <w:color w:val="0075C9"/>
        </w:rPr>
        <w:t>Our Business Performance</w:t>
      </w:r>
    </w:p>
    <w:p>
      <w:pPr>
        <w:spacing w:after="0" w:line="143" w:lineRule="exact"/>
        <w:rPr>
          <w:sz w:val="20"/>
          <w:szCs w:val="20"/>
          <w:color w:val="auto"/>
        </w:rPr>
      </w:pPr>
    </w:p>
    <w:p>
      <w:pPr>
        <w:ind w:left="1200" w:right="279"/>
        <w:spacing w:after="0" w:line="237" w:lineRule="auto"/>
        <w:rPr>
          <w:sz w:val="20"/>
          <w:szCs w:val="20"/>
          <w:color w:val="auto"/>
        </w:rPr>
      </w:pPr>
      <w:r>
        <w:rPr>
          <w:rFonts w:ascii="Arial" w:cs="Arial" w:eastAsia="Arial" w:hAnsi="Arial"/>
          <w:sz w:val="16"/>
          <w:szCs w:val="16"/>
          <w:color w:val="auto"/>
        </w:rPr>
        <w:t>In fiscal year 2021, we continued to achieve strong business results, focusing on enabling the success and earning the trust of our customers. We expanded our offerings and accelerated innovation to capture the opportunities that the era of intelligent cloud and intelligent edge is creating for our customers. We continue to improve our position as a trusted partner to our customers, accelerating their digital transformations through our key cloud technologies, productivity tools, and artificial intelligence assets.</w:t>
      </w:r>
    </w:p>
    <w:p>
      <w:pPr>
        <w:spacing w:after="0" w:line="340" w:lineRule="exact"/>
        <w:rPr>
          <w:sz w:val="20"/>
          <w:szCs w:val="20"/>
          <w:color w:val="auto"/>
        </w:rPr>
      </w:pPr>
    </w:p>
    <w:p>
      <w:pPr>
        <w:ind w:left="4100"/>
        <w:spacing w:after="0"/>
        <w:rPr>
          <w:sz w:val="20"/>
          <w:szCs w:val="20"/>
          <w:color w:val="auto"/>
        </w:rPr>
      </w:pPr>
      <w:r>
        <w:rPr>
          <w:rFonts w:ascii="Arial" w:cs="Arial" w:eastAsia="Arial" w:hAnsi="Arial"/>
          <w:sz w:val="21"/>
          <w:szCs w:val="21"/>
          <w:b w:val="1"/>
          <w:bCs w:val="1"/>
          <w:color w:val="auto"/>
        </w:rPr>
        <w:t>Fiscal Year 2021 Achievements</w:t>
      </w:r>
    </w:p>
    <w:p>
      <w:pPr>
        <w:spacing w:after="0" w:line="234" w:lineRule="exact"/>
        <w:rPr>
          <w:sz w:val="20"/>
          <w:szCs w:val="20"/>
          <w:color w:val="auto"/>
        </w:rPr>
      </w:pPr>
    </w:p>
    <w:tbl>
      <w:tblPr>
        <w:tblLayout w:type="fixed"/>
        <w:tblInd w:w="1780" w:type="dxa"/>
        <w:tblCellMar>
          <w:top w:w="0" w:type="dxa"/>
          <w:left w:w="0" w:type="dxa"/>
          <w:bottom w:w="0" w:type="dxa"/>
          <w:right w:w="0" w:type="dxa"/>
        </w:tblCellMar>
      </w:tblPr>
      <w:tr>
        <w:trPr>
          <w:trHeight w:val="23"/>
        </w:trPr>
        <w:tc>
          <w:tcPr>
            <w:tcW w:w="1560" w:type="dxa"/>
            <w:vAlign w:val="bottom"/>
            <w:vMerge w:val="restart"/>
          </w:tcPr>
          <w:p>
            <w:pPr>
              <w:jc w:val="center"/>
              <w:ind w:right="365"/>
              <w:spacing w:after="0"/>
              <w:rPr>
                <w:sz w:val="20"/>
                <w:szCs w:val="20"/>
                <w:color w:val="auto"/>
              </w:rPr>
            </w:pPr>
            <w:r>
              <w:rPr>
                <w:rFonts w:ascii="Arial" w:cs="Arial" w:eastAsia="Arial" w:hAnsi="Arial"/>
                <w:sz w:val="17"/>
                <w:szCs w:val="17"/>
                <w:b w:val="1"/>
                <w:bCs w:val="1"/>
                <w:color w:val="0075C9"/>
              </w:rPr>
              <w:t>$168.1 billion</w:t>
            </w:r>
          </w:p>
        </w:tc>
        <w:tc>
          <w:tcPr>
            <w:tcW w:w="20" w:type="dxa"/>
            <w:vAlign w:val="bottom"/>
          </w:tcPr>
          <w:p>
            <w:pPr>
              <w:spacing w:after="0" w:line="20" w:lineRule="exact"/>
              <w:rPr>
                <w:sz w:val="1"/>
                <w:szCs w:val="1"/>
                <w:color w:val="auto"/>
              </w:rPr>
            </w:pPr>
          </w:p>
        </w:tc>
        <w:tc>
          <w:tcPr>
            <w:tcW w:w="2220" w:type="dxa"/>
            <w:vAlign w:val="bottom"/>
            <w:vMerge w:val="restart"/>
          </w:tcPr>
          <w:p>
            <w:pPr>
              <w:jc w:val="center"/>
              <w:spacing w:after="0"/>
              <w:rPr>
                <w:sz w:val="20"/>
                <w:szCs w:val="20"/>
                <w:color w:val="auto"/>
              </w:rPr>
            </w:pPr>
            <w:r>
              <w:rPr>
                <w:rFonts w:ascii="Arial" w:cs="Arial" w:eastAsia="Arial" w:hAnsi="Arial"/>
                <w:sz w:val="17"/>
                <w:szCs w:val="17"/>
                <w:b w:val="1"/>
                <w:bCs w:val="1"/>
                <w:color w:val="0075C9"/>
              </w:rPr>
              <w:t>$69.9 billion</w:t>
            </w:r>
          </w:p>
        </w:tc>
        <w:tc>
          <w:tcPr>
            <w:tcW w:w="20" w:type="dxa"/>
            <w:vAlign w:val="bottom"/>
          </w:tcPr>
          <w:p>
            <w:pPr>
              <w:spacing w:after="0" w:line="20" w:lineRule="exact"/>
              <w:rPr>
                <w:sz w:val="1"/>
                <w:szCs w:val="1"/>
                <w:color w:val="auto"/>
              </w:rPr>
            </w:pPr>
          </w:p>
        </w:tc>
        <w:tc>
          <w:tcPr>
            <w:tcW w:w="2240" w:type="dxa"/>
            <w:vAlign w:val="bottom"/>
            <w:vMerge w:val="restart"/>
          </w:tcPr>
          <w:p>
            <w:pPr>
              <w:jc w:val="center"/>
              <w:spacing w:after="0"/>
              <w:rPr>
                <w:sz w:val="20"/>
                <w:szCs w:val="20"/>
                <w:color w:val="auto"/>
              </w:rPr>
            </w:pPr>
            <w:r>
              <w:rPr>
                <w:rFonts w:ascii="Arial" w:cs="Arial" w:eastAsia="Arial" w:hAnsi="Arial"/>
                <w:sz w:val="17"/>
                <w:szCs w:val="17"/>
                <w:b w:val="1"/>
                <w:bCs w:val="1"/>
                <w:color w:val="0075C9"/>
              </w:rPr>
              <w:t>$61.3 billion</w:t>
            </w:r>
          </w:p>
        </w:tc>
        <w:tc>
          <w:tcPr>
            <w:tcW w:w="20" w:type="dxa"/>
            <w:vAlign w:val="bottom"/>
          </w:tcPr>
          <w:p>
            <w:pPr>
              <w:spacing w:after="0" w:line="20" w:lineRule="exact"/>
              <w:rPr>
                <w:sz w:val="1"/>
                <w:szCs w:val="1"/>
                <w:color w:val="auto"/>
              </w:rPr>
            </w:pPr>
          </w:p>
        </w:tc>
        <w:tc>
          <w:tcPr>
            <w:tcW w:w="1720" w:type="dxa"/>
            <w:vAlign w:val="bottom"/>
            <w:vMerge w:val="restart"/>
          </w:tcPr>
          <w:p>
            <w:pPr>
              <w:jc w:val="center"/>
              <w:ind w:left="407"/>
              <w:spacing w:after="0"/>
              <w:rPr>
                <w:sz w:val="20"/>
                <w:szCs w:val="20"/>
                <w:color w:val="auto"/>
              </w:rPr>
            </w:pPr>
            <w:r>
              <w:rPr>
                <w:rFonts w:ascii="Arial" w:cs="Arial" w:eastAsia="Arial" w:hAnsi="Arial"/>
                <w:sz w:val="17"/>
                <w:szCs w:val="17"/>
                <w:b w:val="1"/>
                <w:bCs w:val="1"/>
                <w:color w:val="0075C9"/>
              </w:rPr>
              <w:t>$8.05</w:t>
            </w:r>
          </w:p>
        </w:tc>
        <w:tc>
          <w:tcPr>
            <w:tcW w:w="0" w:type="dxa"/>
            <w:vAlign w:val="bottom"/>
          </w:tcPr>
          <w:p>
            <w:pPr>
              <w:spacing w:after="0" w:line="20" w:lineRule="exact"/>
              <w:rPr>
                <w:sz w:val="1"/>
                <w:szCs w:val="1"/>
                <w:color w:val="auto"/>
              </w:rPr>
            </w:pPr>
          </w:p>
        </w:tc>
      </w:tr>
      <w:tr>
        <w:trPr>
          <w:trHeight w:val="207"/>
        </w:trPr>
        <w:tc>
          <w:tcPr>
            <w:tcW w:w="1560" w:type="dxa"/>
            <w:vAlign w:val="bottom"/>
            <w:vMerge w:val="continue"/>
          </w:tcPr>
          <w:p>
            <w:pPr>
              <w:spacing w:after="0"/>
              <w:rPr>
                <w:sz w:val="18"/>
                <w:szCs w:val="18"/>
                <w:color w:val="auto"/>
              </w:rPr>
            </w:pPr>
          </w:p>
        </w:tc>
        <w:tc>
          <w:tcPr>
            <w:tcW w:w="20" w:type="dxa"/>
            <w:vAlign w:val="bottom"/>
            <w:shd w:val="clear" w:color="auto" w:fill="0075C9"/>
          </w:tcPr>
          <w:p>
            <w:pPr>
              <w:spacing w:after="0"/>
              <w:rPr>
                <w:sz w:val="18"/>
                <w:szCs w:val="18"/>
                <w:color w:val="auto"/>
              </w:rPr>
            </w:pPr>
          </w:p>
        </w:tc>
        <w:tc>
          <w:tcPr>
            <w:tcW w:w="2220" w:type="dxa"/>
            <w:vAlign w:val="bottom"/>
            <w:vMerge w:val="continue"/>
          </w:tcPr>
          <w:p>
            <w:pPr>
              <w:spacing w:after="0"/>
              <w:rPr>
                <w:sz w:val="18"/>
                <w:szCs w:val="18"/>
                <w:color w:val="auto"/>
              </w:rPr>
            </w:pPr>
          </w:p>
        </w:tc>
        <w:tc>
          <w:tcPr>
            <w:tcW w:w="20" w:type="dxa"/>
            <w:vAlign w:val="bottom"/>
            <w:shd w:val="clear" w:color="auto" w:fill="0075C9"/>
          </w:tcPr>
          <w:p>
            <w:pPr>
              <w:spacing w:after="0"/>
              <w:rPr>
                <w:sz w:val="18"/>
                <w:szCs w:val="18"/>
                <w:color w:val="auto"/>
              </w:rPr>
            </w:pPr>
          </w:p>
        </w:tc>
        <w:tc>
          <w:tcPr>
            <w:tcW w:w="2240" w:type="dxa"/>
            <w:vAlign w:val="bottom"/>
            <w:vMerge w:val="continue"/>
          </w:tcPr>
          <w:p>
            <w:pPr>
              <w:spacing w:after="0"/>
              <w:rPr>
                <w:sz w:val="18"/>
                <w:szCs w:val="18"/>
                <w:color w:val="auto"/>
              </w:rPr>
            </w:pPr>
          </w:p>
        </w:tc>
        <w:tc>
          <w:tcPr>
            <w:tcW w:w="20" w:type="dxa"/>
            <w:vAlign w:val="bottom"/>
            <w:shd w:val="clear" w:color="auto" w:fill="0075C9"/>
          </w:tcPr>
          <w:p>
            <w:pPr>
              <w:spacing w:after="0"/>
              <w:rPr>
                <w:sz w:val="18"/>
                <w:szCs w:val="18"/>
                <w:color w:val="auto"/>
              </w:rPr>
            </w:pPr>
          </w:p>
        </w:tc>
        <w:tc>
          <w:tcPr>
            <w:tcW w:w="1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560" w:type="dxa"/>
            <w:vAlign w:val="bottom"/>
          </w:tcPr>
          <w:p>
            <w:pPr>
              <w:jc w:val="center"/>
              <w:ind w:right="385"/>
              <w:spacing w:after="0"/>
              <w:rPr>
                <w:sz w:val="20"/>
                <w:szCs w:val="20"/>
                <w:color w:val="auto"/>
              </w:rPr>
            </w:pPr>
            <w:r>
              <w:rPr>
                <w:rFonts w:ascii="Arial" w:cs="Arial" w:eastAsia="Arial" w:hAnsi="Arial"/>
                <w:sz w:val="14"/>
                <w:szCs w:val="14"/>
                <w:color w:val="auto"/>
                <w:w w:val="98"/>
              </w:rPr>
              <w:t>Revenue, an 18%</w:t>
            </w:r>
          </w:p>
        </w:tc>
        <w:tc>
          <w:tcPr>
            <w:tcW w:w="20" w:type="dxa"/>
            <w:vAlign w:val="bottom"/>
            <w:shd w:val="clear" w:color="auto" w:fill="0075C9"/>
          </w:tcPr>
          <w:p>
            <w:pPr>
              <w:spacing w:after="0"/>
              <w:rPr>
                <w:sz w:val="22"/>
                <w:szCs w:val="22"/>
                <w:color w:val="auto"/>
              </w:rPr>
            </w:pPr>
          </w:p>
        </w:tc>
        <w:tc>
          <w:tcPr>
            <w:tcW w:w="2220" w:type="dxa"/>
            <w:vAlign w:val="bottom"/>
          </w:tcPr>
          <w:p>
            <w:pPr>
              <w:jc w:val="center"/>
              <w:spacing w:after="0"/>
              <w:rPr>
                <w:sz w:val="20"/>
                <w:szCs w:val="20"/>
                <w:color w:val="auto"/>
              </w:rPr>
            </w:pPr>
            <w:r>
              <w:rPr>
                <w:rFonts w:ascii="Arial" w:cs="Arial" w:eastAsia="Arial" w:hAnsi="Arial"/>
                <w:sz w:val="14"/>
                <w:szCs w:val="14"/>
                <w:color w:val="auto"/>
                <w:w w:val="98"/>
              </w:rPr>
              <w:t>Operating income, a 32%</w:t>
            </w:r>
          </w:p>
        </w:tc>
        <w:tc>
          <w:tcPr>
            <w:tcW w:w="20" w:type="dxa"/>
            <w:vAlign w:val="bottom"/>
            <w:shd w:val="clear" w:color="auto" w:fill="0075C9"/>
          </w:tcPr>
          <w:p>
            <w:pPr>
              <w:spacing w:after="0"/>
              <w:rPr>
                <w:sz w:val="22"/>
                <w:szCs w:val="22"/>
                <w:color w:val="auto"/>
              </w:rPr>
            </w:pPr>
          </w:p>
        </w:tc>
        <w:tc>
          <w:tcPr>
            <w:tcW w:w="2240" w:type="dxa"/>
            <w:vAlign w:val="bottom"/>
          </w:tcPr>
          <w:p>
            <w:pPr>
              <w:jc w:val="center"/>
              <w:spacing w:after="0"/>
              <w:rPr>
                <w:sz w:val="20"/>
                <w:szCs w:val="20"/>
                <w:color w:val="auto"/>
              </w:rPr>
            </w:pPr>
            <w:r>
              <w:rPr>
                <w:rFonts w:ascii="Arial" w:cs="Arial" w:eastAsia="Arial" w:hAnsi="Arial"/>
                <w:sz w:val="14"/>
                <w:szCs w:val="14"/>
                <w:color w:val="auto"/>
                <w:w w:val="99"/>
              </w:rPr>
              <w:t>Net income, a 38%</w:t>
            </w:r>
          </w:p>
        </w:tc>
        <w:tc>
          <w:tcPr>
            <w:tcW w:w="20" w:type="dxa"/>
            <w:vAlign w:val="bottom"/>
            <w:shd w:val="clear" w:color="auto" w:fill="0075C9"/>
          </w:tcPr>
          <w:p>
            <w:pPr>
              <w:spacing w:after="0"/>
              <w:rPr>
                <w:sz w:val="22"/>
                <w:szCs w:val="22"/>
                <w:color w:val="auto"/>
              </w:rPr>
            </w:pPr>
          </w:p>
        </w:tc>
        <w:tc>
          <w:tcPr>
            <w:tcW w:w="1720" w:type="dxa"/>
            <w:vAlign w:val="bottom"/>
          </w:tcPr>
          <w:p>
            <w:pPr>
              <w:jc w:val="center"/>
              <w:ind w:left="407"/>
              <w:spacing w:after="0"/>
              <w:rPr>
                <w:sz w:val="20"/>
                <w:szCs w:val="20"/>
                <w:color w:val="auto"/>
              </w:rPr>
            </w:pPr>
            <w:r>
              <w:rPr>
                <w:rFonts w:ascii="Arial" w:cs="Arial" w:eastAsia="Arial" w:hAnsi="Arial"/>
                <w:sz w:val="14"/>
                <w:szCs w:val="14"/>
                <w:color w:val="auto"/>
                <w:w w:val="98"/>
              </w:rPr>
              <w:t>Diluted earnings per</w:t>
            </w:r>
          </w:p>
        </w:tc>
        <w:tc>
          <w:tcPr>
            <w:tcW w:w="0" w:type="dxa"/>
            <w:vAlign w:val="bottom"/>
          </w:tcPr>
          <w:p>
            <w:pPr>
              <w:spacing w:after="0"/>
              <w:rPr>
                <w:sz w:val="1"/>
                <w:szCs w:val="1"/>
                <w:color w:val="auto"/>
              </w:rPr>
            </w:pPr>
          </w:p>
        </w:tc>
      </w:tr>
      <w:tr>
        <w:trPr>
          <w:trHeight w:val="155"/>
        </w:trPr>
        <w:tc>
          <w:tcPr>
            <w:tcW w:w="1560" w:type="dxa"/>
            <w:vAlign w:val="bottom"/>
          </w:tcPr>
          <w:p>
            <w:pPr>
              <w:jc w:val="center"/>
              <w:ind w:right="365"/>
              <w:spacing w:after="0" w:line="155" w:lineRule="exact"/>
              <w:rPr>
                <w:sz w:val="20"/>
                <w:szCs w:val="20"/>
                <w:color w:val="auto"/>
              </w:rPr>
            </w:pPr>
            <w:r>
              <w:rPr>
                <w:rFonts w:ascii="Arial" w:cs="Arial" w:eastAsia="Arial" w:hAnsi="Arial"/>
                <w:sz w:val="14"/>
                <w:szCs w:val="14"/>
                <w:color w:val="auto"/>
                <w:w w:val="98"/>
              </w:rPr>
              <w:t>increase</w:t>
            </w:r>
          </w:p>
        </w:tc>
        <w:tc>
          <w:tcPr>
            <w:tcW w:w="20" w:type="dxa"/>
            <w:vAlign w:val="bottom"/>
            <w:shd w:val="clear" w:color="auto" w:fill="0075C9"/>
          </w:tcPr>
          <w:p>
            <w:pPr>
              <w:spacing w:after="0"/>
              <w:rPr>
                <w:sz w:val="13"/>
                <w:szCs w:val="13"/>
                <w:color w:val="auto"/>
              </w:rPr>
            </w:pPr>
          </w:p>
        </w:tc>
        <w:tc>
          <w:tcPr>
            <w:tcW w:w="2220" w:type="dxa"/>
            <w:vAlign w:val="bottom"/>
          </w:tcPr>
          <w:p>
            <w:pPr>
              <w:jc w:val="center"/>
              <w:spacing w:after="0" w:line="155" w:lineRule="exact"/>
              <w:rPr>
                <w:sz w:val="20"/>
                <w:szCs w:val="20"/>
                <w:color w:val="auto"/>
              </w:rPr>
            </w:pPr>
            <w:r>
              <w:rPr>
                <w:rFonts w:ascii="Arial" w:cs="Arial" w:eastAsia="Arial" w:hAnsi="Arial"/>
                <w:sz w:val="14"/>
                <w:szCs w:val="14"/>
                <w:color w:val="auto"/>
                <w:w w:val="98"/>
              </w:rPr>
              <w:t>increase</w:t>
            </w:r>
          </w:p>
        </w:tc>
        <w:tc>
          <w:tcPr>
            <w:tcW w:w="20" w:type="dxa"/>
            <w:vAlign w:val="bottom"/>
            <w:shd w:val="clear" w:color="auto" w:fill="0075C9"/>
          </w:tcPr>
          <w:p>
            <w:pPr>
              <w:spacing w:after="0"/>
              <w:rPr>
                <w:sz w:val="13"/>
                <w:szCs w:val="13"/>
                <w:color w:val="auto"/>
              </w:rPr>
            </w:pPr>
          </w:p>
        </w:tc>
        <w:tc>
          <w:tcPr>
            <w:tcW w:w="2240" w:type="dxa"/>
            <w:vAlign w:val="bottom"/>
          </w:tcPr>
          <w:p>
            <w:pPr>
              <w:jc w:val="center"/>
              <w:spacing w:after="0" w:line="155" w:lineRule="exact"/>
              <w:rPr>
                <w:sz w:val="20"/>
                <w:szCs w:val="20"/>
                <w:color w:val="auto"/>
              </w:rPr>
            </w:pPr>
            <w:r>
              <w:rPr>
                <w:rFonts w:ascii="Arial" w:cs="Arial" w:eastAsia="Arial" w:hAnsi="Arial"/>
                <w:sz w:val="14"/>
                <w:szCs w:val="14"/>
                <w:color w:val="auto"/>
              </w:rPr>
              <w:t>increase</w:t>
            </w:r>
          </w:p>
        </w:tc>
        <w:tc>
          <w:tcPr>
            <w:tcW w:w="20" w:type="dxa"/>
            <w:vAlign w:val="bottom"/>
            <w:shd w:val="clear" w:color="auto" w:fill="0075C9"/>
          </w:tcPr>
          <w:p>
            <w:pPr>
              <w:spacing w:after="0"/>
              <w:rPr>
                <w:sz w:val="13"/>
                <w:szCs w:val="13"/>
                <w:color w:val="auto"/>
              </w:rPr>
            </w:pPr>
          </w:p>
        </w:tc>
        <w:tc>
          <w:tcPr>
            <w:tcW w:w="1720" w:type="dxa"/>
            <w:vAlign w:val="bottom"/>
          </w:tcPr>
          <w:p>
            <w:pPr>
              <w:jc w:val="center"/>
              <w:ind w:left="427"/>
              <w:spacing w:after="0" w:line="155" w:lineRule="exact"/>
              <w:rPr>
                <w:sz w:val="20"/>
                <w:szCs w:val="20"/>
                <w:color w:val="auto"/>
              </w:rPr>
            </w:pPr>
            <w:r>
              <w:rPr>
                <w:rFonts w:ascii="Arial" w:cs="Arial" w:eastAsia="Arial" w:hAnsi="Arial"/>
                <w:sz w:val="14"/>
                <w:szCs w:val="14"/>
                <w:color w:val="auto"/>
                <w:w w:val="97"/>
              </w:rPr>
              <w:t>share,</w:t>
            </w:r>
          </w:p>
        </w:tc>
        <w:tc>
          <w:tcPr>
            <w:tcW w:w="0" w:type="dxa"/>
            <w:vAlign w:val="bottom"/>
          </w:tcPr>
          <w:p>
            <w:pPr>
              <w:spacing w:after="0"/>
              <w:rPr>
                <w:sz w:val="1"/>
                <w:szCs w:val="1"/>
                <w:color w:val="auto"/>
              </w:rPr>
            </w:pPr>
          </w:p>
        </w:tc>
      </w:tr>
      <w:tr>
        <w:trPr>
          <w:trHeight w:val="164"/>
        </w:trPr>
        <w:tc>
          <w:tcPr>
            <w:tcW w:w="1560" w:type="dxa"/>
            <w:vAlign w:val="bottom"/>
          </w:tcPr>
          <w:p>
            <w:pPr>
              <w:spacing w:after="0"/>
              <w:rPr>
                <w:sz w:val="14"/>
                <w:szCs w:val="14"/>
                <w:color w:val="auto"/>
              </w:rPr>
            </w:pPr>
          </w:p>
        </w:tc>
        <w:tc>
          <w:tcPr>
            <w:tcW w:w="20" w:type="dxa"/>
            <w:vAlign w:val="bottom"/>
            <w:shd w:val="clear" w:color="auto" w:fill="0075C9"/>
          </w:tcPr>
          <w:p>
            <w:pPr>
              <w:spacing w:after="0"/>
              <w:rPr>
                <w:sz w:val="14"/>
                <w:szCs w:val="14"/>
                <w:color w:val="auto"/>
              </w:rPr>
            </w:pPr>
          </w:p>
        </w:tc>
        <w:tc>
          <w:tcPr>
            <w:tcW w:w="2220" w:type="dxa"/>
            <w:vAlign w:val="bottom"/>
          </w:tcPr>
          <w:p>
            <w:pPr>
              <w:spacing w:after="0"/>
              <w:rPr>
                <w:sz w:val="14"/>
                <w:szCs w:val="14"/>
                <w:color w:val="auto"/>
              </w:rPr>
            </w:pPr>
          </w:p>
        </w:tc>
        <w:tc>
          <w:tcPr>
            <w:tcW w:w="20" w:type="dxa"/>
            <w:vAlign w:val="bottom"/>
            <w:shd w:val="clear" w:color="auto" w:fill="0075C9"/>
          </w:tcPr>
          <w:p>
            <w:pPr>
              <w:spacing w:after="0"/>
              <w:rPr>
                <w:sz w:val="14"/>
                <w:szCs w:val="14"/>
                <w:color w:val="auto"/>
              </w:rPr>
            </w:pPr>
          </w:p>
        </w:tc>
        <w:tc>
          <w:tcPr>
            <w:tcW w:w="2240" w:type="dxa"/>
            <w:vAlign w:val="bottom"/>
          </w:tcPr>
          <w:p>
            <w:pPr>
              <w:spacing w:after="0"/>
              <w:rPr>
                <w:sz w:val="14"/>
                <w:szCs w:val="14"/>
                <w:color w:val="auto"/>
              </w:rPr>
            </w:pPr>
          </w:p>
        </w:tc>
        <w:tc>
          <w:tcPr>
            <w:tcW w:w="20" w:type="dxa"/>
            <w:vAlign w:val="bottom"/>
            <w:shd w:val="clear" w:color="auto" w:fill="0075C9"/>
          </w:tcPr>
          <w:p>
            <w:pPr>
              <w:spacing w:after="0"/>
              <w:rPr>
                <w:sz w:val="14"/>
                <w:szCs w:val="14"/>
                <w:color w:val="auto"/>
              </w:rPr>
            </w:pPr>
          </w:p>
        </w:tc>
        <w:tc>
          <w:tcPr>
            <w:tcW w:w="1720" w:type="dxa"/>
            <w:vAlign w:val="bottom"/>
          </w:tcPr>
          <w:p>
            <w:pPr>
              <w:jc w:val="center"/>
              <w:ind w:left="407"/>
              <w:spacing w:after="0"/>
              <w:rPr>
                <w:sz w:val="20"/>
                <w:szCs w:val="20"/>
                <w:color w:val="auto"/>
              </w:rPr>
            </w:pPr>
            <w:r>
              <w:rPr>
                <w:rFonts w:ascii="Arial" w:cs="Arial" w:eastAsia="Arial" w:hAnsi="Arial"/>
                <w:sz w:val="14"/>
                <w:szCs w:val="14"/>
                <w:color w:val="auto"/>
                <w:w w:val="99"/>
              </w:rPr>
              <w:t>a 40% increase</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Percentages are year-over-year.</w:t>
      </w:r>
    </w:p>
    <w:p>
      <w:pPr>
        <w:spacing w:after="0" w:line="114"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Other highlights from fiscal year 2021 included:</w:t>
      </w:r>
    </w:p>
    <w:p>
      <w:pPr>
        <w:spacing w:after="0" w:line="114" w:lineRule="exact"/>
        <w:rPr>
          <w:sz w:val="20"/>
          <w:szCs w:val="20"/>
          <w:color w:val="auto"/>
        </w:rPr>
      </w:pPr>
    </w:p>
    <w:p>
      <w:pPr>
        <w:ind w:left="1720" w:hanging="124"/>
        <w:spacing w:after="0"/>
        <w:tabs>
          <w:tab w:leader="none" w:pos="17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Commercial cloud revenue increased 34% to $69.1 billion</w:t>
      </w:r>
    </w:p>
    <w:p>
      <w:pPr>
        <w:spacing w:after="0" w:line="113" w:lineRule="exact"/>
        <w:rPr>
          <w:rFonts w:ascii="Arial" w:cs="Arial" w:eastAsia="Arial" w:hAnsi="Arial"/>
          <w:sz w:val="16"/>
          <w:szCs w:val="16"/>
          <w:color w:val="auto"/>
        </w:rPr>
      </w:pPr>
    </w:p>
    <w:p>
      <w:pPr>
        <w:ind w:left="1720" w:hanging="124"/>
        <w:spacing w:after="0"/>
        <w:tabs>
          <w:tab w:leader="none" w:pos="17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Office Commercial products and cloud services revenue increased 13%</w:t>
      </w:r>
    </w:p>
    <w:p>
      <w:pPr>
        <w:spacing w:after="0" w:line="113" w:lineRule="exact"/>
        <w:rPr>
          <w:rFonts w:ascii="Arial" w:cs="Arial" w:eastAsia="Arial" w:hAnsi="Arial"/>
          <w:sz w:val="16"/>
          <w:szCs w:val="16"/>
          <w:color w:val="auto"/>
        </w:rPr>
      </w:pPr>
    </w:p>
    <w:p>
      <w:pPr>
        <w:ind w:left="1720" w:hanging="124"/>
        <w:spacing w:after="0"/>
        <w:tabs>
          <w:tab w:leader="none" w:pos="17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Office Consumer products and cloud services revenue increased 10%</w:t>
      </w:r>
    </w:p>
    <w:p>
      <w:pPr>
        <w:spacing w:after="0" w:line="113" w:lineRule="exact"/>
        <w:rPr>
          <w:rFonts w:ascii="Arial" w:cs="Arial" w:eastAsia="Arial" w:hAnsi="Arial"/>
          <w:sz w:val="16"/>
          <w:szCs w:val="16"/>
          <w:color w:val="auto"/>
        </w:rPr>
      </w:pPr>
    </w:p>
    <w:p>
      <w:pPr>
        <w:ind w:left="1720" w:hanging="124"/>
        <w:spacing w:after="0"/>
        <w:tabs>
          <w:tab w:leader="none" w:pos="17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Linkedln revenue increased 27%</w:t>
      </w:r>
    </w:p>
    <w:p>
      <w:pPr>
        <w:spacing w:after="0" w:line="113" w:lineRule="exact"/>
        <w:rPr>
          <w:rFonts w:ascii="Arial" w:cs="Arial" w:eastAsia="Arial" w:hAnsi="Arial"/>
          <w:sz w:val="16"/>
          <w:szCs w:val="16"/>
          <w:color w:val="auto"/>
        </w:rPr>
      </w:pPr>
    </w:p>
    <w:p>
      <w:pPr>
        <w:ind w:left="1720" w:hanging="124"/>
        <w:spacing w:after="0"/>
        <w:tabs>
          <w:tab w:leader="none" w:pos="17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Dynamics products and cloud services revenue increased 25%</w:t>
      </w:r>
    </w:p>
    <w:p>
      <w:pPr>
        <w:spacing w:after="0" w:line="113" w:lineRule="exact"/>
        <w:rPr>
          <w:rFonts w:ascii="Arial" w:cs="Arial" w:eastAsia="Arial" w:hAnsi="Arial"/>
          <w:sz w:val="16"/>
          <w:szCs w:val="16"/>
          <w:color w:val="auto"/>
        </w:rPr>
      </w:pPr>
    </w:p>
    <w:p>
      <w:pPr>
        <w:ind w:left="1720" w:hanging="124"/>
        <w:spacing w:after="0"/>
        <w:tabs>
          <w:tab w:leader="none" w:pos="17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Server products and cloud services revenue increased 27%</w:t>
      </w:r>
    </w:p>
    <w:p>
      <w:pPr>
        <w:spacing w:after="0" w:line="113" w:lineRule="exact"/>
        <w:rPr>
          <w:rFonts w:ascii="Arial" w:cs="Arial" w:eastAsia="Arial" w:hAnsi="Arial"/>
          <w:sz w:val="16"/>
          <w:szCs w:val="16"/>
          <w:color w:val="auto"/>
        </w:rPr>
      </w:pPr>
    </w:p>
    <w:p>
      <w:pPr>
        <w:ind w:left="1720" w:hanging="124"/>
        <w:spacing w:after="0"/>
        <w:tabs>
          <w:tab w:leader="none" w:pos="17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Windows original equipment manufacturer licensing (“Windows OEM”) revenue increased slightly</w:t>
      </w:r>
    </w:p>
    <w:p>
      <w:pPr>
        <w:spacing w:after="0" w:line="113" w:lineRule="exact"/>
        <w:rPr>
          <w:rFonts w:ascii="Arial" w:cs="Arial" w:eastAsia="Arial" w:hAnsi="Arial"/>
          <w:sz w:val="16"/>
          <w:szCs w:val="16"/>
          <w:color w:val="auto"/>
        </w:rPr>
      </w:pPr>
    </w:p>
    <w:p>
      <w:pPr>
        <w:ind w:left="1720" w:hanging="124"/>
        <w:spacing w:after="0"/>
        <w:tabs>
          <w:tab w:leader="none" w:pos="17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Windows Commercial products and cloud services revenue increased 14%</w:t>
      </w:r>
    </w:p>
    <w:p>
      <w:pPr>
        <w:spacing w:after="0" w:line="113" w:lineRule="exact"/>
        <w:rPr>
          <w:rFonts w:ascii="Arial" w:cs="Arial" w:eastAsia="Arial" w:hAnsi="Arial"/>
          <w:sz w:val="16"/>
          <w:szCs w:val="16"/>
          <w:color w:val="auto"/>
        </w:rPr>
      </w:pPr>
    </w:p>
    <w:p>
      <w:pPr>
        <w:ind w:left="1720" w:hanging="124"/>
        <w:spacing w:after="0"/>
        <w:tabs>
          <w:tab w:leader="none" w:pos="17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Xbox content and services revenue increased 23%</w:t>
      </w:r>
    </w:p>
    <w:p>
      <w:pPr>
        <w:spacing w:after="0" w:line="113" w:lineRule="exact"/>
        <w:rPr>
          <w:rFonts w:ascii="Arial" w:cs="Arial" w:eastAsia="Arial" w:hAnsi="Arial"/>
          <w:sz w:val="16"/>
          <w:szCs w:val="16"/>
          <w:color w:val="auto"/>
        </w:rPr>
      </w:pPr>
    </w:p>
    <w:p>
      <w:pPr>
        <w:ind w:left="1720" w:hanging="124"/>
        <w:spacing w:after="0"/>
        <w:tabs>
          <w:tab w:leader="none" w:pos="17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Search advertising revenue, excluding traffic acquisition costs, increased 13%</w:t>
      </w:r>
    </w:p>
    <w:p>
      <w:pPr>
        <w:spacing w:after="0" w:line="113" w:lineRule="exact"/>
        <w:rPr>
          <w:rFonts w:ascii="Arial" w:cs="Arial" w:eastAsia="Arial" w:hAnsi="Arial"/>
          <w:sz w:val="16"/>
          <w:szCs w:val="16"/>
          <w:color w:val="auto"/>
        </w:rPr>
      </w:pPr>
    </w:p>
    <w:p>
      <w:pPr>
        <w:ind w:left="1720" w:hanging="124"/>
        <w:spacing w:after="0"/>
        <w:tabs>
          <w:tab w:leader="none" w:pos="17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Surface revenue increased 5%</w:t>
      </w:r>
    </w:p>
    <w:p>
      <w:pPr>
        <w:spacing w:after="0" w:line="114"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Key performance indicators are defined in our Form 10-K for the fiscal year ended June 30, 2021.</w:t>
      </w:r>
    </w:p>
    <w:p>
      <w:pPr>
        <w:sectPr>
          <w:pgSz w:w="11900" w:h="16838" w:orient="portrait"/>
          <w:cols w:equalWidth="0" w:num="1">
            <w:col w:w="10139"/>
          </w:cols>
          <w:pgMar w:left="320" w:top="445" w:right="1440"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right"/>
        <w:ind w:right="20"/>
        <w:spacing w:after="0"/>
        <w:rPr>
          <w:sz w:val="20"/>
          <w:szCs w:val="20"/>
          <w:color w:val="auto"/>
        </w:rPr>
      </w:pPr>
      <w:r>
        <w:rPr>
          <w:rFonts w:ascii="Arial" w:cs="Arial" w:eastAsia="Arial" w:hAnsi="Arial"/>
          <w:sz w:val="21"/>
          <w:szCs w:val="21"/>
          <w:b w:val="1"/>
          <w:bCs w:val="1"/>
          <w:color w:val="auto"/>
        </w:rPr>
        <w:t>Strong Long-Term Performance</w:t>
      </w:r>
    </w:p>
    <w:p>
      <w:pPr>
        <w:spacing w:after="0" w:line="370" w:lineRule="exact"/>
        <w:rPr>
          <w:sz w:val="20"/>
          <w:szCs w:val="20"/>
          <w:color w:val="auto"/>
        </w:rPr>
      </w:pPr>
    </w:p>
    <w:p>
      <w:pPr>
        <w:jc w:val="center"/>
        <w:ind w:right="1500"/>
        <w:spacing w:after="0"/>
        <w:rPr>
          <w:sz w:val="20"/>
          <w:szCs w:val="20"/>
          <w:color w:val="auto"/>
        </w:rPr>
      </w:pPr>
      <w:r>
        <w:rPr>
          <w:rFonts w:ascii="Arial" w:cs="Arial" w:eastAsia="Arial" w:hAnsi="Arial"/>
          <w:sz w:val="16"/>
          <w:szCs w:val="16"/>
          <w:b w:val="1"/>
          <w:bCs w:val="1"/>
          <w:color w:val="0075C9"/>
        </w:rPr>
        <w:t>Total Shareholder Return*</w:t>
      </w:r>
    </w:p>
    <w:p>
      <w:pPr>
        <w:spacing w:after="0" w:line="15" w:lineRule="exact"/>
        <w:rPr>
          <w:sz w:val="20"/>
          <w:szCs w:val="20"/>
          <w:color w:val="auto"/>
        </w:rPr>
      </w:pPr>
    </w:p>
    <w:p>
      <w:pPr>
        <w:ind w:left="2080"/>
        <w:spacing w:after="0"/>
        <w:rPr>
          <w:sz w:val="20"/>
          <w:szCs w:val="20"/>
          <w:color w:val="auto"/>
        </w:rPr>
      </w:pPr>
      <w:r>
        <w:rPr>
          <w:rFonts w:ascii="Arial" w:cs="Arial" w:eastAsia="Arial" w:hAnsi="Arial"/>
          <w:sz w:val="16"/>
          <w:szCs w:val="16"/>
          <w:color w:val="auto"/>
        </w:rPr>
        <w:t>through June 30, 2021</w:t>
      </w:r>
    </w:p>
    <w:p>
      <w:pPr>
        <w:spacing w:after="0" w:line="41" w:lineRule="exact"/>
        <w:rPr>
          <w:sz w:val="20"/>
          <w:szCs w:val="20"/>
          <w:color w:val="auto"/>
        </w:rPr>
      </w:pPr>
    </w:p>
    <w:p>
      <w:pPr>
        <w:jc w:val="center"/>
        <w:ind w:left="4600"/>
        <w:spacing w:after="0"/>
        <w:rPr>
          <w:sz w:val="20"/>
          <w:szCs w:val="20"/>
          <w:color w:val="auto"/>
        </w:rPr>
      </w:pPr>
      <w:r>
        <w:rPr>
          <w:rFonts w:ascii="Arial" w:cs="Arial" w:eastAsia="Arial" w:hAnsi="Arial"/>
          <w:sz w:val="17"/>
          <w:szCs w:val="17"/>
          <w:i w:val="1"/>
          <w:iCs w:val="1"/>
          <w:color w:val="auto"/>
        </w:rPr>
        <w:t>Our total shareholder</w:t>
      </w:r>
    </w:p>
    <w:p>
      <w:pPr>
        <w:spacing w:after="0" w:line="16" w:lineRule="exact"/>
        <w:rPr>
          <w:sz w:val="20"/>
          <w:szCs w:val="20"/>
          <w:color w:val="auto"/>
        </w:rPr>
      </w:pPr>
    </w:p>
    <w:p>
      <w:pPr>
        <w:jc w:val="center"/>
        <w:ind w:left="4600"/>
        <w:spacing w:after="0"/>
        <w:rPr>
          <w:sz w:val="20"/>
          <w:szCs w:val="20"/>
          <w:color w:val="auto"/>
        </w:rPr>
      </w:pPr>
      <w:r>
        <w:rPr>
          <w:rFonts w:ascii="Arial" w:cs="Arial" w:eastAsia="Arial" w:hAnsi="Arial"/>
          <w:sz w:val="17"/>
          <w:szCs w:val="17"/>
          <w:i w:val="1"/>
          <w:iCs w:val="1"/>
          <w:color w:val="auto"/>
        </w:rPr>
        <w:t>return and total cash</w:t>
      </w:r>
    </w:p>
    <w:p>
      <w:pPr>
        <w:jc w:val="center"/>
        <w:ind w:left="4600"/>
        <w:spacing w:after="0" w:line="238" w:lineRule="auto"/>
        <w:rPr>
          <w:sz w:val="20"/>
          <w:szCs w:val="20"/>
          <w:color w:val="auto"/>
        </w:rPr>
      </w:pPr>
      <w:r>
        <w:rPr>
          <w:rFonts w:ascii="Arial" w:cs="Arial" w:eastAsia="Arial" w:hAnsi="Arial"/>
          <w:sz w:val="17"/>
          <w:szCs w:val="17"/>
          <w:i w:val="1"/>
          <w:iCs w:val="1"/>
          <w:color w:val="auto"/>
        </w:rPr>
        <w:t>returned to shareholders</w:t>
      </w:r>
    </w:p>
    <w:p>
      <w:pPr>
        <w:jc w:val="center"/>
        <w:ind w:left="4600"/>
        <w:spacing w:after="0"/>
        <w:rPr>
          <w:sz w:val="20"/>
          <w:szCs w:val="20"/>
          <w:color w:val="auto"/>
        </w:rPr>
      </w:pPr>
      <w:r>
        <w:rPr>
          <w:rFonts w:ascii="Arial" w:cs="Arial" w:eastAsia="Arial" w:hAnsi="Arial"/>
          <w:sz w:val="17"/>
          <w:szCs w:val="17"/>
          <w:i w:val="1"/>
          <w:iCs w:val="1"/>
          <w:color w:val="auto"/>
        </w:rPr>
        <w:t>for the past three years</w:t>
      </w:r>
    </w:p>
    <w:p>
      <w:pPr>
        <w:jc w:val="center"/>
        <w:ind w:left="4600"/>
        <w:spacing w:after="0" w:line="238" w:lineRule="auto"/>
        <w:rPr>
          <w:sz w:val="20"/>
          <w:szCs w:val="20"/>
          <w:color w:val="auto"/>
        </w:rPr>
      </w:pPr>
      <w:r>
        <w:rPr>
          <w:rFonts w:ascii="Arial" w:cs="Arial" w:eastAsia="Arial" w:hAnsi="Arial"/>
          <w:sz w:val="17"/>
          <w:szCs w:val="17"/>
          <w:i w:val="1"/>
          <w:iCs w:val="1"/>
          <w:color w:val="auto"/>
        </w:rPr>
        <w:t>have continued to</w:t>
      </w:r>
    </w:p>
    <w:p>
      <w:pPr>
        <w:ind w:left="5520"/>
        <w:spacing w:after="0"/>
        <w:rPr>
          <w:sz w:val="20"/>
          <w:szCs w:val="20"/>
          <w:color w:val="auto"/>
        </w:rPr>
      </w:pPr>
      <w:r>
        <w:rPr>
          <w:rFonts w:ascii="Arial" w:cs="Arial" w:eastAsia="Arial" w:hAnsi="Arial"/>
          <w:sz w:val="17"/>
          <w:szCs w:val="17"/>
          <w:i w:val="1"/>
          <w:iCs w:val="1"/>
          <w:color w:val="auto"/>
        </w:rPr>
        <w:t>be strong.</w:t>
      </w:r>
    </w:p>
    <w:p>
      <w:pPr>
        <w:spacing w:after="0" w:line="200" w:lineRule="exact"/>
        <w:rPr>
          <w:sz w:val="20"/>
          <w:szCs w:val="20"/>
          <w:color w:val="auto"/>
        </w:rPr>
      </w:pPr>
    </w:p>
    <w:p>
      <w:pPr>
        <w:spacing w:after="0" w:line="377" w:lineRule="exact"/>
        <w:rPr>
          <w:sz w:val="20"/>
          <w:szCs w:val="20"/>
          <w:color w:val="auto"/>
        </w:rPr>
      </w:pPr>
    </w:p>
    <w:p>
      <w:pPr>
        <w:ind w:left="1580"/>
        <w:spacing w:after="0"/>
        <w:rPr>
          <w:sz w:val="20"/>
          <w:szCs w:val="20"/>
          <w:color w:val="auto"/>
        </w:rPr>
      </w:pPr>
      <w:r>
        <w:rPr>
          <w:rFonts w:ascii="Arial" w:cs="Arial" w:eastAsia="Arial" w:hAnsi="Arial"/>
          <w:sz w:val="12"/>
          <w:szCs w:val="12"/>
          <w:color w:val="auto"/>
        </w:rPr>
        <w:t>* Total shareholder return includes reinvestment of dividends.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699"/>
        <w:spacing w:after="0"/>
        <w:rPr>
          <w:sz w:val="20"/>
          <w:szCs w:val="20"/>
          <w:color w:val="auto"/>
        </w:rPr>
      </w:pPr>
      <w:r>
        <w:rPr>
          <w:rFonts w:ascii="Arial" w:cs="Arial" w:eastAsia="Arial" w:hAnsi="Arial"/>
          <w:sz w:val="14"/>
          <w:szCs w:val="14"/>
          <w:b w:val="1"/>
          <w:bCs w:val="1"/>
          <w:color w:val="0075C9"/>
        </w:rPr>
        <w:t>Total Cash Returned</w:t>
      </w:r>
    </w:p>
    <w:p>
      <w:pPr>
        <w:spacing w:after="0" w:line="36"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0075C9"/>
        </w:rPr>
        <w:t>to Shareholders</w:t>
      </w:r>
    </w:p>
    <w:p>
      <w:pPr>
        <w:jc w:val="center"/>
        <w:ind w:right="699"/>
        <w:spacing w:after="0"/>
        <w:rPr>
          <w:sz w:val="20"/>
          <w:szCs w:val="20"/>
          <w:color w:val="auto"/>
        </w:rPr>
      </w:pPr>
      <w:r>
        <w:rPr>
          <w:rFonts w:ascii="Arial" w:cs="Arial" w:eastAsia="Arial" w:hAnsi="Arial"/>
          <w:sz w:val="16"/>
          <w:szCs w:val="16"/>
          <w:color w:val="auto"/>
        </w:rPr>
        <w:t>(in billions)</w:t>
      </w:r>
    </w:p>
    <w:p>
      <w:pPr>
        <w:spacing w:after="0" w:line="2244" w:lineRule="exact"/>
        <w:rPr>
          <w:sz w:val="20"/>
          <w:szCs w:val="20"/>
          <w:color w:val="auto"/>
        </w:rPr>
      </w:pPr>
    </w:p>
    <w:p>
      <w:pPr>
        <w:sectPr>
          <w:pgSz w:w="11900" w:h="16838" w:orient="portrait"/>
          <w:cols w:equalWidth="0" w:num="2">
            <w:col w:w="7220" w:space="720"/>
            <w:col w:w="2199"/>
          </w:cols>
          <w:pgMar w:left="320" w:top="445" w:right="1440" w:bottom="1440" w:gutter="0" w:footer="0" w:header="0"/>
          <w:type w:val="continuous"/>
        </w:sectPr>
      </w:pPr>
    </w:p>
    <w:p>
      <w:pPr>
        <w:spacing w:after="0" w:line="200" w:lineRule="exact"/>
        <w:rPr>
          <w:sz w:val="20"/>
          <w:szCs w:val="20"/>
          <w:color w:val="auto"/>
        </w:rPr>
      </w:pPr>
    </w:p>
    <w:p>
      <w:pPr>
        <w:spacing w:after="0" w:line="272"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-94615</wp:posOffset>
            </wp:positionV>
            <wp:extent cx="485140" cy="984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39"/>
          </w:cols>
          <w:pgMar w:left="320" w:top="445" w:right="1440" w:bottom="1440" w:gutter="0" w:footer="0" w:header="0"/>
          <w:type w:val="continuous"/>
        </w:sectPr>
      </w:pPr>
    </w:p>
    <w:bookmarkStart w:id="12" w:name="page13"/>
    <w:bookmarkEnd w:id="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637540</wp:posOffset>
            </wp:positionH>
            <wp:positionV relativeFrom="paragraph">
              <wp:posOffset>226060</wp:posOffset>
            </wp:positionV>
            <wp:extent cx="5868035" cy="77425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68035" cy="77425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1200"/>
        <w:spacing w:after="0"/>
        <w:rPr>
          <w:sz w:val="20"/>
          <w:szCs w:val="20"/>
          <w:color w:val="auto"/>
        </w:rPr>
      </w:pPr>
      <w:r>
        <w:rPr>
          <w:rFonts w:ascii="Arial" w:cs="Arial" w:eastAsia="Arial" w:hAnsi="Arial"/>
          <w:sz w:val="24"/>
          <w:szCs w:val="24"/>
          <w:b w:val="1"/>
          <w:bCs w:val="1"/>
          <w:color w:val="0075C9"/>
        </w:rPr>
        <w:t>Governance and Board Best Practices</w:t>
      </w:r>
    </w:p>
    <w:p>
      <w:pPr>
        <w:spacing w:after="0" w:line="143" w:lineRule="exact"/>
        <w:rPr>
          <w:sz w:val="20"/>
          <w:szCs w:val="20"/>
          <w:color w:val="auto"/>
        </w:rPr>
      </w:pPr>
    </w:p>
    <w:p>
      <w:pPr>
        <w:ind w:left="1200" w:right="320"/>
        <w:spacing w:after="0" w:line="279" w:lineRule="auto"/>
        <w:rPr>
          <w:sz w:val="20"/>
          <w:szCs w:val="20"/>
          <w:color w:val="auto"/>
        </w:rPr>
      </w:pPr>
      <w:r>
        <w:rPr>
          <w:rFonts w:ascii="Arial" w:cs="Arial" w:eastAsia="Arial" w:hAnsi="Arial"/>
          <w:sz w:val="14"/>
          <w:szCs w:val="14"/>
          <w:color w:val="auto"/>
        </w:rPr>
        <w:t>Our mission to empower every person and every organization on the planet to achieve more is ambitious, and we cannot fulfill it with a narrow or short-term focus. Our adoption of leading governance practices fosters our sustained business success over the long term. Strong corporate governance, informed by participation from our shareholders, is essential to achieving our mission. During fiscal year 2021, independent members of our Board and members of management engaged with a cross-section of shareholders owning approximately 50% of our shares and provided shareholder feedback to the Board.</w:t>
      </w:r>
    </w:p>
    <w:p>
      <w:pPr>
        <w:spacing w:after="0" w:line="74" w:lineRule="exact"/>
        <w:rPr>
          <w:sz w:val="20"/>
          <w:szCs w:val="20"/>
          <w:color w:val="auto"/>
        </w:rPr>
      </w:pPr>
    </w:p>
    <w:p>
      <w:pPr>
        <w:ind w:left="1200" w:right="260"/>
        <w:spacing w:after="0" w:line="238" w:lineRule="auto"/>
        <w:rPr>
          <w:sz w:val="20"/>
          <w:szCs w:val="20"/>
          <w:color w:val="auto"/>
        </w:rPr>
      </w:pPr>
      <w:r>
        <w:rPr>
          <w:rFonts w:ascii="Arial" w:cs="Arial" w:eastAsia="Arial" w:hAnsi="Arial"/>
          <w:sz w:val="16"/>
          <w:szCs w:val="16"/>
          <w:color w:val="auto"/>
        </w:rPr>
        <w:t>Our Board believes that having a diverse mix of directors with complementary qualifications, expertise, and attributes is essential to meeting its oversight responsibility. Of our 12 Board nominees, 11 are independent. Having an independent Board is a core element of our governance philosophy.</w:t>
      </w:r>
    </w:p>
    <w:p>
      <w:pPr>
        <w:spacing w:after="0" w:line="338" w:lineRule="exact"/>
        <w:rPr>
          <w:sz w:val="20"/>
          <w:szCs w:val="20"/>
          <w:color w:val="auto"/>
        </w:rPr>
      </w:pPr>
    </w:p>
    <w:p>
      <w:pPr>
        <w:ind w:left="4500"/>
        <w:spacing w:after="0"/>
        <w:rPr>
          <w:sz w:val="20"/>
          <w:szCs w:val="20"/>
          <w:color w:val="auto"/>
        </w:rPr>
      </w:pPr>
      <w:r>
        <w:rPr>
          <w:rFonts w:ascii="Arial" w:cs="Arial" w:eastAsia="Arial" w:hAnsi="Arial"/>
          <w:sz w:val="21"/>
          <w:szCs w:val="21"/>
          <w:b w:val="1"/>
          <w:bCs w:val="1"/>
          <w:color w:val="auto"/>
        </w:rPr>
        <w:t>Our Director Nominees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20"/>
        <w:spacing w:after="0"/>
        <w:rPr>
          <w:sz w:val="20"/>
          <w:szCs w:val="20"/>
          <w:color w:val="auto"/>
        </w:rPr>
      </w:pPr>
      <w:r>
        <w:rPr>
          <w:rFonts w:ascii="Arial" w:cs="Arial" w:eastAsia="Arial" w:hAnsi="Arial"/>
          <w:sz w:val="14"/>
          <w:szCs w:val="14"/>
          <w:b w:val="1"/>
          <w:bCs w:val="1"/>
          <w:color w:val="auto"/>
        </w:rPr>
        <w:t>Board Diversity</w:t>
      </w:r>
    </w:p>
    <w:p>
      <w:pPr>
        <w:spacing w:after="0" w:line="18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8</w:t>
      </w:r>
    </w:p>
    <w:p>
      <w:pPr>
        <w:spacing w:after="0" w:line="256" w:lineRule="exact"/>
        <w:rPr>
          <w:sz w:val="20"/>
          <w:szCs w:val="20"/>
          <w:color w:val="auto"/>
        </w:rPr>
      </w:pPr>
    </w:p>
    <w:p>
      <w:pPr>
        <w:ind w:left="2020"/>
        <w:spacing w:after="0"/>
        <w:rPr>
          <w:sz w:val="20"/>
          <w:szCs w:val="20"/>
          <w:color w:val="auto"/>
        </w:rPr>
      </w:pPr>
      <w:r>
        <w:rPr>
          <w:rFonts w:ascii="Arial" w:cs="Arial" w:eastAsia="Arial" w:hAnsi="Arial"/>
          <w:sz w:val="14"/>
          <w:szCs w:val="14"/>
          <w:b w:val="1"/>
          <w:bCs w:val="1"/>
          <w:color w:val="auto"/>
        </w:rPr>
        <w:t>Financial</w:t>
      </w:r>
    </w:p>
    <w:p>
      <w:pPr>
        <w:spacing w:after="0" w:line="150" w:lineRule="exact"/>
        <w:rPr>
          <w:sz w:val="20"/>
          <w:szCs w:val="20"/>
          <w:color w:val="auto"/>
        </w:rPr>
      </w:pPr>
    </w:p>
    <w:p>
      <w:pPr>
        <w:ind w:left="4800"/>
        <w:spacing w:after="0"/>
        <w:rPr>
          <w:sz w:val="20"/>
          <w:szCs w:val="20"/>
          <w:color w:val="auto"/>
        </w:rPr>
      </w:pPr>
      <w:r>
        <w:rPr>
          <w:rFonts w:ascii="Arial" w:cs="Arial" w:eastAsia="Arial" w:hAnsi="Arial"/>
          <w:sz w:val="16"/>
          <w:szCs w:val="16"/>
          <w:color w:val="auto"/>
        </w:rPr>
        <w:t>6</w:t>
      </w:r>
    </w:p>
    <w:p>
      <w:pPr>
        <w:spacing w:after="0" w:line="256" w:lineRule="exact"/>
        <w:rPr>
          <w:sz w:val="20"/>
          <w:szCs w:val="20"/>
          <w:color w:val="auto"/>
        </w:rPr>
      </w:pPr>
    </w:p>
    <w:p>
      <w:pPr>
        <w:ind w:left="2020"/>
        <w:spacing w:after="0"/>
        <w:rPr>
          <w:sz w:val="20"/>
          <w:szCs w:val="20"/>
          <w:color w:val="auto"/>
        </w:rPr>
      </w:pPr>
      <w:r>
        <w:rPr>
          <w:rFonts w:ascii="Arial" w:cs="Arial" w:eastAsia="Arial" w:hAnsi="Arial"/>
          <w:sz w:val="14"/>
          <w:szCs w:val="14"/>
          <w:b w:val="1"/>
          <w:bCs w:val="1"/>
          <w:color w:val="auto"/>
        </w:rPr>
        <w:t>Global Business</w:t>
      </w:r>
    </w:p>
    <w:p>
      <w:pPr>
        <w:spacing w:after="0" w:line="137" w:lineRule="exact"/>
        <w:rPr>
          <w:sz w:val="20"/>
          <w:szCs w:val="20"/>
          <w:color w:val="auto"/>
        </w:rPr>
      </w:pPr>
    </w:p>
    <w:p>
      <w:pPr>
        <w:ind w:left="6940"/>
        <w:spacing w:after="0"/>
        <w:rPr>
          <w:sz w:val="20"/>
          <w:szCs w:val="20"/>
          <w:color w:val="auto"/>
        </w:rPr>
      </w:pPr>
      <w:r>
        <w:rPr>
          <w:rFonts w:ascii="Arial" w:cs="Arial" w:eastAsia="Arial" w:hAnsi="Arial"/>
          <w:sz w:val="16"/>
          <w:szCs w:val="16"/>
          <w:color w:val="auto"/>
        </w:rPr>
        <w:t>11</w:t>
      </w:r>
    </w:p>
    <w:p>
      <w:pPr>
        <w:spacing w:after="0" w:line="282" w:lineRule="exact"/>
        <w:rPr>
          <w:sz w:val="20"/>
          <w:szCs w:val="20"/>
          <w:color w:val="auto"/>
        </w:rPr>
      </w:pPr>
    </w:p>
    <w:p>
      <w:pPr>
        <w:ind w:left="2020"/>
        <w:spacing w:after="0"/>
        <w:rPr>
          <w:sz w:val="20"/>
          <w:szCs w:val="20"/>
          <w:color w:val="auto"/>
        </w:rPr>
      </w:pPr>
      <w:r>
        <w:rPr>
          <w:rFonts w:ascii="Arial" w:cs="Arial" w:eastAsia="Arial" w:hAnsi="Arial"/>
          <w:sz w:val="14"/>
          <w:szCs w:val="14"/>
          <w:b w:val="1"/>
          <w:bCs w:val="1"/>
          <w:color w:val="auto"/>
        </w:rPr>
        <w:t>Leadership</w:t>
      </w:r>
    </w:p>
    <w:p>
      <w:pPr>
        <w:spacing w:after="0" w:line="150"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12</w:t>
      </w:r>
    </w:p>
    <w:p>
      <w:pPr>
        <w:spacing w:after="0" w:line="230" w:lineRule="exact"/>
        <w:rPr>
          <w:sz w:val="20"/>
          <w:szCs w:val="20"/>
          <w:color w:val="auto"/>
        </w:rPr>
      </w:pPr>
    </w:p>
    <w:p>
      <w:pPr>
        <w:ind w:left="2020"/>
        <w:spacing w:after="0"/>
        <w:rPr>
          <w:sz w:val="20"/>
          <w:szCs w:val="20"/>
          <w:color w:val="auto"/>
        </w:rPr>
      </w:pPr>
      <w:r>
        <w:rPr>
          <w:rFonts w:ascii="Arial" w:cs="Arial" w:eastAsia="Arial" w:hAnsi="Arial"/>
          <w:sz w:val="14"/>
          <w:szCs w:val="14"/>
          <w:b w:val="1"/>
          <w:bCs w:val="1"/>
          <w:color w:val="auto"/>
        </w:rPr>
        <w:t>Mergers and Acquisitions</w:t>
      </w:r>
    </w:p>
    <w:p>
      <w:pPr>
        <w:spacing w:after="0" w:line="137"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12</w:t>
      </w:r>
    </w:p>
    <w:p>
      <w:pPr>
        <w:spacing w:after="0" w:line="243" w:lineRule="exact"/>
        <w:rPr>
          <w:sz w:val="20"/>
          <w:szCs w:val="20"/>
          <w:color w:val="auto"/>
        </w:rPr>
      </w:pPr>
    </w:p>
    <w:p>
      <w:pPr>
        <w:ind w:left="2020"/>
        <w:spacing w:after="0"/>
        <w:rPr>
          <w:sz w:val="20"/>
          <w:szCs w:val="20"/>
          <w:color w:val="auto"/>
        </w:rPr>
      </w:pPr>
      <w:r>
        <w:rPr>
          <w:rFonts w:ascii="Arial" w:cs="Arial" w:eastAsia="Arial" w:hAnsi="Arial"/>
          <w:sz w:val="14"/>
          <w:szCs w:val="14"/>
          <w:b w:val="1"/>
          <w:bCs w:val="1"/>
          <w:color w:val="auto"/>
        </w:rPr>
        <w:t>Sales and Marketing</w:t>
      </w:r>
    </w:p>
    <w:p>
      <w:pPr>
        <w:spacing w:after="0" w:line="137"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5</w:t>
      </w:r>
    </w:p>
    <w:p>
      <w:pPr>
        <w:spacing w:after="0" w:line="347" w:lineRule="exact"/>
        <w:rPr>
          <w:sz w:val="20"/>
          <w:szCs w:val="20"/>
          <w:color w:val="auto"/>
        </w:rPr>
      </w:pPr>
    </w:p>
    <w:p>
      <w:pPr>
        <w:ind w:left="2020"/>
        <w:spacing w:after="0"/>
        <w:rPr>
          <w:sz w:val="20"/>
          <w:szCs w:val="20"/>
          <w:color w:val="auto"/>
        </w:rPr>
      </w:pPr>
      <w:r>
        <w:rPr>
          <w:rFonts w:ascii="Arial" w:cs="Arial" w:eastAsia="Arial" w:hAnsi="Arial"/>
          <w:sz w:val="14"/>
          <w:szCs w:val="14"/>
          <w:b w:val="1"/>
          <w:bCs w:val="1"/>
          <w:color w:val="auto"/>
        </w:rPr>
        <w:t>Technology</w:t>
      </w:r>
    </w:p>
    <w:p>
      <w:pPr>
        <w:spacing w:after="0" w:line="189" w:lineRule="exact"/>
        <w:rPr>
          <w:sz w:val="20"/>
          <w:szCs w:val="20"/>
          <w:color w:val="auto"/>
        </w:rPr>
      </w:pPr>
    </w:p>
    <w:p>
      <w:pPr>
        <w:jc w:val="center"/>
        <w:ind w:right="-979"/>
        <w:spacing w:after="0"/>
        <w:rPr>
          <w:sz w:val="20"/>
          <w:szCs w:val="20"/>
          <w:color w:val="auto"/>
        </w:rPr>
      </w:pPr>
      <w:r>
        <w:rPr>
          <w:rFonts w:ascii="Arial" w:cs="Arial" w:eastAsia="Arial" w:hAnsi="Arial"/>
          <w:sz w:val="16"/>
          <w:szCs w:val="16"/>
          <w:color w:val="auto"/>
        </w:rPr>
        <w:t>7</w:t>
      </w:r>
    </w:p>
    <w:p>
      <w:pPr>
        <w:spacing w:after="0" w:line="200" w:lineRule="exact"/>
        <w:rPr>
          <w:sz w:val="20"/>
          <w:szCs w:val="20"/>
          <w:color w:val="auto"/>
        </w:rPr>
      </w:pPr>
    </w:p>
    <w:p>
      <w:pPr>
        <w:spacing w:after="0" w:line="398" w:lineRule="exact"/>
        <w:rPr>
          <w:sz w:val="20"/>
          <w:szCs w:val="20"/>
          <w:color w:val="auto"/>
        </w:rPr>
      </w:pPr>
    </w:p>
    <w:p>
      <w:pPr>
        <w:ind w:left="3640"/>
        <w:spacing w:after="0"/>
        <w:rPr>
          <w:sz w:val="20"/>
          <w:szCs w:val="20"/>
          <w:color w:val="auto"/>
        </w:rPr>
      </w:pPr>
      <w:r>
        <w:rPr>
          <w:rFonts w:ascii="Arial" w:cs="Arial" w:eastAsia="Arial" w:hAnsi="Arial"/>
          <w:sz w:val="21"/>
          <w:szCs w:val="21"/>
          <w:b w:val="1"/>
          <w:bCs w:val="1"/>
          <w:color w:val="auto"/>
        </w:rPr>
        <w:t>Independent, Effective Board Oversight</w:t>
      </w:r>
    </w:p>
    <w:p>
      <w:pPr>
        <w:sectPr>
          <w:pgSz w:w="11900" w:h="16838" w:orient="portrait"/>
          <w:cols w:equalWidth="0" w:num="1">
            <w:col w:w="10280"/>
          </w:cols>
          <w:pgMar w:left="320" w:top="445" w:right="1299" w:bottom="1440" w:gutter="0" w:footer="0" w:header="0"/>
        </w:sectPr>
      </w:pPr>
    </w:p>
    <w:p>
      <w:pPr>
        <w:spacing w:after="0" w:line="77" w:lineRule="exact"/>
        <w:rPr>
          <w:sz w:val="20"/>
          <w:szCs w:val="20"/>
          <w:color w:val="auto"/>
        </w:rPr>
      </w:pPr>
    </w:p>
    <w:p>
      <w:pPr>
        <w:ind w:left="1520" w:hanging="122"/>
        <w:spacing w:after="0"/>
        <w:tabs>
          <w:tab w:leader="none" w:pos="15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Lead Independent Director</w:t>
      </w:r>
    </w:p>
    <w:p>
      <w:pPr>
        <w:spacing w:after="0" w:line="113" w:lineRule="exact"/>
        <w:rPr>
          <w:rFonts w:ascii="Arial" w:cs="Arial" w:eastAsia="Arial" w:hAnsi="Arial"/>
          <w:sz w:val="16"/>
          <w:szCs w:val="16"/>
          <w:color w:val="auto"/>
        </w:rPr>
      </w:pPr>
    </w:p>
    <w:p>
      <w:pPr>
        <w:ind w:left="1520" w:hanging="122"/>
        <w:spacing w:after="0"/>
        <w:tabs>
          <w:tab w:leader="none" w:pos="15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11 of 12 director nominees are independent</w:t>
      </w:r>
    </w:p>
    <w:p>
      <w:pPr>
        <w:spacing w:after="0" w:line="113" w:lineRule="exact"/>
        <w:rPr>
          <w:rFonts w:ascii="Arial" w:cs="Arial" w:eastAsia="Arial" w:hAnsi="Arial"/>
          <w:sz w:val="16"/>
          <w:szCs w:val="16"/>
          <w:color w:val="auto"/>
        </w:rPr>
      </w:pPr>
    </w:p>
    <w:p>
      <w:pPr>
        <w:ind w:left="1520" w:hanging="122"/>
        <w:spacing w:after="0"/>
        <w:tabs>
          <w:tab w:leader="none" w:pos="15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All committee chairs and members are independent</w:t>
      </w:r>
    </w:p>
    <w:p>
      <w:pPr>
        <w:spacing w:after="0" w:line="113" w:lineRule="exact"/>
        <w:rPr>
          <w:rFonts w:ascii="Arial" w:cs="Arial" w:eastAsia="Arial" w:hAnsi="Arial"/>
          <w:sz w:val="16"/>
          <w:szCs w:val="16"/>
          <w:color w:val="auto"/>
        </w:rPr>
      </w:pPr>
    </w:p>
    <w:p>
      <w:pPr>
        <w:ind w:left="1560" w:right="120" w:hanging="162"/>
        <w:spacing w:after="0" w:line="238" w:lineRule="auto"/>
        <w:tabs>
          <w:tab w:leader="none" w:pos="1537" w:val="left"/>
        </w:tabs>
        <w:numPr>
          <w:ilvl w:val="0"/>
          <w:numId w:val="13"/>
        </w:numPr>
        <w:rPr>
          <w:rFonts w:ascii="Arial" w:cs="Arial" w:eastAsia="Arial" w:hAnsi="Arial"/>
          <w:sz w:val="16"/>
          <w:szCs w:val="16"/>
          <w:color w:val="auto"/>
        </w:rPr>
      </w:pPr>
      <w:r>
        <w:rPr>
          <w:rFonts w:ascii="Arial" w:cs="Arial" w:eastAsia="Arial" w:hAnsi="Arial"/>
          <w:sz w:val="16"/>
          <w:szCs w:val="16"/>
          <w:color w:val="auto"/>
        </w:rPr>
        <w:t>Board-adopted refreshment commitment to maintain an average tenure of 10 years or less for its independent directors as a group</w:t>
      </w:r>
    </w:p>
    <w:p>
      <w:pPr>
        <w:spacing w:after="0" w:line="113" w:lineRule="exact"/>
        <w:rPr>
          <w:rFonts w:ascii="Arial" w:cs="Arial" w:eastAsia="Arial" w:hAnsi="Arial"/>
          <w:sz w:val="16"/>
          <w:szCs w:val="16"/>
          <w:color w:val="auto"/>
        </w:rPr>
      </w:pPr>
    </w:p>
    <w:p>
      <w:pPr>
        <w:ind w:left="1560" w:hanging="162"/>
        <w:spacing w:after="0" w:line="238" w:lineRule="auto"/>
        <w:tabs>
          <w:tab w:leader="none" w:pos="1534"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Board is committed to actively seeking highly qualified women and individuals from minority groups to include in the pool of potential Board nominees and CEO candidates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left="160" w:right="620" w:hanging="160"/>
        <w:spacing w:after="0" w:line="239" w:lineRule="auto"/>
        <w:tabs>
          <w:tab w:leader="none" w:pos="136" w:val="left"/>
        </w:tabs>
        <w:numPr>
          <w:ilvl w:val="0"/>
          <w:numId w:val="14"/>
        </w:numPr>
        <w:rPr>
          <w:rFonts w:ascii="Arial" w:cs="Arial" w:eastAsia="Arial" w:hAnsi="Arial"/>
          <w:sz w:val="16"/>
          <w:szCs w:val="16"/>
          <w:color w:val="auto"/>
        </w:rPr>
      </w:pPr>
      <w:r>
        <w:rPr>
          <w:rFonts w:ascii="Arial" w:cs="Arial" w:eastAsia="Arial" w:hAnsi="Arial"/>
          <w:sz w:val="16"/>
          <w:szCs w:val="16"/>
          <w:color w:val="auto"/>
        </w:rPr>
        <w:t>Executive sessions provided for all quarterly Board and committee meetings</w:t>
      </w:r>
    </w:p>
    <w:p>
      <w:pPr>
        <w:spacing w:after="0" w:line="112" w:lineRule="exact"/>
        <w:rPr>
          <w:rFonts w:ascii="Arial" w:cs="Arial" w:eastAsia="Arial" w:hAnsi="Arial"/>
          <w:sz w:val="16"/>
          <w:szCs w:val="16"/>
          <w:color w:val="auto"/>
        </w:rPr>
      </w:pPr>
    </w:p>
    <w:p>
      <w:pPr>
        <w:ind w:left="160" w:right="620" w:hanging="160"/>
        <w:spacing w:after="0" w:line="308" w:lineRule="auto"/>
        <w:tabs>
          <w:tab w:leader="none" w:pos="128" w:val="left"/>
        </w:tabs>
        <w:numPr>
          <w:ilvl w:val="0"/>
          <w:numId w:val="14"/>
        </w:numPr>
        <w:rPr>
          <w:rFonts w:ascii="Arial" w:cs="Arial" w:eastAsia="Arial" w:hAnsi="Arial"/>
          <w:sz w:val="14"/>
          <w:szCs w:val="14"/>
          <w:color w:val="auto"/>
        </w:rPr>
      </w:pPr>
      <w:r>
        <w:rPr>
          <w:rFonts w:ascii="Arial" w:cs="Arial" w:eastAsia="Arial" w:hAnsi="Arial"/>
          <w:sz w:val="14"/>
          <w:szCs w:val="14"/>
          <w:color w:val="auto"/>
        </w:rPr>
        <w:t>Annual Board and committee evaluations, periodically using a third-party facilitator to conduct the evaluations</w:t>
      </w:r>
    </w:p>
    <w:p>
      <w:pPr>
        <w:spacing w:after="0" w:line="65" w:lineRule="exact"/>
        <w:rPr>
          <w:rFonts w:ascii="Arial" w:cs="Arial" w:eastAsia="Arial" w:hAnsi="Arial"/>
          <w:sz w:val="14"/>
          <w:szCs w:val="14"/>
          <w:color w:val="auto"/>
        </w:rPr>
      </w:pPr>
    </w:p>
    <w:p>
      <w:pPr>
        <w:ind w:left="160" w:right="420" w:hanging="160"/>
        <w:spacing w:after="0" w:line="239" w:lineRule="auto"/>
        <w:tabs>
          <w:tab w:leader="none" w:pos="136" w:val="left"/>
        </w:tabs>
        <w:numPr>
          <w:ilvl w:val="0"/>
          <w:numId w:val="14"/>
        </w:numPr>
        <w:rPr>
          <w:rFonts w:ascii="Arial" w:cs="Arial" w:eastAsia="Arial" w:hAnsi="Arial"/>
          <w:sz w:val="16"/>
          <w:szCs w:val="16"/>
          <w:color w:val="auto"/>
        </w:rPr>
      </w:pPr>
      <w:r>
        <w:rPr>
          <w:rFonts w:ascii="Arial" w:cs="Arial" w:eastAsia="Arial" w:hAnsi="Arial"/>
          <w:sz w:val="16"/>
          <w:szCs w:val="16"/>
          <w:color w:val="auto"/>
        </w:rPr>
        <w:t>Director orientation and continuing education and strategy programs for directors</w:t>
      </w:r>
    </w:p>
    <w:p>
      <w:pPr>
        <w:spacing w:after="0" w:line="112" w:lineRule="exact"/>
        <w:rPr>
          <w:rFonts w:ascii="Arial" w:cs="Arial" w:eastAsia="Arial" w:hAnsi="Arial"/>
          <w:sz w:val="16"/>
          <w:szCs w:val="16"/>
          <w:color w:val="auto"/>
        </w:rPr>
      </w:pPr>
    </w:p>
    <w:p>
      <w:pPr>
        <w:ind w:left="160" w:right="460" w:hanging="160"/>
        <w:spacing w:after="0" w:line="283" w:lineRule="auto"/>
        <w:tabs>
          <w:tab w:leader="none" w:pos="128" w:val="left"/>
        </w:tabs>
        <w:numPr>
          <w:ilvl w:val="0"/>
          <w:numId w:val="14"/>
        </w:numPr>
        <w:rPr>
          <w:rFonts w:ascii="Arial" w:cs="Arial" w:eastAsia="Arial" w:hAnsi="Arial"/>
          <w:sz w:val="14"/>
          <w:szCs w:val="14"/>
          <w:color w:val="auto"/>
        </w:rPr>
      </w:pPr>
      <w:r>
        <w:rPr>
          <w:rFonts w:ascii="Arial" w:cs="Arial" w:eastAsia="Arial" w:hAnsi="Arial"/>
          <w:sz w:val="14"/>
          <w:szCs w:val="14"/>
          <w:color w:val="auto"/>
        </w:rPr>
        <w:t>All current Audit Committee members meet the NASDAQ listing standard of financial sophistication and two members are audit committee financial experts under the Securities and Exchange Commission (“SEC”) rules</w:t>
      </w:r>
    </w:p>
    <w:p>
      <w:pPr>
        <w:spacing w:after="0" w:line="287" w:lineRule="exact"/>
        <w:rPr>
          <w:sz w:val="20"/>
          <w:szCs w:val="20"/>
          <w:color w:val="auto"/>
        </w:rPr>
      </w:pPr>
    </w:p>
    <w:p>
      <w:pPr>
        <w:sectPr>
          <w:pgSz w:w="11900" w:h="16838" w:orient="portrait"/>
          <w:cols w:equalWidth="0" w:num="2">
            <w:col w:w="5460" w:space="280"/>
            <w:col w:w="4540"/>
          </w:cols>
          <w:pgMar w:left="320" w:top="445" w:right="1299" w:bottom="144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8460"/>
        <w:spacing w:after="0"/>
        <w:rPr>
          <w:sz w:val="20"/>
          <w:szCs w:val="20"/>
          <w:color w:val="auto"/>
        </w:rPr>
      </w:pPr>
      <w:r>
        <w:rPr>
          <w:rFonts w:ascii="Arial" w:cs="Arial" w:eastAsia="Arial" w:hAnsi="Arial"/>
          <w:sz w:val="13"/>
          <w:szCs w:val="13"/>
          <w:color w:val="auto"/>
        </w:rPr>
        <w:t xml:space="preserve">2021 PROXY STATEMENT </w:t>
      </w:r>
      <w:r>
        <w:rPr>
          <w:rFonts w:ascii="Arial" w:cs="Arial" w:eastAsia="Arial" w:hAnsi="Arial"/>
          <w:sz w:val="13"/>
          <w:szCs w:val="13"/>
          <w:b w:val="1"/>
          <w:bCs w:val="1"/>
          <w:color w:val="0075C9"/>
        </w:rPr>
        <w:t>5</w:t>
      </w:r>
    </w:p>
    <w:p>
      <w:pPr>
        <w:sectPr>
          <w:pgSz w:w="11900" w:h="16838" w:orient="portrait"/>
          <w:cols w:equalWidth="0" w:num="1">
            <w:col w:w="10280"/>
          </w:cols>
          <w:pgMar w:left="320" w:top="445" w:right="1299" w:bottom="1440" w:gutter="0" w:footer="0" w:header="0"/>
          <w:type w:val="continuous"/>
        </w:sectPr>
      </w:pPr>
    </w:p>
    <w:bookmarkStart w:id="13" w:name="page14"/>
    <w:bookmarkEnd w:id="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637540</wp:posOffset>
            </wp:positionH>
            <wp:positionV relativeFrom="paragraph">
              <wp:posOffset>226060</wp:posOffset>
            </wp:positionV>
            <wp:extent cx="5868035" cy="20275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68035" cy="2027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620"/>
        <w:spacing w:after="0"/>
        <w:rPr>
          <w:sz w:val="20"/>
          <w:szCs w:val="20"/>
          <w:color w:val="auto"/>
        </w:rPr>
      </w:pPr>
      <w:r>
        <w:rPr>
          <w:rFonts w:ascii="Arial" w:cs="Arial" w:eastAsia="Arial" w:hAnsi="Arial"/>
          <w:sz w:val="21"/>
          <w:szCs w:val="21"/>
          <w:b w:val="1"/>
          <w:bCs w:val="1"/>
          <w:color w:val="auto"/>
        </w:rPr>
        <w:t>Shareholder Rights</w:t>
      </w:r>
    </w:p>
    <w:p>
      <w:pPr>
        <w:spacing w:after="0" w:line="77" w:lineRule="exact"/>
        <w:rPr>
          <w:sz w:val="20"/>
          <w:szCs w:val="20"/>
          <w:color w:val="auto"/>
        </w:rPr>
      </w:pPr>
    </w:p>
    <w:p>
      <w:pPr>
        <w:ind w:left="1520" w:hanging="122"/>
        <w:spacing w:after="0"/>
        <w:tabs>
          <w:tab w:leader="none" w:pos="15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Single class of stock with equal voting rights</w:t>
      </w:r>
    </w:p>
    <w:p>
      <w:pPr>
        <w:spacing w:after="0" w:line="113" w:lineRule="exact"/>
        <w:rPr>
          <w:rFonts w:ascii="Arial" w:cs="Arial" w:eastAsia="Arial" w:hAnsi="Arial"/>
          <w:sz w:val="16"/>
          <w:szCs w:val="16"/>
          <w:color w:val="auto"/>
        </w:rPr>
      </w:pPr>
    </w:p>
    <w:p>
      <w:pPr>
        <w:ind w:left="1520" w:hanging="122"/>
        <w:spacing w:after="0"/>
        <w:tabs>
          <w:tab w:leader="none" w:pos="15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All directors are elected annually</w:t>
      </w:r>
    </w:p>
    <w:p>
      <w:pPr>
        <w:spacing w:after="0" w:line="113" w:lineRule="exact"/>
        <w:rPr>
          <w:rFonts w:ascii="Arial" w:cs="Arial" w:eastAsia="Arial" w:hAnsi="Arial"/>
          <w:sz w:val="16"/>
          <w:szCs w:val="16"/>
          <w:color w:val="auto"/>
        </w:rPr>
      </w:pPr>
    </w:p>
    <w:p>
      <w:pPr>
        <w:ind w:left="1520" w:hanging="122"/>
        <w:spacing w:after="0"/>
        <w:tabs>
          <w:tab w:leader="none" w:pos="15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Directors are elected by majority vote in uncontested elections</w:t>
      </w:r>
    </w:p>
    <w:p>
      <w:pPr>
        <w:spacing w:after="0" w:line="113" w:lineRule="exact"/>
        <w:rPr>
          <w:rFonts w:ascii="Arial" w:cs="Arial" w:eastAsia="Arial" w:hAnsi="Arial"/>
          <w:sz w:val="16"/>
          <w:szCs w:val="16"/>
          <w:color w:val="auto"/>
        </w:rPr>
      </w:pPr>
    </w:p>
    <w:p>
      <w:pPr>
        <w:ind w:left="1520" w:hanging="122"/>
        <w:spacing w:after="0"/>
        <w:tabs>
          <w:tab w:leader="none" w:pos="15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Confidential voting policy</w:t>
      </w:r>
    </w:p>
    <w:p>
      <w:pPr>
        <w:spacing w:after="0" w:line="113" w:lineRule="exact"/>
        <w:rPr>
          <w:rFonts w:ascii="Arial" w:cs="Arial" w:eastAsia="Arial" w:hAnsi="Arial"/>
          <w:sz w:val="16"/>
          <w:szCs w:val="16"/>
          <w:color w:val="auto"/>
        </w:rPr>
      </w:pPr>
    </w:p>
    <w:p>
      <w:pPr>
        <w:ind w:left="1520" w:hanging="122"/>
        <w:spacing w:after="0"/>
        <w:tabs>
          <w:tab w:leader="none" w:pos="15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15% of outstanding shares can call a special meeting</w:t>
      </w:r>
    </w:p>
    <w:p>
      <w:pPr>
        <w:spacing w:after="0" w:line="113" w:lineRule="exact"/>
        <w:rPr>
          <w:rFonts w:ascii="Arial" w:cs="Arial" w:eastAsia="Arial" w:hAnsi="Arial"/>
          <w:sz w:val="16"/>
          <w:szCs w:val="16"/>
          <w:color w:val="auto"/>
        </w:rPr>
      </w:pPr>
    </w:p>
    <w:p>
      <w:pPr>
        <w:ind w:left="1520" w:hanging="122"/>
        <w:spacing w:after="0"/>
        <w:tabs>
          <w:tab w:leader="none" w:pos="15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bylaws provide for “proxy access” by shareholders</w:t>
      </w:r>
    </w:p>
    <w:p>
      <w:pPr>
        <w:spacing w:after="0" w:line="394" w:lineRule="exact"/>
        <w:rPr>
          <w:sz w:val="20"/>
          <w:szCs w:val="20"/>
          <w:color w:val="auto"/>
        </w:rPr>
      </w:pPr>
    </w:p>
    <w:p>
      <w:pPr>
        <w:jc w:val="right"/>
        <w:ind w:right="259"/>
        <w:spacing w:after="0"/>
        <w:rPr>
          <w:sz w:val="20"/>
          <w:szCs w:val="20"/>
          <w:color w:val="auto"/>
        </w:rPr>
      </w:pPr>
      <w:r>
        <w:rPr>
          <w:rFonts w:ascii="Arial" w:cs="Arial" w:eastAsia="Arial" w:hAnsi="Arial"/>
          <w:sz w:val="14"/>
          <w:szCs w:val="14"/>
          <w:b w:val="1"/>
          <w:bCs w:val="1"/>
          <w:color w:val="auto"/>
        </w:rPr>
        <w:t>See Part 1 – Governance and our Board of Directors and Part 5 – Information About the Meeting for more information.</w:t>
      </w:r>
    </w:p>
    <w:p>
      <w:pPr>
        <w:spacing w:after="0" w:line="200" w:lineRule="exact"/>
        <w:rPr>
          <w:sz w:val="20"/>
          <w:szCs w:val="20"/>
          <w:color w:val="auto"/>
        </w:rPr>
      </w:pPr>
    </w:p>
    <w:p>
      <w:pPr>
        <w:spacing w:after="0" w:line="30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-94615</wp:posOffset>
            </wp:positionV>
            <wp:extent cx="485140" cy="984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39"/>
          </w:cols>
          <w:pgMar w:left="320" w:top="445" w:right="1440"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0075C9"/>
                <w:w w:val="89"/>
              </w:rPr>
              <w:t>1</w:t>
            </w:r>
          </w:p>
        </w:tc>
        <w:tc>
          <w:tcPr>
            <w:tcW w:w="1220" w:type="dxa"/>
            <w:vAlign w:val="bottom"/>
            <w:vMerge w:val="restart"/>
          </w:tcPr>
          <w:p>
            <w:pPr>
              <w:ind w:left="80"/>
              <w:spacing w:after="0"/>
              <w:rPr>
                <w:sz w:val="20"/>
                <w:szCs w:val="20"/>
                <w:color w:val="auto"/>
              </w:rPr>
            </w:pPr>
            <w:r>
              <w:rPr>
                <w:rFonts w:ascii="Arial" w:cs="Arial" w:eastAsia="Arial" w:hAnsi="Arial"/>
                <w:sz w:val="12"/>
                <w:szCs w:val="12"/>
                <w:color w:val="0075C9"/>
                <w:w w:val="98"/>
              </w:rPr>
              <w:t>GOVERNANCE AND</w:t>
            </w:r>
          </w:p>
        </w:tc>
        <w:tc>
          <w:tcPr>
            <w:tcW w:w="720" w:type="dxa"/>
            <w:vAlign w:val="bottom"/>
          </w:tcPr>
          <w:p>
            <w:pPr>
              <w:jc w:val="right"/>
              <w:spacing w:after="0"/>
              <w:rPr>
                <w:sz w:val="20"/>
                <w:szCs w:val="20"/>
                <w:color w:val="auto"/>
              </w:rPr>
            </w:pPr>
            <w:r>
              <w:rPr>
                <w:rFonts w:ascii="Arial" w:cs="Arial" w:eastAsia="Arial" w:hAnsi="Arial"/>
                <w:sz w:val="36"/>
                <w:szCs w:val="36"/>
                <w:color w:val="auto"/>
              </w:rPr>
              <w:t>2</w:t>
            </w:r>
          </w:p>
        </w:tc>
        <w:tc>
          <w:tcPr>
            <w:tcW w:w="1540" w:type="dxa"/>
            <w:vAlign w:val="bottom"/>
            <w:vMerge w:val="restart"/>
          </w:tcPr>
          <w:p>
            <w:pPr>
              <w:ind w:left="80"/>
              <w:spacing w:after="0"/>
              <w:rPr>
                <w:sz w:val="20"/>
                <w:szCs w:val="20"/>
                <w:color w:val="auto"/>
              </w:rPr>
            </w:pPr>
            <w:r>
              <w:rPr>
                <w:rFonts w:ascii="Arial" w:cs="Arial" w:eastAsia="Arial" w:hAnsi="Arial"/>
                <w:sz w:val="12"/>
                <w:szCs w:val="12"/>
                <w:color w:val="auto"/>
              </w:rPr>
              <w:t>NAMED</w:t>
            </w:r>
          </w:p>
        </w:tc>
        <w:tc>
          <w:tcPr>
            <w:tcW w:w="500" w:type="dxa"/>
            <w:vAlign w:val="bottom"/>
          </w:tcPr>
          <w:p>
            <w:pPr>
              <w:jc w:val="right"/>
              <w:spacing w:after="0"/>
              <w:rPr>
                <w:sz w:val="20"/>
                <w:szCs w:val="20"/>
                <w:color w:val="auto"/>
              </w:rPr>
            </w:pPr>
            <w:r>
              <w:rPr>
                <w:rFonts w:ascii="Arial" w:cs="Arial" w:eastAsia="Arial" w:hAnsi="Arial"/>
                <w:sz w:val="36"/>
                <w:szCs w:val="36"/>
                <w:color w:val="auto"/>
              </w:rPr>
              <w:t>3</w:t>
            </w:r>
          </w:p>
        </w:tc>
        <w:tc>
          <w:tcPr>
            <w:tcW w:w="980" w:type="dxa"/>
            <w:vAlign w:val="bottom"/>
            <w:vMerge w:val="restart"/>
          </w:tcPr>
          <w:p>
            <w:pPr>
              <w:ind w:left="80"/>
              <w:spacing w:after="0"/>
              <w:rPr>
                <w:sz w:val="20"/>
                <w:szCs w:val="20"/>
                <w:color w:val="auto"/>
              </w:rPr>
            </w:pPr>
            <w:r>
              <w:rPr>
                <w:rFonts w:ascii="Arial" w:cs="Arial" w:eastAsia="Arial" w:hAnsi="Arial"/>
                <w:sz w:val="12"/>
                <w:szCs w:val="12"/>
                <w:color w:val="auto"/>
              </w:rPr>
              <w:t>AUDIT</w:t>
            </w:r>
          </w:p>
        </w:tc>
        <w:tc>
          <w:tcPr>
            <w:tcW w:w="460" w:type="dxa"/>
            <w:vAlign w:val="bottom"/>
          </w:tcPr>
          <w:p>
            <w:pPr>
              <w:jc w:val="right"/>
              <w:spacing w:after="0"/>
              <w:rPr>
                <w:sz w:val="20"/>
                <w:szCs w:val="20"/>
                <w:color w:val="auto"/>
              </w:rPr>
            </w:pPr>
            <w:r>
              <w:rPr>
                <w:rFonts w:ascii="Arial" w:cs="Arial" w:eastAsia="Arial" w:hAnsi="Arial"/>
                <w:sz w:val="36"/>
                <w:szCs w:val="36"/>
                <w:color w:val="auto"/>
              </w:rPr>
              <w:t>4</w:t>
            </w:r>
          </w:p>
        </w:tc>
        <w:tc>
          <w:tcPr>
            <w:tcW w:w="1580" w:type="dxa"/>
            <w:vAlign w:val="bottom"/>
            <w:vMerge w:val="restart"/>
          </w:tcPr>
          <w:p>
            <w:pPr>
              <w:ind w:left="80"/>
              <w:spacing w:after="0"/>
              <w:rPr>
                <w:sz w:val="20"/>
                <w:szCs w:val="20"/>
                <w:color w:val="auto"/>
              </w:rPr>
            </w:pPr>
            <w:r>
              <w:rPr>
                <w:rFonts w:ascii="Arial" w:cs="Arial" w:eastAsia="Arial" w:hAnsi="Arial"/>
                <w:sz w:val="12"/>
                <w:szCs w:val="12"/>
                <w:color w:val="auto"/>
              </w:rPr>
              <w:t>PROPOSALS TO</w:t>
            </w:r>
          </w:p>
        </w:tc>
        <w:tc>
          <w:tcPr>
            <w:tcW w:w="440" w:type="dxa"/>
            <w:vAlign w:val="bottom"/>
          </w:tcPr>
          <w:p>
            <w:pPr>
              <w:jc w:val="right"/>
              <w:spacing w:after="0"/>
              <w:rPr>
                <w:sz w:val="20"/>
                <w:szCs w:val="20"/>
                <w:color w:val="auto"/>
              </w:rPr>
            </w:pPr>
            <w:r>
              <w:rPr>
                <w:rFonts w:ascii="Arial" w:cs="Arial" w:eastAsia="Arial" w:hAnsi="Arial"/>
                <w:sz w:val="36"/>
                <w:szCs w:val="36"/>
                <w:color w:val="auto"/>
              </w:rPr>
              <w:t>5</w:t>
            </w:r>
          </w:p>
        </w:tc>
        <w:tc>
          <w:tcPr>
            <w:tcW w:w="900" w:type="dxa"/>
            <w:vAlign w:val="bottom"/>
            <w:vMerge w:val="restart"/>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220" w:type="dxa"/>
            <w:vAlign w:val="bottom"/>
          </w:tcPr>
          <w:p>
            <w:pPr>
              <w:ind w:left="80"/>
              <w:spacing w:after="0" w:line="130" w:lineRule="exact"/>
              <w:rPr>
                <w:sz w:val="20"/>
                <w:szCs w:val="20"/>
                <w:color w:val="auto"/>
              </w:rPr>
            </w:pPr>
            <w:r>
              <w:rPr>
                <w:rFonts w:ascii="Arial" w:cs="Arial" w:eastAsia="Arial" w:hAnsi="Arial"/>
                <w:sz w:val="12"/>
                <w:szCs w:val="12"/>
                <w:color w:val="0075C9"/>
              </w:rPr>
              <w:t>OUR BOARD OF</w:t>
            </w:r>
          </w:p>
        </w:tc>
        <w:tc>
          <w:tcPr>
            <w:tcW w:w="720" w:type="dxa"/>
            <w:vAlign w:val="bottom"/>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460" w:type="dxa"/>
            <w:vAlign w:val="bottom"/>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40" w:type="dxa"/>
            <w:vAlign w:val="bottom"/>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0075C9"/>
              </w:rPr>
              <w:t>DIRECTORS</w:t>
            </w:r>
          </w:p>
        </w:tc>
        <w:tc>
          <w:tcPr>
            <w:tcW w:w="720" w:type="dxa"/>
            <w:vAlign w:val="bottom"/>
          </w:tcPr>
          <w:p>
            <w:pPr>
              <w:spacing w:after="0"/>
              <w:rPr>
                <w:sz w:val="12"/>
                <w:szCs w:val="12"/>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tcPr>
          <w:p>
            <w:pPr>
              <w:spacing w:after="0"/>
              <w:rPr>
                <w:sz w:val="12"/>
                <w:szCs w:val="12"/>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460" w:type="dxa"/>
            <w:vAlign w:val="bottom"/>
          </w:tcPr>
          <w:p>
            <w:pPr>
              <w:spacing w:after="0"/>
              <w:rPr>
                <w:sz w:val="12"/>
                <w:szCs w:val="12"/>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40" w:type="dxa"/>
            <w:vAlign w:val="bottom"/>
          </w:tcPr>
          <w:p>
            <w:pPr>
              <w:spacing w:after="0"/>
              <w:rPr>
                <w:sz w:val="12"/>
                <w:szCs w:val="12"/>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shd w:val="clear" w:color="auto" w:fill="0075C9"/>
          </w:tcPr>
          <w:p>
            <w:pPr>
              <w:spacing w:after="0"/>
              <w:rPr>
                <w:sz w:val="9"/>
                <w:szCs w:val="9"/>
                <w:color w:val="auto"/>
              </w:rPr>
            </w:pPr>
          </w:p>
        </w:tc>
        <w:tc>
          <w:tcPr>
            <w:tcW w:w="1220" w:type="dxa"/>
            <w:vAlign w:val="bottom"/>
            <w:shd w:val="clear" w:color="auto" w:fill="0075C9"/>
          </w:tcPr>
          <w:p>
            <w:pPr>
              <w:spacing w:after="0"/>
              <w:rPr>
                <w:sz w:val="9"/>
                <w:szCs w:val="9"/>
                <w:color w:val="auto"/>
              </w:rPr>
            </w:pPr>
          </w:p>
        </w:tc>
        <w:tc>
          <w:tcPr>
            <w:tcW w:w="7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1100"/>
        <w:spacing w:after="0"/>
        <w:rPr>
          <w:sz w:val="20"/>
          <w:szCs w:val="20"/>
          <w:color w:val="auto"/>
        </w:rPr>
      </w:pPr>
      <w:r>
        <w:rPr>
          <w:rFonts w:ascii="Arial" w:cs="Arial" w:eastAsia="Arial" w:hAnsi="Arial"/>
          <w:sz w:val="43"/>
          <w:szCs w:val="43"/>
          <w:b w:val="1"/>
          <w:bCs w:val="1"/>
          <w:color w:val="auto"/>
        </w:rPr>
        <w:t>1. Governance and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445135</wp:posOffset>
            </wp:positionV>
            <wp:extent cx="57397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Earning Trust</w:t>
      </w:r>
    </w:p>
    <w:p>
      <w:pPr>
        <w:spacing w:after="0" w:line="143" w:lineRule="exact"/>
        <w:rPr>
          <w:sz w:val="20"/>
          <w:szCs w:val="20"/>
          <w:color w:val="auto"/>
        </w:rPr>
      </w:pPr>
    </w:p>
    <w:p>
      <w:pPr>
        <w:ind w:left="1100" w:right="180"/>
        <w:spacing w:after="0" w:line="238" w:lineRule="auto"/>
        <w:rPr>
          <w:sz w:val="20"/>
          <w:szCs w:val="20"/>
          <w:color w:val="auto"/>
        </w:rPr>
      </w:pPr>
      <w:r>
        <w:rPr>
          <w:rFonts w:ascii="Arial" w:cs="Arial" w:eastAsia="Arial" w:hAnsi="Arial"/>
          <w:sz w:val="16"/>
          <w:szCs w:val="16"/>
          <w:color w:val="auto"/>
        </w:rPr>
        <w:t>Earning the trust of our customers, partners, shareholders, and other stakeholders is the foundation of our business success and is fundamental to realizing Microsoft’s mission to empower every person and every organization on the planet to achieve more. The Board of Directors is committed to building trust through strong corporate governance, effective oversight, and strategic engagement. Together, these ensure accountability and position Microsoft for sustained success in a turbulent world.</w:t>
      </w:r>
    </w:p>
    <w:p>
      <w:pPr>
        <w:spacing w:after="0" w:line="99" w:lineRule="exact"/>
        <w:rPr>
          <w:sz w:val="20"/>
          <w:szCs w:val="20"/>
          <w:color w:val="auto"/>
        </w:rPr>
      </w:pPr>
    </w:p>
    <w:p>
      <w:pPr>
        <w:ind w:left="1100" w:right="220"/>
        <w:spacing w:after="0" w:line="276" w:lineRule="auto"/>
        <w:rPr>
          <w:sz w:val="20"/>
          <w:szCs w:val="20"/>
          <w:color w:val="auto"/>
        </w:rPr>
      </w:pPr>
      <w:r>
        <w:rPr>
          <w:rFonts w:ascii="Arial" w:cs="Arial" w:eastAsia="Arial" w:hAnsi="Arial"/>
          <w:sz w:val="14"/>
          <w:szCs w:val="14"/>
          <w:color w:val="auto"/>
        </w:rPr>
        <w:t>Like many in the investor community, the Board and Microsoft’s leaders recognize the interconnections between corporate governance and effective business responses to pressing environmental and social challenges. As the practice of Environmental, Social, and Governance (“ESG”) investing has advanced, Microsoft and its Board have proactively engaged with investors to learn from their perspectives and to share the Company’s approach. Microsoft’s Board of Directors and management team understands that ESG performance is linked in myriad ways to the Company’s long-term financial performance and growth that is sustainable in every sense of the word. We are committed to building and executing on strategies to help foster a healthy planet and advance a more inclusive economy that fosters additional growth opportunities for everyone.</w:t>
      </w:r>
    </w:p>
    <w:p>
      <w:pPr>
        <w:spacing w:after="0" w:line="77" w:lineRule="exact"/>
        <w:rPr>
          <w:sz w:val="20"/>
          <w:szCs w:val="20"/>
          <w:color w:val="auto"/>
        </w:rPr>
      </w:pPr>
    </w:p>
    <w:p>
      <w:pPr>
        <w:ind w:left="1100" w:right="180"/>
        <w:spacing w:after="0" w:line="237" w:lineRule="auto"/>
        <w:rPr>
          <w:sz w:val="20"/>
          <w:szCs w:val="20"/>
          <w:color w:val="auto"/>
        </w:rPr>
      </w:pPr>
      <w:r>
        <w:rPr>
          <w:rFonts w:ascii="Arial" w:cs="Arial" w:eastAsia="Arial" w:hAnsi="Arial"/>
          <w:sz w:val="16"/>
          <w:szCs w:val="16"/>
          <w:color w:val="auto"/>
        </w:rPr>
        <w:t>From our CEO and senior management and throughout our organization, we are working to conduct our business in principled ways that make a significant positive impact on important global issues. Our Board of Directors provides insight, feedback, and oversight across a broad range of environmental and social matters. In particular, the responsibilities of the Board’s Regulatory and Public Policy Committee include providing oversight and guidance to the Board and management about the Company’s policies and programs that relate to corporate social responsibility. The Audit Committee, Compensation Committee, and Governance and Nominating Committee also have responsibilities relating to ESG topics and in fiscal year 2021 each of these Committees considered emerging ESG issues that fall under their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309880</wp:posOffset>
            </wp:positionV>
            <wp:extent cx="57397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Concrete Commitments Plus Transparency Drive Results</w:t>
      </w:r>
    </w:p>
    <w:p>
      <w:pPr>
        <w:spacing w:after="0" w:line="143" w:lineRule="exact"/>
        <w:rPr>
          <w:sz w:val="20"/>
          <w:szCs w:val="20"/>
          <w:color w:val="auto"/>
        </w:rPr>
      </w:pPr>
    </w:p>
    <w:p>
      <w:pPr>
        <w:ind w:left="1100" w:right="220"/>
        <w:spacing w:after="0" w:line="237" w:lineRule="auto"/>
        <w:rPr>
          <w:sz w:val="20"/>
          <w:szCs w:val="20"/>
          <w:color w:val="auto"/>
        </w:rPr>
      </w:pPr>
      <w:r>
        <w:rPr>
          <w:rFonts w:ascii="Arial" w:cs="Arial" w:eastAsia="Arial" w:hAnsi="Arial"/>
          <w:sz w:val="16"/>
          <w:szCs w:val="16"/>
          <w:color w:val="auto"/>
        </w:rPr>
        <w:t xml:space="preserve">We hold ourselves accountable by publicly reporting on our policies, practices, and performance to provide our stakeholders visibility into how we are meeting our commitments and responsibilities. We believe our position in the world demands it, and we are confident that it is critical to fostering our long-term business success. This year Microsoft released its first annual progress reports related to important commitments we have made to environmental sustainability and racial equity. Our Reports Hub available at </w:t>
      </w:r>
      <w:r>
        <w:rPr>
          <w:rFonts w:ascii="Arial" w:cs="Arial" w:eastAsia="Arial" w:hAnsi="Arial"/>
          <w:sz w:val="16"/>
          <w:szCs w:val="16"/>
          <w:u w:val="single" w:color="auto"/>
          <w:color w:val="auto"/>
        </w:rPr>
        <w:t>microsoft.com/transparency</w:t>
      </w:r>
      <w:r>
        <w:rPr>
          <w:rFonts w:ascii="Arial" w:cs="Arial" w:eastAsia="Arial" w:hAnsi="Arial"/>
          <w:sz w:val="16"/>
          <w:szCs w:val="16"/>
          <w:color w:val="auto"/>
        </w:rPr>
        <w:t xml:space="preserve"> provides a consolidated, comprehensive view of our ESG reporting and data ranging from our carbon footprint to workforce demographics to political donations. We work to align our ESG reporting to global standards such as sector-based materiality maps provided by the Sustainable Accounting Standards Board. In addition, we were among the first companies to align our human rights work with the United Nations Guiding Principles on Business and Human Rights and to adopt the United Nations Guiding Principles Reporting Framework.</w:t>
      </w:r>
    </w:p>
    <w:p>
      <w:pPr>
        <w:spacing w:after="0" w:line="100" w:lineRule="exact"/>
        <w:rPr>
          <w:sz w:val="20"/>
          <w:szCs w:val="20"/>
          <w:color w:val="auto"/>
        </w:rPr>
      </w:pPr>
    </w:p>
    <w:p>
      <w:pPr>
        <w:ind w:left="1100" w:right="160"/>
        <w:spacing w:after="0" w:line="277" w:lineRule="auto"/>
        <w:rPr>
          <w:sz w:val="20"/>
          <w:szCs w:val="20"/>
          <w:color w:val="auto"/>
        </w:rPr>
      </w:pPr>
      <w:r>
        <w:rPr>
          <w:rFonts w:ascii="Arial" w:cs="Arial" w:eastAsia="Arial" w:hAnsi="Arial"/>
          <w:sz w:val="14"/>
          <w:szCs w:val="14"/>
          <w:color w:val="auto"/>
        </w:rPr>
        <w:t xml:space="preserve">Recognizing the interest of shareholders in establishing greater transparency about corporate political contributions, we disclose our political contributions to support candidates and ballot measures and how certain of our trade association membership dues are used for political activities. As part of our commitment to transparency, we developed the Principles and Policies for Guiding Microsoft’s Participation in the Public Policy Process in the U.S., which focuses on ensuring compliance with applicable federal and state laws and goes beyond compliance to implement what we consider leading practices in corporate accountability, transparency, integrity, and responsibility. The policy is available at </w:t>
      </w:r>
      <w:r>
        <w:rPr>
          <w:rFonts w:ascii="Arial" w:cs="Arial" w:eastAsia="Arial" w:hAnsi="Arial"/>
          <w:sz w:val="14"/>
          <w:szCs w:val="14"/>
          <w:u w:val="single" w:color="auto"/>
          <w:color w:val="auto"/>
        </w:rPr>
        <w:t>microsoft.com/public-policy-engagement</w:t>
      </w:r>
      <w:r>
        <w:rPr>
          <w:rFonts w:ascii="Arial" w:cs="Arial" w:eastAsia="Arial" w:hAnsi="Arial"/>
          <w:sz w:val="14"/>
          <w:szCs w:val="14"/>
          <w:color w:val="auto"/>
        </w:rPr>
        <w:t>.</w:t>
      </w:r>
    </w:p>
    <w:p>
      <w:pPr>
        <w:spacing w:after="0" w:line="77" w:lineRule="exact"/>
        <w:rPr>
          <w:sz w:val="20"/>
          <w:szCs w:val="20"/>
          <w:color w:val="auto"/>
        </w:rPr>
      </w:pPr>
    </w:p>
    <w:p>
      <w:pPr>
        <w:ind w:left="1100" w:right="520"/>
        <w:spacing w:after="0" w:line="239" w:lineRule="auto"/>
        <w:rPr>
          <w:sz w:val="20"/>
          <w:szCs w:val="20"/>
          <w:color w:val="auto"/>
        </w:rPr>
      </w:pPr>
      <w:r>
        <w:rPr>
          <w:rFonts w:ascii="Arial" w:cs="Arial" w:eastAsia="Arial" w:hAnsi="Arial"/>
          <w:sz w:val="16"/>
          <w:szCs w:val="16"/>
          <w:color w:val="auto"/>
        </w:rPr>
        <w:t>The corporate governance policies and practices described throughout this Proxy Statement and the effective, engaged Board oversight they foster provide the foundation for all of our ESG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308610</wp:posOffset>
            </wp:positionV>
            <wp:extent cx="57397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Engagement with Environmental and Social Topics</w:t>
      </w:r>
    </w:p>
    <w:p>
      <w:pPr>
        <w:spacing w:after="0" w:line="143" w:lineRule="exact"/>
        <w:rPr>
          <w:sz w:val="20"/>
          <w:szCs w:val="20"/>
          <w:color w:val="auto"/>
        </w:rPr>
      </w:pPr>
    </w:p>
    <w:p>
      <w:pPr>
        <w:ind w:left="1100" w:right="260"/>
        <w:spacing w:after="0" w:line="238" w:lineRule="auto"/>
        <w:rPr>
          <w:sz w:val="20"/>
          <w:szCs w:val="20"/>
          <w:color w:val="auto"/>
        </w:rPr>
      </w:pPr>
      <w:r>
        <w:rPr>
          <w:rFonts w:ascii="Arial" w:cs="Arial" w:eastAsia="Arial" w:hAnsi="Arial"/>
          <w:sz w:val="16"/>
          <w:szCs w:val="16"/>
          <w:color w:val="auto"/>
        </w:rPr>
        <w:t xml:space="preserve">Below are four of our most important ESG initiatives that we know are of interest to many of our shareholders and other stakeholders based on the feedback we have received. A wide range of information about other environmental and social topics is available at </w:t>
      </w:r>
      <w:r>
        <w:rPr>
          <w:rFonts w:ascii="Arial" w:cs="Arial" w:eastAsia="Arial" w:hAnsi="Arial"/>
          <w:sz w:val="16"/>
          <w:szCs w:val="16"/>
          <w:u w:val="single" w:color="auto"/>
          <w:color w:val="auto"/>
        </w:rPr>
        <w:t>microsoft.com/csr</w:t>
      </w:r>
      <w:r>
        <w:rPr>
          <w:rFonts w:ascii="Arial" w:cs="Arial" w:eastAsia="Arial" w:hAnsi="Arial"/>
          <w:sz w:val="16"/>
          <w:szCs w:val="16"/>
          <w:color w:val="auto"/>
        </w:rPr>
        <w:t>.</w:t>
      </w:r>
    </w:p>
    <w:p>
      <w:pPr>
        <w:spacing w:after="0" w:line="200" w:lineRule="exact"/>
        <w:rPr>
          <w:sz w:val="20"/>
          <w:szCs w:val="20"/>
          <w:color w:val="auto"/>
        </w:rPr>
      </w:pPr>
    </w:p>
    <w:p>
      <w:pPr>
        <w:spacing w:after="0" w:line="301"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color w:val="auto"/>
        </w:rPr>
        <w:t>2021 PROXY STATEMENT</w:t>
      </w:r>
      <w:r>
        <w:rPr>
          <w:sz w:val="20"/>
          <w:szCs w:val="20"/>
          <w:color w:val="auto"/>
        </w:rPr>
        <w:tab/>
      </w:r>
      <w:r>
        <w:rPr>
          <w:rFonts w:ascii="Arial" w:cs="Arial" w:eastAsia="Arial" w:hAnsi="Arial"/>
          <w:sz w:val="14"/>
          <w:szCs w:val="14"/>
          <w:b w:val="1"/>
          <w:bCs w:val="1"/>
          <w:color w:val="0075C9"/>
        </w:rPr>
        <w:t>7</w:t>
      </w:r>
    </w:p>
    <w:p>
      <w:pPr>
        <w:sectPr>
          <w:pgSz w:w="11900" w:h="16838" w:orient="portrait"/>
          <w:cols w:equalWidth="0" w:num="1">
            <w:col w:w="10280"/>
          </w:cols>
          <w:pgMar w:left="320" w:top="445" w:right="129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0075C9"/>
                <w:w w:val="89"/>
              </w:rPr>
              <w:t>1</w:t>
            </w:r>
          </w:p>
        </w:tc>
        <w:tc>
          <w:tcPr>
            <w:tcW w:w="1220" w:type="dxa"/>
            <w:vAlign w:val="bottom"/>
            <w:vMerge w:val="restart"/>
          </w:tcPr>
          <w:p>
            <w:pPr>
              <w:ind w:left="80"/>
              <w:spacing w:after="0"/>
              <w:rPr>
                <w:sz w:val="20"/>
                <w:szCs w:val="20"/>
                <w:color w:val="auto"/>
              </w:rPr>
            </w:pPr>
            <w:r>
              <w:rPr>
                <w:rFonts w:ascii="Arial" w:cs="Arial" w:eastAsia="Arial" w:hAnsi="Arial"/>
                <w:sz w:val="12"/>
                <w:szCs w:val="12"/>
                <w:color w:val="0075C9"/>
                <w:w w:val="98"/>
              </w:rPr>
              <w:t>GOVERNANCE AND</w:t>
            </w:r>
          </w:p>
        </w:tc>
        <w:tc>
          <w:tcPr>
            <w:tcW w:w="720" w:type="dxa"/>
            <w:vAlign w:val="bottom"/>
          </w:tcPr>
          <w:p>
            <w:pPr>
              <w:jc w:val="right"/>
              <w:spacing w:after="0"/>
              <w:rPr>
                <w:sz w:val="20"/>
                <w:szCs w:val="20"/>
                <w:color w:val="auto"/>
              </w:rPr>
            </w:pPr>
            <w:r>
              <w:rPr>
                <w:rFonts w:ascii="Arial" w:cs="Arial" w:eastAsia="Arial" w:hAnsi="Arial"/>
                <w:sz w:val="36"/>
                <w:szCs w:val="36"/>
                <w:color w:val="auto"/>
              </w:rPr>
              <w:t>2</w:t>
            </w:r>
          </w:p>
        </w:tc>
        <w:tc>
          <w:tcPr>
            <w:tcW w:w="1540" w:type="dxa"/>
            <w:vAlign w:val="bottom"/>
            <w:vMerge w:val="restart"/>
          </w:tcPr>
          <w:p>
            <w:pPr>
              <w:ind w:left="80"/>
              <w:spacing w:after="0"/>
              <w:rPr>
                <w:sz w:val="20"/>
                <w:szCs w:val="20"/>
                <w:color w:val="auto"/>
              </w:rPr>
            </w:pPr>
            <w:r>
              <w:rPr>
                <w:rFonts w:ascii="Arial" w:cs="Arial" w:eastAsia="Arial" w:hAnsi="Arial"/>
                <w:sz w:val="12"/>
                <w:szCs w:val="12"/>
                <w:color w:val="auto"/>
              </w:rPr>
              <w:t>NAMED</w:t>
            </w:r>
          </w:p>
        </w:tc>
        <w:tc>
          <w:tcPr>
            <w:tcW w:w="500" w:type="dxa"/>
            <w:vAlign w:val="bottom"/>
          </w:tcPr>
          <w:p>
            <w:pPr>
              <w:jc w:val="right"/>
              <w:spacing w:after="0"/>
              <w:rPr>
                <w:sz w:val="20"/>
                <w:szCs w:val="20"/>
                <w:color w:val="auto"/>
              </w:rPr>
            </w:pPr>
            <w:r>
              <w:rPr>
                <w:rFonts w:ascii="Arial" w:cs="Arial" w:eastAsia="Arial" w:hAnsi="Arial"/>
                <w:sz w:val="36"/>
                <w:szCs w:val="36"/>
                <w:color w:val="auto"/>
              </w:rPr>
              <w:t>3</w:t>
            </w:r>
          </w:p>
        </w:tc>
        <w:tc>
          <w:tcPr>
            <w:tcW w:w="980" w:type="dxa"/>
            <w:vAlign w:val="bottom"/>
            <w:vMerge w:val="restart"/>
          </w:tcPr>
          <w:p>
            <w:pPr>
              <w:ind w:left="80"/>
              <w:spacing w:after="0"/>
              <w:rPr>
                <w:sz w:val="20"/>
                <w:szCs w:val="20"/>
                <w:color w:val="auto"/>
              </w:rPr>
            </w:pPr>
            <w:r>
              <w:rPr>
                <w:rFonts w:ascii="Arial" w:cs="Arial" w:eastAsia="Arial" w:hAnsi="Arial"/>
                <w:sz w:val="12"/>
                <w:szCs w:val="12"/>
                <w:color w:val="auto"/>
              </w:rPr>
              <w:t>AUDIT</w:t>
            </w:r>
          </w:p>
        </w:tc>
        <w:tc>
          <w:tcPr>
            <w:tcW w:w="460" w:type="dxa"/>
            <w:vAlign w:val="bottom"/>
          </w:tcPr>
          <w:p>
            <w:pPr>
              <w:jc w:val="right"/>
              <w:spacing w:after="0"/>
              <w:rPr>
                <w:sz w:val="20"/>
                <w:szCs w:val="20"/>
                <w:color w:val="auto"/>
              </w:rPr>
            </w:pPr>
            <w:r>
              <w:rPr>
                <w:rFonts w:ascii="Arial" w:cs="Arial" w:eastAsia="Arial" w:hAnsi="Arial"/>
                <w:sz w:val="36"/>
                <w:szCs w:val="36"/>
                <w:color w:val="auto"/>
              </w:rPr>
              <w:t>4</w:t>
            </w:r>
          </w:p>
        </w:tc>
        <w:tc>
          <w:tcPr>
            <w:tcW w:w="1580" w:type="dxa"/>
            <w:vAlign w:val="bottom"/>
            <w:vMerge w:val="restart"/>
          </w:tcPr>
          <w:p>
            <w:pPr>
              <w:ind w:left="80"/>
              <w:spacing w:after="0"/>
              <w:rPr>
                <w:sz w:val="20"/>
                <w:szCs w:val="20"/>
                <w:color w:val="auto"/>
              </w:rPr>
            </w:pPr>
            <w:r>
              <w:rPr>
                <w:rFonts w:ascii="Arial" w:cs="Arial" w:eastAsia="Arial" w:hAnsi="Arial"/>
                <w:sz w:val="12"/>
                <w:szCs w:val="12"/>
                <w:color w:val="auto"/>
              </w:rPr>
              <w:t>PROPOSALS TO</w:t>
            </w:r>
          </w:p>
        </w:tc>
        <w:tc>
          <w:tcPr>
            <w:tcW w:w="440" w:type="dxa"/>
            <w:vAlign w:val="bottom"/>
          </w:tcPr>
          <w:p>
            <w:pPr>
              <w:jc w:val="right"/>
              <w:spacing w:after="0"/>
              <w:rPr>
                <w:sz w:val="20"/>
                <w:szCs w:val="20"/>
                <w:color w:val="auto"/>
              </w:rPr>
            </w:pPr>
            <w:r>
              <w:rPr>
                <w:rFonts w:ascii="Arial" w:cs="Arial" w:eastAsia="Arial" w:hAnsi="Arial"/>
                <w:sz w:val="36"/>
                <w:szCs w:val="36"/>
                <w:color w:val="auto"/>
              </w:rPr>
              <w:t>5</w:t>
            </w:r>
          </w:p>
        </w:tc>
        <w:tc>
          <w:tcPr>
            <w:tcW w:w="900" w:type="dxa"/>
            <w:vAlign w:val="bottom"/>
            <w:vMerge w:val="restart"/>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220" w:type="dxa"/>
            <w:vAlign w:val="bottom"/>
          </w:tcPr>
          <w:p>
            <w:pPr>
              <w:ind w:left="80"/>
              <w:spacing w:after="0" w:line="130" w:lineRule="exact"/>
              <w:rPr>
                <w:sz w:val="20"/>
                <w:szCs w:val="20"/>
                <w:color w:val="auto"/>
              </w:rPr>
            </w:pPr>
            <w:r>
              <w:rPr>
                <w:rFonts w:ascii="Arial" w:cs="Arial" w:eastAsia="Arial" w:hAnsi="Arial"/>
                <w:sz w:val="12"/>
                <w:szCs w:val="12"/>
                <w:color w:val="0075C9"/>
              </w:rPr>
              <w:t>OUR BOARD OF</w:t>
            </w:r>
          </w:p>
        </w:tc>
        <w:tc>
          <w:tcPr>
            <w:tcW w:w="720" w:type="dxa"/>
            <w:vAlign w:val="bottom"/>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460" w:type="dxa"/>
            <w:vAlign w:val="bottom"/>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40" w:type="dxa"/>
            <w:vAlign w:val="bottom"/>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0075C9"/>
              </w:rPr>
              <w:t>DIRECTORS</w:t>
            </w:r>
          </w:p>
        </w:tc>
        <w:tc>
          <w:tcPr>
            <w:tcW w:w="720" w:type="dxa"/>
            <w:vAlign w:val="bottom"/>
          </w:tcPr>
          <w:p>
            <w:pPr>
              <w:spacing w:after="0"/>
              <w:rPr>
                <w:sz w:val="12"/>
                <w:szCs w:val="12"/>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tcPr>
          <w:p>
            <w:pPr>
              <w:spacing w:after="0"/>
              <w:rPr>
                <w:sz w:val="12"/>
                <w:szCs w:val="12"/>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460" w:type="dxa"/>
            <w:vAlign w:val="bottom"/>
          </w:tcPr>
          <w:p>
            <w:pPr>
              <w:spacing w:after="0"/>
              <w:rPr>
                <w:sz w:val="12"/>
                <w:szCs w:val="12"/>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40" w:type="dxa"/>
            <w:vAlign w:val="bottom"/>
          </w:tcPr>
          <w:p>
            <w:pPr>
              <w:spacing w:after="0"/>
              <w:rPr>
                <w:sz w:val="12"/>
                <w:szCs w:val="12"/>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shd w:val="clear" w:color="auto" w:fill="0075C9"/>
          </w:tcPr>
          <w:p>
            <w:pPr>
              <w:spacing w:after="0"/>
              <w:rPr>
                <w:sz w:val="9"/>
                <w:szCs w:val="9"/>
                <w:color w:val="auto"/>
              </w:rPr>
            </w:pPr>
          </w:p>
        </w:tc>
        <w:tc>
          <w:tcPr>
            <w:tcW w:w="1220" w:type="dxa"/>
            <w:vAlign w:val="bottom"/>
            <w:shd w:val="clear" w:color="auto" w:fill="0075C9"/>
          </w:tcPr>
          <w:p>
            <w:pPr>
              <w:spacing w:after="0"/>
              <w:rPr>
                <w:sz w:val="9"/>
                <w:szCs w:val="9"/>
                <w:color w:val="auto"/>
              </w:rPr>
            </w:pPr>
          </w:p>
        </w:tc>
        <w:tc>
          <w:tcPr>
            <w:tcW w:w="7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Environmental Sustainability</w:t>
      </w:r>
    </w:p>
    <w:p>
      <w:pPr>
        <w:spacing w:after="0" w:line="129" w:lineRule="exact"/>
        <w:rPr>
          <w:sz w:val="20"/>
          <w:szCs w:val="20"/>
          <w:color w:val="auto"/>
        </w:rPr>
      </w:pPr>
    </w:p>
    <w:p>
      <w:pPr>
        <w:ind w:left="1100" w:right="39"/>
        <w:spacing w:after="0" w:line="237" w:lineRule="auto"/>
        <w:rPr>
          <w:sz w:val="20"/>
          <w:szCs w:val="20"/>
          <w:color w:val="auto"/>
        </w:rPr>
      </w:pPr>
      <w:r>
        <w:rPr>
          <w:rFonts w:ascii="Arial" w:cs="Arial" w:eastAsia="Arial" w:hAnsi="Arial"/>
          <w:sz w:val="16"/>
          <w:szCs w:val="16"/>
          <w:color w:val="auto"/>
        </w:rPr>
        <w:t xml:space="preserve">Our strategy for a sustainable future focuses on climate, ecosystems, water, and waste. In January 2020, we announced a bold commitment and detailed plan to be carbon negative by 2030, and to remove from the environment by 2050 all the carbon we have emitted since Microsoft’s founding in 1975. This included a commitment to invest $1 billion over four years in new technologies and innovative climate solutions. We built on this pledge by adding commitments to be water positive by 2030, zero waste by 2030, and to protect ecosystems by developing a Planetary Computer. Furthermore, we enhanced transparency by subjecting the data in our annual sustainability report to third-party review and to accountability by including progress on sustainability goals as a factor in determining executive pay. The report on the first year of progress meeting these commitments is available at </w:t>
      </w:r>
      <w:r>
        <w:rPr>
          <w:rFonts w:ascii="Arial" w:cs="Arial" w:eastAsia="Arial" w:hAnsi="Arial"/>
          <w:sz w:val="16"/>
          <w:szCs w:val="16"/>
          <w:u w:val="single" w:color="auto"/>
          <w:color w:val="auto"/>
        </w:rPr>
        <w:t>aka.ms/MSFTsustainabilityreport2020</w:t>
      </w:r>
      <w:r>
        <w:rPr>
          <w:rFonts w:ascii="Arial" w:cs="Arial" w:eastAsia="Arial" w:hAnsi="Arial"/>
          <w:sz w:val="16"/>
          <w:szCs w:val="16"/>
          <w:color w:val="auto"/>
        </w:rPr>
        <w:t xml:space="preserve"> and the latest information is available at </w:t>
      </w:r>
      <w:r>
        <w:rPr>
          <w:rFonts w:ascii="Arial" w:cs="Arial" w:eastAsia="Arial" w:hAnsi="Arial"/>
          <w:sz w:val="16"/>
          <w:szCs w:val="16"/>
          <w:u w:val="single" w:color="auto"/>
          <w:color w:val="auto"/>
        </w:rPr>
        <w:t>microsoft.com/environment</w:t>
      </w:r>
      <w:r>
        <w:rPr>
          <w:rFonts w:ascii="Arial" w:cs="Arial" w:eastAsia="Arial" w:hAnsi="Arial"/>
          <w:sz w:val="16"/>
          <w:szCs w:val="16"/>
          <w:color w:val="auto"/>
        </w:rPr>
        <w:t>. Microsoft’s Regulatory and Public Policy Committee provides oversight and guidance on Microsoft’s environmental sustainability strategy and commitments.</w:t>
      </w:r>
    </w:p>
    <w:p>
      <w:pPr>
        <w:spacing w:after="0" w:line="169"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Human Capital</w:t>
      </w:r>
    </w:p>
    <w:p>
      <w:pPr>
        <w:spacing w:after="0" w:line="129" w:lineRule="exact"/>
        <w:rPr>
          <w:sz w:val="20"/>
          <w:szCs w:val="20"/>
          <w:color w:val="auto"/>
        </w:rPr>
      </w:pPr>
    </w:p>
    <w:p>
      <w:pPr>
        <w:ind w:left="1100" w:right="39"/>
        <w:spacing w:after="0" w:line="237" w:lineRule="auto"/>
        <w:rPr>
          <w:sz w:val="20"/>
          <w:szCs w:val="20"/>
          <w:color w:val="auto"/>
        </w:rPr>
      </w:pPr>
      <w:r>
        <w:rPr>
          <w:rFonts w:ascii="Arial" w:cs="Arial" w:eastAsia="Arial" w:hAnsi="Arial"/>
          <w:sz w:val="16"/>
          <w:szCs w:val="16"/>
          <w:color w:val="auto"/>
        </w:rPr>
        <w:t>We aim to recruit, develop, and retain world-changing and diverse talent. To foster their success and ours, we seek to create an environment where people can do their best work – a place where they can proudly be their authentic selves, and where they know their needs can be met. We’ve used the concept of a growth mindset to transform our culture. It starts with a belief that everyone can grow and develop; that potential is nurtured, not predetermined; and that anyone can change their mindset. We’re also working to transform human resources using data, technology, process excellence, and investing in our people. For instance, we’ve sought to align our employee benefits to our culture, evolving them to be more holistic and inclusive.</w:t>
      </w:r>
    </w:p>
    <w:p>
      <w:pPr>
        <w:spacing w:after="0" w:line="101" w:lineRule="exact"/>
        <w:rPr>
          <w:sz w:val="20"/>
          <w:szCs w:val="20"/>
          <w:color w:val="auto"/>
        </w:rPr>
      </w:pPr>
    </w:p>
    <w:p>
      <w:pPr>
        <w:ind w:left="1100" w:right="99"/>
        <w:spacing w:after="0" w:line="237" w:lineRule="auto"/>
        <w:rPr>
          <w:sz w:val="20"/>
          <w:szCs w:val="20"/>
          <w:color w:val="auto"/>
        </w:rPr>
      </w:pPr>
      <w:r>
        <w:rPr>
          <w:rFonts w:ascii="Arial" w:cs="Arial" w:eastAsia="Arial" w:hAnsi="Arial"/>
          <w:sz w:val="16"/>
          <w:szCs w:val="16"/>
          <w:color w:val="auto"/>
        </w:rPr>
        <w:t xml:space="preserve">Over the past several years we’ve sought to drive inclusive opportunity by providing increased transparency on our diversity and inclusion (“D&amp;I”) commitments and making progress in applying and advancing D&amp;I practices across our workplace, including a focus on allyship, behavior modeling, broadening our search for talent, and nurturing employee advocacy groups. Information regarding our diversity and racial equity initiatives is available at </w:t>
      </w:r>
      <w:r>
        <w:rPr>
          <w:rFonts w:ascii="Arial" w:cs="Arial" w:eastAsia="Arial" w:hAnsi="Arial"/>
          <w:sz w:val="16"/>
          <w:szCs w:val="16"/>
          <w:u w:val="single" w:color="auto"/>
          <w:color w:val="auto"/>
        </w:rPr>
        <w:t>microsoft.com/diversity</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microsoft.com/racial-equity-initiative</w:t>
      </w:r>
      <w:r>
        <w:rPr>
          <w:rFonts w:ascii="Arial" w:cs="Arial" w:eastAsia="Arial" w:hAnsi="Arial"/>
          <w:sz w:val="16"/>
          <w:szCs w:val="16"/>
          <w:color w:val="auto"/>
        </w:rPr>
        <w:t>, and our general approach to human capital management in the “Human Capital Resources” section of our Form 10-K for the fiscal year ended June 30, 2021. As just one recent example of our commitment to our people, in fiscal year 2021 Microsoft expanded eligibility for stock grants in our annual performance rewards system to hourly employees and non-U.S. employees in equivalent levels (excluding employees at nonintegrated acquisition subsidiaries). For the fiscal year 2021 rewards period, 99.99% of our employees who were eligible for our annual performance rewards were eligible for stock grants. Microsoft’s Board and its Compensation Committee provide oversight and guidance to management on workplace and culture.</w:t>
      </w:r>
    </w:p>
    <w:p>
      <w:pPr>
        <w:spacing w:after="0" w:line="169"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Racial Equity Initiative</w:t>
      </w:r>
    </w:p>
    <w:p>
      <w:pPr>
        <w:spacing w:after="0" w:line="129" w:lineRule="exact"/>
        <w:rPr>
          <w:sz w:val="20"/>
          <w:szCs w:val="20"/>
          <w:color w:val="auto"/>
        </w:rPr>
      </w:pPr>
    </w:p>
    <w:p>
      <w:pPr>
        <w:ind w:left="1100" w:right="159"/>
        <w:spacing w:after="0" w:line="308" w:lineRule="auto"/>
        <w:rPr>
          <w:sz w:val="20"/>
          <w:szCs w:val="20"/>
          <w:color w:val="auto"/>
        </w:rPr>
      </w:pPr>
      <w:r>
        <w:rPr>
          <w:rFonts w:ascii="Arial" w:cs="Arial" w:eastAsia="Arial" w:hAnsi="Arial"/>
          <w:sz w:val="14"/>
          <w:szCs w:val="14"/>
          <w:color w:val="auto"/>
        </w:rPr>
        <w:t>Microsoft’s Racial Equity Initiative is a series of commitments designed to address the injustice and inequity experienced by racial and ethnic minorities in the U.S., including Black and African American communities, which centers on three multi-year pillars.</w:t>
      </w:r>
    </w:p>
    <w:p>
      <w:pPr>
        <w:spacing w:after="0" w:line="66" w:lineRule="exact"/>
        <w:rPr>
          <w:sz w:val="20"/>
          <w:szCs w:val="20"/>
          <w:color w:val="auto"/>
        </w:rPr>
      </w:pPr>
    </w:p>
    <w:p>
      <w:pPr>
        <w:ind w:left="1260" w:right="199" w:hanging="158"/>
        <w:spacing w:after="0" w:line="239" w:lineRule="auto"/>
        <w:tabs>
          <w:tab w:leader="none" w:pos="12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Increasing our representation and strengthening our culture of inclusion by doubling the number of Black and African American and Hispanic and Latinx people managers, senior individual contributors, and senior leaders in the U.S. by 2025</w:t>
      </w:r>
    </w:p>
    <w:p>
      <w:pPr>
        <w:spacing w:after="0" w:line="112" w:lineRule="exact"/>
        <w:rPr>
          <w:rFonts w:ascii="Arial" w:cs="Arial" w:eastAsia="Arial" w:hAnsi="Arial"/>
          <w:sz w:val="16"/>
          <w:szCs w:val="16"/>
          <w:color w:val="auto"/>
        </w:rPr>
      </w:pPr>
    </w:p>
    <w:p>
      <w:pPr>
        <w:ind w:left="1260" w:hanging="158"/>
        <w:spacing w:after="0"/>
        <w:tabs>
          <w:tab w:leader="none" w:pos="12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Evolving our ecosystem with our supply chain, banking partners, and partner ecosystem</w:t>
      </w:r>
    </w:p>
    <w:p>
      <w:pPr>
        <w:spacing w:after="0" w:line="113" w:lineRule="exact"/>
        <w:rPr>
          <w:rFonts w:ascii="Arial" w:cs="Arial" w:eastAsia="Arial" w:hAnsi="Arial"/>
          <w:sz w:val="16"/>
          <w:szCs w:val="16"/>
          <w:color w:val="auto"/>
        </w:rPr>
      </w:pPr>
    </w:p>
    <w:p>
      <w:pPr>
        <w:ind w:left="1260" w:right="139" w:hanging="158"/>
        <w:spacing w:after="0" w:line="238" w:lineRule="auto"/>
        <w:tabs>
          <w:tab w:leader="none" w:pos="12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Strengthening our communities by using data, technology, and partnerships to help address racial injustice and inequities of the Black and African American communities in the U.S., and improve the safety and well-being of our employees and their communities</w:t>
      </w:r>
    </w:p>
    <w:p>
      <w:pPr>
        <w:spacing w:after="0" w:line="100" w:lineRule="exact"/>
        <w:rPr>
          <w:sz w:val="20"/>
          <w:szCs w:val="20"/>
          <w:color w:val="auto"/>
        </w:rPr>
      </w:pPr>
    </w:p>
    <w:p>
      <w:pPr>
        <w:ind w:left="1100" w:right="639"/>
        <w:spacing w:after="0" w:line="289" w:lineRule="auto"/>
        <w:rPr>
          <w:sz w:val="20"/>
          <w:szCs w:val="20"/>
          <w:color w:val="auto"/>
        </w:rPr>
      </w:pPr>
      <w:r>
        <w:rPr>
          <w:rFonts w:ascii="Arial" w:cs="Arial" w:eastAsia="Arial" w:hAnsi="Arial"/>
          <w:sz w:val="14"/>
          <w:szCs w:val="14"/>
          <w:color w:val="auto"/>
        </w:rPr>
        <w:t xml:space="preserve">A link to the first year progress report for the communities pillar of this initiative, and other information, is available at </w:t>
      </w:r>
      <w:r>
        <w:rPr>
          <w:rFonts w:ascii="Arial" w:cs="Arial" w:eastAsia="Arial" w:hAnsi="Arial"/>
          <w:sz w:val="14"/>
          <w:szCs w:val="14"/>
          <w:u w:val="single" w:color="auto"/>
          <w:color w:val="auto"/>
        </w:rPr>
        <w:t>microsoft.com/racial-equity-initiative</w:t>
      </w:r>
      <w:r>
        <w:rPr>
          <w:rFonts w:ascii="Arial" w:cs="Arial" w:eastAsia="Arial" w:hAnsi="Arial"/>
          <w:sz w:val="14"/>
          <w:szCs w:val="14"/>
          <w:color w:val="auto"/>
        </w:rPr>
        <w:t>. Microsoft’s Board, its Regulatory and Public Policy Committee, and its Compensation Committee provide oversight on many aspects of the Company’s commitments through its Racial Equity Initiative.</w:t>
      </w:r>
    </w:p>
    <w:p>
      <w:pPr>
        <w:spacing w:after="0" w:line="135"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Responsible Artificial Intelligence</w:t>
      </w:r>
    </w:p>
    <w:p>
      <w:pPr>
        <w:spacing w:after="0" w:line="129" w:lineRule="exact"/>
        <w:rPr>
          <w:sz w:val="20"/>
          <w:szCs w:val="20"/>
          <w:color w:val="auto"/>
        </w:rPr>
      </w:pPr>
    </w:p>
    <w:p>
      <w:pPr>
        <w:ind w:left="1100" w:right="39"/>
        <w:spacing w:after="0" w:line="237" w:lineRule="auto"/>
        <w:rPr>
          <w:sz w:val="20"/>
          <w:szCs w:val="20"/>
          <w:color w:val="auto"/>
        </w:rPr>
      </w:pPr>
      <w:r>
        <w:rPr>
          <w:rFonts w:ascii="Arial" w:cs="Arial" w:eastAsia="Arial" w:hAnsi="Arial"/>
          <w:sz w:val="16"/>
          <w:szCs w:val="16"/>
          <w:color w:val="auto"/>
        </w:rPr>
        <w:t>Microsoft is committed to ensuring our artificial intelligence (“AI”) breakthroughs are developed responsibly, earn people’s trust, and benefit society. Microsoft created our Office of Responsible AI (“ORA”) and a multidisciplinary internal AI, Ethics, and Effects in Engineering and Research Committee (“AETHER”), to establish an internal governance structure that provide principles, practices, tools, and compliance processes across the Company that help to ensure Microsoft is upholding its AI principles in its development of AI technology and products. ORA sets our rules and governance processes, working closely to enable teams across the Company,</w:t>
      </w:r>
    </w:p>
    <w:p>
      <w:pPr>
        <w:spacing w:after="0" w:line="200" w:lineRule="exact"/>
        <w:rPr>
          <w:sz w:val="20"/>
          <w:szCs w:val="20"/>
          <w:color w:val="auto"/>
        </w:rPr>
      </w:pPr>
    </w:p>
    <w:p>
      <w:pPr>
        <w:spacing w:after="0" w:line="302"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-94615</wp:posOffset>
            </wp:positionV>
            <wp:extent cx="485140" cy="984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39"/>
          </w:cols>
          <w:pgMar w:left="320" w:top="445" w:right="1440"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0075C9"/>
                <w:w w:val="89"/>
              </w:rPr>
              <w:t>1</w:t>
            </w:r>
          </w:p>
        </w:tc>
        <w:tc>
          <w:tcPr>
            <w:tcW w:w="1220" w:type="dxa"/>
            <w:vAlign w:val="bottom"/>
            <w:vMerge w:val="restart"/>
          </w:tcPr>
          <w:p>
            <w:pPr>
              <w:ind w:left="80"/>
              <w:spacing w:after="0"/>
              <w:rPr>
                <w:sz w:val="20"/>
                <w:szCs w:val="20"/>
                <w:color w:val="auto"/>
              </w:rPr>
            </w:pPr>
            <w:r>
              <w:rPr>
                <w:rFonts w:ascii="Arial" w:cs="Arial" w:eastAsia="Arial" w:hAnsi="Arial"/>
                <w:sz w:val="12"/>
                <w:szCs w:val="12"/>
                <w:color w:val="0075C9"/>
                <w:w w:val="98"/>
              </w:rPr>
              <w:t>GOVERNANCE AND</w:t>
            </w:r>
          </w:p>
        </w:tc>
        <w:tc>
          <w:tcPr>
            <w:tcW w:w="720" w:type="dxa"/>
            <w:vAlign w:val="bottom"/>
          </w:tcPr>
          <w:p>
            <w:pPr>
              <w:jc w:val="right"/>
              <w:spacing w:after="0"/>
              <w:rPr>
                <w:sz w:val="20"/>
                <w:szCs w:val="20"/>
                <w:color w:val="auto"/>
              </w:rPr>
            </w:pPr>
            <w:r>
              <w:rPr>
                <w:rFonts w:ascii="Arial" w:cs="Arial" w:eastAsia="Arial" w:hAnsi="Arial"/>
                <w:sz w:val="36"/>
                <w:szCs w:val="36"/>
                <w:color w:val="auto"/>
              </w:rPr>
              <w:t>2</w:t>
            </w:r>
          </w:p>
        </w:tc>
        <w:tc>
          <w:tcPr>
            <w:tcW w:w="1540" w:type="dxa"/>
            <w:vAlign w:val="bottom"/>
            <w:vMerge w:val="restart"/>
          </w:tcPr>
          <w:p>
            <w:pPr>
              <w:ind w:left="80"/>
              <w:spacing w:after="0"/>
              <w:rPr>
                <w:sz w:val="20"/>
                <w:szCs w:val="20"/>
                <w:color w:val="auto"/>
              </w:rPr>
            </w:pPr>
            <w:r>
              <w:rPr>
                <w:rFonts w:ascii="Arial" w:cs="Arial" w:eastAsia="Arial" w:hAnsi="Arial"/>
                <w:sz w:val="12"/>
                <w:szCs w:val="12"/>
                <w:color w:val="auto"/>
              </w:rPr>
              <w:t>NAMED</w:t>
            </w:r>
          </w:p>
        </w:tc>
        <w:tc>
          <w:tcPr>
            <w:tcW w:w="500" w:type="dxa"/>
            <w:vAlign w:val="bottom"/>
          </w:tcPr>
          <w:p>
            <w:pPr>
              <w:jc w:val="right"/>
              <w:spacing w:after="0"/>
              <w:rPr>
                <w:sz w:val="20"/>
                <w:szCs w:val="20"/>
                <w:color w:val="auto"/>
              </w:rPr>
            </w:pPr>
            <w:r>
              <w:rPr>
                <w:rFonts w:ascii="Arial" w:cs="Arial" w:eastAsia="Arial" w:hAnsi="Arial"/>
                <w:sz w:val="36"/>
                <w:szCs w:val="36"/>
                <w:color w:val="auto"/>
              </w:rPr>
              <w:t>3</w:t>
            </w:r>
          </w:p>
        </w:tc>
        <w:tc>
          <w:tcPr>
            <w:tcW w:w="980" w:type="dxa"/>
            <w:vAlign w:val="bottom"/>
            <w:vMerge w:val="restart"/>
          </w:tcPr>
          <w:p>
            <w:pPr>
              <w:ind w:left="80"/>
              <w:spacing w:after="0"/>
              <w:rPr>
                <w:sz w:val="20"/>
                <w:szCs w:val="20"/>
                <w:color w:val="auto"/>
              </w:rPr>
            </w:pPr>
            <w:r>
              <w:rPr>
                <w:rFonts w:ascii="Arial" w:cs="Arial" w:eastAsia="Arial" w:hAnsi="Arial"/>
                <w:sz w:val="12"/>
                <w:szCs w:val="12"/>
                <w:color w:val="auto"/>
              </w:rPr>
              <w:t>AUDIT</w:t>
            </w:r>
          </w:p>
        </w:tc>
        <w:tc>
          <w:tcPr>
            <w:tcW w:w="460" w:type="dxa"/>
            <w:vAlign w:val="bottom"/>
          </w:tcPr>
          <w:p>
            <w:pPr>
              <w:jc w:val="right"/>
              <w:spacing w:after="0"/>
              <w:rPr>
                <w:sz w:val="20"/>
                <w:szCs w:val="20"/>
                <w:color w:val="auto"/>
              </w:rPr>
            </w:pPr>
            <w:r>
              <w:rPr>
                <w:rFonts w:ascii="Arial" w:cs="Arial" w:eastAsia="Arial" w:hAnsi="Arial"/>
                <w:sz w:val="36"/>
                <w:szCs w:val="36"/>
                <w:color w:val="auto"/>
              </w:rPr>
              <w:t>4</w:t>
            </w:r>
          </w:p>
        </w:tc>
        <w:tc>
          <w:tcPr>
            <w:tcW w:w="1580" w:type="dxa"/>
            <w:vAlign w:val="bottom"/>
            <w:vMerge w:val="restart"/>
          </w:tcPr>
          <w:p>
            <w:pPr>
              <w:ind w:left="80"/>
              <w:spacing w:after="0"/>
              <w:rPr>
                <w:sz w:val="20"/>
                <w:szCs w:val="20"/>
                <w:color w:val="auto"/>
              </w:rPr>
            </w:pPr>
            <w:r>
              <w:rPr>
                <w:rFonts w:ascii="Arial" w:cs="Arial" w:eastAsia="Arial" w:hAnsi="Arial"/>
                <w:sz w:val="12"/>
                <w:szCs w:val="12"/>
                <w:color w:val="auto"/>
              </w:rPr>
              <w:t>PROPOSALS TO</w:t>
            </w:r>
          </w:p>
        </w:tc>
        <w:tc>
          <w:tcPr>
            <w:tcW w:w="440" w:type="dxa"/>
            <w:vAlign w:val="bottom"/>
          </w:tcPr>
          <w:p>
            <w:pPr>
              <w:jc w:val="right"/>
              <w:spacing w:after="0"/>
              <w:rPr>
                <w:sz w:val="20"/>
                <w:szCs w:val="20"/>
                <w:color w:val="auto"/>
              </w:rPr>
            </w:pPr>
            <w:r>
              <w:rPr>
                <w:rFonts w:ascii="Arial" w:cs="Arial" w:eastAsia="Arial" w:hAnsi="Arial"/>
                <w:sz w:val="36"/>
                <w:szCs w:val="36"/>
                <w:color w:val="auto"/>
              </w:rPr>
              <w:t>5</w:t>
            </w:r>
          </w:p>
        </w:tc>
        <w:tc>
          <w:tcPr>
            <w:tcW w:w="900" w:type="dxa"/>
            <w:vAlign w:val="bottom"/>
            <w:vMerge w:val="restart"/>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220" w:type="dxa"/>
            <w:vAlign w:val="bottom"/>
          </w:tcPr>
          <w:p>
            <w:pPr>
              <w:ind w:left="80"/>
              <w:spacing w:after="0" w:line="130" w:lineRule="exact"/>
              <w:rPr>
                <w:sz w:val="20"/>
                <w:szCs w:val="20"/>
                <w:color w:val="auto"/>
              </w:rPr>
            </w:pPr>
            <w:r>
              <w:rPr>
                <w:rFonts w:ascii="Arial" w:cs="Arial" w:eastAsia="Arial" w:hAnsi="Arial"/>
                <w:sz w:val="12"/>
                <w:szCs w:val="12"/>
                <w:color w:val="0075C9"/>
              </w:rPr>
              <w:t>OUR BOARD OF</w:t>
            </w:r>
          </w:p>
        </w:tc>
        <w:tc>
          <w:tcPr>
            <w:tcW w:w="720" w:type="dxa"/>
            <w:vAlign w:val="bottom"/>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460" w:type="dxa"/>
            <w:vAlign w:val="bottom"/>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40" w:type="dxa"/>
            <w:vAlign w:val="bottom"/>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0075C9"/>
              </w:rPr>
              <w:t>DIRECTORS</w:t>
            </w:r>
          </w:p>
        </w:tc>
        <w:tc>
          <w:tcPr>
            <w:tcW w:w="720" w:type="dxa"/>
            <w:vAlign w:val="bottom"/>
          </w:tcPr>
          <w:p>
            <w:pPr>
              <w:spacing w:after="0"/>
              <w:rPr>
                <w:sz w:val="12"/>
                <w:szCs w:val="12"/>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tcPr>
          <w:p>
            <w:pPr>
              <w:spacing w:after="0"/>
              <w:rPr>
                <w:sz w:val="12"/>
                <w:szCs w:val="12"/>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460" w:type="dxa"/>
            <w:vAlign w:val="bottom"/>
          </w:tcPr>
          <w:p>
            <w:pPr>
              <w:spacing w:after="0"/>
              <w:rPr>
                <w:sz w:val="12"/>
                <w:szCs w:val="12"/>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40" w:type="dxa"/>
            <w:vAlign w:val="bottom"/>
          </w:tcPr>
          <w:p>
            <w:pPr>
              <w:spacing w:after="0"/>
              <w:rPr>
                <w:sz w:val="12"/>
                <w:szCs w:val="12"/>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shd w:val="clear" w:color="auto" w:fill="0075C9"/>
          </w:tcPr>
          <w:p>
            <w:pPr>
              <w:spacing w:after="0"/>
              <w:rPr>
                <w:sz w:val="9"/>
                <w:szCs w:val="9"/>
                <w:color w:val="auto"/>
              </w:rPr>
            </w:pPr>
          </w:p>
        </w:tc>
        <w:tc>
          <w:tcPr>
            <w:tcW w:w="1220" w:type="dxa"/>
            <w:vAlign w:val="bottom"/>
            <w:shd w:val="clear" w:color="auto" w:fill="0075C9"/>
          </w:tcPr>
          <w:p>
            <w:pPr>
              <w:spacing w:after="0"/>
              <w:rPr>
                <w:sz w:val="9"/>
                <w:szCs w:val="9"/>
                <w:color w:val="auto"/>
              </w:rPr>
            </w:pPr>
          </w:p>
        </w:tc>
        <w:tc>
          <w:tcPr>
            <w:tcW w:w="7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00" w:lineRule="exact"/>
        <w:rPr>
          <w:sz w:val="20"/>
          <w:szCs w:val="20"/>
          <w:color w:val="auto"/>
        </w:rPr>
      </w:pPr>
    </w:p>
    <w:p>
      <w:pPr>
        <w:ind w:left="1100" w:right="260"/>
        <w:spacing w:after="0" w:line="237" w:lineRule="auto"/>
        <w:rPr>
          <w:sz w:val="20"/>
          <w:szCs w:val="20"/>
          <w:color w:val="auto"/>
        </w:rPr>
      </w:pPr>
      <w:r>
        <w:rPr>
          <w:rFonts w:ascii="Arial" w:cs="Arial" w:eastAsia="Arial" w:hAnsi="Arial"/>
          <w:sz w:val="16"/>
          <w:szCs w:val="16"/>
          <w:color w:val="auto"/>
        </w:rPr>
        <w:t xml:space="preserve">and AETHER advises our leadership on the challenges and opportunities presented by AI innovations. Together, ORA and AETHER work closely with our engineering and sales teams to help them uphold Microsoft’s AI principles in their day-to-day work. We are active on the public policy front calling for laws and regulation on AI technologies like facial recognition to ensure that the promise of AI is realized for the benefit of society at large while protecting fundamental rights. We describe our approach to AI at </w:t>
      </w:r>
      <w:r>
        <w:rPr>
          <w:rFonts w:ascii="Arial" w:cs="Arial" w:eastAsia="Arial" w:hAnsi="Arial"/>
          <w:sz w:val="16"/>
          <w:szCs w:val="16"/>
          <w:u w:val="single" w:color="auto"/>
          <w:color w:val="auto"/>
        </w:rPr>
        <w:t>microsoft.com/ai/our-approach</w:t>
      </w:r>
      <w:r>
        <w:rPr>
          <w:rFonts w:ascii="Arial" w:cs="Arial" w:eastAsia="Arial" w:hAnsi="Arial"/>
          <w:sz w:val="16"/>
          <w:szCs w:val="16"/>
          <w:color w:val="auto"/>
        </w:rPr>
        <w:t>. Microsoft’s Board and its Regulatory and Public Policy Committee provide oversight and guidance on Microsoft’s approach to Responsible 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309880</wp:posOffset>
            </wp:positionV>
            <wp:extent cx="57397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A Code of Conduct that Drives Compliance and Culture</w:t>
      </w:r>
    </w:p>
    <w:p>
      <w:pPr>
        <w:spacing w:after="0" w:line="143" w:lineRule="exact"/>
        <w:rPr>
          <w:sz w:val="20"/>
          <w:szCs w:val="20"/>
          <w:color w:val="auto"/>
        </w:rPr>
      </w:pPr>
    </w:p>
    <w:p>
      <w:pPr>
        <w:ind w:left="1100" w:right="140"/>
        <w:spacing w:after="0" w:line="275" w:lineRule="auto"/>
        <w:rPr>
          <w:sz w:val="20"/>
          <w:szCs w:val="20"/>
          <w:color w:val="auto"/>
        </w:rPr>
      </w:pPr>
      <w:r>
        <w:rPr>
          <w:rFonts w:ascii="Arial" w:cs="Arial" w:eastAsia="Arial" w:hAnsi="Arial"/>
          <w:sz w:val="14"/>
          <w:szCs w:val="14"/>
          <w:color w:val="auto"/>
        </w:rPr>
        <w:t xml:space="preserve">As our shareholders and other stakeholders increasingly focus on the importance of ESG topics, Microsoft benefits from our longstanding commitments to conducting our business in ways that are principled, transparent, and accountable. The foundation of these commitments is expressed in Microsoft’s Standards of Business Conduct (“Standards”) at </w:t>
      </w:r>
      <w:r>
        <w:rPr>
          <w:rFonts w:ascii="Arial" w:cs="Arial" w:eastAsia="Arial" w:hAnsi="Arial"/>
          <w:sz w:val="14"/>
          <w:szCs w:val="14"/>
          <w:u w:val="single" w:color="auto"/>
          <w:color w:val="auto"/>
        </w:rPr>
        <w:t>aka.ms/policiesandguidelines</w:t>
      </w:r>
      <w:r>
        <w:rPr>
          <w:rFonts w:ascii="Arial" w:cs="Arial" w:eastAsia="Arial" w:hAnsi="Arial"/>
          <w:sz w:val="14"/>
          <w:szCs w:val="14"/>
          <w:color w:val="auto"/>
        </w:rPr>
        <w:t xml:space="preserve"> which apply to our employees, officers, Board of Directors, and our subsidiaries and controlled affiliates across the globe. These Standards require not only legal compliance, but also broader commitments to address accessibility, diversity and inclusion, human rights, and privacy. In support of these Standards, we strive to build a workplace culture that embraces learning and fosters trust – a culture where every employee feels free to ask questions and raise concerns when something doesn’t seem right. We extend our high expectations to suppliers who do business with Microsoft, requiring them to uphold the human rights, labor, health and safety, environmental, and business ethics practices prescribed in our Supplier Code of Conduct at </w:t>
      </w:r>
      <w:r>
        <w:rPr>
          <w:rFonts w:ascii="Arial" w:cs="Arial" w:eastAsia="Arial" w:hAnsi="Arial"/>
          <w:sz w:val="14"/>
          <w:szCs w:val="14"/>
          <w:u w:val="single" w:color="auto"/>
          <w:color w:val="auto"/>
        </w:rPr>
        <w:t>aka.ms/scoc</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410210</wp:posOffset>
            </wp:positionV>
            <wp:extent cx="57397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Board of Directors Oversight Roles</w:t>
      </w:r>
    </w:p>
    <w:p>
      <w:pPr>
        <w:spacing w:after="0" w:line="143" w:lineRule="exact"/>
        <w:rPr>
          <w:sz w:val="20"/>
          <w:szCs w:val="20"/>
          <w:color w:val="auto"/>
        </w:rPr>
      </w:pPr>
    </w:p>
    <w:p>
      <w:pPr>
        <w:ind w:left="1100" w:right="220"/>
        <w:spacing w:after="0" w:line="237" w:lineRule="auto"/>
        <w:rPr>
          <w:sz w:val="20"/>
          <w:szCs w:val="20"/>
          <w:color w:val="auto"/>
        </w:rPr>
      </w:pPr>
      <w:r>
        <w:rPr>
          <w:rFonts w:ascii="Arial" w:cs="Arial" w:eastAsia="Arial" w:hAnsi="Arial"/>
          <w:sz w:val="16"/>
          <w:szCs w:val="16"/>
          <w:color w:val="auto"/>
        </w:rPr>
        <w:t>Shareholders elect our Board to serve their long-term interests and to oversee management. Our Board and its committees work closely with management to provide oversight, review, and counsel related to long-term strategy, risks, and opportunities, and feedback from shareholders. Our Board works with management to determine our mission and long-term strategy. It also oversees business affairs and integrity, risk management, CEO succession planning, and performs the annual CEO evaluation. Our Board looks to the expertise of its committees to provide strategic oversight in their areas of focus. Examples of oversight areas are provided below.</w:t>
      </w:r>
    </w:p>
    <w:p>
      <w:pPr>
        <w:spacing w:after="0" w:line="171"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Strategy</w:t>
      </w:r>
    </w:p>
    <w:p>
      <w:pPr>
        <w:spacing w:after="0" w:line="129" w:lineRule="exact"/>
        <w:rPr>
          <w:sz w:val="20"/>
          <w:szCs w:val="20"/>
          <w:color w:val="auto"/>
        </w:rPr>
      </w:pPr>
    </w:p>
    <w:p>
      <w:pPr>
        <w:ind w:left="1100" w:right="260"/>
        <w:spacing w:after="0" w:line="238" w:lineRule="auto"/>
        <w:rPr>
          <w:sz w:val="20"/>
          <w:szCs w:val="20"/>
          <w:color w:val="auto"/>
        </w:rPr>
      </w:pPr>
      <w:r>
        <w:rPr>
          <w:rFonts w:ascii="Arial" w:cs="Arial" w:eastAsia="Arial" w:hAnsi="Arial"/>
          <w:sz w:val="16"/>
          <w:szCs w:val="16"/>
          <w:color w:val="auto"/>
        </w:rPr>
        <w:t>Led by our CEO, senior management develops and executes our business strategy. They manage our operations and work to model our desired culture, create innovative products, establish accountability, and control risk. Our CEO and senior management also align our structure, operations, people, policies, and compliance efforts to our mission and strategy.</w:t>
      </w:r>
    </w:p>
    <w:p>
      <w:pPr>
        <w:spacing w:after="0" w:line="100" w:lineRule="exact"/>
        <w:rPr>
          <w:sz w:val="20"/>
          <w:szCs w:val="20"/>
          <w:color w:val="auto"/>
        </w:rPr>
      </w:pPr>
    </w:p>
    <w:p>
      <w:pPr>
        <w:ind w:left="1100" w:right="140"/>
        <w:spacing w:after="0" w:line="237" w:lineRule="auto"/>
        <w:rPr>
          <w:sz w:val="20"/>
          <w:szCs w:val="20"/>
          <w:color w:val="auto"/>
        </w:rPr>
      </w:pPr>
      <w:r>
        <w:rPr>
          <w:rFonts w:ascii="Arial" w:cs="Arial" w:eastAsia="Arial" w:hAnsi="Arial"/>
          <w:sz w:val="16"/>
          <w:szCs w:val="16"/>
          <w:color w:val="auto"/>
        </w:rPr>
        <w:t>Overseeing management’s development and execution of the Company’s strategy is one of our Board’s primary responsibilities. The Board works closely with senior management to respond to a dynamically changing business environment. Management benefits from the insights and perspectives of a diverse mix of directors with complementary qualifications, expertise, and attributes. Senior management and other leaders from across the Company provide business and strategy updates to our Board through regular strategy-focused meetings. At meetings throughout the year, the Board also assesses the strategic alignment of the Company’s budget and capital plan and its strategic acquisition and integration process. For large acquisitions such as LinkedIn, GitHub, ZeniMax Media, and our pending acquisition of Nuance Communications, the Board engages management on a broad range of considerations, such as due diligence findings, valuation, and integration planning.</w:t>
      </w:r>
    </w:p>
    <w:p>
      <w:pPr>
        <w:spacing w:after="0" w:line="200" w:lineRule="exact"/>
        <w:rPr>
          <w:sz w:val="20"/>
          <w:szCs w:val="20"/>
          <w:color w:val="auto"/>
        </w:rPr>
      </w:pPr>
    </w:p>
    <w:p>
      <w:pPr>
        <w:spacing w:after="0" w:line="302"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color w:val="auto"/>
        </w:rPr>
        <w:t>2021 PROXY STATEMENT</w:t>
      </w:r>
      <w:r>
        <w:rPr>
          <w:sz w:val="20"/>
          <w:szCs w:val="20"/>
          <w:color w:val="auto"/>
        </w:rPr>
        <w:tab/>
      </w:r>
      <w:r>
        <w:rPr>
          <w:rFonts w:ascii="Arial" w:cs="Arial" w:eastAsia="Arial" w:hAnsi="Arial"/>
          <w:sz w:val="14"/>
          <w:szCs w:val="14"/>
          <w:b w:val="1"/>
          <w:bCs w:val="1"/>
          <w:color w:val="0075C9"/>
        </w:rPr>
        <w:t>9</w:t>
      </w:r>
    </w:p>
    <w:p>
      <w:pPr>
        <w:sectPr>
          <w:pgSz w:w="11900" w:h="16838" w:orient="portrait"/>
          <w:cols w:equalWidth="0" w:num="1">
            <w:col w:w="10280"/>
          </w:cols>
          <w:pgMar w:left="320" w:top="445" w:right="129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0075C9"/>
                <w:w w:val="89"/>
              </w:rPr>
              <w:t>1</w:t>
            </w:r>
          </w:p>
        </w:tc>
        <w:tc>
          <w:tcPr>
            <w:tcW w:w="1220" w:type="dxa"/>
            <w:vAlign w:val="bottom"/>
            <w:vMerge w:val="restart"/>
          </w:tcPr>
          <w:p>
            <w:pPr>
              <w:ind w:left="80"/>
              <w:spacing w:after="0"/>
              <w:rPr>
                <w:sz w:val="20"/>
                <w:szCs w:val="20"/>
                <w:color w:val="auto"/>
              </w:rPr>
            </w:pPr>
            <w:r>
              <w:rPr>
                <w:rFonts w:ascii="Arial" w:cs="Arial" w:eastAsia="Arial" w:hAnsi="Arial"/>
                <w:sz w:val="12"/>
                <w:szCs w:val="12"/>
                <w:color w:val="0075C9"/>
                <w:w w:val="98"/>
              </w:rPr>
              <w:t>GOVERNANCE AND</w:t>
            </w:r>
          </w:p>
        </w:tc>
        <w:tc>
          <w:tcPr>
            <w:tcW w:w="720" w:type="dxa"/>
            <w:vAlign w:val="bottom"/>
          </w:tcPr>
          <w:p>
            <w:pPr>
              <w:jc w:val="right"/>
              <w:spacing w:after="0"/>
              <w:rPr>
                <w:sz w:val="20"/>
                <w:szCs w:val="20"/>
                <w:color w:val="auto"/>
              </w:rPr>
            </w:pPr>
            <w:r>
              <w:rPr>
                <w:rFonts w:ascii="Arial" w:cs="Arial" w:eastAsia="Arial" w:hAnsi="Arial"/>
                <w:sz w:val="36"/>
                <w:szCs w:val="36"/>
                <w:color w:val="auto"/>
              </w:rPr>
              <w:t>2</w:t>
            </w:r>
          </w:p>
        </w:tc>
        <w:tc>
          <w:tcPr>
            <w:tcW w:w="1540" w:type="dxa"/>
            <w:vAlign w:val="bottom"/>
            <w:vMerge w:val="restart"/>
          </w:tcPr>
          <w:p>
            <w:pPr>
              <w:ind w:left="80"/>
              <w:spacing w:after="0"/>
              <w:rPr>
                <w:sz w:val="20"/>
                <w:szCs w:val="20"/>
                <w:color w:val="auto"/>
              </w:rPr>
            </w:pPr>
            <w:r>
              <w:rPr>
                <w:rFonts w:ascii="Arial" w:cs="Arial" w:eastAsia="Arial" w:hAnsi="Arial"/>
                <w:sz w:val="12"/>
                <w:szCs w:val="12"/>
                <w:color w:val="auto"/>
              </w:rPr>
              <w:t>NAMED</w:t>
            </w:r>
          </w:p>
        </w:tc>
        <w:tc>
          <w:tcPr>
            <w:tcW w:w="500" w:type="dxa"/>
            <w:vAlign w:val="bottom"/>
          </w:tcPr>
          <w:p>
            <w:pPr>
              <w:jc w:val="right"/>
              <w:spacing w:after="0"/>
              <w:rPr>
                <w:sz w:val="20"/>
                <w:szCs w:val="20"/>
                <w:color w:val="auto"/>
              </w:rPr>
            </w:pPr>
            <w:r>
              <w:rPr>
                <w:rFonts w:ascii="Arial" w:cs="Arial" w:eastAsia="Arial" w:hAnsi="Arial"/>
                <w:sz w:val="36"/>
                <w:szCs w:val="36"/>
                <w:color w:val="auto"/>
              </w:rPr>
              <w:t>3</w:t>
            </w:r>
          </w:p>
        </w:tc>
        <w:tc>
          <w:tcPr>
            <w:tcW w:w="980" w:type="dxa"/>
            <w:vAlign w:val="bottom"/>
            <w:vMerge w:val="restart"/>
          </w:tcPr>
          <w:p>
            <w:pPr>
              <w:ind w:left="80"/>
              <w:spacing w:after="0"/>
              <w:rPr>
                <w:sz w:val="20"/>
                <w:szCs w:val="20"/>
                <w:color w:val="auto"/>
              </w:rPr>
            </w:pPr>
            <w:r>
              <w:rPr>
                <w:rFonts w:ascii="Arial" w:cs="Arial" w:eastAsia="Arial" w:hAnsi="Arial"/>
                <w:sz w:val="12"/>
                <w:szCs w:val="12"/>
                <w:color w:val="auto"/>
              </w:rPr>
              <w:t>AUDIT</w:t>
            </w:r>
          </w:p>
        </w:tc>
        <w:tc>
          <w:tcPr>
            <w:tcW w:w="460" w:type="dxa"/>
            <w:vAlign w:val="bottom"/>
          </w:tcPr>
          <w:p>
            <w:pPr>
              <w:jc w:val="right"/>
              <w:spacing w:after="0"/>
              <w:rPr>
                <w:sz w:val="20"/>
                <w:szCs w:val="20"/>
                <w:color w:val="auto"/>
              </w:rPr>
            </w:pPr>
            <w:r>
              <w:rPr>
                <w:rFonts w:ascii="Arial" w:cs="Arial" w:eastAsia="Arial" w:hAnsi="Arial"/>
                <w:sz w:val="36"/>
                <w:szCs w:val="36"/>
                <w:color w:val="auto"/>
              </w:rPr>
              <w:t>4</w:t>
            </w:r>
          </w:p>
        </w:tc>
        <w:tc>
          <w:tcPr>
            <w:tcW w:w="1580" w:type="dxa"/>
            <w:vAlign w:val="bottom"/>
            <w:vMerge w:val="restart"/>
          </w:tcPr>
          <w:p>
            <w:pPr>
              <w:ind w:left="80"/>
              <w:spacing w:after="0"/>
              <w:rPr>
                <w:sz w:val="20"/>
                <w:szCs w:val="20"/>
                <w:color w:val="auto"/>
              </w:rPr>
            </w:pPr>
            <w:r>
              <w:rPr>
                <w:rFonts w:ascii="Arial" w:cs="Arial" w:eastAsia="Arial" w:hAnsi="Arial"/>
                <w:sz w:val="12"/>
                <w:szCs w:val="12"/>
                <w:color w:val="auto"/>
              </w:rPr>
              <w:t>PROPOSALS TO</w:t>
            </w:r>
          </w:p>
        </w:tc>
        <w:tc>
          <w:tcPr>
            <w:tcW w:w="440" w:type="dxa"/>
            <w:vAlign w:val="bottom"/>
          </w:tcPr>
          <w:p>
            <w:pPr>
              <w:jc w:val="right"/>
              <w:spacing w:after="0"/>
              <w:rPr>
                <w:sz w:val="20"/>
                <w:szCs w:val="20"/>
                <w:color w:val="auto"/>
              </w:rPr>
            </w:pPr>
            <w:r>
              <w:rPr>
                <w:rFonts w:ascii="Arial" w:cs="Arial" w:eastAsia="Arial" w:hAnsi="Arial"/>
                <w:sz w:val="36"/>
                <w:szCs w:val="36"/>
                <w:color w:val="auto"/>
              </w:rPr>
              <w:t>5</w:t>
            </w:r>
          </w:p>
        </w:tc>
        <w:tc>
          <w:tcPr>
            <w:tcW w:w="900" w:type="dxa"/>
            <w:vAlign w:val="bottom"/>
            <w:vMerge w:val="restart"/>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220" w:type="dxa"/>
            <w:vAlign w:val="bottom"/>
          </w:tcPr>
          <w:p>
            <w:pPr>
              <w:ind w:left="80"/>
              <w:spacing w:after="0" w:line="130" w:lineRule="exact"/>
              <w:rPr>
                <w:sz w:val="20"/>
                <w:szCs w:val="20"/>
                <w:color w:val="auto"/>
              </w:rPr>
            </w:pPr>
            <w:r>
              <w:rPr>
                <w:rFonts w:ascii="Arial" w:cs="Arial" w:eastAsia="Arial" w:hAnsi="Arial"/>
                <w:sz w:val="12"/>
                <w:szCs w:val="12"/>
                <w:color w:val="0075C9"/>
              </w:rPr>
              <w:t>OUR BOARD OF</w:t>
            </w:r>
          </w:p>
        </w:tc>
        <w:tc>
          <w:tcPr>
            <w:tcW w:w="720" w:type="dxa"/>
            <w:vAlign w:val="bottom"/>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460" w:type="dxa"/>
            <w:vAlign w:val="bottom"/>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40" w:type="dxa"/>
            <w:vAlign w:val="bottom"/>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0075C9"/>
              </w:rPr>
              <w:t>DIRECTORS</w:t>
            </w:r>
          </w:p>
        </w:tc>
        <w:tc>
          <w:tcPr>
            <w:tcW w:w="720" w:type="dxa"/>
            <w:vAlign w:val="bottom"/>
          </w:tcPr>
          <w:p>
            <w:pPr>
              <w:spacing w:after="0"/>
              <w:rPr>
                <w:sz w:val="12"/>
                <w:szCs w:val="12"/>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tcPr>
          <w:p>
            <w:pPr>
              <w:spacing w:after="0"/>
              <w:rPr>
                <w:sz w:val="12"/>
                <w:szCs w:val="12"/>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460" w:type="dxa"/>
            <w:vAlign w:val="bottom"/>
          </w:tcPr>
          <w:p>
            <w:pPr>
              <w:spacing w:after="0"/>
              <w:rPr>
                <w:sz w:val="12"/>
                <w:szCs w:val="12"/>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40" w:type="dxa"/>
            <w:vAlign w:val="bottom"/>
          </w:tcPr>
          <w:p>
            <w:pPr>
              <w:spacing w:after="0"/>
              <w:rPr>
                <w:sz w:val="12"/>
                <w:szCs w:val="12"/>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shd w:val="clear" w:color="auto" w:fill="0075C9"/>
          </w:tcPr>
          <w:p>
            <w:pPr>
              <w:spacing w:after="0"/>
              <w:rPr>
                <w:sz w:val="9"/>
                <w:szCs w:val="9"/>
                <w:color w:val="auto"/>
              </w:rPr>
            </w:pPr>
          </w:p>
        </w:tc>
        <w:tc>
          <w:tcPr>
            <w:tcW w:w="1220" w:type="dxa"/>
            <w:vAlign w:val="bottom"/>
            <w:shd w:val="clear" w:color="auto" w:fill="0075C9"/>
          </w:tcPr>
          <w:p>
            <w:pPr>
              <w:spacing w:after="0"/>
              <w:rPr>
                <w:sz w:val="9"/>
                <w:szCs w:val="9"/>
                <w:color w:val="auto"/>
              </w:rPr>
            </w:pPr>
          </w:p>
        </w:tc>
        <w:tc>
          <w:tcPr>
            <w:tcW w:w="7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ind w:left="4880"/>
        <w:spacing w:after="0"/>
        <w:rPr>
          <w:sz w:val="20"/>
          <w:szCs w:val="20"/>
          <w:color w:val="auto"/>
        </w:rPr>
      </w:pPr>
      <w:r>
        <w:rPr>
          <w:rFonts w:ascii="Arial" w:cs="Arial" w:eastAsia="Arial" w:hAnsi="Arial"/>
          <w:sz w:val="21"/>
          <w:szCs w:val="21"/>
          <w:b w:val="1"/>
          <w:bCs w:val="1"/>
          <w:color w:val="auto"/>
        </w:rPr>
        <w:t>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-74930</wp:posOffset>
            </wp:positionV>
            <wp:extent cx="5748020" cy="40379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48020" cy="4037965"/>
                    </a:xfrm>
                    <a:prstGeom prst="rect">
                      <a:avLst/>
                    </a:prstGeom>
                    <a:noFill/>
                  </pic:spPr>
                </pic:pic>
              </a:graphicData>
            </a:graphic>
          </wp:anchor>
        </w:drawing>
      </w:r>
    </w:p>
    <w:p>
      <w:pPr>
        <w:spacing w:after="0" w:line="149"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0075C9"/>
        </w:rPr>
        <w:t>The Board of Directors</w:t>
      </w:r>
    </w:p>
    <w:p>
      <w:pPr>
        <w:spacing w:after="0" w:line="140" w:lineRule="exact"/>
        <w:rPr>
          <w:sz w:val="20"/>
          <w:szCs w:val="20"/>
          <w:color w:val="auto"/>
        </w:rPr>
      </w:pPr>
    </w:p>
    <w:p>
      <w:pPr>
        <w:ind w:left="1500" w:right="459"/>
        <w:spacing w:after="0" w:line="276" w:lineRule="auto"/>
        <w:rPr>
          <w:sz w:val="20"/>
          <w:szCs w:val="20"/>
          <w:color w:val="auto"/>
        </w:rPr>
      </w:pPr>
      <w:r>
        <w:rPr>
          <w:rFonts w:ascii="Arial" w:cs="Arial" w:eastAsia="Arial" w:hAnsi="Arial"/>
          <w:sz w:val="14"/>
          <w:szCs w:val="14"/>
          <w:color w:val="auto"/>
        </w:rPr>
        <w:t>Effective risk management is critical to Microsoft’s ability to achieve its mission. The Board exercises direct oversight of strategic risks to the Company and other risk areas not delegated to one its committees. For example, the Board maintains direct oversight over cybersecurity risk. The Board receives and provides feedback on regular updates from management regarding cybersecurity governance processes, the status of projects to strengthen internal cybersecurity, security features of the products and services we provide our customers, and the results of security breach simulations. The Board also discusses recent incidents throughout the industry and the emerging threat landscape. The committees are charged with specific areas of risk oversight, summarized below, and regularly report back to the full Board.</w:t>
      </w:r>
    </w:p>
    <w:p>
      <w:pPr>
        <w:spacing w:after="0" w:line="116" w:lineRule="exact"/>
        <w:rPr>
          <w:sz w:val="20"/>
          <w:szCs w:val="20"/>
          <w:color w:val="auto"/>
        </w:rPr>
      </w:pPr>
    </w:p>
    <w:tbl>
      <w:tblPr>
        <w:tblLayout w:type="fixed"/>
        <w:tblInd w:w="1500" w:type="dxa"/>
        <w:tblCellMar>
          <w:top w:w="0" w:type="dxa"/>
          <w:left w:w="0" w:type="dxa"/>
          <w:bottom w:w="0" w:type="dxa"/>
          <w:right w:w="0" w:type="dxa"/>
        </w:tblCellMar>
      </w:tblPr>
      <w:tr>
        <w:trPr>
          <w:trHeight w:val="195"/>
        </w:trPr>
        <w:tc>
          <w:tcPr>
            <w:tcW w:w="1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40" w:type="dxa"/>
            <w:vAlign w:val="bottom"/>
          </w:tcPr>
          <w:p>
            <w:pPr>
              <w:jc w:val="center"/>
              <w:spacing w:after="0"/>
              <w:rPr>
                <w:sz w:val="20"/>
                <w:szCs w:val="20"/>
                <w:color w:val="auto"/>
              </w:rPr>
            </w:pPr>
            <w:r>
              <w:rPr>
                <w:rFonts w:ascii="Arial" w:cs="Arial" w:eastAsia="Arial" w:hAnsi="Arial"/>
                <w:sz w:val="17"/>
                <w:szCs w:val="17"/>
                <w:b w:val="1"/>
                <w:bCs w:val="1"/>
                <w:color w:val="0075C9"/>
              </w:rPr>
              <w:t>Governance and</w:t>
            </w:r>
          </w:p>
        </w:tc>
        <w:tc>
          <w:tcPr>
            <w:tcW w:w="20" w:type="dxa"/>
            <w:vAlign w:val="bottom"/>
          </w:tcPr>
          <w:p>
            <w:pPr>
              <w:spacing w:after="0"/>
              <w:rPr>
                <w:sz w:val="16"/>
                <w:szCs w:val="16"/>
                <w:color w:val="auto"/>
              </w:rPr>
            </w:pPr>
          </w:p>
        </w:tc>
        <w:tc>
          <w:tcPr>
            <w:tcW w:w="1860" w:type="dxa"/>
            <w:vAlign w:val="bottom"/>
          </w:tcPr>
          <w:p>
            <w:pPr>
              <w:jc w:val="center"/>
              <w:ind w:left="281"/>
              <w:spacing w:after="0"/>
              <w:rPr>
                <w:sz w:val="20"/>
                <w:szCs w:val="20"/>
                <w:color w:val="auto"/>
              </w:rPr>
            </w:pPr>
            <w:r>
              <w:rPr>
                <w:rFonts w:ascii="Arial" w:cs="Arial" w:eastAsia="Arial" w:hAnsi="Arial"/>
                <w:sz w:val="17"/>
                <w:szCs w:val="17"/>
                <w:b w:val="1"/>
                <w:bCs w:val="1"/>
                <w:color w:val="0075C9"/>
              </w:rPr>
              <w:t>Regulatory and</w:t>
            </w:r>
          </w:p>
        </w:tc>
        <w:tc>
          <w:tcPr>
            <w:tcW w:w="0" w:type="dxa"/>
            <w:vAlign w:val="bottom"/>
          </w:tcPr>
          <w:p>
            <w:pPr>
              <w:spacing w:after="0"/>
              <w:rPr>
                <w:sz w:val="1"/>
                <w:szCs w:val="1"/>
                <w:color w:val="auto"/>
              </w:rPr>
            </w:pPr>
          </w:p>
        </w:tc>
      </w:tr>
      <w:tr>
        <w:trPr>
          <w:trHeight w:val="194"/>
        </w:trPr>
        <w:tc>
          <w:tcPr>
            <w:tcW w:w="1900" w:type="dxa"/>
            <w:vAlign w:val="bottom"/>
          </w:tcPr>
          <w:p>
            <w:pPr>
              <w:ind w:left="620"/>
              <w:spacing w:after="0" w:line="194" w:lineRule="exact"/>
              <w:rPr>
                <w:sz w:val="20"/>
                <w:szCs w:val="20"/>
                <w:color w:val="auto"/>
              </w:rPr>
            </w:pPr>
            <w:r>
              <w:rPr>
                <w:rFonts w:ascii="Arial" w:cs="Arial" w:eastAsia="Arial" w:hAnsi="Arial"/>
                <w:sz w:val="17"/>
                <w:szCs w:val="17"/>
                <w:b w:val="1"/>
                <w:bCs w:val="1"/>
                <w:color w:val="0075C9"/>
              </w:rPr>
              <w:t>Audit</w:t>
            </w:r>
          </w:p>
        </w:tc>
        <w:tc>
          <w:tcPr>
            <w:tcW w:w="20" w:type="dxa"/>
            <w:vAlign w:val="bottom"/>
          </w:tcPr>
          <w:p>
            <w:pPr>
              <w:spacing w:after="0"/>
              <w:rPr>
                <w:sz w:val="16"/>
                <w:szCs w:val="16"/>
                <w:color w:val="auto"/>
              </w:rPr>
            </w:pPr>
          </w:p>
        </w:tc>
        <w:tc>
          <w:tcPr>
            <w:tcW w:w="2220" w:type="dxa"/>
            <w:vAlign w:val="bottom"/>
          </w:tcPr>
          <w:p>
            <w:pPr>
              <w:ind w:left="540"/>
              <w:spacing w:after="0" w:line="194" w:lineRule="exact"/>
              <w:rPr>
                <w:sz w:val="20"/>
                <w:szCs w:val="20"/>
                <w:color w:val="auto"/>
              </w:rPr>
            </w:pPr>
            <w:r>
              <w:rPr>
                <w:rFonts w:ascii="Arial" w:cs="Arial" w:eastAsia="Arial" w:hAnsi="Arial"/>
                <w:sz w:val="17"/>
                <w:szCs w:val="17"/>
                <w:b w:val="1"/>
                <w:bCs w:val="1"/>
                <w:color w:val="0075C9"/>
              </w:rPr>
              <w:t>Compensation</w:t>
            </w:r>
          </w:p>
        </w:tc>
        <w:tc>
          <w:tcPr>
            <w:tcW w:w="20" w:type="dxa"/>
            <w:vAlign w:val="bottom"/>
          </w:tcPr>
          <w:p>
            <w:pPr>
              <w:spacing w:after="0"/>
              <w:rPr>
                <w:sz w:val="16"/>
                <w:szCs w:val="16"/>
                <w:color w:val="auto"/>
              </w:rPr>
            </w:pPr>
          </w:p>
        </w:tc>
        <w:tc>
          <w:tcPr>
            <w:tcW w:w="2240" w:type="dxa"/>
            <w:vAlign w:val="bottom"/>
          </w:tcPr>
          <w:p>
            <w:pPr>
              <w:jc w:val="center"/>
              <w:spacing w:after="0" w:line="194" w:lineRule="exact"/>
              <w:rPr>
                <w:sz w:val="20"/>
                <w:szCs w:val="20"/>
                <w:color w:val="auto"/>
              </w:rPr>
            </w:pPr>
            <w:r>
              <w:rPr>
                <w:rFonts w:ascii="Arial" w:cs="Arial" w:eastAsia="Arial" w:hAnsi="Arial"/>
                <w:sz w:val="17"/>
                <w:szCs w:val="17"/>
                <w:b w:val="1"/>
                <w:bCs w:val="1"/>
                <w:color w:val="0075C9"/>
              </w:rPr>
              <w:t>Nominating</w:t>
            </w:r>
          </w:p>
        </w:tc>
        <w:tc>
          <w:tcPr>
            <w:tcW w:w="20" w:type="dxa"/>
            <w:vAlign w:val="bottom"/>
          </w:tcPr>
          <w:p>
            <w:pPr>
              <w:spacing w:after="0"/>
              <w:rPr>
                <w:sz w:val="16"/>
                <w:szCs w:val="16"/>
                <w:color w:val="auto"/>
              </w:rPr>
            </w:pPr>
          </w:p>
        </w:tc>
        <w:tc>
          <w:tcPr>
            <w:tcW w:w="1860" w:type="dxa"/>
            <w:vAlign w:val="bottom"/>
          </w:tcPr>
          <w:p>
            <w:pPr>
              <w:jc w:val="center"/>
              <w:ind w:left="281"/>
              <w:spacing w:after="0" w:line="194" w:lineRule="exact"/>
              <w:rPr>
                <w:sz w:val="20"/>
                <w:szCs w:val="20"/>
                <w:color w:val="auto"/>
              </w:rPr>
            </w:pPr>
            <w:r>
              <w:rPr>
                <w:rFonts w:ascii="Arial" w:cs="Arial" w:eastAsia="Arial" w:hAnsi="Arial"/>
                <w:sz w:val="17"/>
                <w:szCs w:val="17"/>
                <w:b w:val="1"/>
                <w:bCs w:val="1"/>
                <w:color w:val="0075C9"/>
              </w:rPr>
              <w:t>Public Policy</w:t>
            </w:r>
          </w:p>
        </w:tc>
        <w:tc>
          <w:tcPr>
            <w:tcW w:w="0" w:type="dxa"/>
            <w:vAlign w:val="bottom"/>
          </w:tcPr>
          <w:p>
            <w:pPr>
              <w:spacing w:after="0"/>
              <w:rPr>
                <w:sz w:val="1"/>
                <w:szCs w:val="1"/>
                <w:color w:val="auto"/>
              </w:rPr>
            </w:pPr>
          </w:p>
        </w:tc>
      </w:tr>
      <w:tr>
        <w:trPr>
          <w:trHeight w:val="230"/>
        </w:trPr>
        <w:tc>
          <w:tcPr>
            <w:tcW w:w="1900" w:type="dxa"/>
            <w:vAlign w:val="bottom"/>
          </w:tcPr>
          <w:p>
            <w:pPr>
              <w:ind w:left="380"/>
              <w:spacing w:after="0"/>
              <w:rPr>
                <w:sz w:val="20"/>
                <w:szCs w:val="20"/>
                <w:color w:val="auto"/>
              </w:rPr>
            </w:pPr>
            <w:r>
              <w:rPr>
                <w:rFonts w:ascii="Arial" w:cs="Arial" w:eastAsia="Arial" w:hAnsi="Arial"/>
                <w:sz w:val="17"/>
                <w:szCs w:val="17"/>
                <w:b w:val="1"/>
                <w:bCs w:val="1"/>
                <w:color w:val="0075C9"/>
              </w:rPr>
              <w:t>Committee</w:t>
            </w:r>
          </w:p>
        </w:tc>
        <w:tc>
          <w:tcPr>
            <w:tcW w:w="20" w:type="dxa"/>
            <w:vAlign w:val="bottom"/>
          </w:tcPr>
          <w:p>
            <w:pPr>
              <w:spacing w:after="0"/>
              <w:rPr>
                <w:sz w:val="20"/>
                <w:szCs w:val="20"/>
                <w:color w:val="auto"/>
              </w:rPr>
            </w:pPr>
          </w:p>
        </w:tc>
        <w:tc>
          <w:tcPr>
            <w:tcW w:w="2220" w:type="dxa"/>
            <w:vAlign w:val="bottom"/>
          </w:tcPr>
          <w:p>
            <w:pPr>
              <w:ind w:left="680"/>
              <w:spacing w:after="0"/>
              <w:rPr>
                <w:sz w:val="20"/>
                <w:szCs w:val="20"/>
                <w:color w:val="auto"/>
              </w:rPr>
            </w:pPr>
            <w:r>
              <w:rPr>
                <w:rFonts w:ascii="Arial" w:cs="Arial" w:eastAsia="Arial" w:hAnsi="Arial"/>
                <w:sz w:val="17"/>
                <w:szCs w:val="17"/>
                <w:b w:val="1"/>
                <w:bCs w:val="1"/>
                <w:color w:val="0075C9"/>
              </w:rPr>
              <w:t>Committee</w:t>
            </w:r>
          </w:p>
        </w:tc>
        <w:tc>
          <w:tcPr>
            <w:tcW w:w="2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Arial" w:cs="Arial" w:eastAsia="Arial" w:hAnsi="Arial"/>
                <w:sz w:val="17"/>
                <w:szCs w:val="17"/>
                <w:b w:val="1"/>
                <w:bCs w:val="1"/>
                <w:color w:val="0075C9"/>
              </w:rPr>
              <w:t>Committee</w:t>
            </w:r>
          </w:p>
        </w:tc>
        <w:tc>
          <w:tcPr>
            <w:tcW w:w="20" w:type="dxa"/>
            <w:vAlign w:val="bottom"/>
          </w:tcPr>
          <w:p>
            <w:pPr>
              <w:spacing w:after="0"/>
              <w:rPr>
                <w:sz w:val="20"/>
                <w:szCs w:val="20"/>
                <w:color w:val="auto"/>
              </w:rPr>
            </w:pPr>
          </w:p>
        </w:tc>
        <w:tc>
          <w:tcPr>
            <w:tcW w:w="1860" w:type="dxa"/>
            <w:vAlign w:val="bottom"/>
          </w:tcPr>
          <w:p>
            <w:pPr>
              <w:jc w:val="center"/>
              <w:ind w:left="281"/>
              <w:spacing w:after="0"/>
              <w:rPr>
                <w:sz w:val="20"/>
                <w:szCs w:val="20"/>
                <w:color w:val="auto"/>
              </w:rPr>
            </w:pPr>
            <w:r>
              <w:rPr>
                <w:rFonts w:ascii="Arial" w:cs="Arial" w:eastAsia="Arial" w:hAnsi="Arial"/>
                <w:sz w:val="17"/>
                <w:szCs w:val="17"/>
                <w:b w:val="1"/>
                <w:bCs w:val="1"/>
                <w:color w:val="0075C9"/>
              </w:rPr>
              <w:t>Committee</w:t>
            </w:r>
          </w:p>
        </w:tc>
        <w:tc>
          <w:tcPr>
            <w:tcW w:w="0" w:type="dxa"/>
            <w:vAlign w:val="bottom"/>
          </w:tcPr>
          <w:p>
            <w:pPr>
              <w:spacing w:after="0"/>
              <w:rPr>
                <w:sz w:val="1"/>
                <w:szCs w:val="1"/>
                <w:color w:val="auto"/>
              </w:rPr>
            </w:pPr>
          </w:p>
        </w:tc>
      </w:tr>
      <w:tr>
        <w:trPr>
          <w:trHeight w:val="116"/>
        </w:trPr>
        <w:tc>
          <w:tcPr>
            <w:tcW w:w="1900" w:type="dxa"/>
            <w:vAlign w:val="bottom"/>
            <w:vMerge w:val="restart"/>
          </w:tcPr>
          <w:p>
            <w:pPr>
              <w:spacing w:after="0"/>
              <w:rPr>
                <w:sz w:val="20"/>
                <w:szCs w:val="20"/>
                <w:color w:val="auto"/>
              </w:rPr>
            </w:pPr>
            <w:r>
              <w:rPr>
                <w:rFonts w:ascii="Arial" w:cs="Arial" w:eastAsia="Arial" w:hAnsi="Arial"/>
                <w:sz w:val="16"/>
                <w:szCs w:val="16"/>
                <w:color w:val="auto"/>
              </w:rPr>
              <w:t>With the Board,</w:t>
            </w:r>
          </w:p>
        </w:tc>
        <w:tc>
          <w:tcPr>
            <w:tcW w:w="20" w:type="dxa"/>
            <w:vAlign w:val="bottom"/>
          </w:tcPr>
          <w:p>
            <w:pPr>
              <w:spacing w:after="0"/>
              <w:rPr>
                <w:sz w:val="10"/>
                <w:szCs w:val="10"/>
                <w:color w:val="auto"/>
              </w:rPr>
            </w:pPr>
          </w:p>
        </w:tc>
        <w:tc>
          <w:tcPr>
            <w:tcW w:w="2220" w:type="dxa"/>
            <w:vAlign w:val="bottom"/>
            <w:vMerge w:val="restart"/>
          </w:tcPr>
          <w:p>
            <w:pPr>
              <w:ind w:left="280"/>
              <w:spacing w:after="0"/>
              <w:rPr>
                <w:sz w:val="20"/>
                <w:szCs w:val="20"/>
                <w:color w:val="auto"/>
              </w:rPr>
            </w:pPr>
            <w:r>
              <w:rPr>
                <w:rFonts w:ascii="Arial" w:cs="Arial" w:eastAsia="Arial" w:hAnsi="Arial"/>
                <w:sz w:val="16"/>
                <w:szCs w:val="16"/>
                <w:color w:val="auto"/>
              </w:rPr>
              <w:t>Provides oversight with</w:t>
            </w:r>
          </w:p>
        </w:tc>
        <w:tc>
          <w:tcPr>
            <w:tcW w:w="20" w:type="dxa"/>
            <w:vAlign w:val="bottom"/>
          </w:tcPr>
          <w:p>
            <w:pPr>
              <w:spacing w:after="0"/>
              <w:rPr>
                <w:sz w:val="10"/>
                <w:szCs w:val="10"/>
                <w:color w:val="auto"/>
              </w:rPr>
            </w:pPr>
          </w:p>
        </w:tc>
        <w:tc>
          <w:tcPr>
            <w:tcW w:w="2240" w:type="dxa"/>
            <w:vAlign w:val="bottom"/>
            <w:vMerge w:val="restart"/>
          </w:tcPr>
          <w:p>
            <w:pPr>
              <w:ind w:left="280"/>
              <w:spacing w:after="0"/>
              <w:rPr>
                <w:sz w:val="20"/>
                <w:szCs w:val="20"/>
                <w:color w:val="auto"/>
              </w:rPr>
            </w:pPr>
            <w:r>
              <w:rPr>
                <w:rFonts w:ascii="Arial" w:cs="Arial" w:eastAsia="Arial" w:hAnsi="Arial"/>
                <w:sz w:val="16"/>
                <w:szCs w:val="16"/>
                <w:color w:val="auto"/>
              </w:rPr>
              <w:t>Provides oversight with</w:t>
            </w:r>
          </w:p>
        </w:tc>
        <w:tc>
          <w:tcPr>
            <w:tcW w:w="20" w:type="dxa"/>
            <w:vAlign w:val="bottom"/>
          </w:tcPr>
          <w:p>
            <w:pPr>
              <w:spacing w:after="0"/>
              <w:rPr>
                <w:sz w:val="10"/>
                <w:szCs w:val="10"/>
                <w:color w:val="auto"/>
              </w:rPr>
            </w:pPr>
          </w:p>
        </w:tc>
        <w:tc>
          <w:tcPr>
            <w:tcW w:w="1860" w:type="dxa"/>
            <w:vAlign w:val="bottom"/>
            <w:vMerge w:val="restart"/>
          </w:tcPr>
          <w:p>
            <w:pPr>
              <w:ind w:left="280"/>
              <w:spacing w:after="0"/>
              <w:rPr>
                <w:sz w:val="20"/>
                <w:szCs w:val="20"/>
                <w:color w:val="auto"/>
              </w:rPr>
            </w:pPr>
            <w:r>
              <w:rPr>
                <w:rFonts w:ascii="Arial" w:cs="Arial" w:eastAsia="Arial" w:hAnsi="Arial"/>
                <w:sz w:val="16"/>
                <w:szCs w:val="16"/>
                <w:color w:val="auto"/>
                <w:w w:val="95"/>
              </w:rPr>
              <w:t>Provides oversight and</w:t>
            </w:r>
          </w:p>
        </w:tc>
        <w:tc>
          <w:tcPr>
            <w:tcW w:w="0" w:type="dxa"/>
            <w:vAlign w:val="bottom"/>
          </w:tcPr>
          <w:p>
            <w:pPr>
              <w:spacing w:after="0"/>
              <w:rPr>
                <w:sz w:val="1"/>
                <w:szCs w:val="1"/>
                <w:color w:val="auto"/>
              </w:rPr>
            </w:pPr>
          </w:p>
        </w:tc>
      </w:tr>
      <w:tr>
        <w:trPr>
          <w:trHeight w:val="183"/>
        </w:trPr>
        <w:tc>
          <w:tcPr>
            <w:tcW w:w="1900" w:type="dxa"/>
            <w:vAlign w:val="bottom"/>
            <w:vMerge w:val="continue"/>
          </w:tcPr>
          <w:p>
            <w:pPr>
              <w:spacing w:after="0"/>
              <w:rPr>
                <w:sz w:val="15"/>
                <w:szCs w:val="15"/>
                <w:color w:val="auto"/>
              </w:rPr>
            </w:pPr>
          </w:p>
        </w:tc>
        <w:tc>
          <w:tcPr>
            <w:tcW w:w="20" w:type="dxa"/>
            <w:vAlign w:val="bottom"/>
            <w:shd w:val="clear" w:color="auto" w:fill="999999"/>
          </w:tcPr>
          <w:p>
            <w:pPr>
              <w:spacing w:after="0"/>
              <w:rPr>
                <w:sz w:val="15"/>
                <w:szCs w:val="15"/>
                <w:color w:val="auto"/>
              </w:rPr>
            </w:pPr>
          </w:p>
        </w:tc>
        <w:tc>
          <w:tcPr>
            <w:tcW w:w="2220" w:type="dxa"/>
            <w:vAlign w:val="bottom"/>
            <w:vMerge w:val="continue"/>
          </w:tcPr>
          <w:p>
            <w:pPr>
              <w:spacing w:after="0"/>
              <w:rPr>
                <w:sz w:val="15"/>
                <w:szCs w:val="15"/>
                <w:color w:val="auto"/>
              </w:rPr>
            </w:pPr>
          </w:p>
        </w:tc>
        <w:tc>
          <w:tcPr>
            <w:tcW w:w="20" w:type="dxa"/>
            <w:vAlign w:val="bottom"/>
            <w:shd w:val="clear" w:color="auto" w:fill="999999"/>
          </w:tcPr>
          <w:p>
            <w:pPr>
              <w:spacing w:after="0"/>
              <w:rPr>
                <w:sz w:val="15"/>
                <w:szCs w:val="15"/>
                <w:color w:val="auto"/>
              </w:rPr>
            </w:pPr>
          </w:p>
        </w:tc>
        <w:tc>
          <w:tcPr>
            <w:tcW w:w="2240" w:type="dxa"/>
            <w:vAlign w:val="bottom"/>
            <w:vMerge w:val="continue"/>
          </w:tcPr>
          <w:p>
            <w:pPr>
              <w:spacing w:after="0"/>
              <w:rPr>
                <w:sz w:val="15"/>
                <w:szCs w:val="15"/>
                <w:color w:val="auto"/>
              </w:rPr>
            </w:pPr>
          </w:p>
        </w:tc>
        <w:tc>
          <w:tcPr>
            <w:tcW w:w="20" w:type="dxa"/>
            <w:vAlign w:val="bottom"/>
            <w:shd w:val="clear" w:color="auto" w:fill="999999"/>
          </w:tcPr>
          <w:p>
            <w:pPr>
              <w:spacing w:after="0"/>
              <w:rPr>
                <w:sz w:val="15"/>
                <w:szCs w:val="15"/>
                <w:color w:val="auto"/>
              </w:rPr>
            </w:pPr>
          </w:p>
        </w:tc>
        <w:tc>
          <w:tcPr>
            <w:tcW w:w="1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900" w:type="dxa"/>
            <w:vAlign w:val="bottom"/>
          </w:tcPr>
          <w:p>
            <w:pPr>
              <w:spacing w:after="0" w:line="181" w:lineRule="exact"/>
              <w:rPr>
                <w:sz w:val="20"/>
                <w:szCs w:val="20"/>
                <w:color w:val="auto"/>
              </w:rPr>
            </w:pPr>
            <w:r>
              <w:rPr>
                <w:rFonts w:ascii="Arial" w:cs="Arial" w:eastAsia="Arial" w:hAnsi="Arial"/>
                <w:sz w:val="16"/>
                <w:szCs w:val="16"/>
                <w:color w:val="auto"/>
              </w:rPr>
              <w:t>oversees Microsoft’s</w:t>
            </w:r>
          </w:p>
        </w:tc>
        <w:tc>
          <w:tcPr>
            <w:tcW w:w="20" w:type="dxa"/>
            <w:vAlign w:val="bottom"/>
            <w:shd w:val="clear" w:color="auto" w:fill="999999"/>
          </w:tcPr>
          <w:p>
            <w:pPr>
              <w:spacing w:after="0"/>
              <w:rPr>
                <w:sz w:val="15"/>
                <w:szCs w:val="15"/>
                <w:color w:val="auto"/>
              </w:rPr>
            </w:pPr>
          </w:p>
        </w:tc>
        <w:tc>
          <w:tcPr>
            <w:tcW w:w="2220" w:type="dxa"/>
            <w:vAlign w:val="bottom"/>
          </w:tcPr>
          <w:p>
            <w:pPr>
              <w:ind w:left="280"/>
              <w:spacing w:after="0" w:line="181" w:lineRule="exact"/>
              <w:rPr>
                <w:sz w:val="20"/>
                <w:szCs w:val="20"/>
                <w:color w:val="auto"/>
              </w:rPr>
            </w:pPr>
            <w:r>
              <w:rPr>
                <w:rFonts w:ascii="Arial" w:cs="Arial" w:eastAsia="Arial" w:hAnsi="Arial"/>
                <w:sz w:val="16"/>
                <w:szCs w:val="16"/>
                <w:color w:val="auto"/>
              </w:rPr>
              <w:t>respect to compensation</w:t>
            </w:r>
          </w:p>
        </w:tc>
        <w:tc>
          <w:tcPr>
            <w:tcW w:w="20" w:type="dxa"/>
            <w:vAlign w:val="bottom"/>
            <w:shd w:val="clear" w:color="auto" w:fill="999999"/>
          </w:tcPr>
          <w:p>
            <w:pPr>
              <w:spacing w:after="0"/>
              <w:rPr>
                <w:sz w:val="15"/>
                <w:szCs w:val="15"/>
                <w:color w:val="auto"/>
              </w:rPr>
            </w:pPr>
          </w:p>
        </w:tc>
        <w:tc>
          <w:tcPr>
            <w:tcW w:w="2240" w:type="dxa"/>
            <w:vAlign w:val="bottom"/>
          </w:tcPr>
          <w:p>
            <w:pPr>
              <w:ind w:left="280"/>
              <w:spacing w:after="0" w:line="181" w:lineRule="exact"/>
              <w:rPr>
                <w:sz w:val="20"/>
                <w:szCs w:val="20"/>
                <w:color w:val="auto"/>
              </w:rPr>
            </w:pPr>
            <w:r>
              <w:rPr>
                <w:rFonts w:ascii="Arial" w:cs="Arial" w:eastAsia="Arial" w:hAnsi="Arial"/>
                <w:sz w:val="16"/>
                <w:szCs w:val="16"/>
                <w:color w:val="auto"/>
              </w:rPr>
              <w:t>respect to director</w:t>
            </w:r>
          </w:p>
        </w:tc>
        <w:tc>
          <w:tcPr>
            <w:tcW w:w="20" w:type="dxa"/>
            <w:vAlign w:val="bottom"/>
            <w:shd w:val="clear" w:color="auto" w:fill="999999"/>
          </w:tcPr>
          <w:p>
            <w:pPr>
              <w:spacing w:after="0"/>
              <w:rPr>
                <w:sz w:val="15"/>
                <w:szCs w:val="15"/>
                <w:color w:val="auto"/>
              </w:rPr>
            </w:pPr>
          </w:p>
        </w:tc>
        <w:tc>
          <w:tcPr>
            <w:tcW w:w="1860" w:type="dxa"/>
            <w:vAlign w:val="bottom"/>
          </w:tcPr>
          <w:p>
            <w:pPr>
              <w:ind w:left="280"/>
              <w:spacing w:after="0" w:line="181" w:lineRule="exact"/>
              <w:rPr>
                <w:sz w:val="20"/>
                <w:szCs w:val="20"/>
                <w:color w:val="auto"/>
              </w:rPr>
            </w:pPr>
            <w:r>
              <w:rPr>
                <w:rFonts w:ascii="Arial" w:cs="Arial" w:eastAsia="Arial" w:hAnsi="Arial"/>
                <w:sz w:val="16"/>
                <w:szCs w:val="16"/>
                <w:color w:val="auto"/>
              </w:rPr>
              <w:t>guidance with respect</w:t>
            </w:r>
          </w:p>
        </w:tc>
        <w:tc>
          <w:tcPr>
            <w:tcW w:w="0" w:type="dxa"/>
            <w:vAlign w:val="bottom"/>
          </w:tcPr>
          <w:p>
            <w:pPr>
              <w:spacing w:after="0"/>
              <w:rPr>
                <w:sz w:val="1"/>
                <w:szCs w:val="1"/>
                <w:color w:val="auto"/>
              </w:rPr>
            </w:pPr>
          </w:p>
        </w:tc>
      </w:tr>
      <w:tr>
        <w:trPr>
          <w:trHeight w:val="181"/>
        </w:trPr>
        <w:tc>
          <w:tcPr>
            <w:tcW w:w="1900" w:type="dxa"/>
            <w:vAlign w:val="bottom"/>
          </w:tcPr>
          <w:p>
            <w:pPr>
              <w:spacing w:after="0" w:line="181" w:lineRule="exact"/>
              <w:rPr>
                <w:sz w:val="20"/>
                <w:szCs w:val="20"/>
                <w:color w:val="auto"/>
              </w:rPr>
            </w:pPr>
            <w:r>
              <w:rPr>
                <w:rFonts w:ascii="Arial" w:cs="Arial" w:eastAsia="Arial" w:hAnsi="Arial"/>
                <w:sz w:val="16"/>
                <w:szCs w:val="16"/>
                <w:color w:val="auto"/>
              </w:rPr>
              <w:t>risk management.</w:t>
            </w:r>
          </w:p>
        </w:tc>
        <w:tc>
          <w:tcPr>
            <w:tcW w:w="20" w:type="dxa"/>
            <w:vAlign w:val="bottom"/>
            <w:shd w:val="clear" w:color="auto" w:fill="999999"/>
          </w:tcPr>
          <w:p>
            <w:pPr>
              <w:spacing w:after="0"/>
              <w:rPr>
                <w:sz w:val="15"/>
                <w:szCs w:val="15"/>
                <w:color w:val="auto"/>
              </w:rPr>
            </w:pPr>
          </w:p>
        </w:tc>
        <w:tc>
          <w:tcPr>
            <w:tcW w:w="2220" w:type="dxa"/>
            <w:vAlign w:val="bottom"/>
          </w:tcPr>
          <w:p>
            <w:pPr>
              <w:ind w:left="280"/>
              <w:spacing w:after="0" w:line="181" w:lineRule="exact"/>
              <w:rPr>
                <w:sz w:val="20"/>
                <w:szCs w:val="20"/>
                <w:color w:val="auto"/>
              </w:rPr>
            </w:pPr>
            <w:r>
              <w:rPr>
                <w:rFonts w:ascii="Arial" w:cs="Arial" w:eastAsia="Arial" w:hAnsi="Arial"/>
                <w:sz w:val="16"/>
                <w:szCs w:val="16"/>
                <w:color w:val="auto"/>
              </w:rPr>
              <w:t>and benefits programs,</w:t>
            </w:r>
          </w:p>
        </w:tc>
        <w:tc>
          <w:tcPr>
            <w:tcW w:w="20" w:type="dxa"/>
            <w:vAlign w:val="bottom"/>
            <w:shd w:val="clear" w:color="auto" w:fill="999999"/>
          </w:tcPr>
          <w:p>
            <w:pPr>
              <w:spacing w:after="0"/>
              <w:rPr>
                <w:sz w:val="15"/>
                <w:szCs w:val="15"/>
                <w:color w:val="auto"/>
              </w:rPr>
            </w:pPr>
          </w:p>
        </w:tc>
        <w:tc>
          <w:tcPr>
            <w:tcW w:w="2240" w:type="dxa"/>
            <w:vAlign w:val="bottom"/>
          </w:tcPr>
          <w:p>
            <w:pPr>
              <w:ind w:left="280"/>
              <w:spacing w:after="0" w:line="181" w:lineRule="exact"/>
              <w:rPr>
                <w:sz w:val="20"/>
                <w:szCs w:val="20"/>
                <w:color w:val="auto"/>
              </w:rPr>
            </w:pPr>
            <w:r>
              <w:rPr>
                <w:rFonts w:ascii="Arial" w:cs="Arial" w:eastAsia="Arial" w:hAnsi="Arial"/>
                <w:sz w:val="16"/>
                <w:szCs w:val="16"/>
                <w:color w:val="auto"/>
              </w:rPr>
              <w:t>selection and succession</w:t>
            </w:r>
          </w:p>
        </w:tc>
        <w:tc>
          <w:tcPr>
            <w:tcW w:w="20" w:type="dxa"/>
            <w:vAlign w:val="bottom"/>
            <w:shd w:val="clear" w:color="auto" w:fill="999999"/>
          </w:tcPr>
          <w:p>
            <w:pPr>
              <w:spacing w:after="0"/>
              <w:rPr>
                <w:sz w:val="15"/>
                <w:szCs w:val="15"/>
                <w:color w:val="auto"/>
              </w:rPr>
            </w:pPr>
          </w:p>
        </w:tc>
        <w:tc>
          <w:tcPr>
            <w:tcW w:w="1860" w:type="dxa"/>
            <w:vAlign w:val="bottom"/>
          </w:tcPr>
          <w:p>
            <w:pPr>
              <w:ind w:left="280"/>
              <w:spacing w:after="0" w:line="181" w:lineRule="exact"/>
              <w:rPr>
                <w:sz w:val="20"/>
                <w:szCs w:val="20"/>
                <w:color w:val="auto"/>
              </w:rPr>
            </w:pPr>
            <w:r>
              <w:rPr>
                <w:rFonts w:ascii="Arial" w:cs="Arial" w:eastAsia="Arial" w:hAnsi="Arial"/>
                <w:sz w:val="16"/>
                <w:szCs w:val="16"/>
                <w:color w:val="auto"/>
              </w:rPr>
              <w:t>to key non-financial</w:t>
            </w:r>
          </w:p>
        </w:tc>
        <w:tc>
          <w:tcPr>
            <w:tcW w:w="0" w:type="dxa"/>
            <w:vAlign w:val="bottom"/>
          </w:tcPr>
          <w:p>
            <w:pPr>
              <w:spacing w:after="0"/>
              <w:rPr>
                <w:sz w:val="1"/>
                <w:szCs w:val="1"/>
                <w:color w:val="auto"/>
              </w:rPr>
            </w:pPr>
          </w:p>
        </w:tc>
      </w:tr>
      <w:tr>
        <w:trPr>
          <w:trHeight w:val="181"/>
        </w:trPr>
        <w:tc>
          <w:tcPr>
            <w:tcW w:w="1900" w:type="dxa"/>
            <w:vAlign w:val="bottom"/>
          </w:tcPr>
          <w:p>
            <w:pPr>
              <w:spacing w:after="0" w:line="181" w:lineRule="exact"/>
              <w:rPr>
                <w:sz w:val="20"/>
                <w:szCs w:val="20"/>
                <w:color w:val="auto"/>
              </w:rPr>
            </w:pPr>
            <w:r>
              <w:rPr>
                <w:rFonts w:ascii="Arial" w:cs="Arial" w:eastAsia="Arial" w:hAnsi="Arial"/>
                <w:sz w:val="16"/>
                <w:szCs w:val="16"/>
                <w:color w:val="auto"/>
              </w:rPr>
              <w:t>Provides oversight with</w:t>
            </w:r>
          </w:p>
        </w:tc>
        <w:tc>
          <w:tcPr>
            <w:tcW w:w="20" w:type="dxa"/>
            <w:vAlign w:val="bottom"/>
            <w:shd w:val="clear" w:color="auto" w:fill="999999"/>
          </w:tcPr>
          <w:p>
            <w:pPr>
              <w:spacing w:after="0"/>
              <w:rPr>
                <w:sz w:val="15"/>
                <w:szCs w:val="15"/>
                <w:color w:val="auto"/>
              </w:rPr>
            </w:pPr>
          </w:p>
        </w:tc>
        <w:tc>
          <w:tcPr>
            <w:tcW w:w="2220" w:type="dxa"/>
            <w:vAlign w:val="bottom"/>
          </w:tcPr>
          <w:p>
            <w:pPr>
              <w:ind w:left="280"/>
              <w:spacing w:after="0" w:line="181" w:lineRule="exact"/>
              <w:rPr>
                <w:sz w:val="20"/>
                <w:szCs w:val="20"/>
                <w:color w:val="auto"/>
              </w:rPr>
            </w:pPr>
            <w:r>
              <w:rPr>
                <w:rFonts w:ascii="Arial" w:cs="Arial" w:eastAsia="Arial" w:hAnsi="Arial"/>
                <w:sz w:val="16"/>
                <w:szCs w:val="16"/>
                <w:color w:val="auto"/>
              </w:rPr>
              <w:t>oversees human capital</w:t>
            </w:r>
          </w:p>
        </w:tc>
        <w:tc>
          <w:tcPr>
            <w:tcW w:w="20" w:type="dxa"/>
            <w:vAlign w:val="bottom"/>
            <w:shd w:val="clear" w:color="auto" w:fill="999999"/>
          </w:tcPr>
          <w:p>
            <w:pPr>
              <w:spacing w:after="0"/>
              <w:rPr>
                <w:sz w:val="15"/>
                <w:szCs w:val="15"/>
                <w:color w:val="auto"/>
              </w:rPr>
            </w:pPr>
          </w:p>
        </w:tc>
        <w:tc>
          <w:tcPr>
            <w:tcW w:w="2240" w:type="dxa"/>
            <w:vAlign w:val="bottom"/>
          </w:tcPr>
          <w:p>
            <w:pPr>
              <w:ind w:left="280"/>
              <w:spacing w:after="0" w:line="181" w:lineRule="exact"/>
              <w:rPr>
                <w:sz w:val="20"/>
                <w:szCs w:val="20"/>
                <w:color w:val="auto"/>
              </w:rPr>
            </w:pPr>
            <w:r>
              <w:rPr>
                <w:rFonts w:ascii="Arial" w:cs="Arial" w:eastAsia="Arial" w:hAnsi="Arial"/>
                <w:sz w:val="16"/>
                <w:szCs w:val="16"/>
                <w:color w:val="auto"/>
              </w:rPr>
              <w:t>planning, Board</w:t>
            </w:r>
          </w:p>
        </w:tc>
        <w:tc>
          <w:tcPr>
            <w:tcW w:w="20" w:type="dxa"/>
            <w:vAlign w:val="bottom"/>
            <w:shd w:val="clear" w:color="auto" w:fill="999999"/>
          </w:tcPr>
          <w:p>
            <w:pPr>
              <w:spacing w:after="0"/>
              <w:rPr>
                <w:sz w:val="15"/>
                <w:szCs w:val="15"/>
                <w:color w:val="auto"/>
              </w:rPr>
            </w:pPr>
          </w:p>
        </w:tc>
        <w:tc>
          <w:tcPr>
            <w:tcW w:w="1860" w:type="dxa"/>
            <w:vAlign w:val="bottom"/>
          </w:tcPr>
          <w:p>
            <w:pPr>
              <w:ind w:left="280"/>
              <w:spacing w:after="0" w:line="181" w:lineRule="exact"/>
              <w:rPr>
                <w:sz w:val="20"/>
                <w:szCs w:val="20"/>
                <w:color w:val="auto"/>
              </w:rPr>
            </w:pPr>
            <w:r>
              <w:rPr>
                <w:rFonts w:ascii="Arial" w:cs="Arial" w:eastAsia="Arial" w:hAnsi="Arial"/>
                <w:sz w:val="16"/>
                <w:szCs w:val="16"/>
                <w:color w:val="auto"/>
              </w:rPr>
              <w:t>regulatory risks;</w:t>
            </w:r>
          </w:p>
        </w:tc>
        <w:tc>
          <w:tcPr>
            <w:tcW w:w="0" w:type="dxa"/>
            <w:vAlign w:val="bottom"/>
          </w:tcPr>
          <w:p>
            <w:pPr>
              <w:spacing w:after="0"/>
              <w:rPr>
                <w:sz w:val="1"/>
                <w:szCs w:val="1"/>
                <w:color w:val="auto"/>
              </w:rPr>
            </w:pPr>
          </w:p>
        </w:tc>
      </w:tr>
      <w:tr>
        <w:trPr>
          <w:trHeight w:val="181"/>
        </w:trPr>
        <w:tc>
          <w:tcPr>
            <w:tcW w:w="1900" w:type="dxa"/>
            <w:vAlign w:val="bottom"/>
          </w:tcPr>
          <w:p>
            <w:pPr>
              <w:spacing w:after="0" w:line="181" w:lineRule="exact"/>
              <w:rPr>
                <w:sz w:val="20"/>
                <w:szCs w:val="20"/>
                <w:color w:val="auto"/>
              </w:rPr>
            </w:pPr>
            <w:r>
              <w:rPr>
                <w:rFonts w:ascii="Arial" w:cs="Arial" w:eastAsia="Arial" w:hAnsi="Arial"/>
                <w:sz w:val="16"/>
                <w:szCs w:val="16"/>
                <w:color w:val="auto"/>
              </w:rPr>
              <w:t>respect to the</w:t>
            </w:r>
          </w:p>
        </w:tc>
        <w:tc>
          <w:tcPr>
            <w:tcW w:w="20" w:type="dxa"/>
            <w:vAlign w:val="bottom"/>
            <w:shd w:val="clear" w:color="auto" w:fill="999999"/>
          </w:tcPr>
          <w:p>
            <w:pPr>
              <w:spacing w:after="0"/>
              <w:rPr>
                <w:sz w:val="15"/>
                <w:szCs w:val="15"/>
                <w:color w:val="auto"/>
              </w:rPr>
            </w:pPr>
          </w:p>
        </w:tc>
        <w:tc>
          <w:tcPr>
            <w:tcW w:w="2220" w:type="dxa"/>
            <w:vAlign w:val="bottom"/>
          </w:tcPr>
          <w:p>
            <w:pPr>
              <w:ind w:left="280"/>
              <w:spacing w:after="0" w:line="181" w:lineRule="exact"/>
              <w:rPr>
                <w:sz w:val="20"/>
                <w:szCs w:val="20"/>
                <w:color w:val="auto"/>
              </w:rPr>
            </w:pPr>
            <w:r>
              <w:rPr>
                <w:rFonts w:ascii="Arial" w:cs="Arial" w:eastAsia="Arial" w:hAnsi="Arial"/>
                <w:sz w:val="16"/>
                <w:szCs w:val="16"/>
                <w:color w:val="auto"/>
              </w:rPr>
              <w:t>management and</w:t>
            </w:r>
          </w:p>
        </w:tc>
        <w:tc>
          <w:tcPr>
            <w:tcW w:w="20" w:type="dxa"/>
            <w:vAlign w:val="bottom"/>
            <w:shd w:val="clear" w:color="auto" w:fill="999999"/>
          </w:tcPr>
          <w:p>
            <w:pPr>
              <w:spacing w:after="0"/>
              <w:rPr>
                <w:sz w:val="15"/>
                <w:szCs w:val="15"/>
                <w:color w:val="auto"/>
              </w:rPr>
            </w:pPr>
          </w:p>
        </w:tc>
        <w:tc>
          <w:tcPr>
            <w:tcW w:w="2240" w:type="dxa"/>
            <w:vAlign w:val="bottom"/>
          </w:tcPr>
          <w:p>
            <w:pPr>
              <w:ind w:left="280"/>
              <w:spacing w:after="0" w:line="181" w:lineRule="exact"/>
              <w:rPr>
                <w:sz w:val="20"/>
                <w:szCs w:val="20"/>
                <w:color w:val="auto"/>
              </w:rPr>
            </w:pPr>
            <w:r>
              <w:rPr>
                <w:rFonts w:ascii="Arial" w:cs="Arial" w:eastAsia="Arial" w:hAnsi="Arial"/>
                <w:sz w:val="16"/>
                <w:szCs w:val="16"/>
                <w:color w:val="auto"/>
              </w:rPr>
              <w:t>effectiveness and</w:t>
            </w:r>
          </w:p>
        </w:tc>
        <w:tc>
          <w:tcPr>
            <w:tcW w:w="20" w:type="dxa"/>
            <w:vAlign w:val="bottom"/>
            <w:shd w:val="clear" w:color="auto" w:fill="999999"/>
          </w:tcPr>
          <w:p>
            <w:pPr>
              <w:spacing w:after="0"/>
              <w:rPr>
                <w:sz w:val="15"/>
                <w:szCs w:val="15"/>
                <w:color w:val="auto"/>
              </w:rPr>
            </w:pPr>
          </w:p>
        </w:tc>
        <w:tc>
          <w:tcPr>
            <w:tcW w:w="1860" w:type="dxa"/>
            <w:vAlign w:val="bottom"/>
          </w:tcPr>
          <w:p>
            <w:pPr>
              <w:ind w:left="280"/>
              <w:spacing w:after="0" w:line="181" w:lineRule="exact"/>
              <w:rPr>
                <w:sz w:val="20"/>
                <w:szCs w:val="20"/>
                <w:color w:val="auto"/>
              </w:rPr>
            </w:pPr>
            <w:r>
              <w:rPr>
                <w:rFonts w:ascii="Arial" w:cs="Arial" w:eastAsia="Arial" w:hAnsi="Arial"/>
                <w:sz w:val="16"/>
                <w:szCs w:val="16"/>
                <w:color w:val="auto"/>
                <w:w w:val="95"/>
              </w:rPr>
              <w:t>oversees management</w:t>
            </w:r>
          </w:p>
        </w:tc>
        <w:tc>
          <w:tcPr>
            <w:tcW w:w="0" w:type="dxa"/>
            <w:vAlign w:val="bottom"/>
          </w:tcPr>
          <w:p>
            <w:pPr>
              <w:spacing w:after="0"/>
              <w:rPr>
                <w:sz w:val="1"/>
                <w:szCs w:val="1"/>
                <w:color w:val="auto"/>
              </w:rPr>
            </w:pPr>
          </w:p>
        </w:tc>
      </w:tr>
      <w:tr>
        <w:trPr>
          <w:trHeight w:val="181"/>
        </w:trPr>
        <w:tc>
          <w:tcPr>
            <w:tcW w:w="1900" w:type="dxa"/>
            <w:vAlign w:val="bottom"/>
          </w:tcPr>
          <w:p>
            <w:pPr>
              <w:spacing w:after="0" w:line="181" w:lineRule="exact"/>
              <w:rPr>
                <w:sz w:val="20"/>
                <w:szCs w:val="20"/>
                <w:color w:val="auto"/>
              </w:rPr>
            </w:pPr>
            <w:r>
              <w:rPr>
                <w:rFonts w:ascii="Arial" w:cs="Arial" w:eastAsia="Arial" w:hAnsi="Arial"/>
                <w:sz w:val="16"/>
                <w:szCs w:val="16"/>
                <w:color w:val="auto"/>
              </w:rPr>
              <w:t>Company’s financial</w:t>
            </w:r>
          </w:p>
        </w:tc>
        <w:tc>
          <w:tcPr>
            <w:tcW w:w="20" w:type="dxa"/>
            <w:vAlign w:val="bottom"/>
            <w:shd w:val="clear" w:color="auto" w:fill="999999"/>
          </w:tcPr>
          <w:p>
            <w:pPr>
              <w:spacing w:after="0"/>
              <w:rPr>
                <w:sz w:val="15"/>
                <w:szCs w:val="15"/>
                <w:color w:val="auto"/>
              </w:rPr>
            </w:pPr>
          </w:p>
        </w:tc>
        <w:tc>
          <w:tcPr>
            <w:tcW w:w="2220" w:type="dxa"/>
            <w:vAlign w:val="bottom"/>
          </w:tcPr>
          <w:p>
            <w:pPr>
              <w:ind w:left="280"/>
              <w:spacing w:after="0" w:line="181" w:lineRule="exact"/>
              <w:rPr>
                <w:sz w:val="20"/>
                <w:szCs w:val="20"/>
                <w:color w:val="auto"/>
              </w:rPr>
            </w:pPr>
            <w:r>
              <w:rPr>
                <w:rFonts w:ascii="Arial" w:cs="Arial" w:eastAsia="Arial" w:hAnsi="Arial"/>
                <w:sz w:val="16"/>
                <w:szCs w:val="16"/>
                <w:color w:val="auto"/>
              </w:rPr>
              <w:t>diversity and inclusion,</w:t>
            </w:r>
          </w:p>
        </w:tc>
        <w:tc>
          <w:tcPr>
            <w:tcW w:w="20" w:type="dxa"/>
            <w:vAlign w:val="bottom"/>
            <w:shd w:val="clear" w:color="auto" w:fill="999999"/>
          </w:tcPr>
          <w:p>
            <w:pPr>
              <w:spacing w:after="0"/>
              <w:rPr>
                <w:sz w:val="15"/>
                <w:szCs w:val="15"/>
                <w:color w:val="auto"/>
              </w:rPr>
            </w:pPr>
          </w:p>
        </w:tc>
        <w:tc>
          <w:tcPr>
            <w:tcW w:w="2240" w:type="dxa"/>
            <w:vAlign w:val="bottom"/>
          </w:tcPr>
          <w:p>
            <w:pPr>
              <w:ind w:left="280"/>
              <w:spacing w:after="0" w:line="181" w:lineRule="exact"/>
              <w:rPr>
                <w:sz w:val="20"/>
                <w:szCs w:val="20"/>
                <w:color w:val="auto"/>
              </w:rPr>
            </w:pPr>
            <w:r>
              <w:rPr>
                <w:rFonts w:ascii="Arial" w:cs="Arial" w:eastAsia="Arial" w:hAnsi="Arial"/>
                <w:sz w:val="16"/>
                <w:szCs w:val="16"/>
                <w:color w:val="auto"/>
              </w:rPr>
              <w:t>independence,</w:t>
            </w:r>
          </w:p>
        </w:tc>
        <w:tc>
          <w:tcPr>
            <w:tcW w:w="20" w:type="dxa"/>
            <w:vAlign w:val="bottom"/>
            <w:shd w:val="clear" w:color="auto" w:fill="999999"/>
          </w:tcPr>
          <w:p>
            <w:pPr>
              <w:spacing w:after="0"/>
              <w:rPr>
                <w:sz w:val="15"/>
                <w:szCs w:val="15"/>
                <w:color w:val="auto"/>
              </w:rPr>
            </w:pPr>
          </w:p>
        </w:tc>
        <w:tc>
          <w:tcPr>
            <w:tcW w:w="1860" w:type="dxa"/>
            <w:vAlign w:val="bottom"/>
          </w:tcPr>
          <w:p>
            <w:pPr>
              <w:ind w:left="280"/>
              <w:spacing w:after="0" w:line="181" w:lineRule="exact"/>
              <w:rPr>
                <w:sz w:val="20"/>
                <w:szCs w:val="20"/>
                <w:color w:val="auto"/>
              </w:rPr>
            </w:pPr>
            <w:r>
              <w:rPr>
                <w:rFonts w:ascii="Arial" w:cs="Arial" w:eastAsia="Arial" w:hAnsi="Arial"/>
                <w:sz w:val="16"/>
                <w:szCs w:val="16"/>
                <w:color w:val="auto"/>
                <w:w w:val="99"/>
              </w:rPr>
              <w:t>policies and programs</w:t>
            </w:r>
          </w:p>
        </w:tc>
        <w:tc>
          <w:tcPr>
            <w:tcW w:w="0" w:type="dxa"/>
            <w:vAlign w:val="bottom"/>
          </w:tcPr>
          <w:p>
            <w:pPr>
              <w:spacing w:after="0"/>
              <w:rPr>
                <w:sz w:val="1"/>
                <w:szCs w:val="1"/>
                <w:color w:val="auto"/>
              </w:rPr>
            </w:pPr>
          </w:p>
        </w:tc>
      </w:tr>
      <w:tr>
        <w:trPr>
          <w:trHeight w:val="181"/>
        </w:trPr>
        <w:tc>
          <w:tcPr>
            <w:tcW w:w="1900" w:type="dxa"/>
            <w:vAlign w:val="bottom"/>
          </w:tcPr>
          <w:p>
            <w:pPr>
              <w:spacing w:after="0" w:line="181" w:lineRule="exact"/>
              <w:rPr>
                <w:sz w:val="20"/>
                <w:szCs w:val="20"/>
                <w:color w:val="auto"/>
              </w:rPr>
            </w:pPr>
            <w:r>
              <w:rPr>
                <w:rFonts w:ascii="Arial" w:cs="Arial" w:eastAsia="Arial" w:hAnsi="Arial"/>
                <w:sz w:val="16"/>
                <w:szCs w:val="16"/>
                <w:color w:val="auto"/>
              </w:rPr>
              <w:t>statements; compliance</w:t>
            </w:r>
          </w:p>
        </w:tc>
        <w:tc>
          <w:tcPr>
            <w:tcW w:w="20" w:type="dxa"/>
            <w:vAlign w:val="bottom"/>
            <w:shd w:val="clear" w:color="auto" w:fill="999999"/>
          </w:tcPr>
          <w:p>
            <w:pPr>
              <w:spacing w:after="0"/>
              <w:rPr>
                <w:sz w:val="15"/>
                <w:szCs w:val="15"/>
                <w:color w:val="auto"/>
              </w:rPr>
            </w:pPr>
          </w:p>
        </w:tc>
        <w:tc>
          <w:tcPr>
            <w:tcW w:w="2220" w:type="dxa"/>
            <w:vAlign w:val="bottom"/>
          </w:tcPr>
          <w:p>
            <w:pPr>
              <w:ind w:left="280"/>
              <w:spacing w:after="0" w:line="181" w:lineRule="exact"/>
              <w:rPr>
                <w:sz w:val="20"/>
                <w:szCs w:val="20"/>
                <w:color w:val="auto"/>
              </w:rPr>
            </w:pPr>
            <w:r>
              <w:rPr>
                <w:rFonts w:ascii="Arial" w:cs="Arial" w:eastAsia="Arial" w:hAnsi="Arial"/>
                <w:sz w:val="16"/>
                <w:szCs w:val="16"/>
                <w:color w:val="auto"/>
              </w:rPr>
              <w:t>oversees senior</w:t>
            </w:r>
          </w:p>
        </w:tc>
        <w:tc>
          <w:tcPr>
            <w:tcW w:w="20" w:type="dxa"/>
            <w:vAlign w:val="bottom"/>
            <w:shd w:val="clear" w:color="auto" w:fill="999999"/>
          </w:tcPr>
          <w:p>
            <w:pPr>
              <w:spacing w:after="0"/>
              <w:rPr>
                <w:sz w:val="15"/>
                <w:szCs w:val="15"/>
                <w:color w:val="auto"/>
              </w:rPr>
            </w:pPr>
          </w:p>
        </w:tc>
        <w:tc>
          <w:tcPr>
            <w:tcW w:w="2240" w:type="dxa"/>
            <w:vAlign w:val="bottom"/>
          </w:tcPr>
          <w:p>
            <w:pPr>
              <w:ind w:left="280"/>
              <w:spacing w:after="0" w:line="181" w:lineRule="exact"/>
              <w:rPr>
                <w:sz w:val="20"/>
                <w:szCs w:val="20"/>
                <w:color w:val="auto"/>
              </w:rPr>
            </w:pPr>
            <w:r>
              <w:rPr>
                <w:rFonts w:ascii="Arial" w:cs="Arial" w:eastAsia="Arial" w:hAnsi="Arial"/>
                <w:sz w:val="16"/>
                <w:szCs w:val="16"/>
                <w:color w:val="auto"/>
              </w:rPr>
              <w:t>committee functions and</w:t>
            </w:r>
          </w:p>
        </w:tc>
        <w:tc>
          <w:tcPr>
            <w:tcW w:w="20" w:type="dxa"/>
            <w:vAlign w:val="bottom"/>
            <w:shd w:val="clear" w:color="auto" w:fill="999999"/>
          </w:tcPr>
          <w:p>
            <w:pPr>
              <w:spacing w:after="0"/>
              <w:rPr>
                <w:sz w:val="15"/>
                <w:szCs w:val="15"/>
                <w:color w:val="auto"/>
              </w:rPr>
            </w:pPr>
          </w:p>
        </w:tc>
        <w:tc>
          <w:tcPr>
            <w:tcW w:w="1860" w:type="dxa"/>
            <w:vAlign w:val="bottom"/>
          </w:tcPr>
          <w:p>
            <w:pPr>
              <w:ind w:left="280"/>
              <w:spacing w:after="0" w:line="181" w:lineRule="exact"/>
              <w:rPr>
                <w:sz w:val="20"/>
                <w:szCs w:val="20"/>
                <w:color w:val="auto"/>
              </w:rPr>
            </w:pPr>
            <w:r>
              <w:rPr>
                <w:rFonts w:ascii="Arial" w:cs="Arial" w:eastAsia="Arial" w:hAnsi="Arial"/>
                <w:sz w:val="16"/>
                <w:szCs w:val="16"/>
                <w:color w:val="auto"/>
                <w:w w:val="99"/>
              </w:rPr>
              <w:t>relating to competition</w:t>
            </w:r>
          </w:p>
        </w:tc>
        <w:tc>
          <w:tcPr>
            <w:tcW w:w="0" w:type="dxa"/>
            <w:vAlign w:val="bottom"/>
          </w:tcPr>
          <w:p>
            <w:pPr>
              <w:spacing w:after="0"/>
              <w:rPr>
                <w:sz w:val="1"/>
                <w:szCs w:val="1"/>
                <w:color w:val="auto"/>
              </w:rPr>
            </w:pPr>
          </w:p>
        </w:tc>
      </w:tr>
      <w:tr>
        <w:trPr>
          <w:trHeight w:val="181"/>
        </w:trPr>
        <w:tc>
          <w:tcPr>
            <w:tcW w:w="1900" w:type="dxa"/>
            <w:vAlign w:val="bottom"/>
          </w:tcPr>
          <w:p>
            <w:pPr>
              <w:spacing w:after="0" w:line="181" w:lineRule="exact"/>
              <w:rPr>
                <w:sz w:val="20"/>
                <w:szCs w:val="20"/>
                <w:color w:val="auto"/>
              </w:rPr>
            </w:pPr>
            <w:r>
              <w:rPr>
                <w:rFonts w:ascii="Arial" w:cs="Arial" w:eastAsia="Arial" w:hAnsi="Arial"/>
                <w:sz w:val="16"/>
                <w:szCs w:val="16"/>
                <w:color w:val="auto"/>
              </w:rPr>
              <w:t>with legal and</w:t>
            </w:r>
          </w:p>
        </w:tc>
        <w:tc>
          <w:tcPr>
            <w:tcW w:w="20" w:type="dxa"/>
            <w:vAlign w:val="bottom"/>
            <w:shd w:val="clear" w:color="auto" w:fill="999999"/>
          </w:tcPr>
          <w:p>
            <w:pPr>
              <w:spacing w:after="0"/>
              <w:rPr>
                <w:sz w:val="15"/>
                <w:szCs w:val="15"/>
                <w:color w:val="auto"/>
              </w:rPr>
            </w:pPr>
          </w:p>
        </w:tc>
        <w:tc>
          <w:tcPr>
            <w:tcW w:w="2220" w:type="dxa"/>
            <w:vAlign w:val="bottom"/>
          </w:tcPr>
          <w:p>
            <w:pPr>
              <w:ind w:left="280"/>
              <w:spacing w:after="0" w:line="181" w:lineRule="exact"/>
              <w:rPr>
                <w:sz w:val="20"/>
                <w:szCs w:val="20"/>
                <w:color w:val="auto"/>
              </w:rPr>
            </w:pPr>
            <w:r>
              <w:rPr>
                <w:rFonts w:ascii="Arial" w:cs="Arial" w:eastAsia="Arial" w:hAnsi="Arial"/>
                <w:sz w:val="16"/>
                <w:szCs w:val="16"/>
                <w:color w:val="auto"/>
              </w:rPr>
              <w:t>management succession</w:t>
            </w:r>
          </w:p>
        </w:tc>
        <w:tc>
          <w:tcPr>
            <w:tcW w:w="20" w:type="dxa"/>
            <w:vAlign w:val="bottom"/>
            <w:shd w:val="clear" w:color="auto" w:fill="999999"/>
          </w:tcPr>
          <w:p>
            <w:pPr>
              <w:spacing w:after="0"/>
              <w:rPr>
                <w:sz w:val="15"/>
                <w:szCs w:val="15"/>
                <w:color w:val="auto"/>
              </w:rPr>
            </w:pPr>
          </w:p>
        </w:tc>
        <w:tc>
          <w:tcPr>
            <w:tcW w:w="2240" w:type="dxa"/>
            <w:vAlign w:val="bottom"/>
          </w:tcPr>
          <w:p>
            <w:pPr>
              <w:ind w:left="280"/>
              <w:spacing w:after="0" w:line="181" w:lineRule="exact"/>
              <w:rPr>
                <w:sz w:val="20"/>
                <w:szCs w:val="20"/>
                <w:color w:val="auto"/>
              </w:rPr>
            </w:pPr>
            <w:r>
              <w:rPr>
                <w:rFonts w:ascii="Arial" w:cs="Arial" w:eastAsia="Arial" w:hAnsi="Arial"/>
                <w:sz w:val="16"/>
                <w:szCs w:val="16"/>
                <w:color w:val="auto"/>
              </w:rPr>
              <w:t>charters, adherence to</w:t>
            </w:r>
          </w:p>
        </w:tc>
        <w:tc>
          <w:tcPr>
            <w:tcW w:w="20" w:type="dxa"/>
            <w:vAlign w:val="bottom"/>
            <w:shd w:val="clear" w:color="auto" w:fill="999999"/>
          </w:tcPr>
          <w:p>
            <w:pPr>
              <w:spacing w:after="0"/>
              <w:rPr>
                <w:sz w:val="15"/>
                <w:szCs w:val="15"/>
                <w:color w:val="auto"/>
              </w:rPr>
            </w:pPr>
          </w:p>
        </w:tc>
        <w:tc>
          <w:tcPr>
            <w:tcW w:w="1860" w:type="dxa"/>
            <w:vAlign w:val="bottom"/>
          </w:tcPr>
          <w:p>
            <w:pPr>
              <w:ind w:left="280"/>
              <w:spacing w:after="0" w:line="181" w:lineRule="exact"/>
              <w:rPr>
                <w:sz w:val="20"/>
                <w:szCs w:val="20"/>
                <w:color w:val="auto"/>
              </w:rPr>
            </w:pPr>
            <w:r>
              <w:rPr>
                <w:rFonts w:ascii="Arial" w:cs="Arial" w:eastAsia="Arial" w:hAnsi="Arial"/>
                <w:sz w:val="16"/>
                <w:szCs w:val="16"/>
                <w:color w:val="auto"/>
              </w:rPr>
              <w:t>and antitrust, privacy,</w:t>
            </w:r>
          </w:p>
        </w:tc>
        <w:tc>
          <w:tcPr>
            <w:tcW w:w="0" w:type="dxa"/>
            <w:vAlign w:val="bottom"/>
          </w:tcPr>
          <w:p>
            <w:pPr>
              <w:spacing w:after="0"/>
              <w:rPr>
                <w:sz w:val="1"/>
                <w:szCs w:val="1"/>
                <w:color w:val="auto"/>
              </w:rPr>
            </w:pPr>
          </w:p>
        </w:tc>
      </w:tr>
      <w:tr>
        <w:trPr>
          <w:trHeight w:val="181"/>
        </w:trPr>
        <w:tc>
          <w:tcPr>
            <w:tcW w:w="1900" w:type="dxa"/>
            <w:vAlign w:val="bottom"/>
          </w:tcPr>
          <w:p>
            <w:pPr>
              <w:spacing w:after="0" w:line="181" w:lineRule="exact"/>
              <w:rPr>
                <w:sz w:val="20"/>
                <w:szCs w:val="20"/>
                <w:color w:val="auto"/>
              </w:rPr>
            </w:pPr>
            <w:r>
              <w:rPr>
                <w:rFonts w:ascii="Arial" w:cs="Arial" w:eastAsia="Arial" w:hAnsi="Arial"/>
                <w:sz w:val="16"/>
                <w:szCs w:val="16"/>
                <w:color w:val="auto"/>
              </w:rPr>
              <w:t>regulatory requirements</w:t>
            </w:r>
          </w:p>
        </w:tc>
        <w:tc>
          <w:tcPr>
            <w:tcW w:w="20" w:type="dxa"/>
            <w:vAlign w:val="bottom"/>
            <w:shd w:val="clear" w:color="auto" w:fill="999999"/>
          </w:tcPr>
          <w:p>
            <w:pPr>
              <w:spacing w:after="0"/>
              <w:rPr>
                <w:sz w:val="15"/>
                <w:szCs w:val="15"/>
                <w:color w:val="auto"/>
              </w:rPr>
            </w:pPr>
          </w:p>
        </w:tc>
        <w:tc>
          <w:tcPr>
            <w:tcW w:w="2220" w:type="dxa"/>
            <w:vAlign w:val="bottom"/>
          </w:tcPr>
          <w:p>
            <w:pPr>
              <w:ind w:left="280"/>
              <w:spacing w:after="0" w:line="181" w:lineRule="exact"/>
              <w:rPr>
                <w:sz w:val="20"/>
                <w:szCs w:val="20"/>
                <w:color w:val="auto"/>
              </w:rPr>
            </w:pPr>
            <w:r>
              <w:rPr>
                <w:rFonts w:ascii="Arial" w:cs="Arial" w:eastAsia="Arial" w:hAnsi="Arial"/>
                <w:sz w:val="16"/>
                <w:szCs w:val="16"/>
                <w:color w:val="auto"/>
              </w:rPr>
              <w:t>planning and</w:t>
            </w:r>
          </w:p>
        </w:tc>
        <w:tc>
          <w:tcPr>
            <w:tcW w:w="20" w:type="dxa"/>
            <w:vAlign w:val="bottom"/>
            <w:shd w:val="clear" w:color="auto" w:fill="999999"/>
          </w:tcPr>
          <w:p>
            <w:pPr>
              <w:spacing w:after="0"/>
              <w:rPr>
                <w:sz w:val="15"/>
                <w:szCs w:val="15"/>
                <w:color w:val="auto"/>
              </w:rPr>
            </w:pPr>
          </w:p>
        </w:tc>
        <w:tc>
          <w:tcPr>
            <w:tcW w:w="2240" w:type="dxa"/>
            <w:vAlign w:val="bottom"/>
          </w:tcPr>
          <w:p>
            <w:pPr>
              <w:ind w:left="280"/>
              <w:spacing w:after="0" w:line="181" w:lineRule="exact"/>
              <w:rPr>
                <w:sz w:val="20"/>
                <w:szCs w:val="20"/>
                <w:color w:val="auto"/>
              </w:rPr>
            </w:pPr>
            <w:r>
              <w:rPr>
                <w:rFonts w:ascii="Arial" w:cs="Arial" w:eastAsia="Arial" w:hAnsi="Arial"/>
                <w:sz w:val="16"/>
                <w:szCs w:val="16"/>
                <w:color w:val="auto"/>
              </w:rPr>
              <w:t>our corporate</w:t>
            </w:r>
          </w:p>
        </w:tc>
        <w:tc>
          <w:tcPr>
            <w:tcW w:w="20" w:type="dxa"/>
            <w:vAlign w:val="bottom"/>
            <w:shd w:val="clear" w:color="auto" w:fill="999999"/>
          </w:tcPr>
          <w:p>
            <w:pPr>
              <w:spacing w:after="0"/>
              <w:rPr>
                <w:sz w:val="15"/>
                <w:szCs w:val="15"/>
                <w:color w:val="auto"/>
              </w:rPr>
            </w:pPr>
          </w:p>
        </w:tc>
        <w:tc>
          <w:tcPr>
            <w:tcW w:w="1860" w:type="dxa"/>
            <w:vAlign w:val="bottom"/>
          </w:tcPr>
          <w:p>
            <w:pPr>
              <w:ind w:left="280"/>
              <w:spacing w:after="0" w:line="181" w:lineRule="exact"/>
              <w:rPr>
                <w:sz w:val="20"/>
                <w:szCs w:val="20"/>
                <w:color w:val="auto"/>
              </w:rPr>
            </w:pPr>
            <w:r>
              <w:rPr>
                <w:rFonts w:ascii="Arial" w:cs="Arial" w:eastAsia="Arial" w:hAnsi="Arial"/>
                <w:sz w:val="16"/>
                <w:szCs w:val="16"/>
                <w:color w:val="auto"/>
              </w:rPr>
              <w:t>trade, digital safety,</w:t>
            </w:r>
          </w:p>
        </w:tc>
        <w:tc>
          <w:tcPr>
            <w:tcW w:w="0" w:type="dxa"/>
            <w:vAlign w:val="bottom"/>
          </w:tcPr>
          <w:p>
            <w:pPr>
              <w:spacing w:after="0"/>
              <w:rPr>
                <w:sz w:val="1"/>
                <w:szCs w:val="1"/>
                <w:color w:val="auto"/>
              </w:rPr>
            </w:pPr>
          </w:p>
        </w:tc>
      </w:tr>
      <w:tr>
        <w:trPr>
          <w:trHeight w:val="181"/>
        </w:trPr>
        <w:tc>
          <w:tcPr>
            <w:tcW w:w="1900" w:type="dxa"/>
            <w:vAlign w:val="bottom"/>
          </w:tcPr>
          <w:p>
            <w:pPr>
              <w:spacing w:after="0" w:line="181" w:lineRule="exact"/>
              <w:rPr>
                <w:sz w:val="20"/>
                <w:szCs w:val="20"/>
                <w:color w:val="auto"/>
              </w:rPr>
            </w:pPr>
            <w:r>
              <w:rPr>
                <w:rFonts w:ascii="Arial" w:cs="Arial" w:eastAsia="Arial" w:hAnsi="Arial"/>
                <w:sz w:val="16"/>
                <w:szCs w:val="16"/>
                <w:color w:val="auto"/>
              </w:rPr>
              <w:t>and corporate policies</w:t>
            </w:r>
          </w:p>
        </w:tc>
        <w:tc>
          <w:tcPr>
            <w:tcW w:w="20" w:type="dxa"/>
            <w:vAlign w:val="bottom"/>
            <w:shd w:val="clear" w:color="auto" w:fill="999999"/>
          </w:tcPr>
          <w:p>
            <w:pPr>
              <w:spacing w:after="0"/>
              <w:rPr>
                <w:sz w:val="15"/>
                <w:szCs w:val="15"/>
                <w:color w:val="auto"/>
              </w:rPr>
            </w:pPr>
          </w:p>
        </w:tc>
        <w:tc>
          <w:tcPr>
            <w:tcW w:w="2220" w:type="dxa"/>
            <w:vAlign w:val="bottom"/>
          </w:tcPr>
          <w:p>
            <w:pPr>
              <w:ind w:left="280"/>
              <w:spacing w:after="0" w:line="181" w:lineRule="exact"/>
              <w:rPr>
                <w:sz w:val="20"/>
                <w:szCs w:val="20"/>
                <w:color w:val="auto"/>
              </w:rPr>
            </w:pPr>
            <w:r>
              <w:rPr>
                <w:rFonts w:ascii="Arial" w:cs="Arial" w:eastAsia="Arial" w:hAnsi="Arial"/>
                <w:sz w:val="16"/>
                <w:szCs w:val="16"/>
                <w:color w:val="auto"/>
              </w:rPr>
              <w:t>compensation, and</w:t>
            </w:r>
          </w:p>
        </w:tc>
        <w:tc>
          <w:tcPr>
            <w:tcW w:w="20" w:type="dxa"/>
            <w:vAlign w:val="bottom"/>
            <w:shd w:val="clear" w:color="auto" w:fill="999999"/>
          </w:tcPr>
          <w:p>
            <w:pPr>
              <w:spacing w:after="0"/>
              <w:rPr>
                <w:sz w:val="15"/>
                <w:szCs w:val="15"/>
                <w:color w:val="auto"/>
              </w:rPr>
            </w:pPr>
          </w:p>
        </w:tc>
        <w:tc>
          <w:tcPr>
            <w:tcW w:w="2240" w:type="dxa"/>
            <w:vAlign w:val="bottom"/>
          </w:tcPr>
          <w:p>
            <w:pPr>
              <w:ind w:left="280"/>
              <w:spacing w:after="0" w:line="181" w:lineRule="exact"/>
              <w:rPr>
                <w:sz w:val="20"/>
                <w:szCs w:val="20"/>
                <w:color w:val="auto"/>
              </w:rPr>
            </w:pPr>
            <w:r>
              <w:rPr>
                <w:rFonts w:ascii="Arial" w:cs="Arial" w:eastAsia="Arial" w:hAnsi="Arial"/>
                <w:sz w:val="16"/>
                <w:szCs w:val="16"/>
                <w:color w:val="auto"/>
              </w:rPr>
              <w:t>governance framework,</w:t>
            </w:r>
          </w:p>
        </w:tc>
        <w:tc>
          <w:tcPr>
            <w:tcW w:w="20" w:type="dxa"/>
            <w:vAlign w:val="bottom"/>
            <w:shd w:val="clear" w:color="auto" w:fill="999999"/>
          </w:tcPr>
          <w:p>
            <w:pPr>
              <w:spacing w:after="0"/>
              <w:rPr>
                <w:sz w:val="15"/>
                <w:szCs w:val="15"/>
                <w:color w:val="auto"/>
              </w:rPr>
            </w:pPr>
          </w:p>
        </w:tc>
        <w:tc>
          <w:tcPr>
            <w:tcW w:w="1860" w:type="dxa"/>
            <w:vAlign w:val="bottom"/>
          </w:tcPr>
          <w:p>
            <w:pPr>
              <w:ind w:left="280"/>
              <w:spacing w:after="0" w:line="181" w:lineRule="exact"/>
              <w:rPr>
                <w:sz w:val="20"/>
                <w:szCs w:val="20"/>
                <w:color w:val="auto"/>
              </w:rPr>
            </w:pPr>
            <w:r>
              <w:rPr>
                <w:rFonts w:ascii="Arial" w:cs="Arial" w:eastAsia="Arial" w:hAnsi="Arial"/>
                <w:sz w:val="16"/>
                <w:szCs w:val="16"/>
                <w:color w:val="auto"/>
              </w:rPr>
              <w:t>artificial intelligence,</w:t>
            </w:r>
          </w:p>
        </w:tc>
        <w:tc>
          <w:tcPr>
            <w:tcW w:w="0" w:type="dxa"/>
            <w:vAlign w:val="bottom"/>
          </w:tcPr>
          <w:p>
            <w:pPr>
              <w:spacing w:after="0"/>
              <w:rPr>
                <w:sz w:val="1"/>
                <w:szCs w:val="1"/>
                <w:color w:val="auto"/>
              </w:rPr>
            </w:pPr>
          </w:p>
        </w:tc>
      </w:tr>
      <w:tr>
        <w:trPr>
          <w:trHeight w:val="181"/>
        </w:trPr>
        <w:tc>
          <w:tcPr>
            <w:tcW w:w="1900" w:type="dxa"/>
            <w:vAlign w:val="bottom"/>
          </w:tcPr>
          <w:p>
            <w:pPr>
              <w:spacing w:after="0" w:line="181" w:lineRule="exact"/>
              <w:rPr>
                <w:sz w:val="20"/>
                <w:szCs w:val="20"/>
                <w:color w:val="auto"/>
              </w:rPr>
            </w:pPr>
            <w:r>
              <w:rPr>
                <w:rFonts w:ascii="Arial" w:cs="Arial" w:eastAsia="Arial" w:hAnsi="Arial"/>
                <w:sz w:val="16"/>
                <w:szCs w:val="16"/>
                <w:color w:val="auto"/>
              </w:rPr>
              <w:t>and controls, including</w:t>
            </w:r>
          </w:p>
        </w:tc>
        <w:tc>
          <w:tcPr>
            <w:tcW w:w="20" w:type="dxa"/>
            <w:vAlign w:val="bottom"/>
            <w:shd w:val="clear" w:color="auto" w:fill="999999"/>
          </w:tcPr>
          <w:p>
            <w:pPr>
              <w:spacing w:after="0"/>
              <w:rPr>
                <w:sz w:val="15"/>
                <w:szCs w:val="15"/>
                <w:color w:val="auto"/>
              </w:rPr>
            </w:pPr>
          </w:p>
        </w:tc>
        <w:tc>
          <w:tcPr>
            <w:tcW w:w="2220" w:type="dxa"/>
            <w:vAlign w:val="bottom"/>
          </w:tcPr>
          <w:p>
            <w:pPr>
              <w:ind w:left="280"/>
              <w:spacing w:after="0" w:line="181" w:lineRule="exact"/>
              <w:rPr>
                <w:sz w:val="20"/>
                <w:szCs w:val="20"/>
                <w:color w:val="auto"/>
              </w:rPr>
            </w:pPr>
            <w:r>
              <w:rPr>
                <w:rFonts w:ascii="Arial" w:cs="Arial" w:eastAsia="Arial" w:hAnsi="Arial"/>
                <w:sz w:val="16"/>
                <w:szCs w:val="16"/>
                <w:color w:val="auto"/>
              </w:rPr>
              <w:t>advises the Board on</w:t>
            </w:r>
          </w:p>
        </w:tc>
        <w:tc>
          <w:tcPr>
            <w:tcW w:w="20" w:type="dxa"/>
            <w:vAlign w:val="bottom"/>
            <w:shd w:val="clear" w:color="auto" w:fill="999999"/>
          </w:tcPr>
          <w:p>
            <w:pPr>
              <w:spacing w:after="0"/>
              <w:rPr>
                <w:sz w:val="15"/>
                <w:szCs w:val="15"/>
                <w:color w:val="auto"/>
              </w:rPr>
            </w:pPr>
          </w:p>
        </w:tc>
        <w:tc>
          <w:tcPr>
            <w:tcW w:w="2240" w:type="dxa"/>
            <w:vAlign w:val="bottom"/>
          </w:tcPr>
          <w:p>
            <w:pPr>
              <w:ind w:left="280"/>
              <w:spacing w:after="0" w:line="181" w:lineRule="exact"/>
              <w:rPr>
                <w:sz w:val="20"/>
                <w:szCs w:val="20"/>
                <w:color w:val="auto"/>
              </w:rPr>
            </w:pPr>
            <w:r>
              <w:rPr>
                <w:rFonts w:ascii="Arial" w:cs="Arial" w:eastAsia="Arial" w:hAnsi="Arial"/>
                <w:sz w:val="16"/>
                <w:szCs w:val="16"/>
                <w:color w:val="auto"/>
              </w:rPr>
              <w:t>and other corporate</w:t>
            </w:r>
          </w:p>
        </w:tc>
        <w:tc>
          <w:tcPr>
            <w:tcW w:w="20" w:type="dxa"/>
            <w:vAlign w:val="bottom"/>
            <w:shd w:val="clear" w:color="auto" w:fill="999999"/>
          </w:tcPr>
          <w:p>
            <w:pPr>
              <w:spacing w:after="0"/>
              <w:rPr>
                <w:sz w:val="15"/>
                <w:szCs w:val="15"/>
                <w:color w:val="auto"/>
              </w:rPr>
            </w:pPr>
          </w:p>
        </w:tc>
        <w:tc>
          <w:tcPr>
            <w:tcW w:w="1860" w:type="dxa"/>
            <w:vAlign w:val="bottom"/>
          </w:tcPr>
          <w:p>
            <w:pPr>
              <w:ind w:left="280"/>
              <w:spacing w:after="0" w:line="181" w:lineRule="exact"/>
              <w:rPr>
                <w:sz w:val="20"/>
                <w:szCs w:val="20"/>
                <w:color w:val="auto"/>
              </w:rPr>
            </w:pPr>
            <w:r>
              <w:rPr>
                <w:rFonts w:ascii="Arial" w:cs="Arial" w:eastAsia="Arial" w:hAnsi="Arial"/>
                <w:sz w:val="16"/>
                <w:szCs w:val="16"/>
                <w:color w:val="auto"/>
              </w:rPr>
              <w:t>and environmental</w:t>
            </w:r>
          </w:p>
        </w:tc>
        <w:tc>
          <w:tcPr>
            <w:tcW w:w="0" w:type="dxa"/>
            <w:vAlign w:val="bottom"/>
          </w:tcPr>
          <w:p>
            <w:pPr>
              <w:spacing w:after="0"/>
              <w:rPr>
                <w:sz w:val="1"/>
                <w:szCs w:val="1"/>
                <w:color w:val="auto"/>
              </w:rPr>
            </w:pPr>
          </w:p>
        </w:tc>
      </w:tr>
      <w:tr>
        <w:trPr>
          <w:trHeight w:val="181"/>
        </w:trPr>
        <w:tc>
          <w:tcPr>
            <w:tcW w:w="1900" w:type="dxa"/>
            <w:vAlign w:val="bottom"/>
          </w:tcPr>
          <w:p>
            <w:pPr>
              <w:spacing w:after="0" w:line="181" w:lineRule="exact"/>
              <w:rPr>
                <w:sz w:val="20"/>
                <w:szCs w:val="20"/>
                <w:color w:val="auto"/>
              </w:rPr>
            </w:pPr>
            <w:r>
              <w:rPr>
                <w:rFonts w:ascii="Arial" w:cs="Arial" w:eastAsia="Arial" w:hAnsi="Arial"/>
                <w:sz w:val="16"/>
                <w:szCs w:val="16"/>
                <w:color w:val="auto"/>
              </w:rPr>
              <w:t>controls over financial</w:t>
            </w:r>
          </w:p>
        </w:tc>
        <w:tc>
          <w:tcPr>
            <w:tcW w:w="20" w:type="dxa"/>
            <w:vAlign w:val="bottom"/>
            <w:shd w:val="clear" w:color="auto" w:fill="999999"/>
          </w:tcPr>
          <w:p>
            <w:pPr>
              <w:spacing w:after="0"/>
              <w:rPr>
                <w:sz w:val="15"/>
                <w:szCs w:val="15"/>
                <w:color w:val="auto"/>
              </w:rPr>
            </w:pPr>
          </w:p>
        </w:tc>
        <w:tc>
          <w:tcPr>
            <w:tcW w:w="2220" w:type="dxa"/>
            <w:vAlign w:val="bottom"/>
          </w:tcPr>
          <w:p>
            <w:pPr>
              <w:ind w:left="280"/>
              <w:spacing w:after="0" w:line="181" w:lineRule="exact"/>
              <w:rPr>
                <w:sz w:val="20"/>
                <w:szCs w:val="20"/>
                <w:color w:val="auto"/>
              </w:rPr>
            </w:pPr>
            <w:r>
              <w:rPr>
                <w:rFonts w:ascii="Arial" w:cs="Arial" w:eastAsia="Arial" w:hAnsi="Arial"/>
                <w:sz w:val="16"/>
                <w:szCs w:val="16"/>
                <w:color w:val="auto"/>
              </w:rPr>
              <w:t>CEO compensation.</w:t>
            </w:r>
          </w:p>
        </w:tc>
        <w:tc>
          <w:tcPr>
            <w:tcW w:w="20" w:type="dxa"/>
            <w:vAlign w:val="bottom"/>
            <w:shd w:val="clear" w:color="auto" w:fill="999999"/>
          </w:tcPr>
          <w:p>
            <w:pPr>
              <w:spacing w:after="0"/>
              <w:rPr>
                <w:sz w:val="15"/>
                <w:szCs w:val="15"/>
                <w:color w:val="auto"/>
              </w:rPr>
            </w:pPr>
          </w:p>
        </w:tc>
        <w:tc>
          <w:tcPr>
            <w:tcW w:w="2240" w:type="dxa"/>
            <w:vAlign w:val="bottom"/>
          </w:tcPr>
          <w:p>
            <w:pPr>
              <w:ind w:left="280"/>
              <w:spacing w:after="0" w:line="181" w:lineRule="exact"/>
              <w:rPr>
                <w:sz w:val="20"/>
                <w:szCs w:val="20"/>
                <w:color w:val="auto"/>
              </w:rPr>
            </w:pPr>
            <w:r>
              <w:rPr>
                <w:rFonts w:ascii="Arial" w:cs="Arial" w:eastAsia="Arial" w:hAnsi="Arial"/>
                <w:sz w:val="16"/>
                <w:szCs w:val="16"/>
                <w:color w:val="auto"/>
              </w:rPr>
              <w:t>governance matters.</w:t>
            </w:r>
          </w:p>
        </w:tc>
        <w:tc>
          <w:tcPr>
            <w:tcW w:w="20" w:type="dxa"/>
            <w:vAlign w:val="bottom"/>
            <w:shd w:val="clear" w:color="auto" w:fill="999999"/>
          </w:tcPr>
          <w:p>
            <w:pPr>
              <w:spacing w:after="0"/>
              <w:rPr>
                <w:sz w:val="15"/>
                <w:szCs w:val="15"/>
                <w:color w:val="auto"/>
              </w:rPr>
            </w:pPr>
          </w:p>
        </w:tc>
        <w:tc>
          <w:tcPr>
            <w:tcW w:w="1860" w:type="dxa"/>
            <w:vAlign w:val="bottom"/>
          </w:tcPr>
          <w:p>
            <w:pPr>
              <w:ind w:left="280"/>
              <w:spacing w:after="0" w:line="181" w:lineRule="exact"/>
              <w:rPr>
                <w:sz w:val="20"/>
                <w:szCs w:val="20"/>
                <w:color w:val="auto"/>
              </w:rPr>
            </w:pPr>
            <w:r>
              <w:rPr>
                <w:rFonts w:ascii="Arial" w:cs="Arial" w:eastAsia="Arial" w:hAnsi="Arial"/>
                <w:sz w:val="16"/>
                <w:szCs w:val="16"/>
                <w:color w:val="auto"/>
              </w:rPr>
              <w:t>sustainability; and</w:t>
            </w:r>
          </w:p>
        </w:tc>
        <w:tc>
          <w:tcPr>
            <w:tcW w:w="0" w:type="dxa"/>
            <w:vAlign w:val="bottom"/>
          </w:tcPr>
          <w:p>
            <w:pPr>
              <w:spacing w:after="0"/>
              <w:rPr>
                <w:sz w:val="1"/>
                <w:szCs w:val="1"/>
                <w:color w:val="auto"/>
              </w:rPr>
            </w:pPr>
          </w:p>
        </w:tc>
      </w:tr>
      <w:tr>
        <w:trPr>
          <w:trHeight w:val="181"/>
        </w:trPr>
        <w:tc>
          <w:tcPr>
            <w:tcW w:w="1900" w:type="dxa"/>
            <w:vAlign w:val="bottom"/>
          </w:tcPr>
          <w:p>
            <w:pPr>
              <w:spacing w:after="0" w:line="181" w:lineRule="exact"/>
              <w:rPr>
                <w:sz w:val="20"/>
                <w:szCs w:val="20"/>
                <w:color w:val="auto"/>
              </w:rPr>
            </w:pPr>
            <w:r>
              <w:rPr>
                <w:rFonts w:ascii="Arial" w:cs="Arial" w:eastAsia="Arial" w:hAnsi="Arial"/>
                <w:sz w:val="16"/>
                <w:szCs w:val="16"/>
                <w:color w:val="auto"/>
              </w:rPr>
              <w:t>reporting, computerized</w:t>
            </w:r>
          </w:p>
        </w:tc>
        <w:tc>
          <w:tcPr>
            <w:tcW w:w="20" w:type="dxa"/>
            <w:vAlign w:val="bottom"/>
            <w:shd w:val="clear" w:color="auto" w:fill="999999"/>
          </w:tcPr>
          <w:p>
            <w:pPr>
              <w:spacing w:after="0"/>
              <w:rPr>
                <w:sz w:val="15"/>
                <w:szCs w:val="15"/>
                <w:color w:val="auto"/>
              </w:rPr>
            </w:pPr>
          </w:p>
        </w:tc>
        <w:tc>
          <w:tcPr>
            <w:tcW w:w="2220" w:type="dxa"/>
            <w:vAlign w:val="bottom"/>
          </w:tcPr>
          <w:p>
            <w:pPr>
              <w:spacing w:after="0"/>
              <w:rPr>
                <w:sz w:val="15"/>
                <w:szCs w:val="15"/>
                <w:color w:val="auto"/>
              </w:rPr>
            </w:pPr>
          </w:p>
        </w:tc>
        <w:tc>
          <w:tcPr>
            <w:tcW w:w="20" w:type="dxa"/>
            <w:vAlign w:val="bottom"/>
            <w:shd w:val="clear" w:color="auto" w:fill="999999"/>
          </w:tcPr>
          <w:p>
            <w:pPr>
              <w:spacing w:after="0"/>
              <w:rPr>
                <w:sz w:val="15"/>
                <w:szCs w:val="15"/>
                <w:color w:val="auto"/>
              </w:rPr>
            </w:pPr>
          </w:p>
        </w:tc>
        <w:tc>
          <w:tcPr>
            <w:tcW w:w="2240" w:type="dxa"/>
            <w:vAlign w:val="bottom"/>
          </w:tcPr>
          <w:p>
            <w:pPr>
              <w:spacing w:after="0"/>
              <w:rPr>
                <w:sz w:val="15"/>
                <w:szCs w:val="15"/>
                <w:color w:val="auto"/>
              </w:rPr>
            </w:pPr>
          </w:p>
        </w:tc>
        <w:tc>
          <w:tcPr>
            <w:tcW w:w="20" w:type="dxa"/>
            <w:vAlign w:val="bottom"/>
            <w:shd w:val="clear" w:color="auto" w:fill="999999"/>
          </w:tcPr>
          <w:p>
            <w:pPr>
              <w:spacing w:after="0"/>
              <w:rPr>
                <w:sz w:val="15"/>
                <w:szCs w:val="15"/>
                <w:color w:val="auto"/>
              </w:rPr>
            </w:pPr>
          </w:p>
        </w:tc>
        <w:tc>
          <w:tcPr>
            <w:tcW w:w="1860" w:type="dxa"/>
            <w:vAlign w:val="bottom"/>
          </w:tcPr>
          <w:p>
            <w:pPr>
              <w:ind w:left="280"/>
              <w:spacing w:after="0" w:line="181" w:lineRule="exact"/>
              <w:rPr>
                <w:sz w:val="20"/>
                <w:szCs w:val="20"/>
                <w:color w:val="auto"/>
              </w:rPr>
            </w:pPr>
            <w:r>
              <w:rPr>
                <w:rFonts w:ascii="Arial" w:cs="Arial" w:eastAsia="Arial" w:hAnsi="Arial"/>
                <w:sz w:val="16"/>
                <w:szCs w:val="16"/>
                <w:color w:val="auto"/>
              </w:rPr>
              <w:t>reviews government</w:t>
            </w:r>
          </w:p>
        </w:tc>
        <w:tc>
          <w:tcPr>
            <w:tcW w:w="0" w:type="dxa"/>
            <w:vAlign w:val="bottom"/>
          </w:tcPr>
          <w:p>
            <w:pPr>
              <w:spacing w:after="0"/>
              <w:rPr>
                <w:sz w:val="1"/>
                <w:szCs w:val="1"/>
                <w:color w:val="auto"/>
              </w:rPr>
            </w:pPr>
          </w:p>
        </w:tc>
      </w:tr>
      <w:tr>
        <w:trPr>
          <w:trHeight w:val="181"/>
        </w:trPr>
        <w:tc>
          <w:tcPr>
            <w:tcW w:w="1900" w:type="dxa"/>
            <w:vAlign w:val="bottom"/>
          </w:tcPr>
          <w:p>
            <w:pPr>
              <w:spacing w:after="0" w:line="181" w:lineRule="exact"/>
              <w:rPr>
                <w:sz w:val="20"/>
                <w:szCs w:val="20"/>
                <w:color w:val="auto"/>
              </w:rPr>
            </w:pPr>
            <w:r>
              <w:rPr>
                <w:rFonts w:ascii="Arial" w:cs="Arial" w:eastAsia="Arial" w:hAnsi="Arial"/>
                <w:sz w:val="16"/>
                <w:szCs w:val="16"/>
                <w:color w:val="auto"/>
              </w:rPr>
              <w:t>information systems</w:t>
            </w:r>
          </w:p>
        </w:tc>
        <w:tc>
          <w:tcPr>
            <w:tcW w:w="20" w:type="dxa"/>
            <w:vAlign w:val="bottom"/>
            <w:shd w:val="clear" w:color="auto" w:fill="999999"/>
          </w:tcPr>
          <w:p>
            <w:pPr>
              <w:spacing w:after="0"/>
              <w:rPr>
                <w:sz w:val="15"/>
                <w:szCs w:val="15"/>
                <w:color w:val="auto"/>
              </w:rPr>
            </w:pPr>
          </w:p>
        </w:tc>
        <w:tc>
          <w:tcPr>
            <w:tcW w:w="2220" w:type="dxa"/>
            <w:vAlign w:val="bottom"/>
          </w:tcPr>
          <w:p>
            <w:pPr>
              <w:spacing w:after="0"/>
              <w:rPr>
                <w:sz w:val="15"/>
                <w:szCs w:val="15"/>
                <w:color w:val="auto"/>
              </w:rPr>
            </w:pPr>
          </w:p>
        </w:tc>
        <w:tc>
          <w:tcPr>
            <w:tcW w:w="20" w:type="dxa"/>
            <w:vAlign w:val="bottom"/>
            <w:shd w:val="clear" w:color="auto" w:fill="999999"/>
          </w:tcPr>
          <w:p>
            <w:pPr>
              <w:spacing w:after="0"/>
              <w:rPr>
                <w:sz w:val="15"/>
                <w:szCs w:val="15"/>
                <w:color w:val="auto"/>
              </w:rPr>
            </w:pPr>
          </w:p>
        </w:tc>
        <w:tc>
          <w:tcPr>
            <w:tcW w:w="2240" w:type="dxa"/>
            <w:vAlign w:val="bottom"/>
          </w:tcPr>
          <w:p>
            <w:pPr>
              <w:spacing w:after="0"/>
              <w:rPr>
                <w:sz w:val="15"/>
                <w:szCs w:val="15"/>
                <w:color w:val="auto"/>
              </w:rPr>
            </w:pPr>
          </w:p>
        </w:tc>
        <w:tc>
          <w:tcPr>
            <w:tcW w:w="20" w:type="dxa"/>
            <w:vAlign w:val="bottom"/>
            <w:shd w:val="clear" w:color="auto" w:fill="999999"/>
          </w:tcPr>
          <w:p>
            <w:pPr>
              <w:spacing w:after="0"/>
              <w:rPr>
                <w:sz w:val="15"/>
                <w:szCs w:val="15"/>
                <w:color w:val="auto"/>
              </w:rPr>
            </w:pPr>
          </w:p>
        </w:tc>
        <w:tc>
          <w:tcPr>
            <w:tcW w:w="1860" w:type="dxa"/>
            <w:vAlign w:val="bottom"/>
          </w:tcPr>
          <w:p>
            <w:pPr>
              <w:ind w:left="280"/>
              <w:spacing w:after="0" w:line="181" w:lineRule="exact"/>
              <w:rPr>
                <w:sz w:val="20"/>
                <w:szCs w:val="20"/>
                <w:color w:val="auto"/>
              </w:rPr>
            </w:pPr>
            <w:r>
              <w:rPr>
                <w:rFonts w:ascii="Arial" w:cs="Arial" w:eastAsia="Arial" w:hAnsi="Arial"/>
                <w:sz w:val="16"/>
                <w:szCs w:val="16"/>
                <w:color w:val="auto"/>
                <w:w w:val="99"/>
              </w:rPr>
              <w:t>relations activities and</w:t>
            </w:r>
          </w:p>
        </w:tc>
        <w:tc>
          <w:tcPr>
            <w:tcW w:w="0" w:type="dxa"/>
            <w:vAlign w:val="bottom"/>
          </w:tcPr>
          <w:p>
            <w:pPr>
              <w:spacing w:after="0"/>
              <w:rPr>
                <w:sz w:val="1"/>
                <w:szCs w:val="1"/>
                <w:color w:val="auto"/>
              </w:rPr>
            </w:pPr>
          </w:p>
        </w:tc>
      </w:tr>
      <w:tr>
        <w:trPr>
          <w:trHeight w:val="181"/>
        </w:trPr>
        <w:tc>
          <w:tcPr>
            <w:tcW w:w="1900" w:type="dxa"/>
            <w:vAlign w:val="bottom"/>
          </w:tcPr>
          <w:p>
            <w:pPr>
              <w:spacing w:after="0" w:line="181" w:lineRule="exact"/>
              <w:rPr>
                <w:sz w:val="20"/>
                <w:szCs w:val="20"/>
                <w:color w:val="auto"/>
              </w:rPr>
            </w:pPr>
            <w:r>
              <w:rPr>
                <w:rFonts w:ascii="Arial" w:cs="Arial" w:eastAsia="Arial" w:hAnsi="Arial"/>
                <w:sz w:val="16"/>
                <w:szCs w:val="16"/>
                <w:color w:val="auto"/>
              </w:rPr>
              <w:t>and security; as well as</w:t>
            </w:r>
          </w:p>
        </w:tc>
        <w:tc>
          <w:tcPr>
            <w:tcW w:w="20" w:type="dxa"/>
            <w:vAlign w:val="bottom"/>
            <w:shd w:val="clear" w:color="auto" w:fill="999999"/>
          </w:tcPr>
          <w:p>
            <w:pPr>
              <w:spacing w:after="0"/>
              <w:rPr>
                <w:sz w:val="15"/>
                <w:szCs w:val="15"/>
                <w:color w:val="auto"/>
              </w:rPr>
            </w:pPr>
          </w:p>
        </w:tc>
        <w:tc>
          <w:tcPr>
            <w:tcW w:w="2220" w:type="dxa"/>
            <w:vAlign w:val="bottom"/>
          </w:tcPr>
          <w:p>
            <w:pPr>
              <w:spacing w:after="0"/>
              <w:rPr>
                <w:sz w:val="15"/>
                <w:szCs w:val="15"/>
                <w:color w:val="auto"/>
              </w:rPr>
            </w:pPr>
          </w:p>
        </w:tc>
        <w:tc>
          <w:tcPr>
            <w:tcW w:w="20" w:type="dxa"/>
            <w:vAlign w:val="bottom"/>
            <w:shd w:val="clear" w:color="auto" w:fill="999999"/>
          </w:tcPr>
          <w:p>
            <w:pPr>
              <w:spacing w:after="0"/>
              <w:rPr>
                <w:sz w:val="15"/>
                <w:szCs w:val="15"/>
                <w:color w:val="auto"/>
              </w:rPr>
            </w:pPr>
          </w:p>
        </w:tc>
        <w:tc>
          <w:tcPr>
            <w:tcW w:w="2240" w:type="dxa"/>
            <w:vAlign w:val="bottom"/>
          </w:tcPr>
          <w:p>
            <w:pPr>
              <w:spacing w:after="0"/>
              <w:rPr>
                <w:sz w:val="15"/>
                <w:szCs w:val="15"/>
                <w:color w:val="auto"/>
              </w:rPr>
            </w:pPr>
          </w:p>
        </w:tc>
        <w:tc>
          <w:tcPr>
            <w:tcW w:w="20" w:type="dxa"/>
            <w:vAlign w:val="bottom"/>
            <w:shd w:val="clear" w:color="auto" w:fill="999999"/>
          </w:tcPr>
          <w:p>
            <w:pPr>
              <w:spacing w:after="0"/>
              <w:rPr>
                <w:sz w:val="15"/>
                <w:szCs w:val="15"/>
                <w:color w:val="auto"/>
              </w:rPr>
            </w:pPr>
          </w:p>
        </w:tc>
        <w:tc>
          <w:tcPr>
            <w:tcW w:w="1860" w:type="dxa"/>
            <w:vAlign w:val="bottom"/>
          </w:tcPr>
          <w:p>
            <w:pPr>
              <w:ind w:left="280"/>
              <w:spacing w:after="0" w:line="181" w:lineRule="exact"/>
              <w:rPr>
                <w:sz w:val="20"/>
                <w:szCs w:val="20"/>
                <w:color w:val="auto"/>
              </w:rPr>
            </w:pPr>
            <w:r>
              <w:rPr>
                <w:rFonts w:ascii="Arial" w:cs="Arial" w:eastAsia="Arial" w:hAnsi="Arial"/>
                <w:sz w:val="16"/>
                <w:szCs w:val="16"/>
                <w:color w:val="auto"/>
              </w:rPr>
              <w:t>public policy agenda.</w:t>
            </w:r>
          </w:p>
        </w:tc>
        <w:tc>
          <w:tcPr>
            <w:tcW w:w="0" w:type="dxa"/>
            <w:vAlign w:val="bottom"/>
          </w:tcPr>
          <w:p>
            <w:pPr>
              <w:spacing w:after="0"/>
              <w:rPr>
                <w:sz w:val="1"/>
                <w:szCs w:val="1"/>
                <w:color w:val="auto"/>
              </w:rPr>
            </w:pPr>
          </w:p>
        </w:tc>
      </w:tr>
      <w:tr>
        <w:trPr>
          <w:trHeight w:val="181"/>
        </w:trPr>
        <w:tc>
          <w:tcPr>
            <w:tcW w:w="1900" w:type="dxa"/>
            <w:vAlign w:val="bottom"/>
          </w:tcPr>
          <w:p>
            <w:pPr>
              <w:spacing w:after="0" w:line="181" w:lineRule="exact"/>
              <w:rPr>
                <w:sz w:val="20"/>
                <w:szCs w:val="20"/>
                <w:color w:val="auto"/>
              </w:rPr>
            </w:pPr>
            <w:r>
              <w:rPr>
                <w:rFonts w:ascii="Arial" w:cs="Arial" w:eastAsia="Arial" w:hAnsi="Arial"/>
                <w:sz w:val="16"/>
                <w:szCs w:val="16"/>
                <w:color w:val="auto"/>
              </w:rPr>
              <w:t>the independent auditor</w:t>
            </w:r>
          </w:p>
        </w:tc>
        <w:tc>
          <w:tcPr>
            <w:tcW w:w="20" w:type="dxa"/>
            <w:vAlign w:val="bottom"/>
            <w:shd w:val="clear" w:color="auto" w:fill="999999"/>
          </w:tcPr>
          <w:p>
            <w:pPr>
              <w:spacing w:after="0"/>
              <w:rPr>
                <w:sz w:val="15"/>
                <w:szCs w:val="15"/>
                <w:color w:val="auto"/>
              </w:rPr>
            </w:pPr>
          </w:p>
        </w:tc>
        <w:tc>
          <w:tcPr>
            <w:tcW w:w="2220" w:type="dxa"/>
            <w:vAlign w:val="bottom"/>
          </w:tcPr>
          <w:p>
            <w:pPr>
              <w:spacing w:after="0"/>
              <w:rPr>
                <w:sz w:val="15"/>
                <w:szCs w:val="15"/>
                <w:color w:val="auto"/>
              </w:rPr>
            </w:pPr>
          </w:p>
        </w:tc>
        <w:tc>
          <w:tcPr>
            <w:tcW w:w="20" w:type="dxa"/>
            <w:vAlign w:val="bottom"/>
            <w:shd w:val="clear" w:color="auto" w:fill="999999"/>
          </w:tcPr>
          <w:p>
            <w:pPr>
              <w:spacing w:after="0"/>
              <w:rPr>
                <w:sz w:val="15"/>
                <w:szCs w:val="15"/>
                <w:color w:val="auto"/>
              </w:rPr>
            </w:pPr>
          </w:p>
        </w:tc>
        <w:tc>
          <w:tcPr>
            <w:tcW w:w="2240" w:type="dxa"/>
            <w:vAlign w:val="bottom"/>
          </w:tcPr>
          <w:p>
            <w:pPr>
              <w:spacing w:after="0"/>
              <w:rPr>
                <w:sz w:val="15"/>
                <w:szCs w:val="15"/>
                <w:color w:val="auto"/>
              </w:rPr>
            </w:pPr>
          </w:p>
        </w:tc>
        <w:tc>
          <w:tcPr>
            <w:tcW w:w="20" w:type="dxa"/>
            <w:vAlign w:val="bottom"/>
            <w:shd w:val="clear" w:color="auto" w:fill="999999"/>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900" w:type="dxa"/>
            <w:vAlign w:val="bottom"/>
          </w:tcPr>
          <w:p>
            <w:pPr>
              <w:spacing w:after="0" w:line="181" w:lineRule="exact"/>
              <w:rPr>
                <w:sz w:val="20"/>
                <w:szCs w:val="20"/>
                <w:color w:val="auto"/>
              </w:rPr>
            </w:pPr>
            <w:r>
              <w:rPr>
                <w:rFonts w:ascii="Arial" w:cs="Arial" w:eastAsia="Arial" w:hAnsi="Arial"/>
                <w:sz w:val="16"/>
                <w:szCs w:val="16"/>
                <w:color w:val="auto"/>
              </w:rPr>
              <w:t>and internal audit</w:t>
            </w:r>
          </w:p>
        </w:tc>
        <w:tc>
          <w:tcPr>
            <w:tcW w:w="20" w:type="dxa"/>
            <w:vAlign w:val="bottom"/>
            <w:shd w:val="clear" w:color="auto" w:fill="999999"/>
          </w:tcPr>
          <w:p>
            <w:pPr>
              <w:spacing w:after="0"/>
              <w:rPr>
                <w:sz w:val="15"/>
                <w:szCs w:val="15"/>
                <w:color w:val="auto"/>
              </w:rPr>
            </w:pPr>
          </w:p>
        </w:tc>
        <w:tc>
          <w:tcPr>
            <w:tcW w:w="2220" w:type="dxa"/>
            <w:vAlign w:val="bottom"/>
          </w:tcPr>
          <w:p>
            <w:pPr>
              <w:spacing w:after="0"/>
              <w:rPr>
                <w:sz w:val="15"/>
                <w:szCs w:val="15"/>
                <w:color w:val="auto"/>
              </w:rPr>
            </w:pPr>
          </w:p>
        </w:tc>
        <w:tc>
          <w:tcPr>
            <w:tcW w:w="20" w:type="dxa"/>
            <w:vAlign w:val="bottom"/>
            <w:shd w:val="clear" w:color="auto" w:fill="999999"/>
          </w:tcPr>
          <w:p>
            <w:pPr>
              <w:spacing w:after="0"/>
              <w:rPr>
                <w:sz w:val="15"/>
                <w:szCs w:val="15"/>
                <w:color w:val="auto"/>
              </w:rPr>
            </w:pPr>
          </w:p>
        </w:tc>
        <w:tc>
          <w:tcPr>
            <w:tcW w:w="2240" w:type="dxa"/>
            <w:vAlign w:val="bottom"/>
          </w:tcPr>
          <w:p>
            <w:pPr>
              <w:spacing w:after="0"/>
              <w:rPr>
                <w:sz w:val="15"/>
                <w:szCs w:val="15"/>
                <w:color w:val="auto"/>
              </w:rPr>
            </w:pPr>
          </w:p>
        </w:tc>
        <w:tc>
          <w:tcPr>
            <w:tcW w:w="20" w:type="dxa"/>
            <w:vAlign w:val="bottom"/>
            <w:shd w:val="clear" w:color="auto" w:fill="999999"/>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900" w:type="dxa"/>
            <w:vAlign w:val="bottom"/>
          </w:tcPr>
          <w:p>
            <w:pPr>
              <w:spacing w:after="0"/>
              <w:rPr>
                <w:sz w:val="20"/>
                <w:szCs w:val="20"/>
                <w:color w:val="auto"/>
              </w:rPr>
            </w:pPr>
            <w:r>
              <w:rPr>
                <w:rFonts w:ascii="Arial" w:cs="Arial" w:eastAsia="Arial" w:hAnsi="Arial"/>
                <w:sz w:val="16"/>
                <w:szCs w:val="16"/>
                <w:color w:val="auto"/>
              </w:rPr>
              <w:t>function.</w:t>
            </w:r>
          </w:p>
        </w:tc>
        <w:tc>
          <w:tcPr>
            <w:tcW w:w="20" w:type="dxa"/>
            <w:vAlign w:val="bottom"/>
            <w:shd w:val="clear" w:color="auto" w:fill="999999"/>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shd w:val="clear" w:color="auto" w:fill="999999"/>
          </w:tcPr>
          <w:p>
            <w:pPr>
              <w:spacing w:after="0"/>
              <w:rPr>
                <w:sz w:val="16"/>
                <w:szCs w:val="16"/>
                <w:color w:val="auto"/>
              </w:rPr>
            </w:pPr>
          </w:p>
        </w:tc>
        <w:tc>
          <w:tcPr>
            <w:tcW w:w="2240" w:type="dxa"/>
            <w:vAlign w:val="bottom"/>
          </w:tcPr>
          <w:p>
            <w:pPr>
              <w:spacing w:after="0"/>
              <w:rPr>
                <w:sz w:val="16"/>
                <w:szCs w:val="16"/>
                <w:color w:val="auto"/>
              </w:rPr>
            </w:pPr>
          </w:p>
        </w:tc>
        <w:tc>
          <w:tcPr>
            <w:tcW w:w="20" w:type="dxa"/>
            <w:vAlign w:val="bottom"/>
            <w:shd w:val="clear" w:color="auto" w:fill="999999"/>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900" w:type="dxa"/>
            <w:vAlign w:val="bottom"/>
          </w:tcPr>
          <w:p>
            <w:pPr>
              <w:spacing w:after="0"/>
              <w:rPr>
                <w:sz w:val="10"/>
                <w:szCs w:val="10"/>
                <w:color w:val="auto"/>
              </w:rPr>
            </w:pPr>
          </w:p>
        </w:tc>
        <w:tc>
          <w:tcPr>
            <w:tcW w:w="20" w:type="dxa"/>
            <w:vAlign w:val="bottom"/>
            <w:shd w:val="clear" w:color="auto" w:fill="999999"/>
          </w:tcPr>
          <w:p>
            <w:pPr>
              <w:spacing w:after="0"/>
              <w:rPr>
                <w:sz w:val="10"/>
                <w:szCs w:val="10"/>
                <w:color w:val="auto"/>
              </w:rPr>
            </w:pPr>
          </w:p>
        </w:tc>
        <w:tc>
          <w:tcPr>
            <w:tcW w:w="2220" w:type="dxa"/>
            <w:vAlign w:val="bottom"/>
          </w:tcPr>
          <w:p>
            <w:pPr>
              <w:spacing w:after="0"/>
              <w:rPr>
                <w:sz w:val="10"/>
                <w:szCs w:val="10"/>
                <w:color w:val="auto"/>
              </w:rPr>
            </w:pPr>
          </w:p>
        </w:tc>
        <w:tc>
          <w:tcPr>
            <w:tcW w:w="20" w:type="dxa"/>
            <w:vAlign w:val="bottom"/>
            <w:shd w:val="clear" w:color="auto" w:fill="999999"/>
          </w:tcPr>
          <w:p>
            <w:pPr>
              <w:spacing w:after="0"/>
              <w:rPr>
                <w:sz w:val="10"/>
                <w:szCs w:val="10"/>
                <w:color w:val="auto"/>
              </w:rPr>
            </w:pPr>
          </w:p>
        </w:tc>
        <w:tc>
          <w:tcPr>
            <w:tcW w:w="2240" w:type="dxa"/>
            <w:vAlign w:val="bottom"/>
          </w:tcPr>
          <w:p>
            <w:pPr>
              <w:spacing w:after="0"/>
              <w:rPr>
                <w:sz w:val="10"/>
                <w:szCs w:val="10"/>
                <w:color w:val="auto"/>
              </w:rPr>
            </w:pPr>
          </w:p>
        </w:tc>
        <w:tc>
          <w:tcPr>
            <w:tcW w:w="20" w:type="dxa"/>
            <w:vAlign w:val="bottom"/>
            <w:shd w:val="clear" w:color="auto" w:fill="999999"/>
          </w:tcPr>
          <w:p>
            <w:pPr>
              <w:spacing w:after="0"/>
              <w:rPr>
                <w:sz w:val="10"/>
                <w:szCs w:val="10"/>
                <w:color w:val="auto"/>
              </w:rPr>
            </w:pPr>
          </w:p>
        </w:tc>
        <w:tc>
          <w:tcPr>
            <w:tcW w:w="18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ind w:left="4500"/>
        <w:spacing w:after="0"/>
        <w:rPr>
          <w:sz w:val="20"/>
          <w:szCs w:val="20"/>
          <w:color w:val="auto"/>
        </w:rPr>
      </w:pPr>
      <w:r>
        <w:rPr>
          <w:rFonts w:ascii="Arial" w:cs="Arial" w:eastAsia="Arial" w:hAnsi="Arial"/>
          <w:sz w:val="21"/>
          <w:szCs w:val="21"/>
          <w:b w:val="1"/>
          <w:bCs w:val="1"/>
          <w:color w:val="auto"/>
        </w:rPr>
        <w:t>Company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-74930</wp:posOffset>
            </wp:positionV>
            <wp:extent cx="5748020" cy="20720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48020" cy="2072005"/>
                    </a:xfrm>
                    <a:prstGeom prst="rect">
                      <a:avLst/>
                    </a:prstGeom>
                    <a:noFill/>
                  </pic:spPr>
                </pic:pic>
              </a:graphicData>
            </a:graphic>
          </wp:anchor>
        </w:drawing>
      </w:r>
    </w:p>
    <w:p>
      <w:pPr>
        <w:spacing w:after="0" w:line="213" w:lineRule="exact"/>
        <w:rPr>
          <w:sz w:val="20"/>
          <w:szCs w:val="20"/>
          <w:color w:val="auto"/>
        </w:rPr>
      </w:pPr>
    </w:p>
    <w:p>
      <w:pPr>
        <w:ind w:left="1280" w:right="739"/>
        <w:spacing w:after="0" w:line="239" w:lineRule="auto"/>
        <w:rPr>
          <w:sz w:val="20"/>
          <w:szCs w:val="20"/>
          <w:color w:val="auto"/>
        </w:rPr>
      </w:pPr>
      <w:r>
        <w:rPr>
          <w:rFonts w:ascii="Arial" w:cs="Arial" w:eastAsia="Arial" w:hAnsi="Arial"/>
          <w:sz w:val="16"/>
          <w:szCs w:val="16"/>
          <w:color w:val="auto"/>
        </w:rPr>
        <w:t>The Board, in consultation with each of its committees, oversees company management in exercising its responsibility managing risk.</w:t>
      </w:r>
    </w:p>
    <w:p>
      <w:pPr>
        <w:spacing w:after="0" w:line="113" w:lineRule="exact"/>
        <w:rPr>
          <w:sz w:val="20"/>
          <w:szCs w:val="20"/>
          <w:color w:val="auto"/>
        </w:rPr>
      </w:pPr>
    </w:p>
    <w:p>
      <w:pPr>
        <w:ind w:left="1280" w:right="259"/>
        <w:spacing w:after="0" w:line="274" w:lineRule="auto"/>
        <w:rPr>
          <w:sz w:val="20"/>
          <w:szCs w:val="20"/>
          <w:color w:val="auto"/>
        </w:rPr>
      </w:pPr>
      <w:r>
        <w:rPr>
          <w:rFonts w:ascii="Arial" w:cs="Arial" w:eastAsia="Arial" w:hAnsi="Arial"/>
          <w:sz w:val="14"/>
          <w:szCs w:val="14"/>
          <w:color w:val="auto"/>
        </w:rPr>
        <w:t>The Board of Directors relies upon senior management to supervise risk management activities within the Company. Senior management is responsible for developing a continuously improving culture of risk aware practices to identify and manage the appropriate level of risk in pursuit of our business objectives. On a regular basis, the Board and its committees engage with our senior management, our chief risk executive and our chief compliance officer, and other members of management on risk as part of broad strategic and operational discussions which encompass interrelated risks, as well as on a risk-by-risk basis. Senior management is supported in these efforts through the operation of our enterprise risk management program. The program involves the input of management, the enterprise risk organization, a risk management community within our business teams, and subject matter experts from across the Company, and drives the identification, prioritization, and mitigation of the Company’s most significant risks. In addition, risk management is supported by our compliance organization, investigatory teams, internal audit and external audit reviews, and our legal department. Microsoft has also established robust standards of business conduct that apply to all employees globally and provides numerous methods for employees to elevate risk concerns directly to management or through anonymous channels.</w:t>
      </w:r>
    </w:p>
    <w:p>
      <w:pPr>
        <w:spacing w:after="0" w:line="200" w:lineRule="exact"/>
        <w:rPr>
          <w:sz w:val="20"/>
          <w:szCs w:val="20"/>
          <w:color w:val="auto"/>
        </w:rPr>
      </w:pPr>
    </w:p>
    <w:p>
      <w:pPr>
        <w:spacing w:after="0" w:line="386"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Culture and Workplace</w:t>
      </w:r>
    </w:p>
    <w:p>
      <w:pPr>
        <w:spacing w:after="0" w:line="129" w:lineRule="exact"/>
        <w:rPr>
          <w:sz w:val="20"/>
          <w:szCs w:val="20"/>
          <w:color w:val="auto"/>
        </w:rPr>
      </w:pPr>
    </w:p>
    <w:p>
      <w:pPr>
        <w:ind w:left="1100" w:right="439"/>
        <w:spacing w:after="0" w:line="283" w:lineRule="auto"/>
        <w:rPr>
          <w:sz w:val="20"/>
          <w:szCs w:val="20"/>
          <w:color w:val="auto"/>
        </w:rPr>
      </w:pPr>
      <w:r>
        <w:rPr>
          <w:rFonts w:ascii="Arial" w:cs="Arial" w:eastAsia="Arial" w:hAnsi="Arial"/>
          <w:sz w:val="14"/>
          <w:szCs w:val="14"/>
          <w:color w:val="auto"/>
        </w:rPr>
        <w:t>Our culture isn’t what we talk or write about; it’s what we live every day. Our senior management holds itself accountable to modeling the culture we strive for. We focus on creating a respectful, rewarding, diverse, and inclusive work environment that allows our people to build meaningful careers. Key to this environment is cultivating a growth mindset, where our workforce is focused on learning, listening, and growing. We have identified four attributes that allow growth mindset to flourish:</w:t>
      </w:r>
    </w:p>
    <w:p>
      <w:pPr>
        <w:spacing w:after="0" w:line="82" w:lineRule="exact"/>
        <w:rPr>
          <w:sz w:val="20"/>
          <w:szCs w:val="20"/>
          <w:color w:val="auto"/>
        </w:rPr>
      </w:pPr>
    </w:p>
    <w:p>
      <w:pPr>
        <w:ind w:left="1260" w:hanging="158"/>
        <w:spacing w:after="0"/>
        <w:tabs>
          <w:tab w:leader="none" w:pos="12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Obsessing over what matters to our customers</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Becoming more diverse and inclusive in everything we do</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Operating as “One Microsoft” – a unified company instead of multiple siloed businesses</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Making a difference in the lives of each other, our customers, and the world around</w:t>
      </w:r>
    </w:p>
    <w:p>
      <w:pPr>
        <w:spacing w:after="0" w:line="200" w:lineRule="exact"/>
        <w:rPr>
          <w:sz w:val="20"/>
          <w:szCs w:val="20"/>
          <w:color w:val="auto"/>
        </w:rPr>
      </w:pPr>
    </w:p>
    <w:p>
      <w:pPr>
        <w:spacing w:after="0" w:line="302"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-94615</wp:posOffset>
            </wp:positionV>
            <wp:extent cx="485140" cy="984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39"/>
          </w:cols>
          <w:pgMar w:left="320" w:top="445" w:right="1440" w:bottom="871"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0075C9"/>
                <w:w w:val="89"/>
              </w:rPr>
              <w:t>1</w:t>
            </w:r>
          </w:p>
        </w:tc>
        <w:tc>
          <w:tcPr>
            <w:tcW w:w="1220" w:type="dxa"/>
            <w:vAlign w:val="bottom"/>
            <w:vMerge w:val="restart"/>
          </w:tcPr>
          <w:p>
            <w:pPr>
              <w:ind w:left="80"/>
              <w:spacing w:after="0"/>
              <w:rPr>
                <w:sz w:val="20"/>
                <w:szCs w:val="20"/>
                <w:color w:val="auto"/>
              </w:rPr>
            </w:pPr>
            <w:r>
              <w:rPr>
                <w:rFonts w:ascii="Arial" w:cs="Arial" w:eastAsia="Arial" w:hAnsi="Arial"/>
                <w:sz w:val="12"/>
                <w:szCs w:val="12"/>
                <w:color w:val="0075C9"/>
                <w:w w:val="98"/>
              </w:rPr>
              <w:t>GOVERNANCE AND</w:t>
            </w:r>
          </w:p>
        </w:tc>
        <w:tc>
          <w:tcPr>
            <w:tcW w:w="720" w:type="dxa"/>
            <w:vAlign w:val="bottom"/>
          </w:tcPr>
          <w:p>
            <w:pPr>
              <w:jc w:val="right"/>
              <w:spacing w:after="0"/>
              <w:rPr>
                <w:sz w:val="20"/>
                <w:szCs w:val="20"/>
                <w:color w:val="auto"/>
              </w:rPr>
            </w:pPr>
            <w:r>
              <w:rPr>
                <w:rFonts w:ascii="Arial" w:cs="Arial" w:eastAsia="Arial" w:hAnsi="Arial"/>
                <w:sz w:val="36"/>
                <w:szCs w:val="36"/>
                <w:color w:val="auto"/>
              </w:rPr>
              <w:t>2</w:t>
            </w:r>
          </w:p>
        </w:tc>
        <w:tc>
          <w:tcPr>
            <w:tcW w:w="1540" w:type="dxa"/>
            <w:vAlign w:val="bottom"/>
            <w:vMerge w:val="restart"/>
          </w:tcPr>
          <w:p>
            <w:pPr>
              <w:ind w:left="80"/>
              <w:spacing w:after="0"/>
              <w:rPr>
                <w:sz w:val="20"/>
                <w:szCs w:val="20"/>
                <w:color w:val="auto"/>
              </w:rPr>
            </w:pPr>
            <w:r>
              <w:rPr>
                <w:rFonts w:ascii="Arial" w:cs="Arial" w:eastAsia="Arial" w:hAnsi="Arial"/>
                <w:sz w:val="12"/>
                <w:szCs w:val="12"/>
                <w:color w:val="auto"/>
              </w:rPr>
              <w:t>NAMED</w:t>
            </w:r>
          </w:p>
        </w:tc>
        <w:tc>
          <w:tcPr>
            <w:tcW w:w="500" w:type="dxa"/>
            <w:vAlign w:val="bottom"/>
          </w:tcPr>
          <w:p>
            <w:pPr>
              <w:jc w:val="right"/>
              <w:spacing w:after="0"/>
              <w:rPr>
                <w:sz w:val="20"/>
                <w:szCs w:val="20"/>
                <w:color w:val="auto"/>
              </w:rPr>
            </w:pPr>
            <w:r>
              <w:rPr>
                <w:rFonts w:ascii="Arial" w:cs="Arial" w:eastAsia="Arial" w:hAnsi="Arial"/>
                <w:sz w:val="36"/>
                <w:szCs w:val="36"/>
                <w:color w:val="auto"/>
              </w:rPr>
              <w:t>3</w:t>
            </w:r>
          </w:p>
        </w:tc>
        <w:tc>
          <w:tcPr>
            <w:tcW w:w="980" w:type="dxa"/>
            <w:vAlign w:val="bottom"/>
            <w:vMerge w:val="restart"/>
          </w:tcPr>
          <w:p>
            <w:pPr>
              <w:ind w:left="80"/>
              <w:spacing w:after="0"/>
              <w:rPr>
                <w:sz w:val="20"/>
                <w:szCs w:val="20"/>
                <w:color w:val="auto"/>
              </w:rPr>
            </w:pPr>
            <w:r>
              <w:rPr>
                <w:rFonts w:ascii="Arial" w:cs="Arial" w:eastAsia="Arial" w:hAnsi="Arial"/>
                <w:sz w:val="12"/>
                <w:szCs w:val="12"/>
                <w:color w:val="auto"/>
              </w:rPr>
              <w:t>AUDIT</w:t>
            </w:r>
          </w:p>
        </w:tc>
        <w:tc>
          <w:tcPr>
            <w:tcW w:w="460" w:type="dxa"/>
            <w:vAlign w:val="bottom"/>
          </w:tcPr>
          <w:p>
            <w:pPr>
              <w:jc w:val="right"/>
              <w:spacing w:after="0"/>
              <w:rPr>
                <w:sz w:val="20"/>
                <w:szCs w:val="20"/>
                <w:color w:val="auto"/>
              </w:rPr>
            </w:pPr>
            <w:r>
              <w:rPr>
                <w:rFonts w:ascii="Arial" w:cs="Arial" w:eastAsia="Arial" w:hAnsi="Arial"/>
                <w:sz w:val="36"/>
                <w:szCs w:val="36"/>
                <w:color w:val="auto"/>
              </w:rPr>
              <w:t>4</w:t>
            </w:r>
          </w:p>
        </w:tc>
        <w:tc>
          <w:tcPr>
            <w:tcW w:w="1580" w:type="dxa"/>
            <w:vAlign w:val="bottom"/>
            <w:vMerge w:val="restart"/>
          </w:tcPr>
          <w:p>
            <w:pPr>
              <w:ind w:left="80"/>
              <w:spacing w:after="0"/>
              <w:rPr>
                <w:sz w:val="20"/>
                <w:szCs w:val="20"/>
                <w:color w:val="auto"/>
              </w:rPr>
            </w:pPr>
            <w:r>
              <w:rPr>
                <w:rFonts w:ascii="Arial" w:cs="Arial" w:eastAsia="Arial" w:hAnsi="Arial"/>
                <w:sz w:val="12"/>
                <w:szCs w:val="12"/>
                <w:color w:val="auto"/>
              </w:rPr>
              <w:t>PROPOSALS TO</w:t>
            </w:r>
          </w:p>
        </w:tc>
        <w:tc>
          <w:tcPr>
            <w:tcW w:w="440" w:type="dxa"/>
            <w:vAlign w:val="bottom"/>
          </w:tcPr>
          <w:p>
            <w:pPr>
              <w:jc w:val="right"/>
              <w:spacing w:after="0"/>
              <w:rPr>
                <w:sz w:val="20"/>
                <w:szCs w:val="20"/>
                <w:color w:val="auto"/>
              </w:rPr>
            </w:pPr>
            <w:r>
              <w:rPr>
                <w:rFonts w:ascii="Arial" w:cs="Arial" w:eastAsia="Arial" w:hAnsi="Arial"/>
                <w:sz w:val="36"/>
                <w:szCs w:val="36"/>
                <w:color w:val="auto"/>
              </w:rPr>
              <w:t>5</w:t>
            </w:r>
          </w:p>
        </w:tc>
        <w:tc>
          <w:tcPr>
            <w:tcW w:w="900" w:type="dxa"/>
            <w:vAlign w:val="bottom"/>
            <w:vMerge w:val="restart"/>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220" w:type="dxa"/>
            <w:vAlign w:val="bottom"/>
          </w:tcPr>
          <w:p>
            <w:pPr>
              <w:ind w:left="80"/>
              <w:spacing w:after="0" w:line="130" w:lineRule="exact"/>
              <w:rPr>
                <w:sz w:val="20"/>
                <w:szCs w:val="20"/>
                <w:color w:val="auto"/>
              </w:rPr>
            </w:pPr>
            <w:r>
              <w:rPr>
                <w:rFonts w:ascii="Arial" w:cs="Arial" w:eastAsia="Arial" w:hAnsi="Arial"/>
                <w:sz w:val="12"/>
                <w:szCs w:val="12"/>
                <w:color w:val="0075C9"/>
              </w:rPr>
              <w:t>OUR BOARD OF</w:t>
            </w:r>
          </w:p>
        </w:tc>
        <w:tc>
          <w:tcPr>
            <w:tcW w:w="720" w:type="dxa"/>
            <w:vAlign w:val="bottom"/>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460" w:type="dxa"/>
            <w:vAlign w:val="bottom"/>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40" w:type="dxa"/>
            <w:vAlign w:val="bottom"/>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0075C9"/>
              </w:rPr>
              <w:t>DIRECTORS</w:t>
            </w:r>
          </w:p>
        </w:tc>
        <w:tc>
          <w:tcPr>
            <w:tcW w:w="720" w:type="dxa"/>
            <w:vAlign w:val="bottom"/>
          </w:tcPr>
          <w:p>
            <w:pPr>
              <w:spacing w:after="0"/>
              <w:rPr>
                <w:sz w:val="12"/>
                <w:szCs w:val="12"/>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tcPr>
          <w:p>
            <w:pPr>
              <w:spacing w:after="0"/>
              <w:rPr>
                <w:sz w:val="12"/>
                <w:szCs w:val="12"/>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460" w:type="dxa"/>
            <w:vAlign w:val="bottom"/>
          </w:tcPr>
          <w:p>
            <w:pPr>
              <w:spacing w:after="0"/>
              <w:rPr>
                <w:sz w:val="12"/>
                <w:szCs w:val="12"/>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40" w:type="dxa"/>
            <w:vAlign w:val="bottom"/>
          </w:tcPr>
          <w:p>
            <w:pPr>
              <w:spacing w:after="0"/>
              <w:rPr>
                <w:sz w:val="12"/>
                <w:szCs w:val="12"/>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shd w:val="clear" w:color="auto" w:fill="0075C9"/>
          </w:tcPr>
          <w:p>
            <w:pPr>
              <w:spacing w:after="0"/>
              <w:rPr>
                <w:sz w:val="9"/>
                <w:szCs w:val="9"/>
                <w:color w:val="auto"/>
              </w:rPr>
            </w:pPr>
          </w:p>
        </w:tc>
        <w:tc>
          <w:tcPr>
            <w:tcW w:w="1220" w:type="dxa"/>
            <w:vAlign w:val="bottom"/>
            <w:shd w:val="clear" w:color="auto" w:fill="0075C9"/>
          </w:tcPr>
          <w:p>
            <w:pPr>
              <w:spacing w:after="0"/>
              <w:rPr>
                <w:sz w:val="9"/>
                <w:szCs w:val="9"/>
                <w:color w:val="auto"/>
              </w:rPr>
            </w:pPr>
          </w:p>
        </w:tc>
        <w:tc>
          <w:tcPr>
            <w:tcW w:w="7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00" w:lineRule="exact"/>
        <w:rPr>
          <w:sz w:val="20"/>
          <w:szCs w:val="20"/>
          <w:color w:val="auto"/>
        </w:rPr>
      </w:pPr>
    </w:p>
    <w:p>
      <w:pPr>
        <w:ind w:left="1100" w:right="180"/>
        <w:spacing w:after="0" w:line="237" w:lineRule="auto"/>
        <w:rPr>
          <w:sz w:val="20"/>
          <w:szCs w:val="20"/>
          <w:color w:val="auto"/>
        </w:rPr>
      </w:pPr>
      <w:r>
        <w:rPr>
          <w:rFonts w:ascii="Arial" w:cs="Arial" w:eastAsia="Arial" w:hAnsi="Arial"/>
          <w:sz w:val="16"/>
          <w:szCs w:val="16"/>
          <w:color w:val="auto"/>
        </w:rPr>
        <w:t>Our employee listening systems enable us to gather feedback directly from our workforce to inform our programs and employee needs globally. Eighty-eight percent of employees globally participated in our fiscal year 2021 MS Poll engagement survey, which covers a variety of topics such as inclusion, pay and benefits, and learning and development. Throughout the fiscal year, we also collect nearly 75,000 Daily Pulse employee survey responses. During fiscal year 2021, our Daily Pulse surveys gave us invaluable insights into ways we could support employees through the COVID-19 pandemic and addressing racial injustice. In addition to poll and pulse surveys, we gain insights through onboarding and exit surveys, internal Yammer channels, employee Q&amp;A sessions, and AskHR Service support.</w:t>
      </w:r>
    </w:p>
    <w:p>
      <w:pPr>
        <w:spacing w:after="0" w:line="101" w:lineRule="exact"/>
        <w:rPr>
          <w:sz w:val="20"/>
          <w:szCs w:val="20"/>
          <w:color w:val="auto"/>
        </w:rPr>
      </w:pPr>
    </w:p>
    <w:p>
      <w:pPr>
        <w:ind w:left="1100" w:right="280"/>
        <w:spacing w:after="0" w:line="237" w:lineRule="auto"/>
        <w:rPr>
          <w:sz w:val="20"/>
          <w:szCs w:val="20"/>
          <w:color w:val="auto"/>
        </w:rPr>
      </w:pPr>
      <w:r>
        <w:rPr>
          <w:rFonts w:ascii="Arial" w:cs="Arial" w:eastAsia="Arial" w:hAnsi="Arial"/>
          <w:sz w:val="16"/>
          <w:szCs w:val="16"/>
          <w:color w:val="auto"/>
        </w:rPr>
        <w:t>The Board and the Compensation Committee engage with senior management, including Human Resources executives, across a broad range of human capital management topics. These topics include culture, succession planning and development, compensation, benefits, employee recruiting and retention, and diversity and inclusion. Additionally, each year the Compensation and Audit Committees evaluate management’s annual assessment of risk related to our compensation policies and practices, including reviewing the work of management’s Sales Incentive Compensation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309880</wp:posOffset>
            </wp:positionV>
            <wp:extent cx="57397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Our Governance Structure</w:t>
      </w:r>
    </w:p>
    <w:p>
      <w:pPr>
        <w:spacing w:after="0" w:line="109"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Framework</w:t>
      </w:r>
    </w:p>
    <w:p>
      <w:pPr>
        <w:spacing w:after="0" w:line="129" w:lineRule="exact"/>
        <w:rPr>
          <w:sz w:val="20"/>
          <w:szCs w:val="20"/>
          <w:color w:val="auto"/>
        </w:rPr>
      </w:pPr>
    </w:p>
    <w:p>
      <w:pPr>
        <w:ind w:left="1100" w:right="140"/>
        <w:spacing w:after="0" w:line="237" w:lineRule="auto"/>
        <w:rPr>
          <w:sz w:val="20"/>
          <w:szCs w:val="20"/>
          <w:color w:val="auto"/>
        </w:rPr>
      </w:pPr>
      <w:r>
        <w:rPr>
          <w:rFonts w:ascii="Arial" w:cs="Arial" w:eastAsia="Arial" w:hAnsi="Arial"/>
          <w:sz w:val="16"/>
          <w:szCs w:val="16"/>
          <w:color w:val="auto"/>
        </w:rPr>
        <w:t>We have developed a corporate governance framework designed to ensure our Board has the authority and practices in place to review and evaluate our business operations and to make decisions independent of management. Our goal is to align the interests of directors, management, and shareholders, and comply with or exceed the requirements of the NASDAQ Stock Market, LLC (“Nasdaq”) and applicable laws and regulations. This framework establishes the practices our Board follows with respect to, among other things, Board composition and member selection, Board meetings and involvement of senior management, director compensation, CEO performance evaluation, management succession planning, and Board committees. The Board is committed to seeking opportunities for improvements on an ongoing basis. Each summer, the Board updates our corporate governance framework based on shareholder feedback, results from the annual shareholders meeting, the Board and committees’ self-assessments, governance best practices, and regulatory developments.</w:t>
      </w:r>
    </w:p>
    <w:p>
      <w:pPr>
        <w:spacing w:after="0" w:line="338" w:lineRule="exact"/>
        <w:rPr>
          <w:sz w:val="20"/>
          <w:szCs w:val="20"/>
          <w:color w:val="auto"/>
        </w:rPr>
      </w:pPr>
    </w:p>
    <w:p>
      <w:pPr>
        <w:ind w:left="3700"/>
        <w:spacing w:after="0"/>
        <w:rPr>
          <w:sz w:val="20"/>
          <w:szCs w:val="20"/>
          <w:color w:val="auto"/>
        </w:rPr>
      </w:pPr>
      <w:r>
        <w:rPr>
          <w:rFonts w:ascii="Arial" w:cs="Arial" w:eastAsia="Arial" w:hAnsi="Arial"/>
          <w:sz w:val="21"/>
          <w:szCs w:val="21"/>
          <w:b w:val="1"/>
          <w:bCs w:val="1"/>
          <w:color w:val="auto"/>
        </w:rPr>
        <w:t>Our Corporate Governance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-74930</wp:posOffset>
            </wp:positionV>
            <wp:extent cx="5748020" cy="10934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48020" cy="1093470"/>
                    </a:xfrm>
                    <a:prstGeom prst="rect">
                      <a:avLst/>
                    </a:prstGeom>
                    <a:noFill/>
                  </pic:spPr>
                </pic:pic>
              </a:graphicData>
            </a:graphic>
          </wp:anchor>
        </w:drawing>
      </w:r>
    </w:p>
    <w:p>
      <w:pPr>
        <w:spacing w:after="0" w:line="55" w:lineRule="exact"/>
        <w:rPr>
          <w:sz w:val="20"/>
          <w:szCs w:val="20"/>
          <w:color w:val="auto"/>
        </w:rPr>
      </w:pPr>
    </w:p>
    <w:p>
      <w:pPr>
        <w:ind w:left="1280"/>
        <w:spacing w:after="0"/>
        <w:tabs>
          <w:tab w:leader="none" w:pos="6240" w:val="left"/>
        </w:tabs>
        <w:rPr>
          <w:sz w:val="20"/>
          <w:szCs w:val="20"/>
          <w:color w:val="auto"/>
        </w:rPr>
      </w:pPr>
      <w:r>
        <w:rPr>
          <w:rFonts w:ascii="Arial" w:cs="Arial" w:eastAsia="Arial" w:hAnsi="Arial"/>
          <w:sz w:val="16"/>
          <w:szCs w:val="16"/>
          <w:color w:val="auto"/>
        </w:rPr>
        <w:t>• Articles of Incorporation</w:t>
      </w:r>
      <w:r>
        <w:rPr>
          <w:sz w:val="20"/>
          <w:szCs w:val="20"/>
          <w:color w:val="auto"/>
        </w:rPr>
        <w:tab/>
      </w:r>
      <w:r>
        <w:rPr>
          <w:rFonts w:ascii="Arial" w:cs="Arial" w:eastAsia="Arial" w:hAnsi="Arial"/>
          <w:sz w:val="14"/>
          <w:szCs w:val="14"/>
          <w:color w:val="auto"/>
        </w:rPr>
        <w:t>• Compensation Committee Charter</w:t>
      </w:r>
    </w:p>
    <w:p>
      <w:pPr>
        <w:ind w:left="1280"/>
        <w:spacing w:after="0"/>
        <w:tabs>
          <w:tab w:leader="none" w:pos="6240" w:val="left"/>
        </w:tabs>
        <w:rPr>
          <w:sz w:val="20"/>
          <w:szCs w:val="20"/>
          <w:color w:val="auto"/>
        </w:rPr>
      </w:pPr>
      <w:r>
        <w:rPr>
          <w:rFonts w:ascii="Arial" w:cs="Arial" w:eastAsia="Arial" w:hAnsi="Arial"/>
          <w:sz w:val="16"/>
          <w:szCs w:val="16"/>
          <w:color w:val="auto"/>
        </w:rPr>
        <w:t>• Bylaws</w:t>
      </w:r>
      <w:r>
        <w:rPr>
          <w:sz w:val="20"/>
          <w:szCs w:val="20"/>
          <w:color w:val="auto"/>
        </w:rPr>
        <w:tab/>
      </w:r>
      <w:r>
        <w:rPr>
          <w:rFonts w:ascii="Arial" w:cs="Arial" w:eastAsia="Arial" w:hAnsi="Arial"/>
          <w:sz w:val="14"/>
          <w:szCs w:val="14"/>
          <w:color w:val="auto"/>
        </w:rPr>
        <w:t>• Governance and Nominating Committee Charter</w:t>
      </w:r>
    </w:p>
    <w:p>
      <w:pPr>
        <w:ind w:left="1280"/>
        <w:spacing w:after="0"/>
        <w:tabs>
          <w:tab w:leader="none" w:pos="6240" w:val="left"/>
        </w:tabs>
        <w:rPr>
          <w:sz w:val="20"/>
          <w:szCs w:val="20"/>
          <w:color w:val="auto"/>
        </w:rPr>
      </w:pPr>
      <w:r>
        <w:rPr>
          <w:rFonts w:ascii="Arial" w:cs="Arial" w:eastAsia="Arial" w:hAnsi="Arial"/>
          <w:sz w:val="16"/>
          <w:szCs w:val="16"/>
          <w:color w:val="auto"/>
        </w:rPr>
        <w:t>• Corporate Governance Guidelines</w:t>
      </w:r>
      <w:r>
        <w:rPr>
          <w:sz w:val="20"/>
          <w:szCs w:val="20"/>
          <w:color w:val="auto"/>
        </w:rPr>
        <w:tab/>
      </w:r>
      <w:r>
        <w:rPr>
          <w:rFonts w:ascii="Arial" w:cs="Arial" w:eastAsia="Arial" w:hAnsi="Arial"/>
          <w:sz w:val="14"/>
          <w:szCs w:val="14"/>
          <w:color w:val="auto"/>
        </w:rPr>
        <w:t>• Regulatory and Public Policy Committee Charter</w:t>
      </w:r>
    </w:p>
    <w:p>
      <w:pPr>
        <w:ind w:left="1280"/>
        <w:spacing w:after="0"/>
        <w:tabs>
          <w:tab w:leader="none" w:pos="6240" w:val="left"/>
        </w:tabs>
        <w:rPr>
          <w:sz w:val="20"/>
          <w:szCs w:val="20"/>
          <w:color w:val="auto"/>
        </w:rPr>
      </w:pPr>
      <w:r>
        <w:rPr>
          <w:rFonts w:ascii="Arial" w:cs="Arial" w:eastAsia="Arial" w:hAnsi="Arial"/>
          <w:sz w:val="16"/>
          <w:szCs w:val="16"/>
          <w:color w:val="auto"/>
        </w:rPr>
        <w:t>• Director Independence Guidelines</w:t>
      </w:r>
      <w:r>
        <w:rPr>
          <w:sz w:val="20"/>
          <w:szCs w:val="20"/>
          <w:color w:val="auto"/>
        </w:rPr>
        <w:tab/>
      </w:r>
      <w:r>
        <w:rPr>
          <w:rFonts w:ascii="Arial" w:cs="Arial" w:eastAsia="Arial" w:hAnsi="Arial"/>
          <w:sz w:val="14"/>
          <w:szCs w:val="14"/>
          <w:color w:val="auto"/>
        </w:rPr>
        <w:t>• Executive Stock Ownership Policy</w:t>
      </w:r>
    </w:p>
    <w:p>
      <w:pPr>
        <w:ind w:left="1280"/>
        <w:spacing w:after="0"/>
        <w:tabs>
          <w:tab w:leader="none" w:pos="6240" w:val="left"/>
        </w:tabs>
        <w:rPr>
          <w:sz w:val="20"/>
          <w:szCs w:val="20"/>
          <w:color w:val="auto"/>
        </w:rPr>
      </w:pPr>
      <w:r>
        <w:rPr>
          <w:rFonts w:ascii="Arial" w:cs="Arial" w:eastAsia="Arial" w:hAnsi="Arial"/>
          <w:sz w:val="16"/>
          <w:szCs w:val="16"/>
          <w:color w:val="auto"/>
        </w:rPr>
        <w:t>• Microsoft Finance Code of Professional Conduct</w:t>
      </w:r>
      <w:r>
        <w:rPr>
          <w:sz w:val="20"/>
          <w:szCs w:val="20"/>
          <w:color w:val="auto"/>
        </w:rPr>
        <w:tab/>
      </w:r>
      <w:r>
        <w:rPr>
          <w:rFonts w:ascii="Arial" w:cs="Arial" w:eastAsia="Arial" w:hAnsi="Arial"/>
          <w:sz w:val="14"/>
          <w:szCs w:val="14"/>
          <w:color w:val="auto"/>
        </w:rPr>
        <w:t>• Executive Compensation Recovery Policy</w:t>
      </w:r>
    </w:p>
    <w:p>
      <w:pPr>
        <w:ind w:left="1280"/>
        <w:spacing w:after="0"/>
        <w:tabs>
          <w:tab w:leader="none" w:pos="6240" w:val="left"/>
        </w:tabs>
        <w:rPr>
          <w:sz w:val="20"/>
          <w:szCs w:val="20"/>
          <w:color w:val="auto"/>
        </w:rPr>
      </w:pPr>
      <w:r>
        <w:rPr>
          <w:rFonts w:ascii="Arial" w:cs="Arial" w:eastAsia="Arial" w:hAnsi="Arial"/>
          <w:sz w:val="16"/>
          <w:szCs w:val="16"/>
          <w:color w:val="auto"/>
        </w:rPr>
        <w:t>• Microsoft Standards of Business Conduct</w:t>
      </w:r>
      <w:r>
        <w:rPr>
          <w:sz w:val="20"/>
          <w:szCs w:val="20"/>
          <w:color w:val="auto"/>
        </w:rPr>
        <w:tab/>
      </w:r>
      <w:r>
        <w:rPr>
          <w:rFonts w:ascii="Arial" w:cs="Arial" w:eastAsia="Arial" w:hAnsi="Arial"/>
          <w:sz w:val="14"/>
          <w:szCs w:val="14"/>
          <w:color w:val="auto"/>
        </w:rPr>
        <w:t>• Compensation Consultant Independence Standards</w:t>
      </w:r>
    </w:p>
    <w:p>
      <w:pPr>
        <w:ind w:left="1280"/>
        <w:spacing w:after="0"/>
        <w:rPr>
          <w:sz w:val="20"/>
          <w:szCs w:val="20"/>
          <w:color w:val="auto"/>
        </w:rPr>
      </w:pPr>
      <w:r>
        <w:rPr>
          <w:rFonts w:ascii="Arial" w:cs="Arial" w:eastAsia="Arial" w:hAnsi="Arial"/>
          <w:sz w:val="16"/>
          <w:szCs w:val="16"/>
          <w:color w:val="auto"/>
        </w:rPr>
        <w:t>• Audit Committee Charter and Responsibilities Calendar</w:t>
      </w:r>
    </w:p>
    <w:p>
      <w:pPr>
        <w:spacing w:after="0" w:line="360"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 xml:space="preserve">These documents are available on our website at </w:t>
      </w:r>
      <w:r>
        <w:rPr>
          <w:rFonts w:ascii="Arial" w:cs="Arial" w:eastAsia="Arial" w:hAnsi="Arial"/>
          <w:sz w:val="16"/>
          <w:szCs w:val="16"/>
          <w:u w:val="single" w:color="auto"/>
          <w:color w:val="auto"/>
        </w:rPr>
        <w:t>aka.ms/policiesandguidelines</w:t>
      </w:r>
      <w:r>
        <w:rPr>
          <w:rFonts w:ascii="Arial" w:cs="Arial" w:eastAsia="Arial" w:hAnsi="Arial"/>
          <w:sz w:val="16"/>
          <w:szCs w:val="16"/>
          <w:color w:val="auto"/>
        </w:rPr>
        <w:t>.</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Shareholder Rights</w:t>
      </w:r>
    </w:p>
    <w:p>
      <w:pPr>
        <w:spacing w:after="0" w:line="129" w:lineRule="exact"/>
        <w:rPr>
          <w:sz w:val="20"/>
          <w:szCs w:val="20"/>
          <w:color w:val="auto"/>
        </w:rPr>
      </w:pPr>
    </w:p>
    <w:p>
      <w:pPr>
        <w:ind w:left="1100" w:right="300"/>
        <w:spacing w:after="0" w:line="238" w:lineRule="auto"/>
        <w:rPr>
          <w:sz w:val="20"/>
          <w:szCs w:val="20"/>
          <w:color w:val="auto"/>
        </w:rPr>
      </w:pPr>
      <w:r>
        <w:rPr>
          <w:rFonts w:ascii="Arial" w:cs="Arial" w:eastAsia="Arial" w:hAnsi="Arial"/>
          <w:sz w:val="16"/>
          <w:szCs w:val="16"/>
          <w:color w:val="auto"/>
        </w:rPr>
        <w:t>Microsoft strives to implement best practices in shareholder rights and to ensure the Company and Board align with the long-term interests of shareholders. We have enhanced our corporate governance framework over time based on input from our Board, shareholders, and other governance experts. Shareholder rights include:</w:t>
      </w:r>
    </w:p>
    <w:p>
      <w:pPr>
        <w:spacing w:after="0" w:line="113" w:lineRule="exact"/>
        <w:rPr>
          <w:sz w:val="20"/>
          <w:szCs w:val="20"/>
          <w:color w:val="auto"/>
        </w:rPr>
      </w:pPr>
    </w:p>
    <w:p>
      <w:pPr>
        <w:ind w:left="1260" w:hanging="158"/>
        <w:spacing w:after="0"/>
        <w:tabs>
          <w:tab w:leader="none" w:pos="12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Single class of shares with each share entitled to one vote</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Annual election of all directors (unclassified board)</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Majority voting standard for directors in uncontested elections</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Confidential voting policy</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Shareholders of 15% of outstanding shares have the right to call a special meeting</w:t>
      </w:r>
    </w:p>
    <w:p>
      <w:pPr>
        <w:spacing w:after="0" w:line="113" w:lineRule="exact"/>
        <w:rPr>
          <w:rFonts w:ascii="Arial" w:cs="Arial" w:eastAsia="Arial" w:hAnsi="Arial"/>
          <w:sz w:val="16"/>
          <w:szCs w:val="16"/>
          <w:color w:val="auto"/>
        </w:rPr>
      </w:pPr>
    </w:p>
    <w:p>
      <w:pPr>
        <w:ind w:left="1260" w:right="340" w:hanging="158"/>
        <w:spacing w:after="0" w:line="238" w:lineRule="auto"/>
        <w:tabs>
          <w:tab w:leader="none" w:pos="12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Proxy access bylaw allows groups of up to 20 shareholders holding 3% of shares for at least three years to nominate up to two individuals or 20% of the Board (whichever is greater) for inclusion in the proxy statement and ballot for election at an annual shareholders meeting</w:t>
      </w:r>
    </w:p>
    <w:p>
      <w:pPr>
        <w:spacing w:after="0" w:line="100"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Other requirements that align Company and long-term interests of shareholders include:</w:t>
      </w:r>
    </w:p>
    <w:p>
      <w:pPr>
        <w:spacing w:after="0" w:line="114"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 Significant stock ownership requirements for directors, executive officers, and other senior leaders</w:t>
      </w:r>
    </w:p>
    <w:p>
      <w:pPr>
        <w:sectPr>
          <w:pgSz w:w="11900" w:h="16838" w:orient="portrait"/>
          <w:cols w:equalWidth="0" w:num="1">
            <w:col w:w="10280"/>
          </w:cols>
          <w:pgMar w:left="320" w:top="445" w:right="129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ind w:left="8240"/>
        <w:spacing w:after="0"/>
        <w:tabs>
          <w:tab w:leader="none" w:pos="10120" w:val="left"/>
        </w:tabs>
        <w:rPr>
          <w:sz w:val="20"/>
          <w:szCs w:val="20"/>
          <w:color w:val="auto"/>
        </w:rPr>
      </w:pPr>
      <w:r>
        <w:rPr>
          <w:rFonts w:ascii="Arial" w:cs="Arial" w:eastAsia="Arial" w:hAnsi="Arial"/>
          <w:sz w:val="14"/>
          <w:szCs w:val="14"/>
          <w:color w:val="auto"/>
        </w:rPr>
        <w:t>2021 PROXY STATEMENT</w:t>
      </w:r>
      <w:r>
        <w:rPr>
          <w:sz w:val="20"/>
          <w:szCs w:val="20"/>
          <w:color w:val="auto"/>
        </w:rPr>
        <w:tab/>
      </w:r>
      <w:r>
        <w:rPr>
          <w:rFonts w:ascii="Arial" w:cs="Arial" w:eastAsia="Arial" w:hAnsi="Arial"/>
          <w:sz w:val="12"/>
          <w:szCs w:val="12"/>
          <w:b w:val="1"/>
          <w:bCs w:val="1"/>
          <w:color w:val="0075C9"/>
        </w:rPr>
        <w:t>11</w:t>
      </w:r>
    </w:p>
    <w:p>
      <w:pPr>
        <w:sectPr>
          <w:pgSz w:w="11900" w:h="16838" w:orient="portrait"/>
          <w:cols w:equalWidth="0" w:num="1">
            <w:col w:w="10280"/>
          </w:cols>
          <w:pgMar w:left="320" w:top="445" w:right="1299" w:bottom="1440" w:gutter="0" w:footer="0" w:header="0"/>
          <w:type w:val="continuous"/>
        </w:sectPr>
      </w:pPr>
    </w:p>
    <w:bookmarkStart w:id="19" w:name="page20"/>
    <w:bookmarkEnd w:id="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0075C9"/>
                <w:w w:val="89"/>
              </w:rPr>
              <w:t>1</w:t>
            </w:r>
          </w:p>
        </w:tc>
        <w:tc>
          <w:tcPr>
            <w:tcW w:w="1220" w:type="dxa"/>
            <w:vAlign w:val="bottom"/>
            <w:vMerge w:val="restart"/>
          </w:tcPr>
          <w:p>
            <w:pPr>
              <w:ind w:left="80"/>
              <w:spacing w:after="0"/>
              <w:rPr>
                <w:sz w:val="20"/>
                <w:szCs w:val="20"/>
                <w:color w:val="auto"/>
              </w:rPr>
            </w:pPr>
            <w:r>
              <w:rPr>
                <w:rFonts w:ascii="Arial" w:cs="Arial" w:eastAsia="Arial" w:hAnsi="Arial"/>
                <w:sz w:val="12"/>
                <w:szCs w:val="12"/>
                <w:color w:val="0075C9"/>
                <w:w w:val="98"/>
              </w:rPr>
              <w:t>GOVERNANCE AND</w:t>
            </w:r>
          </w:p>
        </w:tc>
        <w:tc>
          <w:tcPr>
            <w:tcW w:w="720" w:type="dxa"/>
            <w:vAlign w:val="bottom"/>
          </w:tcPr>
          <w:p>
            <w:pPr>
              <w:jc w:val="right"/>
              <w:spacing w:after="0"/>
              <w:rPr>
                <w:sz w:val="20"/>
                <w:szCs w:val="20"/>
                <w:color w:val="auto"/>
              </w:rPr>
            </w:pPr>
            <w:r>
              <w:rPr>
                <w:rFonts w:ascii="Arial" w:cs="Arial" w:eastAsia="Arial" w:hAnsi="Arial"/>
                <w:sz w:val="36"/>
                <w:szCs w:val="36"/>
                <w:color w:val="auto"/>
              </w:rPr>
              <w:t>2</w:t>
            </w:r>
          </w:p>
        </w:tc>
        <w:tc>
          <w:tcPr>
            <w:tcW w:w="1540" w:type="dxa"/>
            <w:vAlign w:val="bottom"/>
            <w:vMerge w:val="restart"/>
          </w:tcPr>
          <w:p>
            <w:pPr>
              <w:ind w:left="80"/>
              <w:spacing w:after="0"/>
              <w:rPr>
                <w:sz w:val="20"/>
                <w:szCs w:val="20"/>
                <w:color w:val="auto"/>
              </w:rPr>
            </w:pPr>
            <w:r>
              <w:rPr>
                <w:rFonts w:ascii="Arial" w:cs="Arial" w:eastAsia="Arial" w:hAnsi="Arial"/>
                <w:sz w:val="12"/>
                <w:szCs w:val="12"/>
                <w:color w:val="auto"/>
              </w:rPr>
              <w:t>NAMED</w:t>
            </w:r>
          </w:p>
        </w:tc>
        <w:tc>
          <w:tcPr>
            <w:tcW w:w="500" w:type="dxa"/>
            <w:vAlign w:val="bottom"/>
          </w:tcPr>
          <w:p>
            <w:pPr>
              <w:jc w:val="right"/>
              <w:spacing w:after="0"/>
              <w:rPr>
                <w:sz w:val="20"/>
                <w:szCs w:val="20"/>
                <w:color w:val="auto"/>
              </w:rPr>
            </w:pPr>
            <w:r>
              <w:rPr>
                <w:rFonts w:ascii="Arial" w:cs="Arial" w:eastAsia="Arial" w:hAnsi="Arial"/>
                <w:sz w:val="36"/>
                <w:szCs w:val="36"/>
                <w:color w:val="auto"/>
              </w:rPr>
              <w:t>3</w:t>
            </w:r>
          </w:p>
        </w:tc>
        <w:tc>
          <w:tcPr>
            <w:tcW w:w="980" w:type="dxa"/>
            <w:vAlign w:val="bottom"/>
            <w:vMerge w:val="restart"/>
          </w:tcPr>
          <w:p>
            <w:pPr>
              <w:ind w:left="80"/>
              <w:spacing w:after="0"/>
              <w:rPr>
                <w:sz w:val="20"/>
                <w:szCs w:val="20"/>
                <w:color w:val="auto"/>
              </w:rPr>
            </w:pPr>
            <w:r>
              <w:rPr>
                <w:rFonts w:ascii="Arial" w:cs="Arial" w:eastAsia="Arial" w:hAnsi="Arial"/>
                <w:sz w:val="12"/>
                <w:szCs w:val="12"/>
                <w:color w:val="auto"/>
              </w:rPr>
              <w:t>AUDIT</w:t>
            </w:r>
          </w:p>
        </w:tc>
        <w:tc>
          <w:tcPr>
            <w:tcW w:w="460" w:type="dxa"/>
            <w:vAlign w:val="bottom"/>
          </w:tcPr>
          <w:p>
            <w:pPr>
              <w:jc w:val="right"/>
              <w:spacing w:after="0"/>
              <w:rPr>
                <w:sz w:val="20"/>
                <w:szCs w:val="20"/>
                <w:color w:val="auto"/>
              </w:rPr>
            </w:pPr>
            <w:r>
              <w:rPr>
                <w:rFonts w:ascii="Arial" w:cs="Arial" w:eastAsia="Arial" w:hAnsi="Arial"/>
                <w:sz w:val="36"/>
                <w:szCs w:val="36"/>
                <w:color w:val="auto"/>
              </w:rPr>
              <w:t>4</w:t>
            </w:r>
          </w:p>
        </w:tc>
        <w:tc>
          <w:tcPr>
            <w:tcW w:w="1580" w:type="dxa"/>
            <w:vAlign w:val="bottom"/>
            <w:vMerge w:val="restart"/>
          </w:tcPr>
          <w:p>
            <w:pPr>
              <w:ind w:left="80"/>
              <w:spacing w:after="0"/>
              <w:rPr>
                <w:sz w:val="20"/>
                <w:szCs w:val="20"/>
                <w:color w:val="auto"/>
              </w:rPr>
            </w:pPr>
            <w:r>
              <w:rPr>
                <w:rFonts w:ascii="Arial" w:cs="Arial" w:eastAsia="Arial" w:hAnsi="Arial"/>
                <w:sz w:val="12"/>
                <w:szCs w:val="12"/>
                <w:color w:val="auto"/>
              </w:rPr>
              <w:t>PROPOSALS TO</w:t>
            </w:r>
          </w:p>
        </w:tc>
        <w:tc>
          <w:tcPr>
            <w:tcW w:w="440" w:type="dxa"/>
            <w:vAlign w:val="bottom"/>
          </w:tcPr>
          <w:p>
            <w:pPr>
              <w:jc w:val="right"/>
              <w:spacing w:after="0"/>
              <w:rPr>
                <w:sz w:val="20"/>
                <w:szCs w:val="20"/>
                <w:color w:val="auto"/>
              </w:rPr>
            </w:pPr>
            <w:r>
              <w:rPr>
                <w:rFonts w:ascii="Arial" w:cs="Arial" w:eastAsia="Arial" w:hAnsi="Arial"/>
                <w:sz w:val="36"/>
                <w:szCs w:val="36"/>
                <w:color w:val="auto"/>
              </w:rPr>
              <w:t>5</w:t>
            </w:r>
          </w:p>
        </w:tc>
        <w:tc>
          <w:tcPr>
            <w:tcW w:w="900" w:type="dxa"/>
            <w:vAlign w:val="bottom"/>
            <w:vMerge w:val="restart"/>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220" w:type="dxa"/>
            <w:vAlign w:val="bottom"/>
          </w:tcPr>
          <w:p>
            <w:pPr>
              <w:ind w:left="80"/>
              <w:spacing w:after="0" w:line="130" w:lineRule="exact"/>
              <w:rPr>
                <w:sz w:val="20"/>
                <w:szCs w:val="20"/>
                <w:color w:val="auto"/>
              </w:rPr>
            </w:pPr>
            <w:r>
              <w:rPr>
                <w:rFonts w:ascii="Arial" w:cs="Arial" w:eastAsia="Arial" w:hAnsi="Arial"/>
                <w:sz w:val="12"/>
                <w:szCs w:val="12"/>
                <w:color w:val="0075C9"/>
              </w:rPr>
              <w:t>OUR BOARD OF</w:t>
            </w:r>
          </w:p>
        </w:tc>
        <w:tc>
          <w:tcPr>
            <w:tcW w:w="720" w:type="dxa"/>
            <w:vAlign w:val="bottom"/>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460" w:type="dxa"/>
            <w:vAlign w:val="bottom"/>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40" w:type="dxa"/>
            <w:vAlign w:val="bottom"/>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0075C9"/>
              </w:rPr>
              <w:t>DIRECTORS</w:t>
            </w:r>
          </w:p>
        </w:tc>
        <w:tc>
          <w:tcPr>
            <w:tcW w:w="720" w:type="dxa"/>
            <w:vAlign w:val="bottom"/>
          </w:tcPr>
          <w:p>
            <w:pPr>
              <w:spacing w:after="0"/>
              <w:rPr>
                <w:sz w:val="12"/>
                <w:szCs w:val="12"/>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tcPr>
          <w:p>
            <w:pPr>
              <w:spacing w:after="0"/>
              <w:rPr>
                <w:sz w:val="12"/>
                <w:szCs w:val="12"/>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460" w:type="dxa"/>
            <w:vAlign w:val="bottom"/>
          </w:tcPr>
          <w:p>
            <w:pPr>
              <w:spacing w:after="0"/>
              <w:rPr>
                <w:sz w:val="12"/>
                <w:szCs w:val="12"/>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40" w:type="dxa"/>
            <w:vAlign w:val="bottom"/>
          </w:tcPr>
          <w:p>
            <w:pPr>
              <w:spacing w:after="0"/>
              <w:rPr>
                <w:sz w:val="12"/>
                <w:szCs w:val="12"/>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shd w:val="clear" w:color="auto" w:fill="0075C9"/>
          </w:tcPr>
          <w:p>
            <w:pPr>
              <w:spacing w:after="0"/>
              <w:rPr>
                <w:sz w:val="9"/>
                <w:szCs w:val="9"/>
                <w:color w:val="auto"/>
              </w:rPr>
            </w:pPr>
          </w:p>
        </w:tc>
        <w:tc>
          <w:tcPr>
            <w:tcW w:w="1220" w:type="dxa"/>
            <w:vAlign w:val="bottom"/>
            <w:shd w:val="clear" w:color="auto" w:fill="0075C9"/>
          </w:tcPr>
          <w:p>
            <w:pPr>
              <w:spacing w:after="0"/>
              <w:rPr>
                <w:sz w:val="9"/>
                <w:szCs w:val="9"/>
                <w:color w:val="auto"/>
              </w:rPr>
            </w:pPr>
          </w:p>
        </w:tc>
        <w:tc>
          <w:tcPr>
            <w:tcW w:w="7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00" w:lineRule="exact"/>
        <w:rPr>
          <w:sz w:val="20"/>
          <w:szCs w:val="20"/>
          <w:color w:val="auto"/>
        </w:rPr>
      </w:pPr>
    </w:p>
    <w:p>
      <w:pPr>
        <w:ind w:left="1260" w:right="60" w:hanging="158"/>
        <w:spacing w:after="0" w:line="239" w:lineRule="auto"/>
        <w:tabs>
          <w:tab w:leader="none" w:pos="12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Strong ‘no-fault’ executive compensation recovery (“clawback”) policy that applies to executive officers, other senior leaders, and our chief accounting officer</w:t>
      </w:r>
    </w:p>
    <w:p>
      <w:pPr>
        <w:spacing w:after="0" w:line="112" w:lineRule="exact"/>
        <w:rPr>
          <w:rFonts w:ascii="Arial" w:cs="Arial" w:eastAsia="Arial" w:hAnsi="Arial"/>
          <w:sz w:val="16"/>
          <w:szCs w:val="16"/>
          <w:color w:val="auto"/>
        </w:rPr>
      </w:pPr>
    </w:p>
    <w:p>
      <w:pPr>
        <w:ind w:left="1260" w:right="100" w:hanging="158"/>
        <w:spacing w:after="0" w:line="238" w:lineRule="auto"/>
        <w:tabs>
          <w:tab w:leader="none" w:pos="12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Strict hedging and pledging prohibitions against our directors and executive officers hedging their ownership of Microsoft stock, including by trading in options, puts, calls, or other derivative instruments related to Company equity or debt securities. Directors and executive officers are prohibited from purchasing Microsoft stock on margin, borrowing against Microsoft stock held in a margin account, or pledging Microsoft stock as collateral for a loan</w:t>
      </w:r>
    </w:p>
    <w:p>
      <w:pPr>
        <w:spacing w:after="0" w:line="111" w:lineRule="exact"/>
        <w:rPr>
          <w:rFonts w:ascii="Arial" w:cs="Arial" w:eastAsia="Arial" w:hAnsi="Arial"/>
          <w:sz w:val="16"/>
          <w:szCs w:val="16"/>
          <w:color w:val="auto"/>
        </w:rPr>
      </w:pPr>
    </w:p>
    <w:p>
      <w:pPr>
        <w:ind w:left="1260" w:hanging="158"/>
        <w:spacing w:after="0"/>
        <w:tabs>
          <w:tab w:leader="none" w:pos="12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Board tenure policy that seeks to maintain an average tenure of 10 years or less for the Board’s independent directors</w:t>
      </w:r>
    </w:p>
    <w:p>
      <w:pPr>
        <w:spacing w:after="0" w:line="113" w:lineRule="exact"/>
        <w:rPr>
          <w:rFonts w:ascii="Arial" w:cs="Arial" w:eastAsia="Arial" w:hAnsi="Arial"/>
          <w:sz w:val="16"/>
          <w:szCs w:val="16"/>
          <w:color w:val="auto"/>
        </w:rPr>
      </w:pPr>
    </w:p>
    <w:p>
      <w:pPr>
        <w:jc w:val="both"/>
        <w:ind w:left="1260" w:right="100" w:hanging="158"/>
        <w:spacing w:after="0" w:line="238" w:lineRule="auto"/>
        <w:tabs>
          <w:tab w:leader="none" w:pos="12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Public company board service guideline that, absent circumstances that enable the director to have sufficient capacity, generally no director should serve on more than three other public company boards. Directors who are current CEOs should not serve on more than one other public company board</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Shareholder Engagement</w:t>
      </w:r>
    </w:p>
    <w:p>
      <w:pPr>
        <w:spacing w:after="0" w:line="129" w:lineRule="exact"/>
        <w:rPr>
          <w:sz w:val="20"/>
          <w:szCs w:val="20"/>
          <w:color w:val="auto"/>
        </w:rPr>
      </w:pPr>
    </w:p>
    <w:p>
      <w:pPr>
        <w:ind w:left="1100" w:right="100"/>
        <w:spacing w:after="0" w:line="237" w:lineRule="auto"/>
        <w:rPr>
          <w:sz w:val="20"/>
          <w:szCs w:val="20"/>
          <w:color w:val="auto"/>
        </w:rPr>
      </w:pPr>
      <w:r>
        <w:rPr>
          <w:rFonts w:ascii="Arial" w:cs="Arial" w:eastAsia="Arial" w:hAnsi="Arial"/>
          <w:sz w:val="16"/>
          <w:szCs w:val="16"/>
          <w:color w:val="auto"/>
        </w:rPr>
        <w:t>Effective corporate governance includes regular, constructive conversations with our shareholders to proactively seek shareholder insights and to answer shareholder inquiries. We maintain an active dialogue with shareholders to ensure we thoughtfully consider a diversity of perspectives on issues including strategy, business performance, risk, culture and workplace topics, compensation practices, and a broad range of ESG issues. As noted above, the Board updates our corporate governance framework each summer based on a number of inputs, including shareholder feedback.</w:t>
      </w:r>
    </w:p>
    <w:p>
      <w:pPr>
        <w:spacing w:after="0" w:line="102" w:lineRule="exact"/>
        <w:rPr>
          <w:sz w:val="20"/>
          <w:szCs w:val="20"/>
          <w:color w:val="auto"/>
        </w:rPr>
      </w:pPr>
    </w:p>
    <w:p>
      <w:pPr>
        <w:ind w:left="1100" w:right="20"/>
        <w:spacing w:after="0" w:line="238" w:lineRule="auto"/>
        <w:rPr>
          <w:sz w:val="20"/>
          <w:szCs w:val="20"/>
          <w:color w:val="auto"/>
        </w:rPr>
      </w:pPr>
      <w:r>
        <w:rPr>
          <w:rFonts w:ascii="Arial" w:cs="Arial" w:eastAsia="Arial" w:hAnsi="Arial"/>
          <w:sz w:val="16"/>
          <w:szCs w:val="16"/>
          <w:color w:val="auto"/>
        </w:rPr>
        <w:t>Our Office of the Corporate Secretary coordinates shareholder engagement with Investor Relations and provides a summary of all relevant feedback to our Board</w:t>
      </w:r>
      <w:r>
        <w:rPr>
          <w:rFonts w:ascii="Arial" w:cs="Arial" w:eastAsia="Arial" w:hAnsi="Arial"/>
          <w:sz w:val="16"/>
          <w:szCs w:val="16"/>
          <w:b w:val="1"/>
          <w:bCs w:val="1"/>
          <w:color w:val="auto"/>
        </w:rPr>
        <w:t>.</w:t>
      </w:r>
      <w:r>
        <w:rPr>
          <w:rFonts w:ascii="Arial" w:cs="Arial" w:eastAsia="Arial" w:hAnsi="Arial"/>
          <w:sz w:val="16"/>
          <w:szCs w:val="16"/>
          <w:color w:val="auto"/>
        </w:rPr>
        <w:t xml:space="preserve"> In fiscal year 2021, members of our Board and management engaged with a cross-section of shareholders owning approximately 50% of Microsoft shares. In addition, throughout the year our Investor Relations group engages with our shareholders, frequently along with Mr. Nadella, our Chairman and CEO, and Ms. Hood, our CFO.</w:t>
      </w:r>
    </w:p>
    <w:p>
      <w:pPr>
        <w:spacing w:after="0" w:line="99" w:lineRule="exact"/>
        <w:rPr>
          <w:sz w:val="20"/>
          <w:szCs w:val="20"/>
          <w:color w:val="auto"/>
        </w:rPr>
      </w:pPr>
    </w:p>
    <w:p>
      <w:pPr>
        <w:ind w:left="1100" w:right="140"/>
        <w:spacing w:after="0" w:line="238" w:lineRule="auto"/>
        <w:rPr>
          <w:sz w:val="20"/>
          <w:szCs w:val="20"/>
          <w:color w:val="auto"/>
        </w:rPr>
      </w:pPr>
      <w:r>
        <w:rPr>
          <w:rFonts w:ascii="Arial" w:cs="Arial" w:eastAsia="Arial" w:hAnsi="Arial"/>
          <w:sz w:val="16"/>
          <w:szCs w:val="16"/>
          <w:color w:val="auto"/>
        </w:rPr>
        <w:t>To communicate broadly with our shareholders, we also seek to transparently share ESG information relevant to our shareholders through our Investor Relations website, our Annual Report, this Proxy Statement, our Reports Hub, and in posts on the Microsoft On the Issues blog.</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Board Leadership</w:t>
      </w:r>
    </w:p>
    <w:p>
      <w:pPr>
        <w:spacing w:after="0" w:line="129" w:lineRule="exact"/>
        <w:rPr>
          <w:sz w:val="20"/>
          <w:szCs w:val="20"/>
          <w:color w:val="auto"/>
        </w:rPr>
      </w:pPr>
    </w:p>
    <w:p>
      <w:pPr>
        <w:ind w:left="1100"/>
        <w:spacing w:after="0" w:line="237" w:lineRule="auto"/>
        <w:rPr>
          <w:sz w:val="20"/>
          <w:szCs w:val="20"/>
          <w:color w:val="auto"/>
        </w:rPr>
      </w:pPr>
      <w:r>
        <w:rPr>
          <w:rFonts w:ascii="Arial" w:cs="Arial" w:eastAsia="Arial" w:hAnsi="Arial"/>
          <w:sz w:val="16"/>
          <w:szCs w:val="16"/>
          <w:color w:val="auto"/>
        </w:rPr>
        <w:t>In fiscal year 2021, John Thompson served as Chairman until June 16, 2021. Effective June 16, the Board’s independent directors unanimously elected Satya Nadella to the role of Chairman and CEO, and unanimously elected John W. Thompson as Lead Independent Director, a role he held previously from 2012 to 2014. In this role, Mr. Nadella leverages his deep understanding of the business to elevate the right strategic opportunities and identify key risks and mitigation approaches for the Board’s review. As Lead Independent Director, Mr. Thompson retains significant authority including providing input on behalf of the independent directors on Board agendas, calling meetings of the independent directors, setting agendas for executive sessions, and leading performance evaluations of the CEO. Additional information about the role of the Lead Independent Director is available under ‘Key Elements of Board Independence’ below.</w:t>
      </w:r>
    </w:p>
    <w:p>
      <w:pPr>
        <w:spacing w:after="0" w:line="101" w:lineRule="exact"/>
        <w:rPr>
          <w:sz w:val="20"/>
          <w:szCs w:val="20"/>
          <w:color w:val="auto"/>
        </w:rPr>
      </w:pPr>
    </w:p>
    <w:p>
      <w:pPr>
        <w:ind w:left="1100"/>
        <w:spacing w:after="0" w:line="237" w:lineRule="auto"/>
        <w:rPr>
          <w:sz w:val="20"/>
          <w:szCs w:val="20"/>
          <w:color w:val="auto"/>
        </w:rPr>
      </w:pPr>
      <w:r>
        <w:rPr>
          <w:rFonts w:ascii="Arial" w:cs="Arial" w:eastAsia="Arial" w:hAnsi="Arial"/>
          <w:sz w:val="16"/>
          <w:szCs w:val="16"/>
          <w:color w:val="auto"/>
        </w:rPr>
        <w:t>The Board does not have a policy as to whether the Chairman should be an independent director, an affiliated director, or a member of management. The independent directors annually appoint a Chairman of the Board. To ensure robust independent leadership on the Board, if the individual appointed as Chairman is not an independent director, or when the independent directors determine that it is in the best interests of the Company, the independent directors will also annually appoint a Lead Independent Director. Our Board believes its current leadership structure is appropriate because it effectively allocates authority, responsibility, and oversight between management and the independent members of our Board. It does this by giving primary responsibility for the operational leadership and strategic direction of the Company to our Chairman and Chief Executive Officer, while enabling the Lead Independent Director to facilitate our Board’s independent oversight of management, promote communication between management and our Board, and support our Board’s consideration of key governance matters. The Board believes its programs for overseeing risk, as described in this Part 1 under “Risk,” would be effective under a variety of leadership frameworks and therefore do not materially affect its choice of structure.</w:t>
      </w:r>
    </w:p>
    <w:p>
      <w:pPr>
        <w:spacing w:after="0" w:line="169"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CEO Succession</w:t>
      </w:r>
    </w:p>
    <w:p>
      <w:pPr>
        <w:spacing w:after="0" w:line="129" w:lineRule="exact"/>
        <w:rPr>
          <w:sz w:val="20"/>
          <w:szCs w:val="20"/>
          <w:color w:val="auto"/>
        </w:rPr>
      </w:pPr>
    </w:p>
    <w:p>
      <w:pPr>
        <w:ind w:left="1100" w:right="260"/>
        <w:spacing w:after="0" w:line="289" w:lineRule="auto"/>
        <w:rPr>
          <w:sz w:val="20"/>
          <w:szCs w:val="20"/>
          <w:color w:val="auto"/>
        </w:rPr>
      </w:pPr>
      <w:r>
        <w:rPr>
          <w:rFonts w:ascii="Arial" w:cs="Arial" w:eastAsia="Arial" w:hAnsi="Arial"/>
          <w:sz w:val="14"/>
          <w:szCs w:val="14"/>
          <w:color w:val="auto"/>
        </w:rPr>
        <w:t>A primary responsibility of the Board is planning for CEO succession and overseeing identification and development of other members of the senior leadership team (“SLT”). The Board and the Compensation Committee work with the CEO and our Chief Human Resources Officer to plan for succession. For the CEO, the succession plan covers identification of internal and external</w:t>
      </w:r>
    </w:p>
    <w:p>
      <w:pPr>
        <w:spacing w:after="0" w:line="200" w:lineRule="exact"/>
        <w:rPr>
          <w:sz w:val="20"/>
          <w:szCs w:val="20"/>
          <w:color w:val="auto"/>
        </w:rPr>
      </w:pPr>
    </w:p>
    <w:p>
      <w:pPr>
        <w:spacing w:after="0" w:line="267"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-94615</wp:posOffset>
            </wp:positionV>
            <wp:extent cx="485140" cy="984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45" w:right="143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0075C9"/>
                <w:w w:val="89"/>
              </w:rPr>
              <w:t>1</w:t>
            </w:r>
          </w:p>
        </w:tc>
        <w:tc>
          <w:tcPr>
            <w:tcW w:w="1220" w:type="dxa"/>
            <w:vAlign w:val="bottom"/>
            <w:vMerge w:val="restart"/>
          </w:tcPr>
          <w:p>
            <w:pPr>
              <w:ind w:left="80"/>
              <w:spacing w:after="0"/>
              <w:rPr>
                <w:sz w:val="20"/>
                <w:szCs w:val="20"/>
                <w:color w:val="auto"/>
              </w:rPr>
            </w:pPr>
            <w:r>
              <w:rPr>
                <w:rFonts w:ascii="Arial" w:cs="Arial" w:eastAsia="Arial" w:hAnsi="Arial"/>
                <w:sz w:val="12"/>
                <w:szCs w:val="12"/>
                <w:color w:val="0075C9"/>
                <w:w w:val="98"/>
              </w:rPr>
              <w:t>GOVERNANCE AND</w:t>
            </w:r>
          </w:p>
        </w:tc>
        <w:tc>
          <w:tcPr>
            <w:tcW w:w="720" w:type="dxa"/>
            <w:vAlign w:val="bottom"/>
          </w:tcPr>
          <w:p>
            <w:pPr>
              <w:jc w:val="right"/>
              <w:spacing w:after="0"/>
              <w:rPr>
                <w:sz w:val="20"/>
                <w:szCs w:val="20"/>
                <w:color w:val="auto"/>
              </w:rPr>
            </w:pPr>
            <w:r>
              <w:rPr>
                <w:rFonts w:ascii="Arial" w:cs="Arial" w:eastAsia="Arial" w:hAnsi="Arial"/>
                <w:sz w:val="36"/>
                <w:szCs w:val="36"/>
                <w:color w:val="auto"/>
              </w:rPr>
              <w:t>2</w:t>
            </w:r>
          </w:p>
        </w:tc>
        <w:tc>
          <w:tcPr>
            <w:tcW w:w="1540" w:type="dxa"/>
            <w:vAlign w:val="bottom"/>
            <w:vMerge w:val="restart"/>
          </w:tcPr>
          <w:p>
            <w:pPr>
              <w:ind w:left="80"/>
              <w:spacing w:after="0"/>
              <w:rPr>
                <w:sz w:val="20"/>
                <w:szCs w:val="20"/>
                <w:color w:val="auto"/>
              </w:rPr>
            </w:pPr>
            <w:r>
              <w:rPr>
                <w:rFonts w:ascii="Arial" w:cs="Arial" w:eastAsia="Arial" w:hAnsi="Arial"/>
                <w:sz w:val="12"/>
                <w:szCs w:val="12"/>
                <w:color w:val="auto"/>
              </w:rPr>
              <w:t>NAMED</w:t>
            </w:r>
          </w:p>
        </w:tc>
        <w:tc>
          <w:tcPr>
            <w:tcW w:w="500" w:type="dxa"/>
            <w:vAlign w:val="bottom"/>
          </w:tcPr>
          <w:p>
            <w:pPr>
              <w:jc w:val="right"/>
              <w:spacing w:after="0"/>
              <w:rPr>
                <w:sz w:val="20"/>
                <w:szCs w:val="20"/>
                <w:color w:val="auto"/>
              </w:rPr>
            </w:pPr>
            <w:r>
              <w:rPr>
                <w:rFonts w:ascii="Arial" w:cs="Arial" w:eastAsia="Arial" w:hAnsi="Arial"/>
                <w:sz w:val="36"/>
                <w:szCs w:val="36"/>
                <w:color w:val="auto"/>
              </w:rPr>
              <w:t>3</w:t>
            </w:r>
          </w:p>
        </w:tc>
        <w:tc>
          <w:tcPr>
            <w:tcW w:w="980" w:type="dxa"/>
            <w:vAlign w:val="bottom"/>
            <w:vMerge w:val="restart"/>
          </w:tcPr>
          <w:p>
            <w:pPr>
              <w:ind w:left="80"/>
              <w:spacing w:after="0"/>
              <w:rPr>
                <w:sz w:val="20"/>
                <w:szCs w:val="20"/>
                <w:color w:val="auto"/>
              </w:rPr>
            </w:pPr>
            <w:r>
              <w:rPr>
                <w:rFonts w:ascii="Arial" w:cs="Arial" w:eastAsia="Arial" w:hAnsi="Arial"/>
                <w:sz w:val="12"/>
                <w:szCs w:val="12"/>
                <w:color w:val="auto"/>
              </w:rPr>
              <w:t>AUDIT</w:t>
            </w:r>
          </w:p>
        </w:tc>
        <w:tc>
          <w:tcPr>
            <w:tcW w:w="460" w:type="dxa"/>
            <w:vAlign w:val="bottom"/>
          </w:tcPr>
          <w:p>
            <w:pPr>
              <w:jc w:val="right"/>
              <w:spacing w:after="0"/>
              <w:rPr>
                <w:sz w:val="20"/>
                <w:szCs w:val="20"/>
                <w:color w:val="auto"/>
              </w:rPr>
            </w:pPr>
            <w:r>
              <w:rPr>
                <w:rFonts w:ascii="Arial" w:cs="Arial" w:eastAsia="Arial" w:hAnsi="Arial"/>
                <w:sz w:val="36"/>
                <w:szCs w:val="36"/>
                <w:color w:val="auto"/>
              </w:rPr>
              <w:t>4</w:t>
            </w:r>
          </w:p>
        </w:tc>
        <w:tc>
          <w:tcPr>
            <w:tcW w:w="1580" w:type="dxa"/>
            <w:vAlign w:val="bottom"/>
            <w:vMerge w:val="restart"/>
          </w:tcPr>
          <w:p>
            <w:pPr>
              <w:ind w:left="80"/>
              <w:spacing w:after="0"/>
              <w:rPr>
                <w:sz w:val="20"/>
                <w:szCs w:val="20"/>
                <w:color w:val="auto"/>
              </w:rPr>
            </w:pPr>
            <w:r>
              <w:rPr>
                <w:rFonts w:ascii="Arial" w:cs="Arial" w:eastAsia="Arial" w:hAnsi="Arial"/>
                <w:sz w:val="12"/>
                <w:szCs w:val="12"/>
                <w:color w:val="auto"/>
              </w:rPr>
              <w:t>PROPOSALS TO</w:t>
            </w:r>
          </w:p>
        </w:tc>
        <w:tc>
          <w:tcPr>
            <w:tcW w:w="440" w:type="dxa"/>
            <w:vAlign w:val="bottom"/>
          </w:tcPr>
          <w:p>
            <w:pPr>
              <w:jc w:val="right"/>
              <w:spacing w:after="0"/>
              <w:rPr>
                <w:sz w:val="20"/>
                <w:szCs w:val="20"/>
                <w:color w:val="auto"/>
              </w:rPr>
            </w:pPr>
            <w:r>
              <w:rPr>
                <w:rFonts w:ascii="Arial" w:cs="Arial" w:eastAsia="Arial" w:hAnsi="Arial"/>
                <w:sz w:val="36"/>
                <w:szCs w:val="36"/>
                <w:color w:val="auto"/>
              </w:rPr>
              <w:t>5</w:t>
            </w:r>
          </w:p>
        </w:tc>
        <w:tc>
          <w:tcPr>
            <w:tcW w:w="900" w:type="dxa"/>
            <w:vAlign w:val="bottom"/>
            <w:vMerge w:val="restart"/>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220" w:type="dxa"/>
            <w:vAlign w:val="bottom"/>
          </w:tcPr>
          <w:p>
            <w:pPr>
              <w:ind w:left="80"/>
              <w:spacing w:after="0" w:line="130" w:lineRule="exact"/>
              <w:rPr>
                <w:sz w:val="20"/>
                <w:szCs w:val="20"/>
                <w:color w:val="auto"/>
              </w:rPr>
            </w:pPr>
            <w:r>
              <w:rPr>
                <w:rFonts w:ascii="Arial" w:cs="Arial" w:eastAsia="Arial" w:hAnsi="Arial"/>
                <w:sz w:val="12"/>
                <w:szCs w:val="12"/>
                <w:color w:val="0075C9"/>
              </w:rPr>
              <w:t>OUR BOARD OF</w:t>
            </w:r>
          </w:p>
        </w:tc>
        <w:tc>
          <w:tcPr>
            <w:tcW w:w="720" w:type="dxa"/>
            <w:vAlign w:val="bottom"/>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460" w:type="dxa"/>
            <w:vAlign w:val="bottom"/>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40" w:type="dxa"/>
            <w:vAlign w:val="bottom"/>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0075C9"/>
              </w:rPr>
              <w:t>DIRECTORS</w:t>
            </w:r>
          </w:p>
        </w:tc>
        <w:tc>
          <w:tcPr>
            <w:tcW w:w="720" w:type="dxa"/>
            <w:vAlign w:val="bottom"/>
          </w:tcPr>
          <w:p>
            <w:pPr>
              <w:spacing w:after="0"/>
              <w:rPr>
                <w:sz w:val="12"/>
                <w:szCs w:val="12"/>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tcPr>
          <w:p>
            <w:pPr>
              <w:spacing w:after="0"/>
              <w:rPr>
                <w:sz w:val="12"/>
                <w:szCs w:val="12"/>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460" w:type="dxa"/>
            <w:vAlign w:val="bottom"/>
          </w:tcPr>
          <w:p>
            <w:pPr>
              <w:spacing w:after="0"/>
              <w:rPr>
                <w:sz w:val="12"/>
                <w:szCs w:val="12"/>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40" w:type="dxa"/>
            <w:vAlign w:val="bottom"/>
          </w:tcPr>
          <w:p>
            <w:pPr>
              <w:spacing w:after="0"/>
              <w:rPr>
                <w:sz w:val="12"/>
                <w:szCs w:val="12"/>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shd w:val="clear" w:color="auto" w:fill="0075C9"/>
          </w:tcPr>
          <w:p>
            <w:pPr>
              <w:spacing w:after="0"/>
              <w:rPr>
                <w:sz w:val="9"/>
                <w:szCs w:val="9"/>
                <w:color w:val="auto"/>
              </w:rPr>
            </w:pPr>
          </w:p>
        </w:tc>
        <w:tc>
          <w:tcPr>
            <w:tcW w:w="1220" w:type="dxa"/>
            <w:vAlign w:val="bottom"/>
            <w:shd w:val="clear" w:color="auto" w:fill="0075C9"/>
          </w:tcPr>
          <w:p>
            <w:pPr>
              <w:spacing w:after="0"/>
              <w:rPr>
                <w:sz w:val="9"/>
                <w:szCs w:val="9"/>
                <w:color w:val="auto"/>
              </w:rPr>
            </w:pPr>
          </w:p>
        </w:tc>
        <w:tc>
          <w:tcPr>
            <w:tcW w:w="7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00" w:lineRule="exact"/>
        <w:rPr>
          <w:sz w:val="20"/>
          <w:szCs w:val="20"/>
          <w:color w:val="auto"/>
        </w:rPr>
      </w:pPr>
    </w:p>
    <w:p>
      <w:pPr>
        <w:ind w:left="1100" w:right="240"/>
        <w:spacing w:after="0" w:line="237" w:lineRule="auto"/>
        <w:rPr>
          <w:sz w:val="20"/>
          <w:szCs w:val="20"/>
          <w:color w:val="auto"/>
        </w:rPr>
      </w:pPr>
      <w:r>
        <w:rPr>
          <w:rFonts w:ascii="Arial" w:cs="Arial" w:eastAsia="Arial" w:hAnsi="Arial"/>
          <w:sz w:val="16"/>
          <w:szCs w:val="16"/>
          <w:color w:val="auto"/>
        </w:rPr>
        <w:t>candidates, and professional and leadership development plans for internal candidates. The Board annually reviews the CEO succession plan. The criteria used to assess potential CEO candidates are formulated based on the Company’s business strategies, and include strategic vision, leadership, and operational execution. The Board is committed to actively seeking highly qualified women and individuals from minority groups to include in the pool of potential CEO candidates. The Board maintains an emergency succession contingency plan that is reviewed on an annual basis by the Board and Governance and Nominating Committee. The plan identifies roles and responsibilities of individuals who would act if an unforeseen event prevented the CEO from continuing to serve. The Compensation Committee reviews with the CEO and reports to the Board on development and succession plans for the other members of the SLT. The Board may review development and succession planning more frequently as it deems necessary or desirable.</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Annual Board and Committee Evaluation Process</w:t>
      </w:r>
    </w:p>
    <w:p>
      <w:pPr>
        <w:spacing w:after="0" w:line="129" w:lineRule="exact"/>
        <w:rPr>
          <w:sz w:val="20"/>
          <w:szCs w:val="20"/>
          <w:color w:val="auto"/>
        </w:rPr>
      </w:pPr>
    </w:p>
    <w:p>
      <w:pPr>
        <w:ind w:left="1100" w:right="240"/>
        <w:spacing w:after="0" w:line="237" w:lineRule="auto"/>
        <w:rPr>
          <w:sz w:val="20"/>
          <w:szCs w:val="20"/>
          <w:color w:val="auto"/>
        </w:rPr>
      </w:pPr>
      <w:r>
        <w:rPr>
          <w:rFonts w:ascii="Arial" w:cs="Arial" w:eastAsia="Arial" w:hAnsi="Arial"/>
          <w:sz w:val="16"/>
          <w:szCs w:val="16"/>
          <w:color w:val="auto"/>
        </w:rPr>
        <w:t>The Board is committed to a rigorous self-evaluation process. The Governance and Nominating Committee annually evaluates the performance of the Board. In fiscal year 2021, the evaluation included utilizing a third-party facilitator to seek feedback from each director, and the results were reported to and discussed with the Board. The report includes an assessment of the Board’s compliance with the principles in the Corporate Governance Guidelines and identifies areas in which the Board could enhance its performance.</w:t>
      </w:r>
    </w:p>
    <w:p>
      <w:pPr>
        <w:spacing w:after="0" w:line="102" w:lineRule="exact"/>
        <w:rPr>
          <w:sz w:val="20"/>
          <w:szCs w:val="20"/>
          <w:color w:val="auto"/>
        </w:rPr>
      </w:pPr>
    </w:p>
    <w:p>
      <w:pPr>
        <w:ind w:left="1100" w:right="180"/>
        <w:spacing w:after="0" w:line="238" w:lineRule="auto"/>
        <w:rPr>
          <w:sz w:val="20"/>
          <w:szCs w:val="20"/>
          <w:color w:val="auto"/>
        </w:rPr>
      </w:pPr>
      <w:r>
        <w:rPr>
          <w:rFonts w:ascii="Arial" w:cs="Arial" w:eastAsia="Arial" w:hAnsi="Arial"/>
          <w:sz w:val="16"/>
          <w:szCs w:val="16"/>
          <w:color w:val="auto"/>
        </w:rPr>
        <w:t>Our evaluation process is designed to elicit feedback on the processes, structure, composition, and effectiveness of the Board. The evaluation results have led to changes to facilitate increased Board effectiveness, including driving clarity on key areas for the Board’s focus over the coming year, input on Board composition and recruiting, input on how to best operationalize Board meetings in a virtual environment, and the appropriate cadence and frequency for Board and committee meetings.</w:t>
      </w:r>
    </w:p>
    <w:p>
      <w:pPr>
        <w:spacing w:after="0" w:line="99" w:lineRule="exact"/>
        <w:rPr>
          <w:sz w:val="20"/>
          <w:szCs w:val="20"/>
          <w:color w:val="auto"/>
        </w:rPr>
      </w:pPr>
    </w:p>
    <w:p>
      <w:pPr>
        <w:ind w:left="1100" w:right="700"/>
        <w:spacing w:after="0" w:line="283" w:lineRule="auto"/>
        <w:rPr>
          <w:sz w:val="20"/>
          <w:szCs w:val="20"/>
          <w:color w:val="auto"/>
        </w:rPr>
      </w:pPr>
      <w:r>
        <w:rPr>
          <w:rFonts w:ascii="Arial" w:cs="Arial" w:eastAsia="Arial" w:hAnsi="Arial"/>
          <w:sz w:val="14"/>
          <w:szCs w:val="14"/>
          <w:color w:val="auto"/>
        </w:rPr>
        <w:t>In addition, each committee annually evaluates its performance and reports the results to the Board. In fiscal year 2021 the evaluation of each committee included an assessment of the committee’s compliance with the principles in the Corporate Governance Guidelines and its charter, and identified areas in which the committee could enhance its performance. Results requiring additional review or consideration are discussed at subsequent Board and committee meetings.</w:t>
      </w:r>
    </w:p>
    <w:p>
      <w:pPr>
        <w:spacing w:after="0" w:line="139"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Director Attendance</w:t>
      </w:r>
    </w:p>
    <w:p>
      <w:pPr>
        <w:spacing w:after="0" w:line="129" w:lineRule="exact"/>
        <w:rPr>
          <w:sz w:val="20"/>
          <w:szCs w:val="20"/>
          <w:color w:val="auto"/>
        </w:rPr>
      </w:pPr>
    </w:p>
    <w:p>
      <w:pPr>
        <w:ind w:left="1100" w:right="220"/>
        <w:spacing w:after="0" w:line="238" w:lineRule="auto"/>
        <w:rPr>
          <w:sz w:val="20"/>
          <w:szCs w:val="20"/>
          <w:color w:val="auto"/>
        </w:rPr>
      </w:pPr>
      <w:r>
        <w:rPr>
          <w:rFonts w:ascii="Arial" w:cs="Arial" w:eastAsia="Arial" w:hAnsi="Arial"/>
          <w:sz w:val="16"/>
          <w:szCs w:val="16"/>
          <w:color w:val="auto"/>
        </w:rPr>
        <w:t>Each quarter, our Board holds two-day meetings. Committee meetings occur the first day before the Board meeting. At each quarterly Board meeting, time is set aside for the independent directors to meet without management present. Additional executive sessions are held as needed.</w:t>
      </w:r>
    </w:p>
    <w:p>
      <w:pPr>
        <w:spacing w:after="0" w:line="100" w:lineRule="exact"/>
        <w:rPr>
          <w:sz w:val="20"/>
          <w:szCs w:val="20"/>
          <w:color w:val="auto"/>
        </w:rPr>
      </w:pPr>
    </w:p>
    <w:p>
      <w:pPr>
        <w:ind w:left="1100" w:right="300"/>
        <w:spacing w:after="0" w:line="238" w:lineRule="auto"/>
        <w:rPr>
          <w:sz w:val="20"/>
          <w:szCs w:val="20"/>
          <w:color w:val="auto"/>
        </w:rPr>
      </w:pPr>
      <w:r>
        <w:rPr>
          <w:rFonts w:ascii="Arial" w:cs="Arial" w:eastAsia="Arial" w:hAnsi="Arial"/>
          <w:sz w:val="16"/>
          <w:szCs w:val="16"/>
          <w:color w:val="auto"/>
        </w:rPr>
        <w:t>In addition to the quarterly meetings, typically there are other regularly scheduled Board and committee meetings and several special meetings each year. Our Board met ten times during fiscal year 2021. In addition, in place of the annual strategy retreat in fiscal year 2021, the Board held six meetings dedicated to strategy topics which included presentations and discussions with members of our SLT and other senior management.</w:t>
      </w:r>
    </w:p>
    <w:p>
      <w:pPr>
        <w:spacing w:after="0" w:line="99" w:lineRule="exact"/>
        <w:rPr>
          <w:sz w:val="20"/>
          <w:szCs w:val="20"/>
          <w:color w:val="auto"/>
        </w:rPr>
      </w:pPr>
    </w:p>
    <w:p>
      <w:pPr>
        <w:ind w:left="1100" w:right="180"/>
        <w:spacing w:after="0" w:line="238" w:lineRule="auto"/>
        <w:rPr>
          <w:sz w:val="20"/>
          <w:szCs w:val="20"/>
          <w:color w:val="auto"/>
        </w:rPr>
      </w:pPr>
      <w:r>
        <w:rPr>
          <w:rFonts w:ascii="Arial" w:cs="Arial" w:eastAsia="Arial" w:hAnsi="Arial"/>
          <w:sz w:val="16"/>
          <w:szCs w:val="16"/>
          <w:color w:val="auto"/>
        </w:rPr>
        <w:t>Each director nominee attended at least 75% of the aggregate of all fiscal year 2021 meetings of the Board and each committee on which he or she served. In fiscal year 2021, the Board and committees of the Board held a total of 33 meetings. Together, the director nominees attended at least 95% of the combined total meetings of the Board and the committees on which they were members in fiscal year 2021.</w:t>
      </w:r>
    </w:p>
    <w:p>
      <w:pPr>
        <w:spacing w:after="0" w:line="9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Directors are expected to attend the annual shareholders meeting, if practicable. All directors attended the 2020 Annual Meeting.</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Director Orientation and Continuing Education</w:t>
      </w:r>
    </w:p>
    <w:p>
      <w:pPr>
        <w:spacing w:after="0" w:line="129" w:lineRule="exact"/>
        <w:rPr>
          <w:sz w:val="20"/>
          <w:szCs w:val="20"/>
          <w:color w:val="auto"/>
        </w:rPr>
      </w:pPr>
    </w:p>
    <w:p>
      <w:pPr>
        <w:ind w:left="1100" w:right="480"/>
        <w:spacing w:after="0" w:line="239" w:lineRule="auto"/>
        <w:rPr>
          <w:sz w:val="20"/>
          <w:szCs w:val="20"/>
          <w:color w:val="auto"/>
        </w:rPr>
      </w:pPr>
      <w:r>
        <w:rPr>
          <w:rFonts w:ascii="Arial" w:cs="Arial" w:eastAsia="Arial" w:hAnsi="Arial"/>
          <w:sz w:val="16"/>
          <w:szCs w:val="16"/>
          <w:color w:val="auto"/>
        </w:rPr>
        <w:t>Our orientation programs are designed to familiarize new directors with our businesses, strategies, and policies and assist new directors in developing Company and industry knowledge to optimize their service on the Board.</w:t>
      </w:r>
    </w:p>
    <w:p>
      <w:pPr>
        <w:spacing w:after="0" w:line="100" w:lineRule="exact"/>
        <w:rPr>
          <w:sz w:val="20"/>
          <w:szCs w:val="20"/>
          <w:color w:val="auto"/>
        </w:rPr>
      </w:pPr>
    </w:p>
    <w:p>
      <w:pPr>
        <w:ind w:left="1100" w:right="480"/>
        <w:spacing w:after="0" w:line="239" w:lineRule="auto"/>
        <w:rPr>
          <w:sz w:val="20"/>
          <w:szCs w:val="20"/>
          <w:color w:val="auto"/>
        </w:rPr>
      </w:pPr>
      <w:r>
        <w:rPr>
          <w:rFonts w:ascii="Arial" w:cs="Arial" w:eastAsia="Arial" w:hAnsi="Arial"/>
          <w:sz w:val="16"/>
          <w:szCs w:val="16"/>
          <w:color w:val="auto"/>
        </w:rPr>
        <w:t>Regular continuing education programs enhance the skills and knowledge directors use to perform their responsibilities. These programs may include internally developed programs or programs presented by third parties.</w:t>
      </w:r>
    </w:p>
    <w:p>
      <w:pPr>
        <w:spacing w:after="0" w:line="169"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Director Stock Ownership Policy</w:t>
      </w:r>
    </w:p>
    <w:p>
      <w:pPr>
        <w:spacing w:after="0" w:line="129" w:lineRule="exact"/>
        <w:rPr>
          <w:sz w:val="20"/>
          <w:szCs w:val="20"/>
          <w:color w:val="auto"/>
        </w:rPr>
      </w:pPr>
    </w:p>
    <w:p>
      <w:pPr>
        <w:ind w:left="1100" w:right="200"/>
        <w:spacing w:after="0" w:line="237" w:lineRule="auto"/>
        <w:rPr>
          <w:sz w:val="20"/>
          <w:szCs w:val="20"/>
          <w:color w:val="auto"/>
        </w:rPr>
      </w:pPr>
      <w:r>
        <w:rPr>
          <w:rFonts w:ascii="Arial" w:cs="Arial" w:eastAsia="Arial" w:hAnsi="Arial"/>
          <w:sz w:val="16"/>
          <w:szCs w:val="16"/>
          <w:color w:val="auto"/>
        </w:rPr>
        <w:t>To align the interests of our directors and shareholders, our directors are required to own Microsoft shares equal in value to at least three times the base annual retainer (cash and stock) payable to a director. Each director must retain 50% of all net shares (post-tax) from the retainer until reaching the minimum share ownership requirement. Stock deferred under the Deferred Compensation Plan for Non-Employee Directors counts toward the minimum ownership requirement. Each of our directors complied with our stock ownership policy in fiscal year 2021.</w:t>
      </w:r>
    </w:p>
    <w:p>
      <w:pPr>
        <w:spacing w:after="0" w:line="200" w:lineRule="exact"/>
        <w:rPr>
          <w:sz w:val="20"/>
          <w:szCs w:val="20"/>
          <w:color w:val="auto"/>
        </w:rPr>
      </w:pPr>
    </w:p>
    <w:p>
      <w:pPr>
        <w:spacing w:after="0" w:line="303"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2021 PROXY STATEMENT</w:t>
      </w:r>
      <w:r>
        <w:rPr>
          <w:sz w:val="20"/>
          <w:szCs w:val="20"/>
          <w:color w:val="auto"/>
        </w:rPr>
        <w:tab/>
      </w:r>
      <w:r>
        <w:rPr>
          <w:rFonts w:ascii="Arial" w:cs="Arial" w:eastAsia="Arial" w:hAnsi="Arial"/>
          <w:sz w:val="12"/>
          <w:szCs w:val="12"/>
          <w:b w:val="1"/>
          <w:bCs w:val="1"/>
          <w:color w:val="0075C9"/>
        </w:rPr>
        <w:t>13</w:t>
      </w:r>
    </w:p>
    <w:p>
      <w:pPr>
        <w:sectPr>
          <w:pgSz w:w="11900" w:h="16838" w:orient="portrait"/>
          <w:cols w:equalWidth="0" w:num="1">
            <w:col w:w="10280"/>
          </w:cols>
          <w:pgMar w:left="320" w:top="445" w:right="129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0075C9"/>
                <w:w w:val="89"/>
              </w:rPr>
              <w:t>1</w:t>
            </w:r>
          </w:p>
        </w:tc>
        <w:tc>
          <w:tcPr>
            <w:tcW w:w="1220" w:type="dxa"/>
            <w:vAlign w:val="bottom"/>
            <w:vMerge w:val="restart"/>
          </w:tcPr>
          <w:p>
            <w:pPr>
              <w:ind w:left="80"/>
              <w:spacing w:after="0"/>
              <w:rPr>
                <w:sz w:val="20"/>
                <w:szCs w:val="20"/>
                <w:color w:val="auto"/>
              </w:rPr>
            </w:pPr>
            <w:r>
              <w:rPr>
                <w:rFonts w:ascii="Arial" w:cs="Arial" w:eastAsia="Arial" w:hAnsi="Arial"/>
                <w:sz w:val="12"/>
                <w:szCs w:val="12"/>
                <w:color w:val="0075C9"/>
                <w:w w:val="98"/>
              </w:rPr>
              <w:t>GOVERNANCE AND</w:t>
            </w:r>
          </w:p>
        </w:tc>
        <w:tc>
          <w:tcPr>
            <w:tcW w:w="720" w:type="dxa"/>
            <w:vAlign w:val="bottom"/>
          </w:tcPr>
          <w:p>
            <w:pPr>
              <w:jc w:val="right"/>
              <w:spacing w:after="0"/>
              <w:rPr>
                <w:sz w:val="20"/>
                <w:szCs w:val="20"/>
                <w:color w:val="auto"/>
              </w:rPr>
            </w:pPr>
            <w:r>
              <w:rPr>
                <w:rFonts w:ascii="Arial" w:cs="Arial" w:eastAsia="Arial" w:hAnsi="Arial"/>
                <w:sz w:val="36"/>
                <w:szCs w:val="36"/>
                <w:color w:val="auto"/>
              </w:rPr>
              <w:t>2</w:t>
            </w:r>
          </w:p>
        </w:tc>
        <w:tc>
          <w:tcPr>
            <w:tcW w:w="1540" w:type="dxa"/>
            <w:vAlign w:val="bottom"/>
            <w:vMerge w:val="restart"/>
          </w:tcPr>
          <w:p>
            <w:pPr>
              <w:ind w:left="80"/>
              <w:spacing w:after="0"/>
              <w:rPr>
                <w:sz w:val="20"/>
                <w:szCs w:val="20"/>
                <w:color w:val="auto"/>
              </w:rPr>
            </w:pPr>
            <w:r>
              <w:rPr>
                <w:rFonts w:ascii="Arial" w:cs="Arial" w:eastAsia="Arial" w:hAnsi="Arial"/>
                <w:sz w:val="12"/>
                <w:szCs w:val="12"/>
                <w:color w:val="auto"/>
              </w:rPr>
              <w:t>NAMED</w:t>
            </w:r>
          </w:p>
        </w:tc>
        <w:tc>
          <w:tcPr>
            <w:tcW w:w="500" w:type="dxa"/>
            <w:vAlign w:val="bottom"/>
          </w:tcPr>
          <w:p>
            <w:pPr>
              <w:jc w:val="right"/>
              <w:spacing w:after="0"/>
              <w:rPr>
                <w:sz w:val="20"/>
                <w:szCs w:val="20"/>
                <w:color w:val="auto"/>
              </w:rPr>
            </w:pPr>
            <w:r>
              <w:rPr>
                <w:rFonts w:ascii="Arial" w:cs="Arial" w:eastAsia="Arial" w:hAnsi="Arial"/>
                <w:sz w:val="36"/>
                <w:szCs w:val="36"/>
                <w:color w:val="auto"/>
              </w:rPr>
              <w:t>3</w:t>
            </w:r>
          </w:p>
        </w:tc>
        <w:tc>
          <w:tcPr>
            <w:tcW w:w="980" w:type="dxa"/>
            <w:vAlign w:val="bottom"/>
            <w:vMerge w:val="restart"/>
          </w:tcPr>
          <w:p>
            <w:pPr>
              <w:ind w:left="80"/>
              <w:spacing w:after="0"/>
              <w:rPr>
                <w:sz w:val="20"/>
                <w:szCs w:val="20"/>
                <w:color w:val="auto"/>
              </w:rPr>
            </w:pPr>
            <w:r>
              <w:rPr>
                <w:rFonts w:ascii="Arial" w:cs="Arial" w:eastAsia="Arial" w:hAnsi="Arial"/>
                <w:sz w:val="12"/>
                <w:szCs w:val="12"/>
                <w:color w:val="auto"/>
              </w:rPr>
              <w:t>AUDIT</w:t>
            </w:r>
          </w:p>
        </w:tc>
        <w:tc>
          <w:tcPr>
            <w:tcW w:w="460" w:type="dxa"/>
            <w:vAlign w:val="bottom"/>
          </w:tcPr>
          <w:p>
            <w:pPr>
              <w:jc w:val="right"/>
              <w:spacing w:after="0"/>
              <w:rPr>
                <w:sz w:val="20"/>
                <w:szCs w:val="20"/>
                <w:color w:val="auto"/>
              </w:rPr>
            </w:pPr>
            <w:r>
              <w:rPr>
                <w:rFonts w:ascii="Arial" w:cs="Arial" w:eastAsia="Arial" w:hAnsi="Arial"/>
                <w:sz w:val="36"/>
                <w:szCs w:val="36"/>
                <w:color w:val="auto"/>
              </w:rPr>
              <w:t>4</w:t>
            </w:r>
          </w:p>
        </w:tc>
        <w:tc>
          <w:tcPr>
            <w:tcW w:w="1580" w:type="dxa"/>
            <w:vAlign w:val="bottom"/>
            <w:vMerge w:val="restart"/>
          </w:tcPr>
          <w:p>
            <w:pPr>
              <w:ind w:left="80"/>
              <w:spacing w:after="0"/>
              <w:rPr>
                <w:sz w:val="20"/>
                <w:szCs w:val="20"/>
                <w:color w:val="auto"/>
              </w:rPr>
            </w:pPr>
            <w:r>
              <w:rPr>
                <w:rFonts w:ascii="Arial" w:cs="Arial" w:eastAsia="Arial" w:hAnsi="Arial"/>
                <w:sz w:val="12"/>
                <w:szCs w:val="12"/>
                <w:color w:val="auto"/>
              </w:rPr>
              <w:t>PROPOSALS TO</w:t>
            </w:r>
          </w:p>
        </w:tc>
        <w:tc>
          <w:tcPr>
            <w:tcW w:w="440" w:type="dxa"/>
            <w:vAlign w:val="bottom"/>
          </w:tcPr>
          <w:p>
            <w:pPr>
              <w:jc w:val="right"/>
              <w:spacing w:after="0"/>
              <w:rPr>
                <w:sz w:val="20"/>
                <w:szCs w:val="20"/>
                <w:color w:val="auto"/>
              </w:rPr>
            </w:pPr>
            <w:r>
              <w:rPr>
                <w:rFonts w:ascii="Arial" w:cs="Arial" w:eastAsia="Arial" w:hAnsi="Arial"/>
                <w:sz w:val="36"/>
                <w:szCs w:val="36"/>
                <w:color w:val="auto"/>
              </w:rPr>
              <w:t>5</w:t>
            </w:r>
          </w:p>
        </w:tc>
        <w:tc>
          <w:tcPr>
            <w:tcW w:w="900" w:type="dxa"/>
            <w:vAlign w:val="bottom"/>
            <w:vMerge w:val="restart"/>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220" w:type="dxa"/>
            <w:vAlign w:val="bottom"/>
          </w:tcPr>
          <w:p>
            <w:pPr>
              <w:ind w:left="80"/>
              <w:spacing w:after="0" w:line="130" w:lineRule="exact"/>
              <w:rPr>
                <w:sz w:val="20"/>
                <w:szCs w:val="20"/>
                <w:color w:val="auto"/>
              </w:rPr>
            </w:pPr>
            <w:r>
              <w:rPr>
                <w:rFonts w:ascii="Arial" w:cs="Arial" w:eastAsia="Arial" w:hAnsi="Arial"/>
                <w:sz w:val="12"/>
                <w:szCs w:val="12"/>
                <w:color w:val="0075C9"/>
              </w:rPr>
              <w:t>OUR BOARD OF</w:t>
            </w:r>
          </w:p>
        </w:tc>
        <w:tc>
          <w:tcPr>
            <w:tcW w:w="720" w:type="dxa"/>
            <w:vAlign w:val="bottom"/>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460" w:type="dxa"/>
            <w:vAlign w:val="bottom"/>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40" w:type="dxa"/>
            <w:vAlign w:val="bottom"/>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0075C9"/>
              </w:rPr>
              <w:t>DIRECTORS</w:t>
            </w:r>
          </w:p>
        </w:tc>
        <w:tc>
          <w:tcPr>
            <w:tcW w:w="720" w:type="dxa"/>
            <w:vAlign w:val="bottom"/>
          </w:tcPr>
          <w:p>
            <w:pPr>
              <w:spacing w:after="0"/>
              <w:rPr>
                <w:sz w:val="12"/>
                <w:szCs w:val="12"/>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tcPr>
          <w:p>
            <w:pPr>
              <w:spacing w:after="0"/>
              <w:rPr>
                <w:sz w:val="12"/>
                <w:szCs w:val="12"/>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460" w:type="dxa"/>
            <w:vAlign w:val="bottom"/>
          </w:tcPr>
          <w:p>
            <w:pPr>
              <w:spacing w:after="0"/>
              <w:rPr>
                <w:sz w:val="12"/>
                <w:szCs w:val="12"/>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40" w:type="dxa"/>
            <w:vAlign w:val="bottom"/>
          </w:tcPr>
          <w:p>
            <w:pPr>
              <w:spacing w:after="0"/>
              <w:rPr>
                <w:sz w:val="12"/>
                <w:szCs w:val="12"/>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shd w:val="clear" w:color="auto" w:fill="0075C9"/>
          </w:tcPr>
          <w:p>
            <w:pPr>
              <w:spacing w:after="0"/>
              <w:rPr>
                <w:sz w:val="9"/>
                <w:szCs w:val="9"/>
                <w:color w:val="auto"/>
              </w:rPr>
            </w:pPr>
          </w:p>
        </w:tc>
        <w:tc>
          <w:tcPr>
            <w:tcW w:w="1220" w:type="dxa"/>
            <w:vAlign w:val="bottom"/>
            <w:shd w:val="clear" w:color="auto" w:fill="0075C9"/>
          </w:tcPr>
          <w:p>
            <w:pPr>
              <w:spacing w:after="0"/>
              <w:rPr>
                <w:sz w:val="9"/>
                <w:szCs w:val="9"/>
                <w:color w:val="auto"/>
              </w:rPr>
            </w:pPr>
          </w:p>
        </w:tc>
        <w:tc>
          <w:tcPr>
            <w:tcW w:w="7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Derivatives Trading, Hedging, and Pledging</w:t>
      </w:r>
    </w:p>
    <w:p>
      <w:pPr>
        <w:spacing w:after="0" w:line="129" w:lineRule="exact"/>
        <w:rPr>
          <w:sz w:val="20"/>
          <w:szCs w:val="20"/>
          <w:color w:val="auto"/>
        </w:rPr>
      </w:pPr>
    </w:p>
    <w:p>
      <w:pPr>
        <w:ind w:left="1100" w:right="59"/>
        <w:spacing w:after="0" w:line="283" w:lineRule="auto"/>
        <w:rPr>
          <w:sz w:val="20"/>
          <w:szCs w:val="20"/>
          <w:color w:val="auto"/>
        </w:rPr>
      </w:pPr>
      <w:r>
        <w:rPr>
          <w:rFonts w:ascii="Arial" w:cs="Arial" w:eastAsia="Arial" w:hAnsi="Arial"/>
          <w:sz w:val="14"/>
          <w:szCs w:val="14"/>
          <w:color w:val="auto"/>
        </w:rPr>
        <w:t>Our directors and executive officers are prohibited from trading in options, puts, calls, or other derivative instruments related to Microsoft equity or debt securities. They also are prohibited from purchasing Microsoft common stock on margin, borrowing against Microsoft common stock held in a margin account, or pledging Microsoft common stock as collateral for a loan. Employees, other than executive officers, are generally permitted to engage in transactions designed to hedge or offset market risk.</w:t>
      </w:r>
    </w:p>
    <w:p>
      <w:pPr>
        <w:spacing w:after="0" w:line="139"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Board Independence</w:t>
      </w:r>
    </w:p>
    <w:p>
      <w:pPr>
        <w:spacing w:after="0" w:line="129" w:lineRule="exact"/>
        <w:rPr>
          <w:sz w:val="20"/>
          <w:szCs w:val="20"/>
          <w:color w:val="auto"/>
        </w:rPr>
      </w:pPr>
    </w:p>
    <w:p>
      <w:pPr>
        <w:ind w:left="1100" w:right="219"/>
        <w:spacing w:after="0" w:line="283" w:lineRule="auto"/>
        <w:rPr>
          <w:sz w:val="20"/>
          <w:szCs w:val="20"/>
          <w:color w:val="auto"/>
        </w:rPr>
      </w:pPr>
      <w:r>
        <w:rPr>
          <w:rFonts w:ascii="Arial" w:cs="Arial" w:eastAsia="Arial" w:hAnsi="Arial"/>
          <w:sz w:val="14"/>
          <w:szCs w:val="14"/>
          <w:color w:val="auto"/>
        </w:rPr>
        <w:t>The Board’s independence enables it to be objective and critical in carrying out its oversight responsibilities. The Corporate Governance Guidelines provide that a substantial majority of our directors will be independent. The independent members of the Board annually appoint a Lead Independent Director to facilitate the Board’s oversight of management, promote communication between management and our Board, engage with shareholders, and lead consideration of key governance matters.</w:t>
      </w:r>
    </w:p>
    <w:p>
      <w:pPr>
        <w:spacing w:after="0" w:line="307" w:lineRule="exact"/>
        <w:rPr>
          <w:sz w:val="20"/>
          <w:szCs w:val="20"/>
          <w:color w:val="auto"/>
        </w:rPr>
      </w:pPr>
    </w:p>
    <w:p>
      <w:pPr>
        <w:ind w:left="3100"/>
        <w:spacing w:after="0"/>
        <w:rPr>
          <w:sz w:val="20"/>
          <w:szCs w:val="20"/>
          <w:color w:val="auto"/>
        </w:rPr>
      </w:pPr>
      <w:r>
        <w:rPr>
          <w:rFonts w:ascii="Arial" w:cs="Arial" w:eastAsia="Arial" w:hAnsi="Arial"/>
          <w:sz w:val="21"/>
          <w:szCs w:val="21"/>
          <w:b w:val="1"/>
          <w:bCs w:val="1"/>
          <w:color w:val="auto"/>
        </w:rPr>
        <w:t>Key Elements of Board Independence at Microsoft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-74930</wp:posOffset>
            </wp:positionV>
            <wp:extent cx="5748020" cy="46958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48020" cy="4695825"/>
                    </a:xfrm>
                    <a:prstGeom prst="rect">
                      <a:avLst/>
                    </a:prstGeom>
                    <a:noFill/>
                  </pic:spPr>
                </pic:pic>
              </a:graphicData>
            </a:graphic>
          </wp:anchor>
        </w:drawing>
      </w:r>
    </w:p>
    <w:p>
      <w:pPr>
        <w:spacing w:after="0" w:line="41" w:lineRule="exact"/>
        <w:rPr>
          <w:sz w:val="20"/>
          <w:szCs w:val="20"/>
          <w:color w:val="auto"/>
        </w:rPr>
      </w:pPr>
    </w:p>
    <w:p>
      <w:pPr>
        <w:ind w:left="1420" w:right="359" w:hanging="165"/>
        <w:spacing w:after="0" w:line="248" w:lineRule="auto"/>
        <w:tabs>
          <w:tab w:leader="none" w:pos="1428"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11 of 12 director nominees are independent </w:t>
      </w:r>
      <w:r>
        <w:rPr>
          <w:rFonts w:ascii="Arial" w:cs="Arial" w:eastAsia="Arial" w:hAnsi="Arial"/>
          <w:sz w:val="16"/>
          <w:szCs w:val="16"/>
          <w:color w:val="auto"/>
        </w:rPr>
        <w:t>– We are committed to maintaining a substantial majority of directors who are</w:t>
      </w:r>
      <w:r>
        <w:rPr>
          <w:rFonts w:ascii="Arial" w:cs="Arial" w:eastAsia="Arial" w:hAnsi="Arial"/>
          <w:sz w:val="16"/>
          <w:szCs w:val="16"/>
          <w:i w:val="1"/>
          <w:iCs w:val="1"/>
          <w:color w:val="auto"/>
        </w:rPr>
        <w:t xml:space="preserve"> </w:t>
      </w:r>
      <w:r>
        <w:rPr>
          <w:rFonts w:ascii="Arial" w:cs="Arial" w:eastAsia="Arial" w:hAnsi="Arial"/>
          <w:sz w:val="16"/>
          <w:szCs w:val="16"/>
          <w:color w:val="auto"/>
        </w:rPr>
        <w:t>independent of the Company and management. Except for our Chairman and CEO, Satya Nadella, all director nominees are independent</w:t>
      </w:r>
    </w:p>
    <w:p>
      <w:pPr>
        <w:spacing w:after="0" w:line="90" w:lineRule="exact"/>
        <w:rPr>
          <w:rFonts w:ascii="Arial" w:cs="Arial" w:eastAsia="Arial" w:hAnsi="Arial"/>
          <w:sz w:val="16"/>
          <w:szCs w:val="16"/>
          <w:color w:val="auto"/>
        </w:rPr>
      </w:pPr>
    </w:p>
    <w:p>
      <w:pPr>
        <w:ind w:left="1420" w:right="699" w:hanging="165"/>
        <w:spacing w:after="0" w:line="244" w:lineRule="auto"/>
        <w:tabs>
          <w:tab w:leader="none" w:pos="1428"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Board tenure </w:t>
      </w:r>
      <w:r>
        <w:rPr>
          <w:rFonts w:ascii="Arial" w:cs="Arial" w:eastAsia="Arial" w:hAnsi="Arial"/>
          <w:sz w:val="16"/>
          <w:szCs w:val="16"/>
          <w:color w:val="auto"/>
        </w:rPr>
        <w:t>– We are committed to board refreshment. To strike a balance between retaining directors with deep</w:t>
      </w:r>
      <w:r>
        <w:rPr>
          <w:rFonts w:ascii="Arial" w:cs="Arial" w:eastAsia="Arial" w:hAnsi="Arial"/>
          <w:sz w:val="16"/>
          <w:szCs w:val="16"/>
          <w:i w:val="1"/>
          <w:iCs w:val="1"/>
          <w:color w:val="auto"/>
        </w:rPr>
        <w:t xml:space="preserve"> </w:t>
      </w:r>
      <w:r>
        <w:rPr>
          <w:rFonts w:ascii="Arial" w:cs="Arial" w:eastAsia="Arial" w:hAnsi="Arial"/>
          <w:sz w:val="16"/>
          <w:szCs w:val="16"/>
          <w:color w:val="auto"/>
        </w:rPr>
        <w:t>knowledge of the Company and adding directors with a fresh perspective, the Board will seek to maintain an average tenure of 10 years or less for its independent directors as a group. The average tenure for our independent director nominees is 5.1 years. The average tenure is 5.3 years if Mr. Nadella is included.</w:t>
      </w:r>
    </w:p>
    <w:p>
      <w:pPr>
        <w:spacing w:after="0" w:line="93" w:lineRule="exact"/>
        <w:rPr>
          <w:rFonts w:ascii="Arial" w:cs="Arial" w:eastAsia="Arial" w:hAnsi="Arial"/>
          <w:sz w:val="16"/>
          <w:szCs w:val="16"/>
          <w:color w:val="auto"/>
        </w:rPr>
      </w:pPr>
    </w:p>
    <w:p>
      <w:pPr>
        <w:ind w:left="1420" w:right="239" w:hanging="165"/>
        <w:spacing w:after="0" w:line="260" w:lineRule="auto"/>
        <w:tabs>
          <w:tab w:leader="none" w:pos="1428"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Board diversity </w:t>
      </w:r>
      <w:r>
        <w:rPr>
          <w:rFonts w:ascii="Arial" w:cs="Arial" w:eastAsia="Arial" w:hAnsi="Arial"/>
          <w:sz w:val="16"/>
          <w:szCs w:val="16"/>
          <w:color w:val="auto"/>
        </w:rPr>
        <w:t>– The Board is committed to actively seeking highly qualified women and individuals from minority groups to</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in the pool of potential Board nominees and CEO candidates.</w:t>
      </w:r>
    </w:p>
    <w:p>
      <w:pPr>
        <w:spacing w:after="0" w:line="80" w:lineRule="exact"/>
        <w:rPr>
          <w:rFonts w:ascii="Arial" w:cs="Arial" w:eastAsia="Arial" w:hAnsi="Arial"/>
          <w:sz w:val="16"/>
          <w:szCs w:val="16"/>
          <w:color w:val="auto"/>
        </w:rPr>
      </w:pPr>
    </w:p>
    <w:p>
      <w:pPr>
        <w:ind w:left="1420" w:right="599" w:hanging="165"/>
        <w:spacing w:after="0" w:line="332" w:lineRule="auto"/>
        <w:tabs>
          <w:tab w:leader="none" w:pos="1428" w:val="left"/>
        </w:tabs>
        <w:numPr>
          <w:ilvl w:val="0"/>
          <w:numId w:val="20"/>
        </w:numPr>
        <w:rPr>
          <w:rFonts w:ascii="Arial" w:cs="Arial" w:eastAsia="Arial" w:hAnsi="Arial"/>
          <w:sz w:val="14"/>
          <w:szCs w:val="14"/>
          <w:color w:val="auto"/>
        </w:rPr>
      </w:pPr>
      <w:r>
        <w:rPr>
          <w:rFonts w:ascii="Arial" w:cs="Arial" w:eastAsia="Arial" w:hAnsi="Arial"/>
          <w:sz w:val="14"/>
          <w:szCs w:val="14"/>
          <w:i w:val="1"/>
          <w:iCs w:val="1"/>
          <w:color w:val="auto"/>
        </w:rPr>
        <w:t xml:space="preserve">Executive sessions of independent directors </w:t>
      </w:r>
      <w:r>
        <w:rPr>
          <w:rFonts w:ascii="Arial" w:cs="Arial" w:eastAsia="Arial" w:hAnsi="Arial"/>
          <w:sz w:val="14"/>
          <w:szCs w:val="14"/>
          <w:color w:val="auto"/>
        </w:rPr>
        <w:t>– At each quarterly Board meeting, time is set aside for the independent</w:t>
      </w:r>
      <w:r>
        <w:rPr>
          <w:rFonts w:ascii="Arial" w:cs="Arial" w:eastAsia="Arial" w:hAnsi="Arial"/>
          <w:sz w:val="14"/>
          <w:szCs w:val="14"/>
          <w:i w:val="1"/>
          <w:iCs w:val="1"/>
          <w:color w:val="auto"/>
        </w:rPr>
        <w:t xml:space="preserve"> </w:t>
      </w:r>
      <w:r>
        <w:rPr>
          <w:rFonts w:ascii="Arial" w:cs="Arial" w:eastAsia="Arial" w:hAnsi="Arial"/>
          <w:sz w:val="14"/>
          <w:szCs w:val="14"/>
          <w:color w:val="auto"/>
        </w:rPr>
        <w:t>directors to meet in executive session without management present. Additional executive sessions are held as needed</w:t>
      </w:r>
    </w:p>
    <w:p>
      <w:pPr>
        <w:spacing w:after="0" w:line="33" w:lineRule="exact"/>
        <w:rPr>
          <w:rFonts w:ascii="Arial" w:cs="Arial" w:eastAsia="Arial" w:hAnsi="Arial"/>
          <w:sz w:val="14"/>
          <w:szCs w:val="14"/>
          <w:color w:val="auto"/>
        </w:rPr>
      </w:pPr>
    </w:p>
    <w:p>
      <w:pPr>
        <w:ind w:left="1420" w:right="459" w:hanging="165"/>
        <w:spacing w:after="0" w:line="260" w:lineRule="auto"/>
        <w:tabs>
          <w:tab w:leader="none" w:pos="1428"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Committee independence </w:t>
      </w:r>
      <w:r>
        <w:rPr>
          <w:rFonts w:ascii="Arial" w:cs="Arial" w:eastAsia="Arial" w:hAnsi="Arial"/>
          <w:sz w:val="16"/>
          <w:szCs w:val="16"/>
          <w:color w:val="auto"/>
        </w:rPr>
        <w:t>– Only independent directors are members of the Board’s committees. Each committee meets</w:t>
      </w:r>
      <w:r>
        <w:rPr>
          <w:rFonts w:ascii="Arial" w:cs="Arial" w:eastAsia="Arial" w:hAnsi="Arial"/>
          <w:sz w:val="16"/>
          <w:szCs w:val="16"/>
          <w:i w:val="1"/>
          <w:iCs w:val="1"/>
          <w:color w:val="auto"/>
        </w:rPr>
        <w:t xml:space="preserve"> </w:t>
      </w:r>
      <w:r>
        <w:rPr>
          <w:rFonts w:ascii="Arial" w:cs="Arial" w:eastAsia="Arial" w:hAnsi="Arial"/>
          <w:sz w:val="16"/>
          <w:szCs w:val="16"/>
          <w:color w:val="auto"/>
        </w:rPr>
        <w:t>regularly in executive session</w:t>
      </w:r>
    </w:p>
    <w:p>
      <w:pPr>
        <w:spacing w:after="0" w:line="80" w:lineRule="exact"/>
        <w:rPr>
          <w:rFonts w:ascii="Arial" w:cs="Arial" w:eastAsia="Arial" w:hAnsi="Arial"/>
          <w:sz w:val="16"/>
          <w:szCs w:val="16"/>
          <w:color w:val="auto"/>
        </w:rPr>
      </w:pPr>
    </w:p>
    <w:p>
      <w:pPr>
        <w:ind w:left="1420" w:right="579" w:hanging="165"/>
        <w:spacing w:after="0" w:line="332" w:lineRule="auto"/>
        <w:tabs>
          <w:tab w:leader="none" w:pos="1428" w:val="left"/>
        </w:tabs>
        <w:numPr>
          <w:ilvl w:val="0"/>
          <w:numId w:val="20"/>
        </w:numPr>
        <w:rPr>
          <w:rFonts w:ascii="Arial" w:cs="Arial" w:eastAsia="Arial" w:hAnsi="Arial"/>
          <w:sz w:val="14"/>
          <w:szCs w:val="14"/>
          <w:color w:val="auto"/>
        </w:rPr>
      </w:pPr>
      <w:r>
        <w:rPr>
          <w:rFonts w:ascii="Arial" w:cs="Arial" w:eastAsia="Arial" w:hAnsi="Arial"/>
          <w:sz w:val="14"/>
          <w:szCs w:val="14"/>
          <w:i w:val="1"/>
          <w:iCs w:val="1"/>
          <w:color w:val="auto"/>
        </w:rPr>
        <w:t xml:space="preserve">Independent compensation consultant </w:t>
      </w:r>
      <w:r>
        <w:rPr>
          <w:rFonts w:ascii="Arial" w:cs="Arial" w:eastAsia="Arial" w:hAnsi="Arial"/>
          <w:sz w:val="14"/>
          <w:szCs w:val="14"/>
          <w:color w:val="auto"/>
        </w:rPr>
        <w:t>– The compensation consultant retained by the Compensation Committee is</w:t>
      </w:r>
      <w:r>
        <w:rPr>
          <w:rFonts w:ascii="Arial" w:cs="Arial" w:eastAsia="Arial" w:hAnsi="Arial"/>
          <w:sz w:val="14"/>
          <w:szCs w:val="14"/>
          <w:i w:val="1"/>
          <w:iCs w:val="1"/>
          <w:color w:val="auto"/>
        </w:rPr>
        <w:t xml:space="preserve"> </w:t>
      </w:r>
      <w:r>
        <w:rPr>
          <w:rFonts w:ascii="Arial" w:cs="Arial" w:eastAsia="Arial" w:hAnsi="Arial"/>
          <w:sz w:val="14"/>
          <w:szCs w:val="14"/>
          <w:color w:val="auto"/>
        </w:rPr>
        <w:t>independent of the Company and management as required by the Compensation Consultant Independence Standards</w:t>
      </w:r>
    </w:p>
    <w:p>
      <w:pPr>
        <w:spacing w:after="0" w:line="33" w:lineRule="exact"/>
        <w:rPr>
          <w:rFonts w:ascii="Arial" w:cs="Arial" w:eastAsia="Arial" w:hAnsi="Arial"/>
          <w:sz w:val="14"/>
          <w:szCs w:val="14"/>
          <w:color w:val="auto"/>
        </w:rPr>
      </w:pPr>
    </w:p>
    <w:p>
      <w:pPr>
        <w:ind w:left="1420" w:right="419" w:hanging="165"/>
        <w:spacing w:after="0" w:line="248" w:lineRule="auto"/>
        <w:tabs>
          <w:tab w:leader="none" w:pos="1428"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Lead Independent Director </w:t>
      </w:r>
      <w:r>
        <w:rPr>
          <w:rFonts w:ascii="Arial" w:cs="Arial" w:eastAsia="Arial" w:hAnsi="Arial"/>
          <w:sz w:val="16"/>
          <w:szCs w:val="16"/>
          <w:color w:val="auto"/>
        </w:rPr>
        <w:t>– The Lead Independent Director has a clearly defined set of responsibilities,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authority, and provides independent Board leadership. John Thompson was selected by the independent members of the Board to serve as Lead Independent Director. Key responsibilities and authority include:</w:t>
      </w:r>
    </w:p>
    <w:p>
      <w:pPr>
        <w:spacing w:after="0" w:line="106" w:lineRule="exact"/>
        <w:rPr>
          <w:rFonts w:ascii="Arial" w:cs="Arial" w:eastAsia="Arial" w:hAnsi="Arial"/>
          <w:sz w:val="16"/>
          <w:szCs w:val="16"/>
          <w:color w:val="auto"/>
        </w:rPr>
      </w:pPr>
    </w:p>
    <w:p>
      <w:pPr>
        <w:ind w:left="1540" w:hanging="129"/>
        <w:spacing w:after="0"/>
        <w:tabs>
          <w:tab w:leader="none" w:pos="1540" w:val="left"/>
        </w:tabs>
        <w:numPr>
          <w:ilvl w:val="1"/>
          <w:numId w:val="20"/>
        </w:numPr>
        <w:rPr>
          <w:rFonts w:ascii="Arial" w:cs="Arial" w:eastAsia="Arial" w:hAnsi="Arial"/>
          <w:sz w:val="16"/>
          <w:szCs w:val="16"/>
          <w:color w:val="auto"/>
        </w:rPr>
      </w:pPr>
      <w:r>
        <w:rPr>
          <w:rFonts w:ascii="Arial" w:cs="Arial" w:eastAsia="Arial" w:hAnsi="Arial"/>
          <w:sz w:val="16"/>
          <w:szCs w:val="16"/>
          <w:color w:val="auto"/>
        </w:rPr>
        <w:t>Leads the Board meetings when the Chairman and CEO is not present</w:t>
      </w:r>
    </w:p>
    <w:p>
      <w:pPr>
        <w:spacing w:after="0" w:line="113" w:lineRule="exact"/>
        <w:rPr>
          <w:rFonts w:ascii="Arial" w:cs="Arial" w:eastAsia="Arial" w:hAnsi="Arial"/>
          <w:sz w:val="16"/>
          <w:szCs w:val="16"/>
          <w:color w:val="auto"/>
        </w:rPr>
      </w:pPr>
    </w:p>
    <w:p>
      <w:pPr>
        <w:ind w:left="1540" w:hanging="129"/>
        <w:spacing w:after="0"/>
        <w:tabs>
          <w:tab w:leader="none" w:pos="1540" w:val="left"/>
        </w:tabs>
        <w:numPr>
          <w:ilvl w:val="1"/>
          <w:numId w:val="20"/>
        </w:numPr>
        <w:rPr>
          <w:rFonts w:ascii="Arial" w:cs="Arial" w:eastAsia="Arial" w:hAnsi="Arial"/>
          <w:sz w:val="16"/>
          <w:szCs w:val="16"/>
          <w:color w:val="auto"/>
        </w:rPr>
      </w:pPr>
      <w:r>
        <w:rPr>
          <w:rFonts w:ascii="Arial" w:cs="Arial" w:eastAsia="Arial" w:hAnsi="Arial"/>
          <w:sz w:val="16"/>
          <w:szCs w:val="16"/>
          <w:color w:val="auto"/>
        </w:rPr>
        <w:t>Reviews and approves the agenda and schedule for Board meetings</w:t>
      </w:r>
    </w:p>
    <w:p>
      <w:pPr>
        <w:spacing w:after="0" w:line="113" w:lineRule="exact"/>
        <w:rPr>
          <w:rFonts w:ascii="Arial" w:cs="Arial" w:eastAsia="Arial" w:hAnsi="Arial"/>
          <w:sz w:val="16"/>
          <w:szCs w:val="16"/>
          <w:color w:val="auto"/>
        </w:rPr>
      </w:pPr>
    </w:p>
    <w:p>
      <w:pPr>
        <w:ind w:left="1540" w:hanging="129"/>
        <w:spacing w:after="0"/>
        <w:tabs>
          <w:tab w:leader="none" w:pos="1540" w:val="left"/>
        </w:tabs>
        <w:numPr>
          <w:ilvl w:val="1"/>
          <w:numId w:val="20"/>
        </w:numPr>
        <w:rPr>
          <w:rFonts w:ascii="Arial" w:cs="Arial" w:eastAsia="Arial" w:hAnsi="Arial"/>
          <w:sz w:val="16"/>
          <w:szCs w:val="16"/>
          <w:color w:val="auto"/>
        </w:rPr>
      </w:pPr>
      <w:r>
        <w:rPr>
          <w:rFonts w:ascii="Arial" w:cs="Arial" w:eastAsia="Arial" w:hAnsi="Arial"/>
          <w:sz w:val="16"/>
          <w:szCs w:val="16"/>
          <w:color w:val="auto"/>
        </w:rPr>
        <w:t>Calls meetings of the independent directors</w:t>
      </w:r>
    </w:p>
    <w:p>
      <w:pPr>
        <w:spacing w:after="0" w:line="113" w:lineRule="exact"/>
        <w:rPr>
          <w:rFonts w:ascii="Arial" w:cs="Arial" w:eastAsia="Arial" w:hAnsi="Arial"/>
          <w:sz w:val="16"/>
          <w:szCs w:val="16"/>
          <w:color w:val="auto"/>
        </w:rPr>
      </w:pPr>
    </w:p>
    <w:p>
      <w:pPr>
        <w:ind w:left="1540" w:hanging="129"/>
        <w:spacing w:after="0"/>
        <w:tabs>
          <w:tab w:leader="none" w:pos="1540" w:val="left"/>
        </w:tabs>
        <w:numPr>
          <w:ilvl w:val="1"/>
          <w:numId w:val="20"/>
        </w:numPr>
        <w:rPr>
          <w:rFonts w:ascii="Arial" w:cs="Arial" w:eastAsia="Arial" w:hAnsi="Arial"/>
          <w:sz w:val="16"/>
          <w:szCs w:val="16"/>
          <w:color w:val="auto"/>
        </w:rPr>
      </w:pPr>
      <w:r>
        <w:rPr>
          <w:rFonts w:ascii="Arial" w:cs="Arial" w:eastAsia="Arial" w:hAnsi="Arial"/>
          <w:sz w:val="16"/>
          <w:szCs w:val="16"/>
          <w:color w:val="auto"/>
        </w:rPr>
        <w:t>Chairs executive sessions and coordinates activities of the independent directors</w:t>
      </w:r>
    </w:p>
    <w:p>
      <w:pPr>
        <w:spacing w:after="0" w:line="113" w:lineRule="exact"/>
        <w:rPr>
          <w:rFonts w:ascii="Arial" w:cs="Arial" w:eastAsia="Arial" w:hAnsi="Arial"/>
          <w:sz w:val="16"/>
          <w:szCs w:val="16"/>
          <w:color w:val="auto"/>
        </w:rPr>
      </w:pPr>
    </w:p>
    <w:p>
      <w:pPr>
        <w:ind w:left="1540" w:hanging="129"/>
        <w:spacing w:after="0"/>
        <w:tabs>
          <w:tab w:leader="none" w:pos="1540" w:val="left"/>
        </w:tabs>
        <w:numPr>
          <w:ilvl w:val="1"/>
          <w:numId w:val="20"/>
        </w:numPr>
        <w:rPr>
          <w:rFonts w:ascii="Arial" w:cs="Arial" w:eastAsia="Arial" w:hAnsi="Arial"/>
          <w:sz w:val="16"/>
          <w:szCs w:val="16"/>
          <w:color w:val="auto"/>
        </w:rPr>
      </w:pPr>
      <w:r>
        <w:rPr>
          <w:rFonts w:ascii="Arial" w:cs="Arial" w:eastAsia="Arial" w:hAnsi="Arial"/>
          <w:sz w:val="16"/>
          <w:szCs w:val="16"/>
          <w:color w:val="auto"/>
        </w:rPr>
        <w:t>Leads the Board’s annual CEO performance evaluation</w:t>
      </w:r>
    </w:p>
    <w:p>
      <w:pPr>
        <w:spacing w:after="0" w:line="113" w:lineRule="exact"/>
        <w:rPr>
          <w:rFonts w:ascii="Arial" w:cs="Arial" w:eastAsia="Arial" w:hAnsi="Arial"/>
          <w:sz w:val="16"/>
          <w:szCs w:val="16"/>
          <w:color w:val="auto"/>
        </w:rPr>
      </w:pPr>
    </w:p>
    <w:p>
      <w:pPr>
        <w:ind w:left="1540" w:hanging="129"/>
        <w:spacing w:after="0"/>
        <w:tabs>
          <w:tab w:leader="none" w:pos="1540" w:val="left"/>
        </w:tabs>
        <w:numPr>
          <w:ilvl w:val="1"/>
          <w:numId w:val="20"/>
        </w:numPr>
        <w:rPr>
          <w:rFonts w:ascii="Arial" w:cs="Arial" w:eastAsia="Arial" w:hAnsi="Arial"/>
          <w:sz w:val="16"/>
          <w:szCs w:val="16"/>
          <w:color w:val="auto"/>
        </w:rPr>
      </w:pPr>
      <w:r>
        <w:rPr>
          <w:rFonts w:ascii="Arial" w:cs="Arial" w:eastAsia="Arial" w:hAnsi="Arial"/>
          <w:sz w:val="16"/>
          <w:szCs w:val="16"/>
          <w:color w:val="auto"/>
        </w:rPr>
        <w:t>Coordinates Board oversight of CEO succession planning, including maintenance of an emergency succession plan</w:t>
      </w:r>
    </w:p>
    <w:p>
      <w:pPr>
        <w:spacing w:after="0" w:line="113" w:lineRule="exact"/>
        <w:rPr>
          <w:rFonts w:ascii="Arial" w:cs="Arial" w:eastAsia="Arial" w:hAnsi="Arial"/>
          <w:sz w:val="16"/>
          <w:szCs w:val="16"/>
          <w:color w:val="auto"/>
        </w:rPr>
      </w:pPr>
    </w:p>
    <w:p>
      <w:pPr>
        <w:ind w:left="1540" w:hanging="129"/>
        <w:spacing w:after="0"/>
        <w:tabs>
          <w:tab w:leader="none" w:pos="1540" w:val="left"/>
        </w:tabs>
        <w:numPr>
          <w:ilvl w:val="1"/>
          <w:numId w:val="20"/>
        </w:numPr>
        <w:rPr>
          <w:rFonts w:ascii="Arial" w:cs="Arial" w:eastAsia="Arial" w:hAnsi="Arial"/>
          <w:sz w:val="16"/>
          <w:szCs w:val="16"/>
          <w:color w:val="auto"/>
        </w:rPr>
      </w:pPr>
      <w:r>
        <w:rPr>
          <w:rFonts w:ascii="Arial" w:cs="Arial" w:eastAsia="Arial" w:hAnsi="Arial"/>
          <w:sz w:val="16"/>
          <w:szCs w:val="16"/>
          <w:color w:val="auto"/>
        </w:rPr>
        <w:t>Chairs the annual shareholders meeting</w:t>
      </w:r>
    </w:p>
    <w:p>
      <w:pPr>
        <w:spacing w:after="0" w:line="113" w:lineRule="exact"/>
        <w:rPr>
          <w:rFonts w:ascii="Arial" w:cs="Arial" w:eastAsia="Arial" w:hAnsi="Arial"/>
          <w:sz w:val="16"/>
          <w:szCs w:val="16"/>
          <w:color w:val="auto"/>
        </w:rPr>
      </w:pPr>
    </w:p>
    <w:p>
      <w:pPr>
        <w:ind w:left="1540" w:hanging="129"/>
        <w:spacing w:after="0"/>
        <w:tabs>
          <w:tab w:leader="none" w:pos="154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Acts as liaison between the independent directors and the Chairman and CEO</w:t>
      </w:r>
    </w:p>
    <w:p>
      <w:pPr>
        <w:spacing w:after="0" w:line="113" w:lineRule="exact"/>
        <w:rPr>
          <w:rFonts w:ascii="Arial" w:cs="Arial" w:eastAsia="Arial" w:hAnsi="Arial"/>
          <w:sz w:val="16"/>
          <w:szCs w:val="16"/>
          <w:color w:val="auto"/>
        </w:rPr>
      </w:pPr>
    </w:p>
    <w:p>
      <w:pPr>
        <w:ind w:left="1540" w:hanging="129"/>
        <w:spacing w:after="0"/>
        <w:tabs>
          <w:tab w:leader="none" w:pos="154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Authorizes retention of outside counsel, advisors, or other consultants who report directly to the Board</w:t>
      </w:r>
    </w:p>
    <w:p>
      <w:pPr>
        <w:spacing w:after="0" w:line="113" w:lineRule="exact"/>
        <w:rPr>
          <w:rFonts w:ascii="Arial" w:cs="Arial" w:eastAsia="Arial" w:hAnsi="Arial"/>
          <w:sz w:val="16"/>
          <w:szCs w:val="16"/>
          <w:color w:val="auto"/>
        </w:rPr>
      </w:pPr>
    </w:p>
    <w:p>
      <w:pPr>
        <w:ind w:left="1540" w:hanging="129"/>
        <w:spacing w:after="0"/>
        <w:tabs>
          <w:tab w:leader="none" w:pos="1540" w:val="left"/>
        </w:tabs>
        <w:numPr>
          <w:ilvl w:val="1"/>
          <w:numId w:val="20"/>
        </w:numPr>
        <w:rPr>
          <w:rFonts w:ascii="Arial" w:cs="Arial" w:eastAsia="Arial" w:hAnsi="Arial"/>
          <w:sz w:val="16"/>
          <w:szCs w:val="16"/>
          <w:color w:val="auto"/>
        </w:rPr>
      </w:pPr>
      <w:r>
        <w:rPr>
          <w:rFonts w:ascii="Arial" w:cs="Arial" w:eastAsia="Arial" w:hAnsi="Arial"/>
          <w:sz w:val="16"/>
          <w:szCs w:val="16"/>
          <w:color w:val="auto"/>
        </w:rPr>
        <w:t>When requested, represents the Board with internal and external audiences including shareholders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-94615</wp:posOffset>
            </wp:positionV>
            <wp:extent cx="485140" cy="984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39"/>
          </w:cols>
          <w:pgMar w:left="320" w:top="445" w:right="1440"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0075C9"/>
                <w:w w:val="89"/>
              </w:rPr>
              <w:t>1</w:t>
            </w:r>
          </w:p>
        </w:tc>
        <w:tc>
          <w:tcPr>
            <w:tcW w:w="1220" w:type="dxa"/>
            <w:vAlign w:val="bottom"/>
            <w:vMerge w:val="restart"/>
          </w:tcPr>
          <w:p>
            <w:pPr>
              <w:ind w:left="80"/>
              <w:spacing w:after="0"/>
              <w:rPr>
                <w:sz w:val="20"/>
                <w:szCs w:val="20"/>
                <w:color w:val="auto"/>
              </w:rPr>
            </w:pPr>
            <w:r>
              <w:rPr>
                <w:rFonts w:ascii="Arial" w:cs="Arial" w:eastAsia="Arial" w:hAnsi="Arial"/>
                <w:sz w:val="12"/>
                <w:szCs w:val="12"/>
                <w:color w:val="0075C9"/>
                <w:w w:val="98"/>
              </w:rPr>
              <w:t>GOVERNANCE AND</w:t>
            </w:r>
          </w:p>
        </w:tc>
        <w:tc>
          <w:tcPr>
            <w:tcW w:w="720" w:type="dxa"/>
            <w:vAlign w:val="bottom"/>
          </w:tcPr>
          <w:p>
            <w:pPr>
              <w:jc w:val="right"/>
              <w:spacing w:after="0"/>
              <w:rPr>
                <w:sz w:val="20"/>
                <w:szCs w:val="20"/>
                <w:color w:val="auto"/>
              </w:rPr>
            </w:pPr>
            <w:r>
              <w:rPr>
                <w:rFonts w:ascii="Arial" w:cs="Arial" w:eastAsia="Arial" w:hAnsi="Arial"/>
                <w:sz w:val="36"/>
                <w:szCs w:val="36"/>
                <w:color w:val="auto"/>
              </w:rPr>
              <w:t>2</w:t>
            </w:r>
          </w:p>
        </w:tc>
        <w:tc>
          <w:tcPr>
            <w:tcW w:w="1540" w:type="dxa"/>
            <w:vAlign w:val="bottom"/>
            <w:vMerge w:val="restart"/>
          </w:tcPr>
          <w:p>
            <w:pPr>
              <w:ind w:left="80"/>
              <w:spacing w:after="0"/>
              <w:rPr>
                <w:sz w:val="20"/>
                <w:szCs w:val="20"/>
                <w:color w:val="auto"/>
              </w:rPr>
            </w:pPr>
            <w:r>
              <w:rPr>
                <w:rFonts w:ascii="Arial" w:cs="Arial" w:eastAsia="Arial" w:hAnsi="Arial"/>
                <w:sz w:val="12"/>
                <w:szCs w:val="12"/>
                <w:color w:val="auto"/>
              </w:rPr>
              <w:t>NAMED</w:t>
            </w:r>
          </w:p>
        </w:tc>
        <w:tc>
          <w:tcPr>
            <w:tcW w:w="500" w:type="dxa"/>
            <w:vAlign w:val="bottom"/>
          </w:tcPr>
          <w:p>
            <w:pPr>
              <w:jc w:val="right"/>
              <w:spacing w:after="0"/>
              <w:rPr>
                <w:sz w:val="20"/>
                <w:szCs w:val="20"/>
                <w:color w:val="auto"/>
              </w:rPr>
            </w:pPr>
            <w:r>
              <w:rPr>
                <w:rFonts w:ascii="Arial" w:cs="Arial" w:eastAsia="Arial" w:hAnsi="Arial"/>
                <w:sz w:val="36"/>
                <w:szCs w:val="36"/>
                <w:color w:val="auto"/>
              </w:rPr>
              <w:t>3</w:t>
            </w:r>
          </w:p>
        </w:tc>
        <w:tc>
          <w:tcPr>
            <w:tcW w:w="980" w:type="dxa"/>
            <w:vAlign w:val="bottom"/>
            <w:vMerge w:val="restart"/>
          </w:tcPr>
          <w:p>
            <w:pPr>
              <w:ind w:left="80"/>
              <w:spacing w:after="0"/>
              <w:rPr>
                <w:sz w:val="20"/>
                <w:szCs w:val="20"/>
                <w:color w:val="auto"/>
              </w:rPr>
            </w:pPr>
            <w:r>
              <w:rPr>
                <w:rFonts w:ascii="Arial" w:cs="Arial" w:eastAsia="Arial" w:hAnsi="Arial"/>
                <w:sz w:val="12"/>
                <w:szCs w:val="12"/>
                <w:color w:val="auto"/>
              </w:rPr>
              <w:t>AUDIT</w:t>
            </w:r>
          </w:p>
        </w:tc>
        <w:tc>
          <w:tcPr>
            <w:tcW w:w="460" w:type="dxa"/>
            <w:vAlign w:val="bottom"/>
          </w:tcPr>
          <w:p>
            <w:pPr>
              <w:jc w:val="right"/>
              <w:spacing w:after="0"/>
              <w:rPr>
                <w:sz w:val="20"/>
                <w:szCs w:val="20"/>
                <w:color w:val="auto"/>
              </w:rPr>
            </w:pPr>
            <w:r>
              <w:rPr>
                <w:rFonts w:ascii="Arial" w:cs="Arial" w:eastAsia="Arial" w:hAnsi="Arial"/>
                <w:sz w:val="36"/>
                <w:szCs w:val="36"/>
                <w:color w:val="auto"/>
              </w:rPr>
              <w:t>4</w:t>
            </w:r>
          </w:p>
        </w:tc>
        <w:tc>
          <w:tcPr>
            <w:tcW w:w="1580" w:type="dxa"/>
            <w:vAlign w:val="bottom"/>
            <w:vMerge w:val="restart"/>
          </w:tcPr>
          <w:p>
            <w:pPr>
              <w:ind w:left="80"/>
              <w:spacing w:after="0"/>
              <w:rPr>
                <w:sz w:val="20"/>
                <w:szCs w:val="20"/>
                <w:color w:val="auto"/>
              </w:rPr>
            </w:pPr>
            <w:r>
              <w:rPr>
                <w:rFonts w:ascii="Arial" w:cs="Arial" w:eastAsia="Arial" w:hAnsi="Arial"/>
                <w:sz w:val="12"/>
                <w:szCs w:val="12"/>
                <w:color w:val="auto"/>
              </w:rPr>
              <w:t>PROPOSALS TO</w:t>
            </w:r>
          </w:p>
        </w:tc>
        <w:tc>
          <w:tcPr>
            <w:tcW w:w="440" w:type="dxa"/>
            <w:vAlign w:val="bottom"/>
          </w:tcPr>
          <w:p>
            <w:pPr>
              <w:jc w:val="right"/>
              <w:spacing w:after="0"/>
              <w:rPr>
                <w:sz w:val="20"/>
                <w:szCs w:val="20"/>
                <w:color w:val="auto"/>
              </w:rPr>
            </w:pPr>
            <w:r>
              <w:rPr>
                <w:rFonts w:ascii="Arial" w:cs="Arial" w:eastAsia="Arial" w:hAnsi="Arial"/>
                <w:sz w:val="36"/>
                <w:szCs w:val="36"/>
                <w:color w:val="auto"/>
              </w:rPr>
              <w:t>5</w:t>
            </w:r>
          </w:p>
        </w:tc>
        <w:tc>
          <w:tcPr>
            <w:tcW w:w="900" w:type="dxa"/>
            <w:vAlign w:val="bottom"/>
            <w:vMerge w:val="restart"/>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220" w:type="dxa"/>
            <w:vAlign w:val="bottom"/>
          </w:tcPr>
          <w:p>
            <w:pPr>
              <w:ind w:left="80"/>
              <w:spacing w:after="0" w:line="130" w:lineRule="exact"/>
              <w:rPr>
                <w:sz w:val="20"/>
                <w:szCs w:val="20"/>
                <w:color w:val="auto"/>
              </w:rPr>
            </w:pPr>
            <w:r>
              <w:rPr>
                <w:rFonts w:ascii="Arial" w:cs="Arial" w:eastAsia="Arial" w:hAnsi="Arial"/>
                <w:sz w:val="12"/>
                <w:szCs w:val="12"/>
                <w:color w:val="0075C9"/>
              </w:rPr>
              <w:t>OUR BOARD OF</w:t>
            </w:r>
          </w:p>
        </w:tc>
        <w:tc>
          <w:tcPr>
            <w:tcW w:w="720" w:type="dxa"/>
            <w:vAlign w:val="bottom"/>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460" w:type="dxa"/>
            <w:vAlign w:val="bottom"/>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40" w:type="dxa"/>
            <w:vAlign w:val="bottom"/>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0075C9"/>
              </w:rPr>
              <w:t>DIRECTORS</w:t>
            </w:r>
          </w:p>
        </w:tc>
        <w:tc>
          <w:tcPr>
            <w:tcW w:w="720" w:type="dxa"/>
            <w:vAlign w:val="bottom"/>
          </w:tcPr>
          <w:p>
            <w:pPr>
              <w:spacing w:after="0"/>
              <w:rPr>
                <w:sz w:val="12"/>
                <w:szCs w:val="12"/>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tcPr>
          <w:p>
            <w:pPr>
              <w:spacing w:after="0"/>
              <w:rPr>
                <w:sz w:val="12"/>
                <w:szCs w:val="12"/>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460" w:type="dxa"/>
            <w:vAlign w:val="bottom"/>
          </w:tcPr>
          <w:p>
            <w:pPr>
              <w:spacing w:after="0"/>
              <w:rPr>
                <w:sz w:val="12"/>
                <w:szCs w:val="12"/>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40" w:type="dxa"/>
            <w:vAlign w:val="bottom"/>
          </w:tcPr>
          <w:p>
            <w:pPr>
              <w:spacing w:after="0"/>
              <w:rPr>
                <w:sz w:val="12"/>
                <w:szCs w:val="12"/>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shd w:val="clear" w:color="auto" w:fill="0075C9"/>
          </w:tcPr>
          <w:p>
            <w:pPr>
              <w:spacing w:after="0"/>
              <w:rPr>
                <w:sz w:val="9"/>
                <w:szCs w:val="9"/>
                <w:color w:val="auto"/>
              </w:rPr>
            </w:pPr>
          </w:p>
        </w:tc>
        <w:tc>
          <w:tcPr>
            <w:tcW w:w="1220" w:type="dxa"/>
            <w:vAlign w:val="bottom"/>
            <w:shd w:val="clear" w:color="auto" w:fill="0075C9"/>
          </w:tcPr>
          <w:p>
            <w:pPr>
              <w:spacing w:after="0"/>
              <w:rPr>
                <w:sz w:val="9"/>
                <w:szCs w:val="9"/>
                <w:color w:val="auto"/>
              </w:rPr>
            </w:pPr>
          </w:p>
        </w:tc>
        <w:tc>
          <w:tcPr>
            <w:tcW w:w="7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Board Committees</w:t>
      </w:r>
    </w:p>
    <w:p>
      <w:pPr>
        <w:spacing w:after="0" w:line="129" w:lineRule="exact"/>
        <w:rPr>
          <w:sz w:val="20"/>
          <w:szCs w:val="20"/>
          <w:color w:val="auto"/>
        </w:rPr>
      </w:pPr>
    </w:p>
    <w:p>
      <w:pPr>
        <w:ind w:left="1100" w:right="180"/>
        <w:spacing w:after="0" w:line="238" w:lineRule="auto"/>
        <w:rPr>
          <w:sz w:val="20"/>
          <w:szCs w:val="20"/>
          <w:color w:val="auto"/>
        </w:rPr>
      </w:pPr>
      <w:r>
        <w:rPr>
          <w:rFonts w:ascii="Arial" w:cs="Arial" w:eastAsia="Arial" w:hAnsi="Arial"/>
          <w:sz w:val="16"/>
          <w:szCs w:val="16"/>
          <w:color w:val="auto"/>
        </w:rPr>
        <w:t>To support effective corporate governance, our Board delegates certain responsibilities to its committees, who report on their activities to the Board. These committees have the authority to engage legal counsel or other advisors or consultants as they deem appropriate to carry out their responsibilities. Our Board has an Audit Committee, Compensation Committee, Governance and Nominating Committee, and Regulatory and Public Policy Committee.</w:t>
      </w:r>
    </w:p>
    <w:p>
      <w:pPr>
        <w:spacing w:after="0" w:line="99" w:lineRule="exact"/>
        <w:rPr>
          <w:sz w:val="20"/>
          <w:szCs w:val="20"/>
          <w:color w:val="auto"/>
        </w:rPr>
      </w:pPr>
    </w:p>
    <w:p>
      <w:pPr>
        <w:ind w:left="1100" w:right="280"/>
        <w:spacing w:after="0" w:line="238" w:lineRule="auto"/>
        <w:rPr>
          <w:sz w:val="20"/>
          <w:szCs w:val="20"/>
          <w:color w:val="auto"/>
        </w:rPr>
      </w:pPr>
      <w:r>
        <w:rPr>
          <w:rFonts w:ascii="Arial" w:cs="Arial" w:eastAsia="Arial" w:hAnsi="Arial"/>
          <w:sz w:val="16"/>
          <w:szCs w:val="16"/>
          <w:color w:val="auto"/>
        </w:rPr>
        <w:t xml:space="preserve">The table below provides summary information about each director nominee followed by a summary of each committee’s responsibilities. Each committee has a charter describing its specific responsibilities which can be found on our website at </w:t>
      </w:r>
      <w:r>
        <w:rPr>
          <w:rFonts w:ascii="Arial" w:cs="Arial" w:eastAsia="Arial" w:hAnsi="Arial"/>
          <w:sz w:val="16"/>
          <w:szCs w:val="16"/>
          <w:u w:val="single" w:color="auto"/>
          <w:color w:val="auto"/>
        </w:rPr>
        <w:t>aka.ms/boardcommittees</w:t>
      </w:r>
      <w:r>
        <w:rPr>
          <w:rFonts w:ascii="Arial" w:cs="Arial" w:eastAsia="Arial" w:hAnsi="Arial"/>
          <w:sz w:val="16"/>
          <w:szCs w:val="16"/>
          <w:color w:val="auto"/>
        </w:rPr>
        <w:t>. Carlos Rodriguez is nominated for election to the Board at the Annual Meeting. The Board will consider committee appointments for Mr. Rodriguez if he is elected to the Board.</w:t>
      </w:r>
    </w:p>
    <w:p>
      <w:pPr>
        <w:spacing w:after="0" w:line="169"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Membership</w:t>
      </w:r>
    </w:p>
    <w:p>
      <w:pPr>
        <w:spacing w:after="0" w:line="233" w:lineRule="exact"/>
        <w:rPr>
          <w:sz w:val="20"/>
          <w:szCs w:val="20"/>
          <w:color w:val="auto"/>
        </w:rPr>
      </w:pPr>
    </w:p>
    <w:tbl>
      <w:tblPr>
        <w:tblLayout w:type="fixed"/>
        <w:tblInd w:w="1100" w:type="dxa"/>
        <w:tblCellMar>
          <w:top w:w="0" w:type="dxa"/>
          <w:left w:w="0" w:type="dxa"/>
          <w:bottom w:w="0" w:type="dxa"/>
          <w:right w:w="0" w:type="dxa"/>
        </w:tblCellMar>
      </w:tblPr>
      <w:tr>
        <w:trPr>
          <w:trHeight w:val="195"/>
        </w:trPr>
        <w:tc>
          <w:tcPr>
            <w:tcW w:w="2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60" w:type="dxa"/>
            <w:vAlign w:val="bottom"/>
            <w:gridSpan w:val="2"/>
          </w:tcPr>
          <w:p>
            <w:pPr>
              <w:jc w:val="right"/>
              <w:ind w:right="298"/>
              <w:spacing w:after="0"/>
              <w:rPr>
                <w:sz w:val="20"/>
                <w:szCs w:val="20"/>
                <w:color w:val="auto"/>
              </w:rPr>
            </w:pPr>
            <w:r>
              <w:rPr>
                <w:rFonts w:ascii="Arial" w:cs="Arial" w:eastAsia="Arial" w:hAnsi="Arial"/>
                <w:sz w:val="17"/>
                <w:szCs w:val="17"/>
                <w:b w:val="1"/>
                <w:bCs w:val="1"/>
                <w:color w:val="auto"/>
              </w:rPr>
              <w:t>Governance and</w:t>
            </w:r>
          </w:p>
        </w:tc>
        <w:tc>
          <w:tcPr>
            <w:tcW w:w="1680" w:type="dxa"/>
            <w:vAlign w:val="bottom"/>
          </w:tcPr>
          <w:p>
            <w:pPr>
              <w:jc w:val="right"/>
              <w:spacing w:after="0"/>
              <w:rPr>
                <w:sz w:val="20"/>
                <w:szCs w:val="20"/>
                <w:color w:val="auto"/>
              </w:rPr>
            </w:pPr>
            <w:r>
              <w:rPr>
                <w:rFonts w:ascii="Arial" w:cs="Arial" w:eastAsia="Arial" w:hAnsi="Arial"/>
                <w:sz w:val="17"/>
                <w:szCs w:val="17"/>
                <w:b w:val="1"/>
                <w:bCs w:val="1"/>
                <w:color w:val="auto"/>
              </w:rPr>
              <w:t>Regulatory and</w:t>
            </w:r>
          </w:p>
        </w:tc>
        <w:tc>
          <w:tcPr>
            <w:tcW w:w="0" w:type="dxa"/>
            <w:vAlign w:val="bottom"/>
          </w:tcPr>
          <w:p>
            <w:pPr>
              <w:spacing w:after="0"/>
              <w:rPr>
                <w:sz w:val="1"/>
                <w:szCs w:val="1"/>
                <w:color w:val="auto"/>
              </w:rPr>
            </w:pPr>
          </w:p>
        </w:tc>
      </w:tr>
      <w:tr>
        <w:trPr>
          <w:trHeight w:val="230"/>
        </w:trPr>
        <w:tc>
          <w:tcPr>
            <w:tcW w:w="2700" w:type="dxa"/>
            <w:vAlign w:val="bottom"/>
            <w:tcBorders>
              <w:bottom w:val="single" w:sz="8" w:color="auto"/>
            </w:tcBorders>
          </w:tcPr>
          <w:p>
            <w:pPr>
              <w:ind w:left="80"/>
              <w:spacing w:after="0"/>
              <w:rPr>
                <w:sz w:val="20"/>
                <w:szCs w:val="20"/>
                <w:color w:val="auto"/>
              </w:rPr>
            </w:pPr>
            <w:r>
              <w:rPr>
                <w:rFonts w:ascii="Arial" w:cs="Arial" w:eastAsia="Arial" w:hAnsi="Arial"/>
                <w:sz w:val="17"/>
                <w:szCs w:val="17"/>
                <w:b w:val="1"/>
                <w:bCs w:val="1"/>
                <w:color w:val="auto"/>
              </w:rPr>
              <w:t>Director</w:t>
            </w:r>
          </w:p>
        </w:tc>
        <w:tc>
          <w:tcPr>
            <w:tcW w:w="820" w:type="dxa"/>
            <w:vAlign w:val="bottom"/>
            <w:tcBorders>
              <w:bottom w:val="single" w:sz="8" w:color="auto"/>
            </w:tcBorders>
          </w:tcPr>
          <w:p>
            <w:pPr>
              <w:jc w:val="center"/>
              <w:ind w:right="58"/>
              <w:spacing w:after="0"/>
              <w:rPr>
                <w:sz w:val="20"/>
                <w:szCs w:val="20"/>
                <w:color w:val="auto"/>
              </w:rPr>
            </w:pPr>
            <w:r>
              <w:rPr>
                <w:rFonts w:ascii="Arial" w:cs="Arial" w:eastAsia="Arial" w:hAnsi="Arial"/>
                <w:sz w:val="17"/>
                <w:szCs w:val="17"/>
                <w:b w:val="1"/>
                <w:bCs w:val="1"/>
                <w:color w:val="auto"/>
              </w:rPr>
              <w:t>Audit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Compensation</w:t>
            </w:r>
          </w:p>
        </w:tc>
        <w:tc>
          <w:tcPr>
            <w:tcW w:w="8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298"/>
              <w:spacing w:after="0"/>
              <w:rPr>
                <w:sz w:val="20"/>
                <w:szCs w:val="20"/>
                <w:color w:val="auto"/>
              </w:rPr>
            </w:pPr>
            <w:r>
              <w:rPr>
                <w:rFonts w:ascii="Arial" w:cs="Arial" w:eastAsia="Arial" w:hAnsi="Arial"/>
                <w:sz w:val="17"/>
                <w:szCs w:val="17"/>
                <w:b w:val="1"/>
                <w:bCs w:val="1"/>
                <w:color w:val="auto"/>
              </w:rPr>
              <w:t>Nominating</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Public Policy</w:t>
            </w:r>
          </w:p>
        </w:tc>
        <w:tc>
          <w:tcPr>
            <w:tcW w:w="0" w:type="dxa"/>
            <w:vAlign w:val="bottom"/>
          </w:tcPr>
          <w:p>
            <w:pPr>
              <w:spacing w:after="0"/>
              <w:rPr>
                <w:sz w:val="1"/>
                <w:szCs w:val="1"/>
                <w:color w:val="auto"/>
              </w:rPr>
            </w:pPr>
          </w:p>
        </w:tc>
      </w:tr>
      <w:tr>
        <w:trPr>
          <w:trHeight w:val="232"/>
        </w:trPr>
        <w:tc>
          <w:tcPr>
            <w:tcW w:w="270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Reid G. Hoffman</w:t>
            </w:r>
          </w:p>
        </w:tc>
        <w:tc>
          <w:tcPr>
            <w:tcW w:w="820" w:type="dxa"/>
            <w:vAlign w:val="bottom"/>
            <w:tcBorders>
              <w:bottom w:val="single" w:sz="8" w:color="0075C9"/>
            </w:tcBorders>
          </w:tcPr>
          <w:p>
            <w:pPr>
              <w:spacing w:after="0"/>
              <w:rPr>
                <w:sz w:val="20"/>
                <w:szCs w:val="20"/>
                <w:color w:val="auto"/>
              </w:rPr>
            </w:pPr>
          </w:p>
        </w:tc>
        <w:tc>
          <w:tcPr>
            <w:tcW w:w="1580" w:type="dxa"/>
            <w:vAlign w:val="bottom"/>
            <w:tcBorders>
              <w:bottom w:val="single" w:sz="8" w:color="0075C9"/>
            </w:tcBorders>
          </w:tcPr>
          <w:p>
            <w:pPr>
              <w:spacing w:after="0"/>
              <w:rPr>
                <w:sz w:val="20"/>
                <w:szCs w:val="20"/>
                <w:color w:val="auto"/>
              </w:rPr>
            </w:pPr>
          </w:p>
        </w:tc>
        <w:tc>
          <w:tcPr>
            <w:tcW w:w="800" w:type="dxa"/>
            <w:vAlign w:val="bottom"/>
            <w:tcBorders>
              <w:bottom w:val="single" w:sz="8" w:color="0075C9"/>
            </w:tcBorders>
          </w:tcPr>
          <w:p>
            <w:pPr>
              <w:spacing w:after="0"/>
              <w:rPr>
                <w:sz w:val="20"/>
                <w:szCs w:val="20"/>
                <w:color w:val="auto"/>
              </w:rPr>
            </w:pPr>
          </w:p>
        </w:tc>
        <w:tc>
          <w:tcPr>
            <w:tcW w:w="1460" w:type="dxa"/>
            <w:vAlign w:val="bottom"/>
            <w:tcBorders>
              <w:bottom w:val="single" w:sz="8" w:color="0075C9"/>
            </w:tcBorders>
          </w:tcPr>
          <w:p>
            <w:pPr>
              <w:spacing w:after="0"/>
              <w:rPr>
                <w:sz w:val="20"/>
                <w:szCs w:val="20"/>
                <w:color w:val="auto"/>
              </w:rPr>
            </w:pPr>
          </w:p>
        </w:tc>
        <w:tc>
          <w:tcPr>
            <w:tcW w:w="1680" w:type="dxa"/>
            <w:vAlign w:val="bottom"/>
            <w:tcBorders>
              <w:bottom w:val="single" w:sz="8" w:color="0075C9"/>
            </w:tcBorders>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700" w:type="dxa"/>
            <w:vAlign w:val="bottom"/>
          </w:tcPr>
          <w:p>
            <w:pPr>
              <w:ind w:left="80"/>
              <w:spacing w:after="0"/>
              <w:rPr>
                <w:sz w:val="20"/>
                <w:szCs w:val="20"/>
                <w:color w:val="auto"/>
              </w:rPr>
            </w:pPr>
            <w:r>
              <w:rPr>
                <w:rFonts w:ascii="Arial" w:cs="Arial" w:eastAsia="Arial" w:hAnsi="Arial"/>
                <w:sz w:val="16"/>
                <w:szCs w:val="16"/>
                <w:b w:val="1"/>
                <w:bCs w:val="1"/>
                <w:color w:val="0075C9"/>
              </w:rPr>
              <w:t>Hugh F. Johnston</w:t>
            </w: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
        </w:trPr>
        <w:tc>
          <w:tcPr>
            <w:tcW w:w="2700" w:type="dxa"/>
            <w:vAlign w:val="bottom"/>
            <w:tcBorders>
              <w:bottom w:val="single" w:sz="8" w:color="0075C9"/>
            </w:tcBorders>
          </w:tcPr>
          <w:p>
            <w:pPr>
              <w:spacing w:after="0"/>
              <w:rPr>
                <w:sz w:val="3"/>
                <w:szCs w:val="3"/>
                <w:color w:val="auto"/>
              </w:rPr>
            </w:pPr>
          </w:p>
        </w:tc>
        <w:tc>
          <w:tcPr>
            <w:tcW w:w="820" w:type="dxa"/>
            <w:vAlign w:val="bottom"/>
            <w:tcBorders>
              <w:bottom w:val="single" w:sz="8" w:color="0075C9"/>
            </w:tcBorders>
          </w:tcPr>
          <w:p>
            <w:pPr>
              <w:spacing w:after="0"/>
              <w:rPr>
                <w:sz w:val="3"/>
                <w:szCs w:val="3"/>
                <w:color w:val="auto"/>
              </w:rPr>
            </w:pPr>
          </w:p>
        </w:tc>
        <w:tc>
          <w:tcPr>
            <w:tcW w:w="1580" w:type="dxa"/>
            <w:vAlign w:val="bottom"/>
            <w:tcBorders>
              <w:bottom w:val="single" w:sz="8" w:color="0075C9"/>
            </w:tcBorders>
          </w:tcPr>
          <w:p>
            <w:pPr>
              <w:spacing w:after="0"/>
              <w:rPr>
                <w:sz w:val="3"/>
                <w:szCs w:val="3"/>
                <w:color w:val="auto"/>
              </w:rPr>
            </w:pPr>
          </w:p>
        </w:tc>
        <w:tc>
          <w:tcPr>
            <w:tcW w:w="800" w:type="dxa"/>
            <w:vAlign w:val="bottom"/>
            <w:tcBorders>
              <w:bottom w:val="single" w:sz="8" w:color="0075C9"/>
            </w:tcBorders>
          </w:tcPr>
          <w:p>
            <w:pPr>
              <w:spacing w:after="0"/>
              <w:rPr>
                <w:sz w:val="3"/>
                <w:szCs w:val="3"/>
                <w:color w:val="auto"/>
              </w:rPr>
            </w:pPr>
          </w:p>
        </w:tc>
        <w:tc>
          <w:tcPr>
            <w:tcW w:w="1460" w:type="dxa"/>
            <w:vAlign w:val="bottom"/>
            <w:tcBorders>
              <w:bottom w:val="single" w:sz="8" w:color="0075C9"/>
            </w:tcBorders>
          </w:tcPr>
          <w:p>
            <w:pPr>
              <w:spacing w:after="0"/>
              <w:rPr>
                <w:sz w:val="3"/>
                <w:szCs w:val="3"/>
                <w:color w:val="auto"/>
              </w:rPr>
            </w:pPr>
          </w:p>
        </w:tc>
        <w:tc>
          <w:tcPr>
            <w:tcW w:w="1680" w:type="dxa"/>
            <w:vAlign w:val="bottom"/>
            <w:tcBorders>
              <w:bottom w:val="single" w:sz="8" w:color="0075C9"/>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700" w:type="dxa"/>
            <w:vAlign w:val="bottom"/>
          </w:tcPr>
          <w:p>
            <w:pPr>
              <w:ind w:left="80"/>
              <w:spacing w:after="0"/>
              <w:rPr>
                <w:sz w:val="20"/>
                <w:szCs w:val="20"/>
                <w:color w:val="auto"/>
              </w:rPr>
            </w:pPr>
            <w:r>
              <w:rPr>
                <w:rFonts w:ascii="Arial" w:cs="Arial" w:eastAsia="Arial" w:hAnsi="Arial"/>
                <w:sz w:val="16"/>
                <w:szCs w:val="16"/>
                <w:b w:val="1"/>
                <w:bCs w:val="1"/>
                <w:color w:val="0075C9"/>
              </w:rPr>
              <w:t>Teri L. List</w:t>
            </w:r>
          </w:p>
        </w:tc>
        <w:tc>
          <w:tcPr>
            <w:tcW w:w="8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700" w:type="dxa"/>
            <w:vAlign w:val="bottom"/>
            <w:tcBorders>
              <w:bottom w:val="single" w:sz="8" w:color="0075C9"/>
            </w:tcBorders>
          </w:tcPr>
          <w:p>
            <w:pPr>
              <w:spacing w:after="0"/>
              <w:rPr>
                <w:sz w:val="2"/>
                <w:szCs w:val="2"/>
                <w:color w:val="auto"/>
              </w:rPr>
            </w:pPr>
          </w:p>
        </w:tc>
        <w:tc>
          <w:tcPr>
            <w:tcW w:w="820" w:type="dxa"/>
            <w:vAlign w:val="bottom"/>
            <w:tcBorders>
              <w:bottom w:val="single" w:sz="8" w:color="0075C9"/>
            </w:tcBorders>
          </w:tcPr>
          <w:p>
            <w:pPr>
              <w:spacing w:after="0"/>
              <w:rPr>
                <w:sz w:val="2"/>
                <w:szCs w:val="2"/>
                <w:color w:val="auto"/>
              </w:rPr>
            </w:pPr>
          </w:p>
        </w:tc>
        <w:tc>
          <w:tcPr>
            <w:tcW w:w="1580" w:type="dxa"/>
            <w:vAlign w:val="bottom"/>
            <w:tcBorders>
              <w:bottom w:val="single" w:sz="8" w:color="0075C9"/>
            </w:tcBorders>
          </w:tcPr>
          <w:p>
            <w:pPr>
              <w:spacing w:after="0"/>
              <w:rPr>
                <w:sz w:val="2"/>
                <w:szCs w:val="2"/>
                <w:color w:val="auto"/>
              </w:rPr>
            </w:pPr>
          </w:p>
        </w:tc>
        <w:tc>
          <w:tcPr>
            <w:tcW w:w="800" w:type="dxa"/>
            <w:vAlign w:val="bottom"/>
            <w:tcBorders>
              <w:bottom w:val="single" w:sz="8" w:color="0075C9"/>
            </w:tcBorders>
          </w:tcPr>
          <w:p>
            <w:pPr>
              <w:spacing w:after="0"/>
              <w:rPr>
                <w:sz w:val="2"/>
                <w:szCs w:val="2"/>
                <w:color w:val="auto"/>
              </w:rPr>
            </w:pPr>
          </w:p>
        </w:tc>
        <w:tc>
          <w:tcPr>
            <w:tcW w:w="1460" w:type="dxa"/>
            <w:vAlign w:val="bottom"/>
            <w:tcBorders>
              <w:bottom w:val="single" w:sz="8" w:color="0075C9"/>
            </w:tcBorders>
          </w:tcPr>
          <w:p>
            <w:pPr>
              <w:spacing w:after="0"/>
              <w:rPr>
                <w:sz w:val="2"/>
                <w:szCs w:val="2"/>
                <w:color w:val="auto"/>
              </w:rPr>
            </w:pPr>
          </w:p>
        </w:tc>
        <w:tc>
          <w:tcPr>
            <w:tcW w:w="168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270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Satya Nadella</w:t>
            </w:r>
          </w:p>
        </w:tc>
        <w:tc>
          <w:tcPr>
            <w:tcW w:w="820" w:type="dxa"/>
            <w:vAlign w:val="bottom"/>
            <w:tcBorders>
              <w:bottom w:val="single" w:sz="8" w:color="0075C9"/>
            </w:tcBorders>
          </w:tcPr>
          <w:p>
            <w:pPr>
              <w:spacing w:after="0"/>
              <w:rPr>
                <w:sz w:val="20"/>
                <w:szCs w:val="20"/>
                <w:color w:val="auto"/>
              </w:rPr>
            </w:pPr>
          </w:p>
        </w:tc>
        <w:tc>
          <w:tcPr>
            <w:tcW w:w="1580" w:type="dxa"/>
            <w:vAlign w:val="bottom"/>
            <w:tcBorders>
              <w:bottom w:val="single" w:sz="8" w:color="0075C9"/>
            </w:tcBorders>
          </w:tcPr>
          <w:p>
            <w:pPr>
              <w:spacing w:after="0"/>
              <w:rPr>
                <w:sz w:val="20"/>
                <w:szCs w:val="20"/>
                <w:color w:val="auto"/>
              </w:rPr>
            </w:pPr>
          </w:p>
        </w:tc>
        <w:tc>
          <w:tcPr>
            <w:tcW w:w="800" w:type="dxa"/>
            <w:vAlign w:val="bottom"/>
            <w:tcBorders>
              <w:bottom w:val="single" w:sz="8" w:color="0075C9"/>
            </w:tcBorders>
          </w:tcPr>
          <w:p>
            <w:pPr>
              <w:spacing w:after="0"/>
              <w:rPr>
                <w:sz w:val="20"/>
                <w:szCs w:val="20"/>
                <w:color w:val="auto"/>
              </w:rPr>
            </w:pPr>
          </w:p>
        </w:tc>
        <w:tc>
          <w:tcPr>
            <w:tcW w:w="1460" w:type="dxa"/>
            <w:vAlign w:val="bottom"/>
            <w:tcBorders>
              <w:bottom w:val="single" w:sz="8" w:color="0075C9"/>
            </w:tcBorders>
          </w:tcPr>
          <w:p>
            <w:pPr>
              <w:spacing w:after="0"/>
              <w:rPr>
                <w:sz w:val="20"/>
                <w:szCs w:val="20"/>
                <w:color w:val="auto"/>
              </w:rPr>
            </w:pPr>
          </w:p>
        </w:tc>
        <w:tc>
          <w:tcPr>
            <w:tcW w:w="1680" w:type="dxa"/>
            <w:vAlign w:val="bottom"/>
            <w:tcBorders>
              <w:bottom w:val="single" w:sz="8" w:color="0075C9"/>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700" w:type="dxa"/>
            <w:vAlign w:val="bottom"/>
          </w:tcPr>
          <w:p>
            <w:pPr>
              <w:ind w:left="80"/>
              <w:spacing w:after="0"/>
              <w:rPr>
                <w:sz w:val="20"/>
                <w:szCs w:val="20"/>
                <w:color w:val="auto"/>
              </w:rPr>
            </w:pPr>
            <w:r>
              <w:rPr>
                <w:rFonts w:ascii="Arial" w:cs="Arial" w:eastAsia="Arial" w:hAnsi="Arial"/>
                <w:sz w:val="16"/>
                <w:szCs w:val="16"/>
                <w:b w:val="1"/>
                <w:bCs w:val="1"/>
                <w:color w:val="0075C9"/>
              </w:rPr>
              <w:t>Sandra E. Peterson</w:t>
            </w:r>
          </w:p>
        </w:tc>
        <w:tc>
          <w:tcPr>
            <w:tcW w:w="8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700" w:type="dxa"/>
            <w:vAlign w:val="bottom"/>
            <w:tcBorders>
              <w:bottom w:val="single" w:sz="8" w:color="0075C9"/>
            </w:tcBorders>
          </w:tcPr>
          <w:p>
            <w:pPr>
              <w:spacing w:after="0"/>
              <w:rPr>
                <w:sz w:val="2"/>
                <w:szCs w:val="2"/>
                <w:color w:val="auto"/>
              </w:rPr>
            </w:pPr>
          </w:p>
        </w:tc>
        <w:tc>
          <w:tcPr>
            <w:tcW w:w="820" w:type="dxa"/>
            <w:vAlign w:val="bottom"/>
            <w:tcBorders>
              <w:bottom w:val="single" w:sz="8" w:color="0075C9"/>
            </w:tcBorders>
          </w:tcPr>
          <w:p>
            <w:pPr>
              <w:spacing w:after="0"/>
              <w:rPr>
                <w:sz w:val="2"/>
                <w:szCs w:val="2"/>
                <w:color w:val="auto"/>
              </w:rPr>
            </w:pPr>
          </w:p>
        </w:tc>
        <w:tc>
          <w:tcPr>
            <w:tcW w:w="1580" w:type="dxa"/>
            <w:vAlign w:val="bottom"/>
            <w:tcBorders>
              <w:bottom w:val="single" w:sz="8" w:color="0075C9"/>
            </w:tcBorders>
          </w:tcPr>
          <w:p>
            <w:pPr>
              <w:spacing w:after="0"/>
              <w:rPr>
                <w:sz w:val="2"/>
                <w:szCs w:val="2"/>
                <w:color w:val="auto"/>
              </w:rPr>
            </w:pPr>
          </w:p>
        </w:tc>
        <w:tc>
          <w:tcPr>
            <w:tcW w:w="800" w:type="dxa"/>
            <w:vAlign w:val="bottom"/>
            <w:tcBorders>
              <w:bottom w:val="single" w:sz="8" w:color="0075C9"/>
            </w:tcBorders>
          </w:tcPr>
          <w:p>
            <w:pPr>
              <w:spacing w:after="0"/>
              <w:rPr>
                <w:sz w:val="2"/>
                <w:szCs w:val="2"/>
                <w:color w:val="auto"/>
              </w:rPr>
            </w:pPr>
          </w:p>
        </w:tc>
        <w:tc>
          <w:tcPr>
            <w:tcW w:w="1460" w:type="dxa"/>
            <w:vAlign w:val="bottom"/>
            <w:tcBorders>
              <w:bottom w:val="single" w:sz="8" w:color="0075C9"/>
            </w:tcBorders>
          </w:tcPr>
          <w:p>
            <w:pPr>
              <w:spacing w:after="0"/>
              <w:rPr>
                <w:sz w:val="2"/>
                <w:szCs w:val="2"/>
                <w:color w:val="auto"/>
              </w:rPr>
            </w:pPr>
          </w:p>
        </w:tc>
        <w:tc>
          <w:tcPr>
            <w:tcW w:w="168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700" w:type="dxa"/>
            <w:vAlign w:val="bottom"/>
          </w:tcPr>
          <w:p>
            <w:pPr>
              <w:ind w:left="80"/>
              <w:spacing w:after="0"/>
              <w:rPr>
                <w:sz w:val="20"/>
                <w:szCs w:val="20"/>
                <w:color w:val="auto"/>
              </w:rPr>
            </w:pPr>
            <w:r>
              <w:rPr>
                <w:rFonts w:ascii="Arial" w:cs="Arial" w:eastAsia="Arial" w:hAnsi="Arial"/>
                <w:sz w:val="16"/>
                <w:szCs w:val="16"/>
                <w:b w:val="1"/>
                <w:bCs w:val="1"/>
                <w:color w:val="0075C9"/>
              </w:rPr>
              <w:t>Penny S. Pritzker</w:t>
            </w:r>
          </w:p>
        </w:tc>
        <w:tc>
          <w:tcPr>
            <w:tcW w:w="8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700" w:type="dxa"/>
            <w:vAlign w:val="bottom"/>
            <w:tcBorders>
              <w:bottom w:val="single" w:sz="8" w:color="0075C9"/>
            </w:tcBorders>
          </w:tcPr>
          <w:p>
            <w:pPr>
              <w:spacing w:after="0"/>
              <w:rPr>
                <w:sz w:val="2"/>
                <w:szCs w:val="2"/>
                <w:color w:val="auto"/>
              </w:rPr>
            </w:pPr>
          </w:p>
        </w:tc>
        <w:tc>
          <w:tcPr>
            <w:tcW w:w="820" w:type="dxa"/>
            <w:vAlign w:val="bottom"/>
            <w:tcBorders>
              <w:bottom w:val="single" w:sz="8" w:color="0075C9"/>
            </w:tcBorders>
          </w:tcPr>
          <w:p>
            <w:pPr>
              <w:spacing w:after="0"/>
              <w:rPr>
                <w:sz w:val="2"/>
                <w:szCs w:val="2"/>
                <w:color w:val="auto"/>
              </w:rPr>
            </w:pPr>
          </w:p>
        </w:tc>
        <w:tc>
          <w:tcPr>
            <w:tcW w:w="1580" w:type="dxa"/>
            <w:vAlign w:val="bottom"/>
            <w:tcBorders>
              <w:bottom w:val="single" w:sz="8" w:color="0075C9"/>
            </w:tcBorders>
          </w:tcPr>
          <w:p>
            <w:pPr>
              <w:spacing w:after="0"/>
              <w:rPr>
                <w:sz w:val="2"/>
                <w:szCs w:val="2"/>
                <w:color w:val="auto"/>
              </w:rPr>
            </w:pPr>
          </w:p>
        </w:tc>
        <w:tc>
          <w:tcPr>
            <w:tcW w:w="800" w:type="dxa"/>
            <w:vAlign w:val="bottom"/>
            <w:tcBorders>
              <w:bottom w:val="single" w:sz="8" w:color="0075C9"/>
            </w:tcBorders>
          </w:tcPr>
          <w:p>
            <w:pPr>
              <w:spacing w:after="0"/>
              <w:rPr>
                <w:sz w:val="2"/>
                <w:szCs w:val="2"/>
                <w:color w:val="auto"/>
              </w:rPr>
            </w:pPr>
          </w:p>
        </w:tc>
        <w:tc>
          <w:tcPr>
            <w:tcW w:w="1460" w:type="dxa"/>
            <w:vAlign w:val="bottom"/>
            <w:tcBorders>
              <w:bottom w:val="single" w:sz="8" w:color="0075C9"/>
            </w:tcBorders>
          </w:tcPr>
          <w:p>
            <w:pPr>
              <w:spacing w:after="0"/>
              <w:rPr>
                <w:sz w:val="2"/>
                <w:szCs w:val="2"/>
                <w:color w:val="auto"/>
              </w:rPr>
            </w:pPr>
          </w:p>
        </w:tc>
        <w:tc>
          <w:tcPr>
            <w:tcW w:w="168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700" w:type="dxa"/>
            <w:vAlign w:val="bottom"/>
          </w:tcPr>
          <w:p>
            <w:pPr>
              <w:ind w:left="80"/>
              <w:spacing w:after="0"/>
              <w:rPr>
                <w:sz w:val="20"/>
                <w:szCs w:val="20"/>
                <w:color w:val="auto"/>
              </w:rPr>
            </w:pPr>
            <w:r>
              <w:rPr>
                <w:rFonts w:ascii="Arial" w:cs="Arial" w:eastAsia="Arial" w:hAnsi="Arial"/>
                <w:sz w:val="16"/>
                <w:szCs w:val="16"/>
                <w:b w:val="1"/>
                <w:bCs w:val="1"/>
                <w:color w:val="0075C9"/>
              </w:rPr>
              <w:t>Charles W. Scharf</w:t>
            </w:r>
          </w:p>
        </w:tc>
        <w:tc>
          <w:tcPr>
            <w:tcW w:w="8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700" w:type="dxa"/>
            <w:vAlign w:val="bottom"/>
            <w:tcBorders>
              <w:bottom w:val="single" w:sz="8" w:color="0075C9"/>
            </w:tcBorders>
          </w:tcPr>
          <w:p>
            <w:pPr>
              <w:spacing w:after="0"/>
              <w:rPr>
                <w:sz w:val="2"/>
                <w:szCs w:val="2"/>
                <w:color w:val="auto"/>
              </w:rPr>
            </w:pPr>
          </w:p>
        </w:tc>
        <w:tc>
          <w:tcPr>
            <w:tcW w:w="820" w:type="dxa"/>
            <w:vAlign w:val="bottom"/>
            <w:tcBorders>
              <w:bottom w:val="single" w:sz="8" w:color="0075C9"/>
            </w:tcBorders>
          </w:tcPr>
          <w:p>
            <w:pPr>
              <w:spacing w:after="0"/>
              <w:rPr>
                <w:sz w:val="2"/>
                <w:szCs w:val="2"/>
                <w:color w:val="auto"/>
              </w:rPr>
            </w:pPr>
          </w:p>
        </w:tc>
        <w:tc>
          <w:tcPr>
            <w:tcW w:w="1580" w:type="dxa"/>
            <w:vAlign w:val="bottom"/>
            <w:tcBorders>
              <w:bottom w:val="single" w:sz="8" w:color="0075C9"/>
            </w:tcBorders>
          </w:tcPr>
          <w:p>
            <w:pPr>
              <w:spacing w:after="0"/>
              <w:rPr>
                <w:sz w:val="2"/>
                <w:szCs w:val="2"/>
                <w:color w:val="auto"/>
              </w:rPr>
            </w:pPr>
          </w:p>
        </w:tc>
        <w:tc>
          <w:tcPr>
            <w:tcW w:w="800" w:type="dxa"/>
            <w:vAlign w:val="bottom"/>
            <w:tcBorders>
              <w:bottom w:val="single" w:sz="8" w:color="0075C9"/>
            </w:tcBorders>
          </w:tcPr>
          <w:p>
            <w:pPr>
              <w:spacing w:after="0"/>
              <w:rPr>
                <w:sz w:val="2"/>
                <w:szCs w:val="2"/>
                <w:color w:val="auto"/>
              </w:rPr>
            </w:pPr>
          </w:p>
        </w:tc>
        <w:tc>
          <w:tcPr>
            <w:tcW w:w="1460" w:type="dxa"/>
            <w:vAlign w:val="bottom"/>
            <w:tcBorders>
              <w:bottom w:val="single" w:sz="8" w:color="0075C9"/>
            </w:tcBorders>
          </w:tcPr>
          <w:p>
            <w:pPr>
              <w:spacing w:after="0"/>
              <w:rPr>
                <w:sz w:val="2"/>
                <w:szCs w:val="2"/>
                <w:color w:val="auto"/>
              </w:rPr>
            </w:pPr>
          </w:p>
        </w:tc>
        <w:tc>
          <w:tcPr>
            <w:tcW w:w="168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700" w:type="dxa"/>
            <w:vAlign w:val="bottom"/>
          </w:tcPr>
          <w:p>
            <w:pPr>
              <w:ind w:left="80"/>
              <w:spacing w:after="0"/>
              <w:rPr>
                <w:sz w:val="20"/>
                <w:szCs w:val="20"/>
                <w:color w:val="auto"/>
              </w:rPr>
            </w:pPr>
            <w:r>
              <w:rPr>
                <w:rFonts w:ascii="Arial" w:cs="Arial" w:eastAsia="Arial" w:hAnsi="Arial"/>
                <w:sz w:val="16"/>
                <w:szCs w:val="16"/>
                <w:b w:val="1"/>
                <w:bCs w:val="1"/>
                <w:color w:val="0075C9"/>
              </w:rPr>
              <w:t>John W. Stanton</w:t>
            </w:r>
          </w:p>
        </w:tc>
        <w:tc>
          <w:tcPr>
            <w:tcW w:w="8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700" w:type="dxa"/>
            <w:vAlign w:val="bottom"/>
            <w:tcBorders>
              <w:bottom w:val="single" w:sz="8" w:color="0075C9"/>
            </w:tcBorders>
          </w:tcPr>
          <w:p>
            <w:pPr>
              <w:spacing w:after="0"/>
              <w:rPr>
                <w:sz w:val="2"/>
                <w:szCs w:val="2"/>
                <w:color w:val="auto"/>
              </w:rPr>
            </w:pPr>
          </w:p>
        </w:tc>
        <w:tc>
          <w:tcPr>
            <w:tcW w:w="820" w:type="dxa"/>
            <w:vAlign w:val="bottom"/>
            <w:tcBorders>
              <w:bottom w:val="single" w:sz="8" w:color="0075C9"/>
            </w:tcBorders>
          </w:tcPr>
          <w:p>
            <w:pPr>
              <w:spacing w:after="0"/>
              <w:rPr>
                <w:sz w:val="2"/>
                <w:szCs w:val="2"/>
                <w:color w:val="auto"/>
              </w:rPr>
            </w:pPr>
          </w:p>
        </w:tc>
        <w:tc>
          <w:tcPr>
            <w:tcW w:w="1580" w:type="dxa"/>
            <w:vAlign w:val="bottom"/>
            <w:tcBorders>
              <w:bottom w:val="single" w:sz="8" w:color="0075C9"/>
            </w:tcBorders>
          </w:tcPr>
          <w:p>
            <w:pPr>
              <w:spacing w:after="0"/>
              <w:rPr>
                <w:sz w:val="2"/>
                <w:szCs w:val="2"/>
                <w:color w:val="auto"/>
              </w:rPr>
            </w:pPr>
          </w:p>
        </w:tc>
        <w:tc>
          <w:tcPr>
            <w:tcW w:w="800" w:type="dxa"/>
            <w:vAlign w:val="bottom"/>
            <w:tcBorders>
              <w:bottom w:val="single" w:sz="8" w:color="0075C9"/>
            </w:tcBorders>
          </w:tcPr>
          <w:p>
            <w:pPr>
              <w:spacing w:after="0"/>
              <w:rPr>
                <w:sz w:val="2"/>
                <w:szCs w:val="2"/>
                <w:color w:val="auto"/>
              </w:rPr>
            </w:pPr>
          </w:p>
        </w:tc>
        <w:tc>
          <w:tcPr>
            <w:tcW w:w="1460" w:type="dxa"/>
            <w:vAlign w:val="bottom"/>
            <w:tcBorders>
              <w:bottom w:val="single" w:sz="8" w:color="0075C9"/>
            </w:tcBorders>
          </w:tcPr>
          <w:p>
            <w:pPr>
              <w:spacing w:after="0"/>
              <w:rPr>
                <w:sz w:val="2"/>
                <w:szCs w:val="2"/>
                <w:color w:val="auto"/>
              </w:rPr>
            </w:pPr>
          </w:p>
        </w:tc>
        <w:tc>
          <w:tcPr>
            <w:tcW w:w="168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700" w:type="dxa"/>
            <w:vAlign w:val="bottom"/>
          </w:tcPr>
          <w:p>
            <w:pPr>
              <w:ind w:left="80"/>
              <w:spacing w:after="0"/>
              <w:rPr>
                <w:sz w:val="20"/>
                <w:szCs w:val="20"/>
                <w:color w:val="auto"/>
              </w:rPr>
            </w:pPr>
            <w:r>
              <w:rPr>
                <w:rFonts w:ascii="Arial" w:cs="Arial" w:eastAsia="Arial" w:hAnsi="Arial"/>
                <w:sz w:val="16"/>
                <w:szCs w:val="16"/>
                <w:b w:val="1"/>
                <w:bCs w:val="1"/>
                <w:color w:val="0075C9"/>
              </w:rPr>
              <w:t>John W. Thompson</w:t>
            </w:r>
          </w:p>
        </w:tc>
        <w:tc>
          <w:tcPr>
            <w:tcW w:w="8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700" w:type="dxa"/>
            <w:vAlign w:val="bottom"/>
            <w:tcBorders>
              <w:bottom w:val="single" w:sz="8" w:color="0075C9"/>
            </w:tcBorders>
          </w:tcPr>
          <w:p>
            <w:pPr>
              <w:spacing w:after="0"/>
              <w:rPr>
                <w:sz w:val="2"/>
                <w:szCs w:val="2"/>
                <w:color w:val="auto"/>
              </w:rPr>
            </w:pPr>
          </w:p>
        </w:tc>
        <w:tc>
          <w:tcPr>
            <w:tcW w:w="820" w:type="dxa"/>
            <w:vAlign w:val="bottom"/>
            <w:tcBorders>
              <w:bottom w:val="single" w:sz="8" w:color="0075C9"/>
            </w:tcBorders>
          </w:tcPr>
          <w:p>
            <w:pPr>
              <w:spacing w:after="0"/>
              <w:rPr>
                <w:sz w:val="2"/>
                <w:szCs w:val="2"/>
                <w:color w:val="auto"/>
              </w:rPr>
            </w:pPr>
          </w:p>
        </w:tc>
        <w:tc>
          <w:tcPr>
            <w:tcW w:w="1580" w:type="dxa"/>
            <w:vAlign w:val="bottom"/>
            <w:tcBorders>
              <w:bottom w:val="single" w:sz="8" w:color="0075C9"/>
            </w:tcBorders>
          </w:tcPr>
          <w:p>
            <w:pPr>
              <w:spacing w:after="0"/>
              <w:rPr>
                <w:sz w:val="2"/>
                <w:szCs w:val="2"/>
                <w:color w:val="auto"/>
              </w:rPr>
            </w:pPr>
          </w:p>
        </w:tc>
        <w:tc>
          <w:tcPr>
            <w:tcW w:w="800" w:type="dxa"/>
            <w:vAlign w:val="bottom"/>
            <w:tcBorders>
              <w:bottom w:val="single" w:sz="8" w:color="0075C9"/>
            </w:tcBorders>
          </w:tcPr>
          <w:p>
            <w:pPr>
              <w:spacing w:after="0"/>
              <w:rPr>
                <w:sz w:val="2"/>
                <w:szCs w:val="2"/>
                <w:color w:val="auto"/>
              </w:rPr>
            </w:pPr>
          </w:p>
        </w:tc>
        <w:tc>
          <w:tcPr>
            <w:tcW w:w="1460" w:type="dxa"/>
            <w:vAlign w:val="bottom"/>
            <w:tcBorders>
              <w:bottom w:val="single" w:sz="8" w:color="0075C9"/>
            </w:tcBorders>
          </w:tcPr>
          <w:p>
            <w:pPr>
              <w:spacing w:after="0"/>
              <w:rPr>
                <w:sz w:val="2"/>
                <w:szCs w:val="2"/>
                <w:color w:val="auto"/>
              </w:rPr>
            </w:pPr>
          </w:p>
        </w:tc>
        <w:tc>
          <w:tcPr>
            <w:tcW w:w="168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700" w:type="dxa"/>
            <w:vAlign w:val="bottom"/>
          </w:tcPr>
          <w:p>
            <w:pPr>
              <w:ind w:left="80"/>
              <w:spacing w:after="0"/>
              <w:rPr>
                <w:sz w:val="20"/>
                <w:szCs w:val="20"/>
                <w:color w:val="auto"/>
              </w:rPr>
            </w:pPr>
            <w:r>
              <w:rPr>
                <w:rFonts w:ascii="Arial" w:cs="Arial" w:eastAsia="Arial" w:hAnsi="Arial"/>
                <w:sz w:val="16"/>
                <w:szCs w:val="16"/>
                <w:b w:val="1"/>
                <w:bCs w:val="1"/>
                <w:color w:val="0075C9"/>
              </w:rPr>
              <w:t>Emma N. Walmsley</w:t>
            </w:r>
          </w:p>
        </w:tc>
        <w:tc>
          <w:tcPr>
            <w:tcW w:w="8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700" w:type="dxa"/>
            <w:vAlign w:val="bottom"/>
            <w:tcBorders>
              <w:bottom w:val="single" w:sz="8" w:color="0075C9"/>
            </w:tcBorders>
          </w:tcPr>
          <w:p>
            <w:pPr>
              <w:spacing w:after="0"/>
              <w:rPr>
                <w:sz w:val="2"/>
                <w:szCs w:val="2"/>
                <w:color w:val="auto"/>
              </w:rPr>
            </w:pPr>
          </w:p>
        </w:tc>
        <w:tc>
          <w:tcPr>
            <w:tcW w:w="820" w:type="dxa"/>
            <w:vAlign w:val="bottom"/>
            <w:tcBorders>
              <w:bottom w:val="single" w:sz="8" w:color="0075C9"/>
            </w:tcBorders>
          </w:tcPr>
          <w:p>
            <w:pPr>
              <w:spacing w:after="0"/>
              <w:rPr>
                <w:sz w:val="2"/>
                <w:szCs w:val="2"/>
                <w:color w:val="auto"/>
              </w:rPr>
            </w:pPr>
          </w:p>
        </w:tc>
        <w:tc>
          <w:tcPr>
            <w:tcW w:w="1580" w:type="dxa"/>
            <w:vAlign w:val="bottom"/>
            <w:tcBorders>
              <w:bottom w:val="single" w:sz="8" w:color="0075C9"/>
            </w:tcBorders>
          </w:tcPr>
          <w:p>
            <w:pPr>
              <w:spacing w:after="0"/>
              <w:rPr>
                <w:sz w:val="2"/>
                <w:szCs w:val="2"/>
                <w:color w:val="auto"/>
              </w:rPr>
            </w:pPr>
          </w:p>
        </w:tc>
        <w:tc>
          <w:tcPr>
            <w:tcW w:w="800" w:type="dxa"/>
            <w:vAlign w:val="bottom"/>
            <w:tcBorders>
              <w:bottom w:val="single" w:sz="8" w:color="0075C9"/>
            </w:tcBorders>
          </w:tcPr>
          <w:p>
            <w:pPr>
              <w:spacing w:after="0"/>
              <w:rPr>
                <w:sz w:val="2"/>
                <w:szCs w:val="2"/>
                <w:color w:val="auto"/>
              </w:rPr>
            </w:pPr>
          </w:p>
        </w:tc>
        <w:tc>
          <w:tcPr>
            <w:tcW w:w="1460" w:type="dxa"/>
            <w:vAlign w:val="bottom"/>
            <w:tcBorders>
              <w:bottom w:val="single" w:sz="8" w:color="0075C9"/>
            </w:tcBorders>
          </w:tcPr>
          <w:p>
            <w:pPr>
              <w:spacing w:after="0"/>
              <w:rPr>
                <w:sz w:val="2"/>
                <w:szCs w:val="2"/>
                <w:color w:val="auto"/>
              </w:rPr>
            </w:pPr>
          </w:p>
        </w:tc>
        <w:tc>
          <w:tcPr>
            <w:tcW w:w="168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700" w:type="dxa"/>
            <w:vAlign w:val="bottom"/>
          </w:tcPr>
          <w:p>
            <w:pPr>
              <w:ind w:left="80"/>
              <w:spacing w:after="0"/>
              <w:rPr>
                <w:sz w:val="20"/>
                <w:szCs w:val="20"/>
                <w:color w:val="auto"/>
              </w:rPr>
            </w:pPr>
            <w:r>
              <w:rPr>
                <w:rFonts w:ascii="Arial" w:cs="Arial" w:eastAsia="Arial" w:hAnsi="Arial"/>
                <w:sz w:val="16"/>
                <w:szCs w:val="16"/>
                <w:b w:val="1"/>
                <w:bCs w:val="1"/>
                <w:color w:val="0075C9"/>
              </w:rPr>
              <w:t>Padmasree Warrior</w:t>
            </w:r>
          </w:p>
        </w:tc>
        <w:tc>
          <w:tcPr>
            <w:tcW w:w="8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700" w:type="dxa"/>
            <w:vAlign w:val="bottom"/>
            <w:tcBorders>
              <w:bottom w:val="single" w:sz="8" w:color="0075C9"/>
            </w:tcBorders>
          </w:tcPr>
          <w:p>
            <w:pPr>
              <w:spacing w:after="0"/>
              <w:rPr>
                <w:sz w:val="2"/>
                <w:szCs w:val="2"/>
                <w:color w:val="auto"/>
              </w:rPr>
            </w:pPr>
          </w:p>
        </w:tc>
        <w:tc>
          <w:tcPr>
            <w:tcW w:w="820" w:type="dxa"/>
            <w:vAlign w:val="bottom"/>
            <w:tcBorders>
              <w:bottom w:val="single" w:sz="8" w:color="0075C9"/>
            </w:tcBorders>
          </w:tcPr>
          <w:p>
            <w:pPr>
              <w:spacing w:after="0"/>
              <w:rPr>
                <w:sz w:val="2"/>
                <w:szCs w:val="2"/>
                <w:color w:val="auto"/>
              </w:rPr>
            </w:pPr>
          </w:p>
        </w:tc>
        <w:tc>
          <w:tcPr>
            <w:tcW w:w="1580" w:type="dxa"/>
            <w:vAlign w:val="bottom"/>
            <w:tcBorders>
              <w:bottom w:val="single" w:sz="8" w:color="0075C9"/>
            </w:tcBorders>
          </w:tcPr>
          <w:p>
            <w:pPr>
              <w:spacing w:after="0"/>
              <w:rPr>
                <w:sz w:val="2"/>
                <w:szCs w:val="2"/>
                <w:color w:val="auto"/>
              </w:rPr>
            </w:pPr>
          </w:p>
        </w:tc>
        <w:tc>
          <w:tcPr>
            <w:tcW w:w="800" w:type="dxa"/>
            <w:vAlign w:val="bottom"/>
            <w:tcBorders>
              <w:bottom w:val="single" w:sz="8" w:color="0075C9"/>
            </w:tcBorders>
          </w:tcPr>
          <w:p>
            <w:pPr>
              <w:spacing w:after="0"/>
              <w:rPr>
                <w:sz w:val="2"/>
                <w:szCs w:val="2"/>
                <w:color w:val="auto"/>
              </w:rPr>
            </w:pPr>
          </w:p>
        </w:tc>
        <w:tc>
          <w:tcPr>
            <w:tcW w:w="1460" w:type="dxa"/>
            <w:vAlign w:val="bottom"/>
            <w:tcBorders>
              <w:bottom w:val="single" w:sz="8" w:color="0075C9"/>
            </w:tcBorders>
          </w:tcPr>
          <w:p>
            <w:pPr>
              <w:spacing w:after="0"/>
              <w:rPr>
                <w:sz w:val="2"/>
                <w:szCs w:val="2"/>
                <w:color w:val="auto"/>
              </w:rPr>
            </w:pPr>
          </w:p>
        </w:tc>
        <w:tc>
          <w:tcPr>
            <w:tcW w:w="168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2700" w:type="dxa"/>
            <w:vAlign w:val="bottom"/>
          </w:tcPr>
          <w:p>
            <w:pPr>
              <w:ind w:left="80"/>
              <w:spacing w:after="0"/>
              <w:rPr>
                <w:sz w:val="20"/>
                <w:szCs w:val="20"/>
                <w:color w:val="auto"/>
              </w:rPr>
            </w:pPr>
            <w:r>
              <w:rPr>
                <w:rFonts w:ascii="Arial" w:cs="Arial" w:eastAsia="Arial" w:hAnsi="Arial"/>
                <w:sz w:val="16"/>
                <w:szCs w:val="16"/>
                <w:b w:val="1"/>
                <w:bCs w:val="1"/>
                <w:color w:val="0075C9"/>
              </w:rPr>
              <w:t>Number of meetings in fiscal year</w:t>
            </w:r>
          </w:p>
        </w:tc>
        <w:tc>
          <w:tcPr>
            <w:tcW w:w="820" w:type="dxa"/>
            <w:vAlign w:val="bottom"/>
            <w:vMerge w:val="restart"/>
          </w:tcPr>
          <w:p>
            <w:pPr>
              <w:jc w:val="right"/>
              <w:ind w:right="378"/>
              <w:spacing w:after="0"/>
              <w:rPr>
                <w:sz w:val="20"/>
                <w:szCs w:val="20"/>
                <w:color w:val="auto"/>
              </w:rPr>
            </w:pPr>
            <w:r>
              <w:rPr>
                <w:rFonts w:ascii="Arial" w:cs="Arial" w:eastAsia="Arial" w:hAnsi="Arial"/>
                <w:sz w:val="16"/>
                <w:szCs w:val="16"/>
                <w:color w:val="auto"/>
              </w:rPr>
              <w:t>9</w:t>
            </w:r>
          </w:p>
        </w:tc>
        <w:tc>
          <w:tcPr>
            <w:tcW w:w="1580" w:type="dxa"/>
            <w:vAlign w:val="bottom"/>
            <w:vMerge w:val="restart"/>
          </w:tcPr>
          <w:p>
            <w:pPr>
              <w:jc w:val="right"/>
              <w:ind w:right="778"/>
              <w:spacing w:after="0"/>
              <w:rPr>
                <w:sz w:val="20"/>
                <w:szCs w:val="20"/>
                <w:color w:val="auto"/>
              </w:rPr>
            </w:pPr>
            <w:r>
              <w:rPr>
                <w:rFonts w:ascii="Arial" w:cs="Arial" w:eastAsia="Arial" w:hAnsi="Arial"/>
                <w:sz w:val="16"/>
                <w:szCs w:val="16"/>
                <w:color w:val="auto"/>
              </w:rPr>
              <w:t>6</w:t>
            </w:r>
          </w:p>
        </w:tc>
        <w:tc>
          <w:tcPr>
            <w:tcW w:w="800" w:type="dxa"/>
            <w:vAlign w:val="bottom"/>
          </w:tcPr>
          <w:p>
            <w:pPr>
              <w:spacing w:after="0"/>
              <w:rPr>
                <w:sz w:val="17"/>
                <w:szCs w:val="17"/>
                <w:color w:val="auto"/>
              </w:rPr>
            </w:pPr>
          </w:p>
        </w:tc>
        <w:tc>
          <w:tcPr>
            <w:tcW w:w="1460" w:type="dxa"/>
            <w:vAlign w:val="bottom"/>
            <w:vMerge w:val="restart"/>
          </w:tcPr>
          <w:p>
            <w:pPr>
              <w:jc w:val="right"/>
              <w:ind w:right="1178"/>
              <w:spacing w:after="0"/>
              <w:rPr>
                <w:sz w:val="20"/>
                <w:szCs w:val="20"/>
                <w:color w:val="auto"/>
              </w:rPr>
            </w:pPr>
            <w:r>
              <w:rPr>
                <w:rFonts w:ascii="Arial" w:cs="Arial" w:eastAsia="Arial" w:hAnsi="Arial"/>
                <w:sz w:val="16"/>
                <w:szCs w:val="16"/>
                <w:color w:val="auto"/>
              </w:rPr>
              <w:t>4</w:t>
            </w:r>
          </w:p>
        </w:tc>
        <w:tc>
          <w:tcPr>
            <w:tcW w:w="1680" w:type="dxa"/>
            <w:vAlign w:val="bottom"/>
            <w:vMerge w:val="restart"/>
          </w:tcPr>
          <w:p>
            <w:pPr>
              <w:jc w:val="right"/>
              <w:ind w:right="837"/>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14"/>
        </w:trPr>
        <w:tc>
          <w:tcPr>
            <w:tcW w:w="2700" w:type="dxa"/>
            <w:vAlign w:val="bottom"/>
            <w:vMerge w:val="restart"/>
          </w:tcPr>
          <w:p>
            <w:pPr>
              <w:ind w:left="80"/>
              <w:spacing w:after="0"/>
              <w:rPr>
                <w:sz w:val="20"/>
                <w:szCs w:val="20"/>
                <w:color w:val="auto"/>
              </w:rPr>
            </w:pPr>
            <w:r>
              <w:rPr>
                <w:rFonts w:ascii="Arial" w:cs="Arial" w:eastAsia="Arial" w:hAnsi="Arial"/>
                <w:sz w:val="16"/>
                <w:szCs w:val="16"/>
                <w:b w:val="1"/>
                <w:bCs w:val="1"/>
                <w:color w:val="0075C9"/>
              </w:rPr>
              <w:t>2021</w:t>
            </w:r>
          </w:p>
        </w:tc>
        <w:tc>
          <w:tcPr>
            <w:tcW w:w="820" w:type="dxa"/>
            <w:vAlign w:val="bottom"/>
            <w:vMerge w:val="continue"/>
          </w:tcPr>
          <w:p>
            <w:pPr>
              <w:spacing w:after="0"/>
              <w:rPr>
                <w:sz w:val="9"/>
                <w:szCs w:val="9"/>
                <w:color w:val="auto"/>
              </w:rPr>
            </w:pPr>
          </w:p>
        </w:tc>
        <w:tc>
          <w:tcPr>
            <w:tcW w:w="158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700" w:type="dxa"/>
            <w:vAlign w:val="bottom"/>
            <w:tcBorders>
              <w:bottom w:val="single" w:sz="8" w:color="0075C9"/>
            </w:tcBorders>
            <w:vMerge w:val="continue"/>
          </w:tcPr>
          <w:p>
            <w:pPr>
              <w:spacing w:after="0"/>
              <w:rPr>
                <w:sz w:val="8"/>
                <w:szCs w:val="8"/>
                <w:color w:val="auto"/>
              </w:rPr>
            </w:pPr>
          </w:p>
        </w:tc>
        <w:tc>
          <w:tcPr>
            <w:tcW w:w="820" w:type="dxa"/>
            <w:vAlign w:val="bottom"/>
            <w:tcBorders>
              <w:bottom w:val="single" w:sz="8" w:color="0075C9"/>
            </w:tcBorders>
          </w:tcPr>
          <w:p>
            <w:pPr>
              <w:spacing w:after="0"/>
              <w:rPr>
                <w:sz w:val="8"/>
                <w:szCs w:val="8"/>
                <w:color w:val="auto"/>
              </w:rPr>
            </w:pPr>
          </w:p>
        </w:tc>
        <w:tc>
          <w:tcPr>
            <w:tcW w:w="1580" w:type="dxa"/>
            <w:vAlign w:val="bottom"/>
            <w:tcBorders>
              <w:bottom w:val="single" w:sz="8" w:color="0075C9"/>
            </w:tcBorders>
          </w:tcPr>
          <w:p>
            <w:pPr>
              <w:spacing w:after="0"/>
              <w:rPr>
                <w:sz w:val="8"/>
                <w:szCs w:val="8"/>
                <w:color w:val="auto"/>
              </w:rPr>
            </w:pPr>
          </w:p>
        </w:tc>
        <w:tc>
          <w:tcPr>
            <w:tcW w:w="800" w:type="dxa"/>
            <w:vAlign w:val="bottom"/>
            <w:tcBorders>
              <w:bottom w:val="single" w:sz="8" w:color="0075C9"/>
            </w:tcBorders>
          </w:tcPr>
          <w:p>
            <w:pPr>
              <w:spacing w:after="0"/>
              <w:rPr>
                <w:sz w:val="8"/>
                <w:szCs w:val="8"/>
                <w:color w:val="auto"/>
              </w:rPr>
            </w:pPr>
          </w:p>
        </w:tc>
        <w:tc>
          <w:tcPr>
            <w:tcW w:w="1460" w:type="dxa"/>
            <w:vAlign w:val="bottom"/>
            <w:tcBorders>
              <w:bottom w:val="single" w:sz="8" w:color="0075C9"/>
            </w:tcBorders>
          </w:tcPr>
          <w:p>
            <w:pPr>
              <w:spacing w:after="0"/>
              <w:rPr>
                <w:sz w:val="8"/>
                <w:szCs w:val="8"/>
                <w:color w:val="auto"/>
              </w:rPr>
            </w:pPr>
          </w:p>
        </w:tc>
        <w:tc>
          <w:tcPr>
            <w:tcW w:w="1680" w:type="dxa"/>
            <w:vAlign w:val="bottom"/>
            <w:tcBorders>
              <w:bottom w:val="single" w:sz="8" w:color="0075C9"/>
            </w:tcBorders>
          </w:tcPr>
          <w:p>
            <w:pPr>
              <w:spacing w:after="0"/>
              <w:rPr>
                <w:sz w:val="8"/>
                <w:szCs w:val="8"/>
                <w:color w:val="auto"/>
              </w:rPr>
            </w:pPr>
          </w:p>
        </w:tc>
        <w:tc>
          <w:tcPr>
            <w:tcW w:w="0" w:type="dxa"/>
            <w:vAlign w:val="bottom"/>
          </w:tcPr>
          <w:p>
            <w:pPr>
              <w:spacing w:after="0"/>
              <w:rPr>
                <w:sz w:val="1"/>
                <w:szCs w:val="1"/>
                <w:color w:val="auto"/>
              </w:rPr>
            </w:pPr>
          </w:p>
        </w:tc>
      </w:tr>
      <w:tr>
        <w:trPr>
          <w:trHeight w:val="242"/>
        </w:trPr>
        <w:tc>
          <w:tcPr>
            <w:tcW w:w="27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580" w:type="dxa"/>
            <w:vAlign w:val="bottom"/>
          </w:tcPr>
          <w:p>
            <w:pPr>
              <w:jc w:val="right"/>
              <w:ind w:right="858"/>
              <w:spacing w:after="0"/>
              <w:rPr>
                <w:sz w:val="20"/>
                <w:szCs w:val="20"/>
                <w:color w:val="auto"/>
              </w:rPr>
            </w:pPr>
            <w:r>
              <w:rPr>
                <w:rFonts w:ascii="Arial" w:cs="Arial" w:eastAsia="Arial" w:hAnsi="Arial"/>
                <w:sz w:val="16"/>
                <w:szCs w:val="16"/>
                <w:color w:val="auto"/>
              </w:rPr>
              <w:t>Chair</w:t>
            </w:r>
          </w:p>
        </w:tc>
        <w:tc>
          <w:tcPr>
            <w:tcW w:w="800" w:type="dxa"/>
            <w:vAlign w:val="bottom"/>
          </w:tcPr>
          <w:p>
            <w:pPr>
              <w:ind w:left="100"/>
              <w:spacing w:after="0"/>
              <w:rPr>
                <w:sz w:val="20"/>
                <w:szCs w:val="20"/>
                <w:color w:val="auto"/>
              </w:rPr>
            </w:pPr>
            <w:r>
              <w:rPr>
                <w:rFonts w:ascii="Arial" w:cs="Arial" w:eastAsia="Arial" w:hAnsi="Arial"/>
                <w:sz w:val="16"/>
                <w:szCs w:val="16"/>
                <w:color w:val="auto"/>
              </w:rPr>
              <w:t>Member</w:t>
            </w:r>
          </w:p>
        </w:tc>
        <w:tc>
          <w:tcPr>
            <w:tcW w:w="3140" w:type="dxa"/>
            <w:vAlign w:val="bottom"/>
            <w:gridSpan w:val="2"/>
          </w:tcPr>
          <w:p>
            <w:pPr>
              <w:jc w:val="right"/>
              <w:ind w:right="17"/>
              <w:spacing w:after="0"/>
              <w:rPr>
                <w:sz w:val="20"/>
                <w:szCs w:val="20"/>
                <w:color w:val="auto"/>
              </w:rPr>
            </w:pPr>
            <w:r>
              <w:rPr>
                <w:rFonts w:ascii="Arial" w:cs="Arial" w:eastAsia="Arial" w:hAnsi="Arial"/>
                <w:sz w:val="16"/>
                <w:szCs w:val="16"/>
                <w:color w:val="auto"/>
              </w:rPr>
              <w:t>Financial Expert and Member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2650490</wp:posOffset>
            </wp:positionH>
            <wp:positionV relativeFrom="paragraph">
              <wp:posOffset>-2217420</wp:posOffset>
            </wp:positionV>
            <wp:extent cx="123190" cy="1314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3190" cy="13144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-2019935</wp:posOffset>
            </wp:positionV>
            <wp:extent cx="123190" cy="1314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3190" cy="131445"/>
                    </a:xfrm>
                    <a:prstGeom prst="rect">
                      <a:avLst/>
                    </a:prstGeom>
                    <a:noFill/>
                  </pic:spPr>
                </pic:pic>
              </a:graphicData>
            </a:graphic>
          </wp:anchor>
        </w:drawing>
        <w:drawing>
          <wp:anchor simplePos="0" relativeHeight="251657728" behindDoc="1" locked="0" layoutInCell="0" allowOverlap="1">
            <wp:simplePos x="0" y="0"/>
            <wp:positionH relativeFrom="column">
              <wp:posOffset>4483735</wp:posOffset>
            </wp:positionH>
            <wp:positionV relativeFrom="paragraph">
              <wp:posOffset>-2019935</wp:posOffset>
            </wp:positionV>
            <wp:extent cx="123190" cy="1314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3190" cy="131445"/>
                    </a:xfrm>
                    <a:prstGeom prst="rect">
                      <a:avLst/>
                    </a:prstGeom>
                    <a:noFill/>
                  </pic:spPr>
                </pic:pic>
              </a:graphicData>
            </a:graphic>
          </wp:anchor>
        </w:drawing>
        <w:drawing>
          <wp:anchor simplePos="0" relativeHeight="251657728" behindDoc="1" locked="0" layoutInCell="0" allowOverlap="1">
            <wp:simplePos x="0" y="0"/>
            <wp:positionH relativeFrom="column">
              <wp:posOffset>4483735</wp:posOffset>
            </wp:positionH>
            <wp:positionV relativeFrom="paragraph">
              <wp:posOffset>-1674495</wp:posOffset>
            </wp:positionV>
            <wp:extent cx="123190" cy="1314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3190" cy="131445"/>
                    </a:xfrm>
                    <a:prstGeom prst="rect">
                      <a:avLst/>
                    </a:prstGeom>
                    <a:noFill/>
                  </pic:spPr>
                </pic:pic>
              </a:graphicData>
            </a:graphic>
          </wp:anchor>
        </w:drawing>
        <w:drawing>
          <wp:anchor simplePos="0" relativeHeight="251657728" behindDoc="1" locked="0" layoutInCell="0" allowOverlap="1">
            <wp:simplePos x="0" y="0"/>
            <wp:positionH relativeFrom="column">
              <wp:posOffset>3300095</wp:posOffset>
            </wp:positionH>
            <wp:positionV relativeFrom="paragraph">
              <wp:posOffset>-1312545</wp:posOffset>
            </wp:positionV>
            <wp:extent cx="123190" cy="1314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3190" cy="131445"/>
                    </a:xfrm>
                    <a:prstGeom prst="rect">
                      <a:avLst/>
                    </a:prstGeom>
                    <a:noFill/>
                  </pic:spPr>
                </pic:pic>
              </a:graphicData>
            </a:graphic>
          </wp:anchor>
        </w:drawing>
        <w:drawing>
          <wp:anchor simplePos="0" relativeHeight="251657728" behindDoc="1" locked="0" layoutInCell="0" allowOverlap="1">
            <wp:simplePos x="0" y="0"/>
            <wp:positionH relativeFrom="column">
              <wp:posOffset>4483735</wp:posOffset>
            </wp:positionH>
            <wp:positionV relativeFrom="paragraph">
              <wp:posOffset>-1312545</wp:posOffset>
            </wp:positionV>
            <wp:extent cx="123190" cy="1314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3190" cy="13144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-1131570</wp:posOffset>
            </wp:positionV>
            <wp:extent cx="123190" cy="1314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3190" cy="13144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-1131570</wp:posOffset>
            </wp:positionV>
            <wp:extent cx="123190" cy="1314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3190" cy="13144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-950595</wp:posOffset>
            </wp:positionV>
            <wp:extent cx="123190" cy="1314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3190" cy="131445"/>
                    </a:xfrm>
                    <a:prstGeom prst="rect">
                      <a:avLst/>
                    </a:prstGeom>
                    <a:noFill/>
                  </pic:spPr>
                </pic:pic>
              </a:graphicData>
            </a:graphic>
          </wp:anchor>
        </w:drawing>
        <w:drawing>
          <wp:anchor simplePos="0" relativeHeight="251657728" behindDoc="1" locked="0" layoutInCell="0" allowOverlap="1">
            <wp:simplePos x="0" y="0"/>
            <wp:positionH relativeFrom="column">
              <wp:posOffset>3300095</wp:posOffset>
            </wp:positionH>
            <wp:positionV relativeFrom="paragraph">
              <wp:posOffset>-770255</wp:posOffset>
            </wp:positionV>
            <wp:extent cx="123190" cy="1314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3190" cy="13144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-770255</wp:posOffset>
            </wp:positionV>
            <wp:extent cx="123190" cy="1314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3190" cy="131445"/>
                    </a:xfrm>
                    <a:prstGeom prst="rect">
                      <a:avLst/>
                    </a:prstGeom>
                    <a:noFill/>
                  </pic:spPr>
                </pic:pic>
              </a:graphicData>
            </a:graphic>
          </wp:anchor>
        </w:drawing>
        <w:drawing>
          <wp:anchor simplePos="0" relativeHeight="251657728" behindDoc="1" locked="0" layoutInCell="0" allowOverlap="1">
            <wp:simplePos x="0" y="0"/>
            <wp:positionH relativeFrom="column">
              <wp:posOffset>3300095</wp:posOffset>
            </wp:positionH>
            <wp:positionV relativeFrom="paragraph">
              <wp:posOffset>-589280</wp:posOffset>
            </wp:positionV>
            <wp:extent cx="123190" cy="1314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3190" cy="13144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-120015</wp:posOffset>
            </wp:positionV>
            <wp:extent cx="123190" cy="1314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3190" cy="131445"/>
                    </a:xfrm>
                    <a:prstGeom prst="rect">
                      <a:avLst/>
                    </a:prstGeom>
                    <a:noFill/>
                  </pic:spPr>
                </pic:pic>
              </a:graphicData>
            </a:graphic>
          </wp:anchor>
        </w:drawing>
        <w:drawing>
          <wp:anchor simplePos="0" relativeHeight="251657728" behindDoc="1" locked="0" layoutInCell="0" allowOverlap="1">
            <wp:simplePos x="0" y="0"/>
            <wp:positionH relativeFrom="column">
              <wp:posOffset>4812665</wp:posOffset>
            </wp:positionH>
            <wp:positionV relativeFrom="paragraph">
              <wp:posOffset>-120015</wp:posOffset>
            </wp:positionV>
            <wp:extent cx="123190" cy="1314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3190" cy="13144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2021 PROXY STATEMENT</w:t>
      </w:r>
      <w:r>
        <w:rPr>
          <w:sz w:val="20"/>
          <w:szCs w:val="20"/>
          <w:color w:val="auto"/>
        </w:rPr>
        <w:tab/>
      </w:r>
      <w:r>
        <w:rPr>
          <w:rFonts w:ascii="Arial" w:cs="Arial" w:eastAsia="Arial" w:hAnsi="Arial"/>
          <w:sz w:val="12"/>
          <w:szCs w:val="12"/>
          <w:b w:val="1"/>
          <w:bCs w:val="1"/>
          <w:color w:val="0075C9"/>
        </w:rPr>
        <w:t>15</w:t>
      </w:r>
    </w:p>
    <w:p>
      <w:pPr>
        <w:sectPr>
          <w:pgSz w:w="11900" w:h="16838" w:orient="portrait"/>
          <w:cols w:equalWidth="0" w:num="1">
            <w:col w:w="10280"/>
          </w:cols>
          <w:pgMar w:left="320" w:top="445" w:right="129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0075C9"/>
                <w:w w:val="89"/>
              </w:rPr>
              <w:t>1</w:t>
            </w:r>
          </w:p>
        </w:tc>
        <w:tc>
          <w:tcPr>
            <w:tcW w:w="1220" w:type="dxa"/>
            <w:vAlign w:val="bottom"/>
            <w:vMerge w:val="restart"/>
          </w:tcPr>
          <w:p>
            <w:pPr>
              <w:ind w:left="80"/>
              <w:spacing w:after="0"/>
              <w:rPr>
                <w:sz w:val="20"/>
                <w:szCs w:val="20"/>
                <w:color w:val="auto"/>
              </w:rPr>
            </w:pPr>
            <w:r>
              <w:rPr>
                <w:rFonts w:ascii="Arial" w:cs="Arial" w:eastAsia="Arial" w:hAnsi="Arial"/>
                <w:sz w:val="12"/>
                <w:szCs w:val="12"/>
                <w:color w:val="0075C9"/>
                <w:w w:val="98"/>
              </w:rPr>
              <w:t>GOVERNANCE AND</w:t>
            </w:r>
          </w:p>
        </w:tc>
        <w:tc>
          <w:tcPr>
            <w:tcW w:w="720" w:type="dxa"/>
            <w:vAlign w:val="bottom"/>
          </w:tcPr>
          <w:p>
            <w:pPr>
              <w:jc w:val="right"/>
              <w:spacing w:after="0"/>
              <w:rPr>
                <w:sz w:val="20"/>
                <w:szCs w:val="20"/>
                <w:color w:val="auto"/>
              </w:rPr>
            </w:pPr>
            <w:r>
              <w:rPr>
                <w:rFonts w:ascii="Arial" w:cs="Arial" w:eastAsia="Arial" w:hAnsi="Arial"/>
                <w:sz w:val="36"/>
                <w:szCs w:val="36"/>
                <w:color w:val="auto"/>
              </w:rPr>
              <w:t>2</w:t>
            </w:r>
          </w:p>
        </w:tc>
        <w:tc>
          <w:tcPr>
            <w:tcW w:w="1540" w:type="dxa"/>
            <w:vAlign w:val="bottom"/>
            <w:vMerge w:val="restart"/>
          </w:tcPr>
          <w:p>
            <w:pPr>
              <w:ind w:left="80"/>
              <w:spacing w:after="0"/>
              <w:rPr>
                <w:sz w:val="20"/>
                <w:szCs w:val="20"/>
                <w:color w:val="auto"/>
              </w:rPr>
            </w:pPr>
            <w:r>
              <w:rPr>
                <w:rFonts w:ascii="Arial" w:cs="Arial" w:eastAsia="Arial" w:hAnsi="Arial"/>
                <w:sz w:val="12"/>
                <w:szCs w:val="12"/>
                <w:color w:val="auto"/>
              </w:rPr>
              <w:t>NAMED</w:t>
            </w:r>
          </w:p>
        </w:tc>
        <w:tc>
          <w:tcPr>
            <w:tcW w:w="500" w:type="dxa"/>
            <w:vAlign w:val="bottom"/>
          </w:tcPr>
          <w:p>
            <w:pPr>
              <w:jc w:val="right"/>
              <w:spacing w:after="0"/>
              <w:rPr>
                <w:sz w:val="20"/>
                <w:szCs w:val="20"/>
                <w:color w:val="auto"/>
              </w:rPr>
            </w:pPr>
            <w:r>
              <w:rPr>
                <w:rFonts w:ascii="Arial" w:cs="Arial" w:eastAsia="Arial" w:hAnsi="Arial"/>
                <w:sz w:val="36"/>
                <w:szCs w:val="36"/>
                <w:color w:val="auto"/>
              </w:rPr>
              <w:t>3</w:t>
            </w:r>
          </w:p>
        </w:tc>
        <w:tc>
          <w:tcPr>
            <w:tcW w:w="980" w:type="dxa"/>
            <w:vAlign w:val="bottom"/>
            <w:vMerge w:val="restart"/>
          </w:tcPr>
          <w:p>
            <w:pPr>
              <w:ind w:left="80"/>
              <w:spacing w:after="0"/>
              <w:rPr>
                <w:sz w:val="20"/>
                <w:szCs w:val="20"/>
                <w:color w:val="auto"/>
              </w:rPr>
            </w:pPr>
            <w:r>
              <w:rPr>
                <w:rFonts w:ascii="Arial" w:cs="Arial" w:eastAsia="Arial" w:hAnsi="Arial"/>
                <w:sz w:val="12"/>
                <w:szCs w:val="12"/>
                <w:color w:val="auto"/>
              </w:rPr>
              <w:t>AUDIT</w:t>
            </w:r>
          </w:p>
        </w:tc>
        <w:tc>
          <w:tcPr>
            <w:tcW w:w="460" w:type="dxa"/>
            <w:vAlign w:val="bottom"/>
          </w:tcPr>
          <w:p>
            <w:pPr>
              <w:jc w:val="right"/>
              <w:spacing w:after="0"/>
              <w:rPr>
                <w:sz w:val="20"/>
                <w:szCs w:val="20"/>
                <w:color w:val="auto"/>
              </w:rPr>
            </w:pPr>
            <w:r>
              <w:rPr>
                <w:rFonts w:ascii="Arial" w:cs="Arial" w:eastAsia="Arial" w:hAnsi="Arial"/>
                <w:sz w:val="36"/>
                <w:szCs w:val="36"/>
                <w:color w:val="auto"/>
              </w:rPr>
              <w:t>4</w:t>
            </w:r>
          </w:p>
        </w:tc>
        <w:tc>
          <w:tcPr>
            <w:tcW w:w="1580" w:type="dxa"/>
            <w:vAlign w:val="bottom"/>
            <w:vMerge w:val="restart"/>
          </w:tcPr>
          <w:p>
            <w:pPr>
              <w:ind w:left="80"/>
              <w:spacing w:after="0"/>
              <w:rPr>
                <w:sz w:val="20"/>
                <w:szCs w:val="20"/>
                <w:color w:val="auto"/>
              </w:rPr>
            </w:pPr>
            <w:r>
              <w:rPr>
                <w:rFonts w:ascii="Arial" w:cs="Arial" w:eastAsia="Arial" w:hAnsi="Arial"/>
                <w:sz w:val="12"/>
                <w:szCs w:val="12"/>
                <w:color w:val="auto"/>
              </w:rPr>
              <w:t>PROPOSALS TO</w:t>
            </w:r>
          </w:p>
        </w:tc>
        <w:tc>
          <w:tcPr>
            <w:tcW w:w="440" w:type="dxa"/>
            <w:vAlign w:val="bottom"/>
          </w:tcPr>
          <w:p>
            <w:pPr>
              <w:jc w:val="right"/>
              <w:spacing w:after="0"/>
              <w:rPr>
                <w:sz w:val="20"/>
                <w:szCs w:val="20"/>
                <w:color w:val="auto"/>
              </w:rPr>
            </w:pPr>
            <w:r>
              <w:rPr>
                <w:rFonts w:ascii="Arial" w:cs="Arial" w:eastAsia="Arial" w:hAnsi="Arial"/>
                <w:sz w:val="36"/>
                <w:szCs w:val="36"/>
                <w:color w:val="auto"/>
              </w:rPr>
              <w:t>5</w:t>
            </w:r>
          </w:p>
        </w:tc>
        <w:tc>
          <w:tcPr>
            <w:tcW w:w="900" w:type="dxa"/>
            <w:vAlign w:val="bottom"/>
            <w:vMerge w:val="restart"/>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220" w:type="dxa"/>
            <w:vAlign w:val="bottom"/>
          </w:tcPr>
          <w:p>
            <w:pPr>
              <w:ind w:left="80"/>
              <w:spacing w:after="0" w:line="130" w:lineRule="exact"/>
              <w:rPr>
                <w:sz w:val="20"/>
                <w:szCs w:val="20"/>
                <w:color w:val="auto"/>
              </w:rPr>
            </w:pPr>
            <w:r>
              <w:rPr>
                <w:rFonts w:ascii="Arial" w:cs="Arial" w:eastAsia="Arial" w:hAnsi="Arial"/>
                <w:sz w:val="12"/>
                <w:szCs w:val="12"/>
                <w:color w:val="0075C9"/>
              </w:rPr>
              <w:t>OUR BOARD OF</w:t>
            </w:r>
          </w:p>
        </w:tc>
        <w:tc>
          <w:tcPr>
            <w:tcW w:w="720" w:type="dxa"/>
            <w:vAlign w:val="bottom"/>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460" w:type="dxa"/>
            <w:vAlign w:val="bottom"/>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40" w:type="dxa"/>
            <w:vAlign w:val="bottom"/>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0075C9"/>
              </w:rPr>
              <w:t>DIRECTORS</w:t>
            </w:r>
          </w:p>
        </w:tc>
        <w:tc>
          <w:tcPr>
            <w:tcW w:w="720" w:type="dxa"/>
            <w:vAlign w:val="bottom"/>
          </w:tcPr>
          <w:p>
            <w:pPr>
              <w:spacing w:after="0"/>
              <w:rPr>
                <w:sz w:val="12"/>
                <w:szCs w:val="12"/>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tcPr>
          <w:p>
            <w:pPr>
              <w:spacing w:after="0"/>
              <w:rPr>
                <w:sz w:val="12"/>
                <w:szCs w:val="12"/>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460" w:type="dxa"/>
            <w:vAlign w:val="bottom"/>
          </w:tcPr>
          <w:p>
            <w:pPr>
              <w:spacing w:after="0"/>
              <w:rPr>
                <w:sz w:val="12"/>
                <w:szCs w:val="12"/>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40" w:type="dxa"/>
            <w:vAlign w:val="bottom"/>
          </w:tcPr>
          <w:p>
            <w:pPr>
              <w:spacing w:after="0"/>
              <w:rPr>
                <w:sz w:val="12"/>
                <w:szCs w:val="12"/>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shd w:val="clear" w:color="auto" w:fill="0075C9"/>
          </w:tcPr>
          <w:p>
            <w:pPr>
              <w:spacing w:after="0"/>
              <w:rPr>
                <w:sz w:val="9"/>
                <w:szCs w:val="9"/>
                <w:color w:val="auto"/>
              </w:rPr>
            </w:pPr>
          </w:p>
        </w:tc>
        <w:tc>
          <w:tcPr>
            <w:tcW w:w="1220" w:type="dxa"/>
            <w:vAlign w:val="bottom"/>
            <w:shd w:val="clear" w:color="auto" w:fill="0075C9"/>
          </w:tcPr>
          <w:p>
            <w:pPr>
              <w:spacing w:after="0"/>
              <w:rPr>
                <w:sz w:val="9"/>
                <w:szCs w:val="9"/>
                <w:color w:val="auto"/>
              </w:rPr>
            </w:pPr>
          </w:p>
        </w:tc>
        <w:tc>
          <w:tcPr>
            <w:tcW w:w="7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ind w:left="5320"/>
        <w:spacing w:after="0"/>
        <w:rPr>
          <w:sz w:val="20"/>
          <w:szCs w:val="20"/>
          <w:color w:val="auto"/>
        </w:rPr>
      </w:pPr>
      <w:r>
        <w:rPr>
          <w:rFonts w:ascii="Arial" w:cs="Arial" w:eastAsia="Arial" w:hAnsi="Arial"/>
          <w:sz w:val="21"/>
          <w:szCs w:val="21"/>
          <w:b w:val="1"/>
          <w:bCs w:val="1"/>
          <w:color w:val="auto"/>
        </w:rPr>
        <w:t>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-74930</wp:posOffset>
            </wp:positionV>
            <wp:extent cx="5748020" cy="37579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48020" cy="3757930"/>
                    </a:xfrm>
                    <a:prstGeom prst="rect">
                      <a:avLst/>
                    </a:prstGeom>
                    <a:noFill/>
                  </pic:spPr>
                </pic:pic>
              </a:graphicData>
            </a:graphic>
          </wp:anchor>
        </w:drawing>
      </w:r>
    </w:p>
    <w:p>
      <w:pPr>
        <w:spacing w:after="0" w:line="57" w:lineRule="exact"/>
        <w:rPr>
          <w:sz w:val="20"/>
          <w:szCs w:val="20"/>
          <w:color w:val="auto"/>
        </w:rPr>
      </w:pPr>
    </w:p>
    <w:p>
      <w:pPr>
        <w:ind w:left="1420" w:hanging="165"/>
        <w:spacing w:after="0"/>
        <w:tabs>
          <w:tab w:leader="none" w:pos="14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Oversee the work of our accounting function and internal control over financial reporting</w:t>
      </w:r>
    </w:p>
    <w:p>
      <w:pPr>
        <w:spacing w:after="0" w:line="113" w:lineRule="exact"/>
        <w:rPr>
          <w:rFonts w:ascii="Arial" w:cs="Arial" w:eastAsia="Arial" w:hAnsi="Arial"/>
          <w:sz w:val="16"/>
          <w:szCs w:val="16"/>
          <w:color w:val="auto"/>
        </w:rPr>
      </w:pPr>
    </w:p>
    <w:p>
      <w:pPr>
        <w:ind w:left="1420" w:hanging="165"/>
        <w:spacing w:after="0"/>
        <w:tabs>
          <w:tab w:leader="none" w:pos="14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Oversee internal auditing processes</w:t>
      </w:r>
    </w:p>
    <w:p>
      <w:pPr>
        <w:spacing w:after="0" w:line="113" w:lineRule="exact"/>
        <w:rPr>
          <w:rFonts w:ascii="Arial" w:cs="Arial" w:eastAsia="Arial" w:hAnsi="Arial"/>
          <w:sz w:val="16"/>
          <w:szCs w:val="16"/>
          <w:color w:val="auto"/>
        </w:rPr>
      </w:pPr>
    </w:p>
    <w:p>
      <w:pPr>
        <w:ind w:left="1420" w:right="559" w:hanging="165"/>
        <w:spacing w:after="0" w:line="239" w:lineRule="auto"/>
        <w:tabs>
          <w:tab w:leader="none" w:pos="1428"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Inquire about significant risks, review our policies for enterprise risk assessment and risk management, and assess the steps management has taken to control these risks</w:t>
      </w:r>
    </w:p>
    <w:p>
      <w:pPr>
        <w:spacing w:after="0" w:line="112" w:lineRule="exact"/>
        <w:rPr>
          <w:rFonts w:ascii="Arial" w:cs="Arial" w:eastAsia="Arial" w:hAnsi="Arial"/>
          <w:sz w:val="16"/>
          <w:szCs w:val="16"/>
          <w:color w:val="auto"/>
        </w:rPr>
      </w:pPr>
    </w:p>
    <w:p>
      <w:pPr>
        <w:ind w:left="1420" w:hanging="165"/>
        <w:spacing w:after="0"/>
        <w:tabs>
          <w:tab w:leader="none" w:pos="14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Review with management policies, practices, compliance, and risks relating to our investment portfolio</w:t>
      </w:r>
    </w:p>
    <w:p>
      <w:pPr>
        <w:spacing w:after="0" w:line="113" w:lineRule="exact"/>
        <w:rPr>
          <w:rFonts w:ascii="Arial" w:cs="Arial" w:eastAsia="Arial" w:hAnsi="Arial"/>
          <w:sz w:val="16"/>
          <w:szCs w:val="16"/>
          <w:color w:val="auto"/>
        </w:rPr>
      </w:pPr>
    </w:p>
    <w:p>
      <w:pPr>
        <w:ind w:left="1420" w:hanging="165"/>
        <w:spacing w:after="0"/>
        <w:tabs>
          <w:tab w:leader="none" w:pos="14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Review with management the Company’s business continuity and disaster preparedness planning</w:t>
      </w:r>
    </w:p>
    <w:p>
      <w:pPr>
        <w:spacing w:after="0" w:line="113" w:lineRule="exact"/>
        <w:rPr>
          <w:rFonts w:ascii="Arial" w:cs="Arial" w:eastAsia="Arial" w:hAnsi="Arial"/>
          <w:sz w:val="16"/>
          <w:szCs w:val="16"/>
          <w:color w:val="auto"/>
        </w:rPr>
      </w:pPr>
    </w:p>
    <w:p>
      <w:pPr>
        <w:jc w:val="both"/>
        <w:ind w:left="1420" w:right="799" w:hanging="165"/>
        <w:spacing w:after="0" w:line="238" w:lineRule="auto"/>
        <w:tabs>
          <w:tab w:leader="none" w:pos="1428"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Review compliance with significant applicable legal, ethical, and regulatory requirements, including those relating to regulatory matters that may have a material impact on our consolidated financial statements or internal control over financial reporting</w:t>
      </w:r>
    </w:p>
    <w:p>
      <w:pPr>
        <w:spacing w:after="0" w:line="113" w:lineRule="exact"/>
        <w:rPr>
          <w:sz w:val="20"/>
          <w:szCs w:val="20"/>
          <w:color w:val="auto"/>
        </w:rPr>
      </w:pPr>
    </w:p>
    <w:p>
      <w:pPr>
        <w:ind w:left="1280" w:right="239"/>
        <w:spacing w:after="0" w:line="238" w:lineRule="auto"/>
        <w:rPr>
          <w:sz w:val="20"/>
          <w:szCs w:val="20"/>
          <w:color w:val="auto"/>
        </w:rPr>
      </w:pPr>
      <w:r>
        <w:rPr>
          <w:rFonts w:ascii="Arial" w:cs="Arial" w:eastAsia="Arial" w:hAnsi="Arial"/>
          <w:sz w:val="16"/>
          <w:szCs w:val="16"/>
          <w:color w:val="auto"/>
        </w:rPr>
        <w:t>The Audit Committee is responsible for the compensation, retention, and oversight of the independent auditor engaged to issue audit reports on our consolidated financial statements and internal control over financial reporting. The Audit Committee relies on the expertise and knowledge of management, the internal auditor, and the independent auditor in carrying out its oversight responsibilities.</w:t>
      </w:r>
    </w:p>
    <w:p>
      <w:pPr>
        <w:spacing w:after="0" w:line="112" w:lineRule="exact"/>
        <w:rPr>
          <w:sz w:val="20"/>
          <w:szCs w:val="20"/>
          <w:color w:val="auto"/>
        </w:rPr>
      </w:pPr>
    </w:p>
    <w:p>
      <w:pPr>
        <w:ind w:left="1280" w:right="379"/>
        <w:spacing w:after="0" w:line="238" w:lineRule="auto"/>
        <w:rPr>
          <w:sz w:val="20"/>
          <w:szCs w:val="20"/>
          <w:color w:val="auto"/>
        </w:rPr>
      </w:pPr>
      <w:r>
        <w:rPr>
          <w:rFonts w:ascii="Arial" w:cs="Arial" w:eastAsia="Arial" w:hAnsi="Arial"/>
          <w:sz w:val="16"/>
          <w:szCs w:val="16"/>
          <w:color w:val="auto"/>
        </w:rPr>
        <w:t>The Board has determined that each Audit Committee member has sufficient knowledge in financial and auditing matters to serve on the Audit Committee. All current members of the Audit Committee meet the Nasdaq listing standard of financial sophistication and two are “audit committee financial experts” under SEC rules.</w:t>
      </w:r>
    </w:p>
    <w:p>
      <w:pPr>
        <w:spacing w:after="0" w:line="113" w:lineRule="exact"/>
        <w:rPr>
          <w:sz w:val="20"/>
          <w:szCs w:val="20"/>
          <w:color w:val="auto"/>
        </w:rPr>
      </w:pPr>
    </w:p>
    <w:p>
      <w:pPr>
        <w:ind w:left="1280" w:right="319"/>
        <w:spacing w:after="0" w:line="237" w:lineRule="auto"/>
        <w:rPr>
          <w:sz w:val="20"/>
          <w:szCs w:val="20"/>
          <w:color w:val="auto"/>
        </w:rPr>
      </w:pPr>
      <w:r>
        <w:rPr>
          <w:rFonts w:ascii="Arial" w:cs="Arial" w:eastAsia="Arial" w:hAnsi="Arial"/>
          <w:sz w:val="16"/>
          <w:szCs w:val="16"/>
          <w:color w:val="auto"/>
        </w:rPr>
        <w:t>As provided in our Corporate Governance Guidelines, members of the Audit Committee ordinarily may not serve on over three public company audit committees (including Microsoft’s). In calculating service on a public company board or audit committee, service on a board or audit committee of a parent and its substantially-owned subsidiary counts as service on a single board or audit committee. Any Audit Committee member’s service on over three public company audit committees will be subject to the Board’s determination that the member is able to effectively serve on the Company’s Audit Committee. The Governance and Nominating Committee and the Board considered Ms. List’s service on four public company audit committees, including her professional qualifications, former experience as a public company chief financial officer, and the nature of and time involved in her service on other boards. Following such review, the Board determined that Ms. List is able to effectively continue to serve on the Company’s Audit Committee.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-94615</wp:posOffset>
            </wp:positionV>
            <wp:extent cx="485140" cy="984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39"/>
          </w:cols>
          <w:pgMar w:left="320" w:top="445" w:right="1440"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0075C9"/>
                <w:w w:val="89"/>
              </w:rPr>
              <w:t>1</w:t>
            </w:r>
          </w:p>
        </w:tc>
        <w:tc>
          <w:tcPr>
            <w:tcW w:w="1220" w:type="dxa"/>
            <w:vAlign w:val="bottom"/>
            <w:vMerge w:val="restart"/>
          </w:tcPr>
          <w:p>
            <w:pPr>
              <w:ind w:left="80"/>
              <w:spacing w:after="0"/>
              <w:rPr>
                <w:sz w:val="20"/>
                <w:szCs w:val="20"/>
                <w:color w:val="auto"/>
              </w:rPr>
            </w:pPr>
            <w:r>
              <w:rPr>
                <w:rFonts w:ascii="Arial" w:cs="Arial" w:eastAsia="Arial" w:hAnsi="Arial"/>
                <w:sz w:val="12"/>
                <w:szCs w:val="12"/>
                <w:color w:val="0075C9"/>
                <w:w w:val="98"/>
              </w:rPr>
              <w:t>GOVERNANCE AND</w:t>
            </w:r>
          </w:p>
        </w:tc>
        <w:tc>
          <w:tcPr>
            <w:tcW w:w="720" w:type="dxa"/>
            <w:vAlign w:val="bottom"/>
          </w:tcPr>
          <w:p>
            <w:pPr>
              <w:jc w:val="right"/>
              <w:spacing w:after="0"/>
              <w:rPr>
                <w:sz w:val="20"/>
                <w:szCs w:val="20"/>
                <w:color w:val="auto"/>
              </w:rPr>
            </w:pPr>
            <w:r>
              <w:rPr>
                <w:rFonts w:ascii="Arial" w:cs="Arial" w:eastAsia="Arial" w:hAnsi="Arial"/>
                <w:sz w:val="36"/>
                <w:szCs w:val="36"/>
                <w:color w:val="auto"/>
              </w:rPr>
              <w:t>2</w:t>
            </w:r>
          </w:p>
        </w:tc>
        <w:tc>
          <w:tcPr>
            <w:tcW w:w="1540" w:type="dxa"/>
            <w:vAlign w:val="bottom"/>
            <w:vMerge w:val="restart"/>
          </w:tcPr>
          <w:p>
            <w:pPr>
              <w:ind w:left="80"/>
              <w:spacing w:after="0"/>
              <w:rPr>
                <w:sz w:val="20"/>
                <w:szCs w:val="20"/>
                <w:color w:val="auto"/>
              </w:rPr>
            </w:pPr>
            <w:r>
              <w:rPr>
                <w:rFonts w:ascii="Arial" w:cs="Arial" w:eastAsia="Arial" w:hAnsi="Arial"/>
                <w:sz w:val="12"/>
                <w:szCs w:val="12"/>
                <w:color w:val="auto"/>
              </w:rPr>
              <w:t>NAMED</w:t>
            </w:r>
          </w:p>
        </w:tc>
        <w:tc>
          <w:tcPr>
            <w:tcW w:w="500" w:type="dxa"/>
            <w:vAlign w:val="bottom"/>
          </w:tcPr>
          <w:p>
            <w:pPr>
              <w:jc w:val="right"/>
              <w:spacing w:after="0"/>
              <w:rPr>
                <w:sz w:val="20"/>
                <w:szCs w:val="20"/>
                <w:color w:val="auto"/>
              </w:rPr>
            </w:pPr>
            <w:r>
              <w:rPr>
                <w:rFonts w:ascii="Arial" w:cs="Arial" w:eastAsia="Arial" w:hAnsi="Arial"/>
                <w:sz w:val="36"/>
                <w:szCs w:val="36"/>
                <w:color w:val="auto"/>
              </w:rPr>
              <w:t>3</w:t>
            </w:r>
          </w:p>
        </w:tc>
        <w:tc>
          <w:tcPr>
            <w:tcW w:w="980" w:type="dxa"/>
            <w:vAlign w:val="bottom"/>
            <w:vMerge w:val="restart"/>
          </w:tcPr>
          <w:p>
            <w:pPr>
              <w:ind w:left="80"/>
              <w:spacing w:after="0"/>
              <w:rPr>
                <w:sz w:val="20"/>
                <w:szCs w:val="20"/>
                <w:color w:val="auto"/>
              </w:rPr>
            </w:pPr>
            <w:r>
              <w:rPr>
                <w:rFonts w:ascii="Arial" w:cs="Arial" w:eastAsia="Arial" w:hAnsi="Arial"/>
                <w:sz w:val="12"/>
                <w:szCs w:val="12"/>
                <w:color w:val="auto"/>
              </w:rPr>
              <w:t>AUDIT</w:t>
            </w:r>
          </w:p>
        </w:tc>
        <w:tc>
          <w:tcPr>
            <w:tcW w:w="460" w:type="dxa"/>
            <w:vAlign w:val="bottom"/>
          </w:tcPr>
          <w:p>
            <w:pPr>
              <w:jc w:val="right"/>
              <w:spacing w:after="0"/>
              <w:rPr>
                <w:sz w:val="20"/>
                <w:szCs w:val="20"/>
                <w:color w:val="auto"/>
              </w:rPr>
            </w:pPr>
            <w:r>
              <w:rPr>
                <w:rFonts w:ascii="Arial" w:cs="Arial" w:eastAsia="Arial" w:hAnsi="Arial"/>
                <w:sz w:val="36"/>
                <w:szCs w:val="36"/>
                <w:color w:val="auto"/>
              </w:rPr>
              <w:t>4</w:t>
            </w:r>
          </w:p>
        </w:tc>
        <w:tc>
          <w:tcPr>
            <w:tcW w:w="1580" w:type="dxa"/>
            <w:vAlign w:val="bottom"/>
            <w:vMerge w:val="restart"/>
          </w:tcPr>
          <w:p>
            <w:pPr>
              <w:ind w:left="80"/>
              <w:spacing w:after="0"/>
              <w:rPr>
                <w:sz w:val="20"/>
                <w:szCs w:val="20"/>
                <w:color w:val="auto"/>
              </w:rPr>
            </w:pPr>
            <w:r>
              <w:rPr>
                <w:rFonts w:ascii="Arial" w:cs="Arial" w:eastAsia="Arial" w:hAnsi="Arial"/>
                <w:sz w:val="12"/>
                <w:szCs w:val="12"/>
                <w:color w:val="auto"/>
              </w:rPr>
              <w:t>PROPOSALS TO</w:t>
            </w:r>
          </w:p>
        </w:tc>
        <w:tc>
          <w:tcPr>
            <w:tcW w:w="440" w:type="dxa"/>
            <w:vAlign w:val="bottom"/>
          </w:tcPr>
          <w:p>
            <w:pPr>
              <w:jc w:val="right"/>
              <w:spacing w:after="0"/>
              <w:rPr>
                <w:sz w:val="20"/>
                <w:szCs w:val="20"/>
                <w:color w:val="auto"/>
              </w:rPr>
            </w:pPr>
            <w:r>
              <w:rPr>
                <w:rFonts w:ascii="Arial" w:cs="Arial" w:eastAsia="Arial" w:hAnsi="Arial"/>
                <w:sz w:val="36"/>
                <w:szCs w:val="36"/>
                <w:color w:val="auto"/>
              </w:rPr>
              <w:t>5</w:t>
            </w:r>
          </w:p>
        </w:tc>
        <w:tc>
          <w:tcPr>
            <w:tcW w:w="900" w:type="dxa"/>
            <w:vAlign w:val="bottom"/>
            <w:vMerge w:val="restart"/>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220" w:type="dxa"/>
            <w:vAlign w:val="bottom"/>
          </w:tcPr>
          <w:p>
            <w:pPr>
              <w:ind w:left="80"/>
              <w:spacing w:after="0" w:line="130" w:lineRule="exact"/>
              <w:rPr>
                <w:sz w:val="20"/>
                <w:szCs w:val="20"/>
                <w:color w:val="auto"/>
              </w:rPr>
            </w:pPr>
            <w:r>
              <w:rPr>
                <w:rFonts w:ascii="Arial" w:cs="Arial" w:eastAsia="Arial" w:hAnsi="Arial"/>
                <w:sz w:val="12"/>
                <w:szCs w:val="12"/>
                <w:color w:val="0075C9"/>
              </w:rPr>
              <w:t>OUR BOARD OF</w:t>
            </w:r>
          </w:p>
        </w:tc>
        <w:tc>
          <w:tcPr>
            <w:tcW w:w="720" w:type="dxa"/>
            <w:vAlign w:val="bottom"/>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460" w:type="dxa"/>
            <w:vAlign w:val="bottom"/>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40" w:type="dxa"/>
            <w:vAlign w:val="bottom"/>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0075C9"/>
              </w:rPr>
              <w:t>DIRECTORS</w:t>
            </w:r>
          </w:p>
        </w:tc>
        <w:tc>
          <w:tcPr>
            <w:tcW w:w="720" w:type="dxa"/>
            <w:vAlign w:val="bottom"/>
          </w:tcPr>
          <w:p>
            <w:pPr>
              <w:spacing w:after="0"/>
              <w:rPr>
                <w:sz w:val="12"/>
                <w:szCs w:val="12"/>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tcPr>
          <w:p>
            <w:pPr>
              <w:spacing w:after="0"/>
              <w:rPr>
                <w:sz w:val="12"/>
                <w:szCs w:val="12"/>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460" w:type="dxa"/>
            <w:vAlign w:val="bottom"/>
          </w:tcPr>
          <w:p>
            <w:pPr>
              <w:spacing w:after="0"/>
              <w:rPr>
                <w:sz w:val="12"/>
                <w:szCs w:val="12"/>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40" w:type="dxa"/>
            <w:vAlign w:val="bottom"/>
          </w:tcPr>
          <w:p>
            <w:pPr>
              <w:spacing w:after="0"/>
              <w:rPr>
                <w:sz w:val="12"/>
                <w:szCs w:val="12"/>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shd w:val="clear" w:color="auto" w:fill="0075C9"/>
          </w:tcPr>
          <w:p>
            <w:pPr>
              <w:spacing w:after="0"/>
              <w:rPr>
                <w:sz w:val="9"/>
                <w:szCs w:val="9"/>
                <w:color w:val="auto"/>
              </w:rPr>
            </w:pPr>
          </w:p>
        </w:tc>
        <w:tc>
          <w:tcPr>
            <w:tcW w:w="1220" w:type="dxa"/>
            <w:vAlign w:val="bottom"/>
            <w:shd w:val="clear" w:color="auto" w:fill="0075C9"/>
          </w:tcPr>
          <w:p>
            <w:pPr>
              <w:spacing w:after="0"/>
              <w:rPr>
                <w:sz w:val="9"/>
                <w:szCs w:val="9"/>
                <w:color w:val="auto"/>
              </w:rPr>
            </w:pPr>
          </w:p>
        </w:tc>
        <w:tc>
          <w:tcPr>
            <w:tcW w:w="7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ind w:left="4880"/>
        <w:spacing w:after="0"/>
        <w:rPr>
          <w:sz w:val="20"/>
          <w:szCs w:val="20"/>
          <w:color w:val="auto"/>
        </w:rPr>
      </w:pPr>
      <w:r>
        <w:rPr>
          <w:rFonts w:ascii="Arial" w:cs="Arial" w:eastAsia="Arial" w:hAnsi="Arial"/>
          <w:sz w:val="21"/>
          <w:szCs w:val="21"/>
          <w:b w:val="1"/>
          <w:bCs w:val="1"/>
          <w:color w:val="auto"/>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-74930</wp:posOffset>
            </wp:positionV>
            <wp:extent cx="5748020" cy="6233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48020" cy="6233160"/>
                    </a:xfrm>
                    <a:prstGeom prst="rect">
                      <a:avLst/>
                    </a:prstGeom>
                    <a:noFill/>
                  </pic:spPr>
                </pic:pic>
              </a:graphicData>
            </a:graphic>
          </wp:anchor>
        </w:drawing>
      </w:r>
    </w:p>
    <w:p>
      <w:pPr>
        <w:spacing w:after="0" w:line="57" w:lineRule="exact"/>
        <w:rPr>
          <w:sz w:val="20"/>
          <w:szCs w:val="20"/>
          <w:color w:val="auto"/>
        </w:rPr>
      </w:pPr>
    </w:p>
    <w:p>
      <w:pPr>
        <w:ind w:left="1400" w:hanging="145"/>
        <w:spacing w:after="0"/>
        <w:tabs>
          <w:tab w:leader="none" w:pos="14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Assist our Board in establishing the annual goals and objectives of the CEO</w:t>
      </w:r>
    </w:p>
    <w:p>
      <w:pPr>
        <w:spacing w:after="0" w:line="113" w:lineRule="exact"/>
        <w:rPr>
          <w:rFonts w:ascii="Arial" w:cs="Arial" w:eastAsia="Arial" w:hAnsi="Arial"/>
          <w:sz w:val="16"/>
          <w:szCs w:val="16"/>
          <w:color w:val="auto"/>
        </w:rPr>
      </w:pPr>
    </w:p>
    <w:p>
      <w:pPr>
        <w:ind w:left="1380" w:hanging="125"/>
        <w:spacing w:after="0"/>
        <w:tabs>
          <w:tab w:leader="none" w:pos="13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Establish the process for annually reviewing the CEO’s performance</w:t>
      </w:r>
    </w:p>
    <w:p>
      <w:pPr>
        <w:spacing w:after="0" w:line="113" w:lineRule="exact"/>
        <w:rPr>
          <w:rFonts w:ascii="Arial" w:cs="Arial" w:eastAsia="Arial" w:hAnsi="Arial"/>
          <w:sz w:val="16"/>
          <w:szCs w:val="16"/>
          <w:color w:val="auto"/>
        </w:rPr>
      </w:pPr>
    </w:p>
    <w:p>
      <w:pPr>
        <w:ind w:left="1380" w:hanging="125"/>
        <w:spacing w:after="0"/>
        <w:tabs>
          <w:tab w:leader="none" w:pos="13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Recommend our CEO’s compensation to the independent members of our Board for approval</w:t>
      </w:r>
    </w:p>
    <w:p>
      <w:pPr>
        <w:spacing w:after="0" w:line="113" w:lineRule="exact"/>
        <w:rPr>
          <w:rFonts w:ascii="Arial" w:cs="Arial" w:eastAsia="Arial" w:hAnsi="Arial"/>
          <w:sz w:val="16"/>
          <w:szCs w:val="16"/>
          <w:color w:val="auto"/>
        </w:rPr>
      </w:pPr>
    </w:p>
    <w:p>
      <w:pPr>
        <w:ind w:left="1420" w:right="200" w:hanging="165"/>
        <w:spacing w:after="0" w:line="239" w:lineRule="auto"/>
        <w:tabs>
          <w:tab w:leader="none" w:pos="1388" w:val="left"/>
        </w:tabs>
        <w:numPr>
          <w:ilvl w:val="0"/>
          <w:numId w:val="22"/>
        </w:numPr>
        <w:rPr>
          <w:rFonts w:ascii="Arial" w:cs="Arial" w:eastAsia="Arial" w:hAnsi="Arial"/>
          <w:sz w:val="16"/>
          <w:szCs w:val="16"/>
          <w:color w:val="auto"/>
        </w:rPr>
      </w:pPr>
      <w:r>
        <w:rPr>
          <w:rFonts w:ascii="Arial" w:cs="Arial" w:eastAsia="Arial" w:hAnsi="Arial"/>
          <w:sz w:val="16"/>
          <w:szCs w:val="16"/>
          <w:color w:val="auto"/>
        </w:rPr>
        <w:t>Approve annual compensation, and in consultation with the CEO oversee performance evaluations, for the non-CEO members of the SLT</w:t>
      </w:r>
    </w:p>
    <w:p>
      <w:pPr>
        <w:spacing w:after="0" w:line="112" w:lineRule="exact"/>
        <w:rPr>
          <w:rFonts w:ascii="Arial" w:cs="Arial" w:eastAsia="Arial" w:hAnsi="Arial"/>
          <w:sz w:val="16"/>
          <w:szCs w:val="16"/>
          <w:color w:val="auto"/>
        </w:rPr>
      </w:pPr>
    </w:p>
    <w:p>
      <w:pPr>
        <w:ind w:left="1420" w:right="580" w:hanging="165"/>
        <w:spacing w:after="0" w:line="239" w:lineRule="auto"/>
        <w:tabs>
          <w:tab w:leader="none" w:pos="1397"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Review and discuss with the CEO and report to the Board development and corporate succession plans for the non-CEO members of the SLT</w:t>
      </w:r>
    </w:p>
    <w:p>
      <w:pPr>
        <w:spacing w:after="0" w:line="112" w:lineRule="exact"/>
        <w:rPr>
          <w:rFonts w:ascii="Arial" w:cs="Arial" w:eastAsia="Arial" w:hAnsi="Arial"/>
          <w:sz w:val="16"/>
          <w:szCs w:val="16"/>
          <w:color w:val="auto"/>
        </w:rPr>
      </w:pPr>
    </w:p>
    <w:p>
      <w:pPr>
        <w:ind w:left="1380" w:hanging="125"/>
        <w:spacing w:after="0"/>
        <w:tabs>
          <w:tab w:leader="none" w:pos="13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Oversee administration of the Company’s equity-based compensation and retirement plans</w:t>
      </w:r>
    </w:p>
    <w:p>
      <w:pPr>
        <w:spacing w:after="0" w:line="113" w:lineRule="exact"/>
        <w:rPr>
          <w:rFonts w:ascii="Arial" w:cs="Arial" w:eastAsia="Arial" w:hAnsi="Arial"/>
          <w:sz w:val="16"/>
          <w:szCs w:val="16"/>
          <w:color w:val="auto"/>
        </w:rPr>
      </w:pPr>
    </w:p>
    <w:p>
      <w:pPr>
        <w:ind w:left="1420" w:right="440" w:hanging="165"/>
        <w:spacing w:after="0" w:line="239" w:lineRule="auto"/>
        <w:tabs>
          <w:tab w:leader="none" w:pos="1397" w:val="left"/>
        </w:tabs>
        <w:numPr>
          <w:ilvl w:val="0"/>
          <w:numId w:val="22"/>
        </w:numPr>
        <w:rPr>
          <w:rFonts w:ascii="Arial" w:cs="Arial" w:eastAsia="Arial" w:hAnsi="Arial"/>
          <w:sz w:val="16"/>
          <w:szCs w:val="16"/>
          <w:color w:val="auto"/>
        </w:rPr>
      </w:pPr>
      <w:r>
        <w:rPr>
          <w:rFonts w:ascii="Arial" w:cs="Arial" w:eastAsia="Arial" w:hAnsi="Arial"/>
          <w:sz w:val="16"/>
          <w:szCs w:val="16"/>
          <w:color w:val="auto"/>
        </w:rPr>
        <w:t>Monitor and evaluate the compensation and benefits structure of Microsoft, as the Committee deems appropriate, including policies regarding SLT compensation</w:t>
      </w:r>
    </w:p>
    <w:p>
      <w:pPr>
        <w:spacing w:after="0" w:line="112" w:lineRule="exact"/>
        <w:rPr>
          <w:rFonts w:ascii="Arial" w:cs="Arial" w:eastAsia="Arial" w:hAnsi="Arial"/>
          <w:sz w:val="16"/>
          <w:szCs w:val="16"/>
          <w:color w:val="auto"/>
        </w:rPr>
      </w:pPr>
    </w:p>
    <w:p>
      <w:pPr>
        <w:ind w:left="1420" w:right="600" w:hanging="165"/>
        <w:spacing w:after="0" w:line="239" w:lineRule="auto"/>
        <w:tabs>
          <w:tab w:leader="none" w:pos="1397" w:val="left"/>
        </w:tabs>
        <w:numPr>
          <w:ilvl w:val="0"/>
          <w:numId w:val="22"/>
        </w:numPr>
        <w:rPr>
          <w:rFonts w:ascii="Arial" w:cs="Arial" w:eastAsia="Arial" w:hAnsi="Arial"/>
          <w:sz w:val="16"/>
          <w:szCs w:val="16"/>
          <w:color w:val="auto"/>
        </w:rPr>
      </w:pPr>
      <w:r>
        <w:rPr>
          <w:rFonts w:ascii="Arial" w:cs="Arial" w:eastAsia="Arial" w:hAnsi="Arial"/>
          <w:sz w:val="16"/>
          <w:szCs w:val="16"/>
          <w:color w:val="auto"/>
        </w:rPr>
        <w:t>Oversee and advise the Board and management about Company programs for diversity and inclusion and human capital management</w:t>
      </w:r>
    </w:p>
    <w:p>
      <w:pPr>
        <w:spacing w:after="0" w:line="112" w:lineRule="exact"/>
        <w:rPr>
          <w:rFonts w:ascii="Arial" w:cs="Arial" w:eastAsia="Arial" w:hAnsi="Arial"/>
          <w:sz w:val="16"/>
          <w:szCs w:val="16"/>
          <w:color w:val="auto"/>
        </w:rPr>
      </w:pPr>
    </w:p>
    <w:p>
      <w:pPr>
        <w:ind w:left="1420" w:right="740" w:hanging="165"/>
        <w:spacing w:after="0" w:line="239" w:lineRule="auto"/>
        <w:tabs>
          <w:tab w:leader="none" w:pos="1397" w:val="left"/>
        </w:tabs>
        <w:numPr>
          <w:ilvl w:val="0"/>
          <w:numId w:val="22"/>
        </w:numPr>
        <w:rPr>
          <w:rFonts w:ascii="Arial" w:cs="Arial" w:eastAsia="Arial" w:hAnsi="Arial"/>
          <w:sz w:val="16"/>
          <w:szCs w:val="16"/>
          <w:color w:val="auto"/>
        </w:rPr>
      </w:pPr>
      <w:r>
        <w:rPr>
          <w:rFonts w:ascii="Arial" w:cs="Arial" w:eastAsia="Arial" w:hAnsi="Arial"/>
          <w:sz w:val="16"/>
          <w:szCs w:val="16"/>
          <w:color w:val="auto"/>
        </w:rPr>
        <w:t>Periodically review the compensation paid to non-employee directors and make recommendations to our Board for any adjustments</w:t>
      </w:r>
    </w:p>
    <w:p>
      <w:pPr>
        <w:spacing w:after="0" w:line="113" w:lineRule="exact"/>
        <w:rPr>
          <w:sz w:val="20"/>
          <w:szCs w:val="20"/>
          <w:color w:val="auto"/>
        </w:rPr>
      </w:pPr>
    </w:p>
    <w:p>
      <w:pPr>
        <w:ind w:left="1260" w:right="220"/>
        <w:spacing w:after="0" w:line="237" w:lineRule="auto"/>
        <w:rPr>
          <w:sz w:val="20"/>
          <w:szCs w:val="20"/>
          <w:color w:val="auto"/>
        </w:rPr>
      </w:pPr>
      <w:r>
        <w:rPr>
          <w:rFonts w:ascii="Arial" w:cs="Arial" w:eastAsia="Arial" w:hAnsi="Arial"/>
          <w:sz w:val="16"/>
          <w:szCs w:val="16"/>
          <w:color w:val="auto"/>
        </w:rPr>
        <w:t>Our senior executives for Human Resources support the Compensation Committee in its work. The Committee may delegate its authority to subcommittees and to one or more designated members of the Committee. The Committee may delegate to one or more executive officers the authority to make grants of equity-based compensation to eligible individuals who are not executive officers and to administer the Company’s equity-based compensation plans. The Committee has delegated to senior management the authority to make stock award grants to employees who are not members of the SLT or Section 16 officers and to administer the Company’s equity-based compensation plans.</w:t>
      </w:r>
    </w:p>
    <w:p>
      <w:pPr>
        <w:spacing w:after="0" w:line="98" w:lineRule="exact"/>
        <w:rPr>
          <w:sz w:val="20"/>
          <w:szCs w:val="20"/>
          <w:color w:val="auto"/>
        </w:rPr>
      </w:pPr>
    </w:p>
    <w:p>
      <w:pPr>
        <w:ind w:left="1260" w:right="220"/>
        <w:spacing w:after="0" w:line="239" w:lineRule="auto"/>
        <w:rPr>
          <w:sz w:val="20"/>
          <w:szCs w:val="20"/>
          <w:color w:val="auto"/>
        </w:rPr>
      </w:pPr>
      <w:r>
        <w:rPr>
          <w:rFonts w:ascii="Arial" w:cs="Arial" w:eastAsia="Arial" w:hAnsi="Arial"/>
          <w:sz w:val="16"/>
          <w:szCs w:val="16"/>
          <w:i w:val="1"/>
          <w:iCs w:val="1"/>
          <w:color w:val="auto"/>
        </w:rPr>
        <w:t xml:space="preserve">Independent compensation consultant </w:t>
      </w:r>
      <w:r>
        <w:rPr>
          <w:rFonts w:ascii="Arial" w:cs="Arial" w:eastAsia="Arial" w:hAnsi="Arial"/>
          <w:sz w:val="16"/>
          <w:szCs w:val="16"/>
          <w:color w:val="auto"/>
        </w:rPr>
        <w:t>– The Compensation Committee retained Pay Governance LLC as an independent</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consultant throughout fiscal year 2021. The consultant advises the Committee on marketplace trends in executive compensation, management proposals for compensation programs, and executive officer compensation decisions. The consultant also evaluates compensation for non-employee directors, the next levels of senior management, and equity compensation programs generally. The consultant discusses recommendations to the Board on CEO compensation with the Committee, and is directly accountable to the Committee. To maintain the independence of the consultant’s advice, neither firm provides or provided services to Microsoft other than those described above. The Committee has adopted Compensation Consultant Independence Standards which can be viewed on our website at aka.ms/policiesandguidelines. These standards require that the Committee annually assess the independence of its compensation consultant. A consultant satisfying the following requirements will be considered independent. The consultant (including each individual employee of the consultant providing services):</w:t>
      </w:r>
    </w:p>
    <w:p>
      <w:pPr>
        <w:spacing w:after="0" w:line="111" w:lineRule="exact"/>
        <w:rPr>
          <w:sz w:val="20"/>
          <w:szCs w:val="20"/>
          <w:color w:val="auto"/>
        </w:rPr>
      </w:pPr>
    </w:p>
    <w:p>
      <w:pPr>
        <w:ind w:left="1380" w:hanging="125"/>
        <w:spacing w:after="0"/>
        <w:tabs>
          <w:tab w:leader="none" w:pos="13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Is retained and terminated by, has its compensation fixed by, and reports solely to, the Compensation Committee</w:t>
      </w:r>
    </w:p>
    <w:p>
      <w:pPr>
        <w:spacing w:after="0" w:line="113" w:lineRule="exact"/>
        <w:rPr>
          <w:rFonts w:ascii="Arial" w:cs="Arial" w:eastAsia="Arial" w:hAnsi="Arial"/>
          <w:sz w:val="16"/>
          <w:szCs w:val="16"/>
          <w:color w:val="auto"/>
        </w:rPr>
      </w:pPr>
    </w:p>
    <w:p>
      <w:pPr>
        <w:ind w:left="1380" w:hanging="125"/>
        <w:spacing w:after="0"/>
        <w:tabs>
          <w:tab w:leader="none" w:pos="13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Is independent of the Company</w:t>
      </w:r>
    </w:p>
    <w:p>
      <w:pPr>
        <w:spacing w:after="0" w:line="113" w:lineRule="exact"/>
        <w:rPr>
          <w:rFonts w:ascii="Arial" w:cs="Arial" w:eastAsia="Arial" w:hAnsi="Arial"/>
          <w:sz w:val="16"/>
          <w:szCs w:val="16"/>
          <w:color w:val="auto"/>
        </w:rPr>
      </w:pPr>
    </w:p>
    <w:p>
      <w:pPr>
        <w:ind w:left="1420" w:right="360" w:hanging="165"/>
        <w:spacing w:after="0" w:line="239" w:lineRule="auto"/>
        <w:tabs>
          <w:tab w:leader="none" w:pos="1397" w:val="left"/>
        </w:tabs>
        <w:numPr>
          <w:ilvl w:val="0"/>
          <w:numId w:val="23"/>
        </w:numPr>
        <w:rPr>
          <w:rFonts w:ascii="Arial" w:cs="Arial" w:eastAsia="Arial" w:hAnsi="Arial"/>
          <w:sz w:val="16"/>
          <w:szCs w:val="16"/>
          <w:color w:val="auto"/>
        </w:rPr>
      </w:pPr>
      <w:r>
        <w:rPr>
          <w:rFonts w:ascii="Arial" w:cs="Arial" w:eastAsia="Arial" w:hAnsi="Arial"/>
          <w:sz w:val="16"/>
          <w:szCs w:val="16"/>
          <w:color w:val="auto"/>
        </w:rPr>
        <w:t>Will not perform any work for Company management except at the request of the Compensation Committee Chair and in the capacity of the Committee’s agent</w:t>
      </w:r>
    </w:p>
    <w:p>
      <w:pPr>
        <w:spacing w:after="0" w:line="112" w:lineRule="exact"/>
        <w:rPr>
          <w:rFonts w:ascii="Arial" w:cs="Arial" w:eastAsia="Arial" w:hAnsi="Arial"/>
          <w:sz w:val="16"/>
          <w:szCs w:val="16"/>
          <w:color w:val="auto"/>
        </w:rPr>
      </w:pPr>
    </w:p>
    <w:p>
      <w:pPr>
        <w:ind w:left="1420" w:right="440" w:hanging="165"/>
        <w:spacing w:after="0" w:line="239" w:lineRule="auto"/>
        <w:tabs>
          <w:tab w:leader="none" w:pos="1397" w:val="left"/>
        </w:tabs>
        <w:numPr>
          <w:ilvl w:val="0"/>
          <w:numId w:val="23"/>
        </w:numPr>
        <w:rPr>
          <w:rFonts w:ascii="Arial" w:cs="Arial" w:eastAsia="Arial" w:hAnsi="Arial"/>
          <w:sz w:val="16"/>
          <w:szCs w:val="16"/>
          <w:color w:val="auto"/>
        </w:rPr>
      </w:pPr>
      <w:r>
        <w:rPr>
          <w:rFonts w:ascii="Arial" w:cs="Arial" w:eastAsia="Arial" w:hAnsi="Arial"/>
          <w:sz w:val="16"/>
          <w:szCs w:val="16"/>
          <w:color w:val="auto"/>
        </w:rPr>
        <w:t>Should not provide any unrelated services or products to the Company and its affiliates or management, except for surveys purchased from the consultant’s firm</w:t>
      </w:r>
    </w:p>
    <w:p>
      <w:pPr>
        <w:spacing w:after="0" w:line="113" w:lineRule="exact"/>
        <w:rPr>
          <w:sz w:val="20"/>
          <w:szCs w:val="20"/>
          <w:color w:val="auto"/>
        </w:rPr>
      </w:pPr>
    </w:p>
    <w:p>
      <w:pPr>
        <w:ind w:left="1260" w:right="220"/>
        <w:spacing w:after="0" w:line="237" w:lineRule="auto"/>
        <w:rPr>
          <w:sz w:val="20"/>
          <w:szCs w:val="20"/>
          <w:color w:val="auto"/>
        </w:rPr>
      </w:pPr>
      <w:r>
        <w:rPr>
          <w:rFonts w:ascii="Arial" w:cs="Arial" w:eastAsia="Arial" w:hAnsi="Arial"/>
          <w:sz w:val="16"/>
          <w:szCs w:val="16"/>
          <w:color w:val="auto"/>
        </w:rPr>
        <w:t>In assessing the consultant’s independence, the Compensation Committee considers the nature and amount of work performed for the Committee during the year, the nature of any unrelated services performed for the Company, and the fees paid for those services in relation to the firm’s total revenue. The consultant annually prepares for the Committee an independence letter providing assurances and confirmation of the consultant’s independent status under the standards. The Committee believes that Pay Governance has been independent during its service for the Committee.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2021 PROXY STATEMENT</w:t>
      </w:r>
      <w:r>
        <w:rPr>
          <w:sz w:val="20"/>
          <w:szCs w:val="20"/>
          <w:color w:val="auto"/>
        </w:rPr>
        <w:tab/>
      </w:r>
      <w:r>
        <w:rPr>
          <w:rFonts w:ascii="Arial" w:cs="Arial" w:eastAsia="Arial" w:hAnsi="Arial"/>
          <w:sz w:val="12"/>
          <w:szCs w:val="12"/>
          <w:b w:val="1"/>
          <w:bCs w:val="1"/>
          <w:color w:val="0075C9"/>
        </w:rPr>
        <w:t>17</w:t>
      </w:r>
    </w:p>
    <w:p>
      <w:pPr>
        <w:sectPr>
          <w:pgSz w:w="11900" w:h="16838" w:orient="portrait"/>
          <w:cols w:equalWidth="0" w:num="1">
            <w:col w:w="10280"/>
          </w:cols>
          <w:pgMar w:left="320" w:top="445" w:right="129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0075C9"/>
                <w:w w:val="89"/>
              </w:rPr>
              <w:t>1</w:t>
            </w:r>
          </w:p>
        </w:tc>
        <w:tc>
          <w:tcPr>
            <w:tcW w:w="1220" w:type="dxa"/>
            <w:vAlign w:val="bottom"/>
            <w:vMerge w:val="restart"/>
          </w:tcPr>
          <w:p>
            <w:pPr>
              <w:ind w:left="80"/>
              <w:spacing w:after="0"/>
              <w:rPr>
                <w:sz w:val="20"/>
                <w:szCs w:val="20"/>
                <w:color w:val="auto"/>
              </w:rPr>
            </w:pPr>
            <w:r>
              <w:rPr>
                <w:rFonts w:ascii="Arial" w:cs="Arial" w:eastAsia="Arial" w:hAnsi="Arial"/>
                <w:sz w:val="12"/>
                <w:szCs w:val="12"/>
                <w:color w:val="0075C9"/>
                <w:w w:val="98"/>
              </w:rPr>
              <w:t>GOVERNANCE AND</w:t>
            </w:r>
          </w:p>
        </w:tc>
        <w:tc>
          <w:tcPr>
            <w:tcW w:w="720" w:type="dxa"/>
            <w:vAlign w:val="bottom"/>
          </w:tcPr>
          <w:p>
            <w:pPr>
              <w:jc w:val="right"/>
              <w:spacing w:after="0"/>
              <w:rPr>
                <w:sz w:val="20"/>
                <w:szCs w:val="20"/>
                <w:color w:val="auto"/>
              </w:rPr>
            </w:pPr>
            <w:r>
              <w:rPr>
                <w:rFonts w:ascii="Arial" w:cs="Arial" w:eastAsia="Arial" w:hAnsi="Arial"/>
                <w:sz w:val="36"/>
                <w:szCs w:val="36"/>
                <w:color w:val="auto"/>
              </w:rPr>
              <w:t>2</w:t>
            </w:r>
          </w:p>
        </w:tc>
        <w:tc>
          <w:tcPr>
            <w:tcW w:w="1540" w:type="dxa"/>
            <w:vAlign w:val="bottom"/>
            <w:vMerge w:val="restart"/>
          </w:tcPr>
          <w:p>
            <w:pPr>
              <w:ind w:left="80"/>
              <w:spacing w:after="0"/>
              <w:rPr>
                <w:sz w:val="20"/>
                <w:szCs w:val="20"/>
                <w:color w:val="auto"/>
              </w:rPr>
            </w:pPr>
            <w:r>
              <w:rPr>
                <w:rFonts w:ascii="Arial" w:cs="Arial" w:eastAsia="Arial" w:hAnsi="Arial"/>
                <w:sz w:val="12"/>
                <w:szCs w:val="12"/>
                <w:color w:val="auto"/>
              </w:rPr>
              <w:t>NAMED</w:t>
            </w:r>
          </w:p>
        </w:tc>
        <w:tc>
          <w:tcPr>
            <w:tcW w:w="500" w:type="dxa"/>
            <w:vAlign w:val="bottom"/>
          </w:tcPr>
          <w:p>
            <w:pPr>
              <w:jc w:val="right"/>
              <w:spacing w:after="0"/>
              <w:rPr>
                <w:sz w:val="20"/>
                <w:szCs w:val="20"/>
                <w:color w:val="auto"/>
              </w:rPr>
            </w:pPr>
            <w:r>
              <w:rPr>
                <w:rFonts w:ascii="Arial" w:cs="Arial" w:eastAsia="Arial" w:hAnsi="Arial"/>
                <w:sz w:val="36"/>
                <w:szCs w:val="36"/>
                <w:color w:val="auto"/>
              </w:rPr>
              <w:t>3</w:t>
            </w:r>
          </w:p>
        </w:tc>
        <w:tc>
          <w:tcPr>
            <w:tcW w:w="980" w:type="dxa"/>
            <w:vAlign w:val="bottom"/>
            <w:vMerge w:val="restart"/>
          </w:tcPr>
          <w:p>
            <w:pPr>
              <w:ind w:left="80"/>
              <w:spacing w:after="0"/>
              <w:rPr>
                <w:sz w:val="20"/>
                <w:szCs w:val="20"/>
                <w:color w:val="auto"/>
              </w:rPr>
            </w:pPr>
            <w:r>
              <w:rPr>
                <w:rFonts w:ascii="Arial" w:cs="Arial" w:eastAsia="Arial" w:hAnsi="Arial"/>
                <w:sz w:val="12"/>
                <w:szCs w:val="12"/>
                <w:color w:val="auto"/>
              </w:rPr>
              <w:t>AUDIT</w:t>
            </w:r>
          </w:p>
        </w:tc>
        <w:tc>
          <w:tcPr>
            <w:tcW w:w="460" w:type="dxa"/>
            <w:vAlign w:val="bottom"/>
          </w:tcPr>
          <w:p>
            <w:pPr>
              <w:jc w:val="right"/>
              <w:spacing w:after="0"/>
              <w:rPr>
                <w:sz w:val="20"/>
                <w:szCs w:val="20"/>
                <w:color w:val="auto"/>
              </w:rPr>
            </w:pPr>
            <w:r>
              <w:rPr>
                <w:rFonts w:ascii="Arial" w:cs="Arial" w:eastAsia="Arial" w:hAnsi="Arial"/>
                <w:sz w:val="36"/>
                <w:szCs w:val="36"/>
                <w:color w:val="auto"/>
              </w:rPr>
              <w:t>4</w:t>
            </w:r>
          </w:p>
        </w:tc>
        <w:tc>
          <w:tcPr>
            <w:tcW w:w="1580" w:type="dxa"/>
            <w:vAlign w:val="bottom"/>
            <w:vMerge w:val="restart"/>
          </w:tcPr>
          <w:p>
            <w:pPr>
              <w:ind w:left="80"/>
              <w:spacing w:after="0"/>
              <w:rPr>
                <w:sz w:val="20"/>
                <w:szCs w:val="20"/>
                <w:color w:val="auto"/>
              </w:rPr>
            </w:pPr>
            <w:r>
              <w:rPr>
                <w:rFonts w:ascii="Arial" w:cs="Arial" w:eastAsia="Arial" w:hAnsi="Arial"/>
                <w:sz w:val="12"/>
                <w:szCs w:val="12"/>
                <w:color w:val="auto"/>
              </w:rPr>
              <w:t>PROPOSALS TO</w:t>
            </w:r>
          </w:p>
        </w:tc>
        <w:tc>
          <w:tcPr>
            <w:tcW w:w="440" w:type="dxa"/>
            <w:vAlign w:val="bottom"/>
          </w:tcPr>
          <w:p>
            <w:pPr>
              <w:jc w:val="right"/>
              <w:spacing w:after="0"/>
              <w:rPr>
                <w:sz w:val="20"/>
                <w:szCs w:val="20"/>
                <w:color w:val="auto"/>
              </w:rPr>
            </w:pPr>
            <w:r>
              <w:rPr>
                <w:rFonts w:ascii="Arial" w:cs="Arial" w:eastAsia="Arial" w:hAnsi="Arial"/>
                <w:sz w:val="36"/>
                <w:szCs w:val="36"/>
                <w:color w:val="auto"/>
              </w:rPr>
              <w:t>5</w:t>
            </w:r>
          </w:p>
        </w:tc>
        <w:tc>
          <w:tcPr>
            <w:tcW w:w="900" w:type="dxa"/>
            <w:vAlign w:val="bottom"/>
            <w:vMerge w:val="restart"/>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220" w:type="dxa"/>
            <w:vAlign w:val="bottom"/>
          </w:tcPr>
          <w:p>
            <w:pPr>
              <w:ind w:left="80"/>
              <w:spacing w:after="0" w:line="130" w:lineRule="exact"/>
              <w:rPr>
                <w:sz w:val="20"/>
                <w:szCs w:val="20"/>
                <w:color w:val="auto"/>
              </w:rPr>
            </w:pPr>
            <w:r>
              <w:rPr>
                <w:rFonts w:ascii="Arial" w:cs="Arial" w:eastAsia="Arial" w:hAnsi="Arial"/>
                <w:sz w:val="12"/>
                <w:szCs w:val="12"/>
                <w:color w:val="0075C9"/>
              </w:rPr>
              <w:t>OUR BOARD OF</w:t>
            </w:r>
          </w:p>
        </w:tc>
        <w:tc>
          <w:tcPr>
            <w:tcW w:w="720" w:type="dxa"/>
            <w:vAlign w:val="bottom"/>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460" w:type="dxa"/>
            <w:vAlign w:val="bottom"/>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40" w:type="dxa"/>
            <w:vAlign w:val="bottom"/>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0075C9"/>
              </w:rPr>
              <w:t>DIRECTORS</w:t>
            </w:r>
          </w:p>
        </w:tc>
        <w:tc>
          <w:tcPr>
            <w:tcW w:w="720" w:type="dxa"/>
            <w:vAlign w:val="bottom"/>
          </w:tcPr>
          <w:p>
            <w:pPr>
              <w:spacing w:after="0"/>
              <w:rPr>
                <w:sz w:val="12"/>
                <w:szCs w:val="12"/>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tcPr>
          <w:p>
            <w:pPr>
              <w:spacing w:after="0"/>
              <w:rPr>
                <w:sz w:val="12"/>
                <w:szCs w:val="12"/>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460" w:type="dxa"/>
            <w:vAlign w:val="bottom"/>
          </w:tcPr>
          <w:p>
            <w:pPr>
              <w:spacing w:after="0"/>
              <w:rPr>
                <w:sz w:val="12"/>
                <w:szCs w:val="12"/>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40" w:type="dxa"/>
            <w:vAlign w:val="bottom"/>
          </w:tcPr>
          <w:p>
            <w:pPr>
              <w:spacing w:after="0"/>
              <w:rPr>
                <w:sz w:val="12"/>
                <w:szCs w:val="12"/>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shd w:val="clear" w:color="auto" w:fill="0075C9"/>
          </w:tcPr>
          <w:p>
            <w:pPr>
              <w:spacing w:after="0"/>
              <w:rPr>
                <w:sz w:val="9"/>
                <w:szCs w:val="9"/>
                <w:color w:val="auto"/>
              </w:rPr>
            </w:pPr>
          </w:p>
        </w:tc>
        <w:tc>
          <w:tcPr>
            <w:tcW w:w="1220" w:type="dxa"/>
            <w:vAlign w:val="bottom"/>
            <w:shd w:val="clear" w:color="auto" w:fill="0075C9"/>
          </w:tcPr>
          <w:p>
            <w:pPr>
              <w:spacing w:after="0"/>
              <w:rPr>
                <w:sz w:val="9"/>
                <w:szCs w:val="9"/>
                <w:color w:val="auto"/>
              </w:rPr>
            </w:pPr>
          </w:p>
        </w:tc>
        <w:tc>
          <w:tcPr>
            <w:tcW w:w="7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ind w:left="4200"/>
        <w:spacing w:after="0"/>
        <w:rPr>
          <w:sz w:val="20"/>
          <w:szCs w:val="20"/>
          <w:color w:val="auto"/>
        </w:rPr>
      </w:pPr>
      <w:r>
        <w:rPr>
          <w:rFonts w:ascii="Arial" w:cs="Arial" w:eastAsia="Arial" w:hAnsi="Arial"/>
          <w:sz w:val="21"/>
          <w:szCs w:val="21"/>
          <w:b w:val="1"/>
          <w:bCs w:val="1"/>
          <w:color w:val="auto"/>
        </w:rPr>
        <w:t>Governance and Nominating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-74930</wp:posOffset>
            </wp:positionV>
            <wp:extent cx="5748020" cy="20313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48020" cy="2031365"/>
                    </a:xfrm>
                    <a:prstGeom prst="rect">
                      <a:avLst/>
                    </a:prstGeom>
                    <a:noFill/>
                  </pic:spPr>
                </pic:pic>
              </a:graphicData>
            </a:graphic>
          </wp:anchor>
        </w:drawing>
      </w:r>
    </w:p>
    <w:p>
      <w:pPr>
        <w:spacing w:after="0" w:line="57" w:lineRule="exact"/>
        <w:rPr>
          <w:sz w:val="20"/>
          <w:szCs w:val="20"/>
          <w:color w:val="auto"/>
        </w:rPr>
      </w:pPr>
    </w:p>
    <w:p>
      <w:pPr>
        <w:ind w:left="1420" w:hanging="165"/>
        <w:spacing w:after="0"/>
        <w:tabs>
          <w:tab w:leader="none" w:pos="14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Determine and recommend the slate of director nominees for election to our Board during the annual shareholders meeting</w:t>
      </w:r>
    </w:p>
    <w:p>
      <w:pPr>
        <w:spacing w:after="0" w:line="136" w:lineRule="exact"/>
        <w:rPr>
          <w:rFonts w:ascii="Arial" w:cs="Arial" w:eastAsia="Arial" w:hAnsi="Arial"/>
          <w:sz w:val="14"/>
          <w:szCs w:val="14"/>
          <w:color w:val="auto"/>
        </w:rPr>
      </w:pPr>
    </w:p>
    <w:p>
      <w:pPr>
        <w:ind w:left="1420" w:hanging="165"/>
        <w:spacing w:after="0"/>
        <w:tabs>
          <w:tab w:leader="none" w:pos="14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Identify, recruit, and recommend candidates for the Board</w:t>
      </w:r>
    </w:p>
    <w:p>
      <w:pPr>
        <w:spacing w:after="0" w:line="113" w:lineRule="exact"/>
        <w:rPr>
          <w:rFonts w:ascii="Arial" w:cs="Arial" w:eastAsia="Arial" w:hAnsi="Arial"/>
          <w:sz w:val="16"/>
          <w:szCs w:val="16"/>
          <w:color w:val="auto"/>
        </w:rPr>
      </w:pPr>
    </w:p>
    <w:p>
      <w:pPr>
        <w:ind w:left="1420" w:hanging="165"/>
        <w:spacing w:after="0"/>
        <w:tabs>
          <w:tab w:leader="none" w:pos="14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Review and make recommendations to the Board about the composition of Board committees</w:t>
      </w:r>
    </w:p>
    <w:p>
      <w:pPr>
        <w:spacing w:after="0" w:line="113" w:lineRule="exact"/>
        <w:rPr>
          <w:rFonts w:ascii="Arial" w:cs="Arial" w:eastAsia="Arial" w:hAnsi="Arial"/>
          <w:sz w:val="16"/>
          <w:szCs w:val="16"/>
          <w:color w:val="auto"/>
        </w:rPr>
      </w:pPr>
    </w:p>
    <w:p>
      <w:pPr>
        <w:ind w:left="1400" w:hanging="145"/>
        <w:spacing w:after="0"/>
        <w:tabs>
          <w:tab w:leader="none" w:pos="14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Annually evaluate the performance and effectiveness of the Board</w:t>
      </w:r>
    </w:p>
    <w:p>
      <w:pPr>
        <w:spacing w:after="0" w:line="113" w:lineRule="exact"/>
        <w:rPr>
          <w:rFonts w:ascii="Arial" w:cs="Arial" w:eastAsia="Arial" w:hAnsi="Arial"/>
          <w:sz w:val="16"/>
          <w:szCs w:val="16"/>
          <w:color w:val="auto"/>
        </w:rPr>
      </w:pPr>
    </w:p>
    <w:p>
      <w:pPr>
        <w:ind w:left="1400" w:hanging="145"/>
        <w:spacing w:after="0"/>
        <w:tabs>
          <w:tab w:leader="none" w:pos="14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Annually assess the independence of each director</w:t>
      </w:r>
    </w:p>
    <w:p>
      <w:pPr>
        <w:spacing w:after="0" w:line="113" w:lineRule="exact"/>
        <w:rPr>
          <w:rFonts w:ascii="Arial" w:cs="Arial" w:eastAsia="Arial" w:hAnsi="Arial"/>
          <w:sz w:val="16"/>
          <w:szCs w:val="16"/>
          <w:color w:val="auto"/>
        </w:rPr>
      </w:pPr>
    </w:p>
    <w:p>
      <w:pPr>
        <w:ind w:left="1420" w:hanging="165"/>
        <w:spacing w:after="0"/>
        <w:tabs>
          <w:tab w:leader="none" w:pos="14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Monitor adherence to, review, develop, and recommend changes to our corporate governance framework</w:t>
      </w:r>
    </w:p>
    <w:p>
      <w:pPr>
        <w:spacing w:after="0" w:line="113" w:lineRule="exact"/>
        <w:rPr>
          <w:rFonts w:ascii="Arial" w:cs="Arial" w:eastAsia="Arial" w:hAnsi="Arial"/>
          <w:sz w:val="16"/>
          <w:szCs w:val="16"/>
          <w:color w:val="auto"/>
        </w:rPr>
      </w:pPr>
    </w:p>
    <w:p>
      <w:pPr>
        <w:ind w:left="1420" w:right="859" w:hanging="165"/>
        <w:spacing w:after="0" w:line="239" w:lineRule="auto"/>
        <w:tabs>
          <w:tab w:leader="none" w:pos="1397"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Review and provide guidance to the Board and management about the framework for the Board’s oversight of, and involvement in, shareholder engagement</w:t>
      </w:r>
    </w:p>
    <w:p>
      <w:pPr>
        <w:spacing w:after="0" w:line="112" w:lineRule="exact"/>
        <w:rPr>
          <w:rFonts w:ascii="Arial" w:cs="Arial" w:eastAsia="Arial" w:hAnsi="Arial"/>
          <w:sz w:val="16"/>
          <w:szCs w:val="16"/>
          <w:color w:val="auto"/>
        </w:rPr>
      </w:pPr>
    </w:p>
    <w:p>
      <w:pPr>
        <w:ind w:left="1420" w:right="259" w:hanging="165"/>
        <w:spacing w:after="0" w:line="239" w:lineRule="auto"/>
        <w:tabs>
          <w:tab w:leader="none" w:pos="1388"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Annually review the charters of Board committees and, after consultation with the respective committees, recommend to the Board appropriate changes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180"/>
        <w:spacing w:after="0"/>
        <w:rPr>
          <w:sz w:val="20"/>
          <w:szCs w:val="20"/>
          <w:color w:val="auto"/>
        </w:rPr>
      </w:pPr>
      <w:r>
        <w:rPr>
          <w:rFonts w:ascii="Arial" w:cs="Arial" w:eastAsia="Arial" w:hAnsi="Arial"/>
          <w:sz w:val="21"/>
          <w:szCs w:val="21"/>
          <w:b w:val="1"/>
          <w:bCs w:val="1"/>
          <w:color w:val="auto"/>
        </w:rPr>
        <w:t>Regulatory and Public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-74930</wp:posOffset>
            </wp:positionV>
            <wp:extent cx="5748020" cy="13157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48020" cy="1315720"/>
                    </a:xfrm>
                    <a:prstGeom prst="rect">
                      <a:avLst/>
                    </a:prstGeom>
                    <a:noFill/>
                  </pic:spPr>
                </pic:pic>
              </a:graphicData>
            </a:graphic>
          </wp:anchor>
        </w:drawing>
      </w:r>
    </w:p>
    <w:p>
      <w:pPr>
        <w:spacing w:after="0" w:line="57" w:lineRule="exact"/>
        <w:rPr>
          <w:sz w:val="20"/>
          <w:szCs w:val="20"/>
          <w:color w:val="auto"/>
        </w:rPr>
      </w:pPr>
    </w:p>
    <w:p>
      <w:pPr>
        <w:ind w:left="1420" w:right="519" w:hanging="165"/>
        <w:spacing w:after="0" w:line="239" w:lineRule="auto"/>
        <w:tabs>
          <w:tab w:leader="none" w:pos="1419" w:val="left"/>
        </w:tabs>
        <w:numPr>
          <w:ilvl w:val="0"/>
          <w:numId w:val="25"/>
        </w:numPr>
        <w:rPr>
          <w:rFonts w:ascii="Arial" w:cs="Arial" w:eastAsia="Arial" w:hAnsi="Arial"/>
          <w:sz w:val="16"/>
          <w:szCs w:val="16"/>
          <w:color w:val="auto"/>
        </w:rPr>
      </w:pPr>
      <w:r>
        <w:rPr>
          <w:rFonts w:ascii="Arial" w:cs="Arial" w:eastAsia="Arial" w:hAnsi="Arial"/>
          <w:sz w:val="16"/>
          <w:szCs w:val="16"/>
          <w:color w:val="auto"/>
        </w:rPr>
        <w:t>Assist the Board in overseeing the Company’s key non-financial regulatory risks that may have a material impact on the Company and its ability to sustain trust with customers, employees, and the public</w:t>
      </w:r>
    </w:p>
    <w:p>
      <w:pPr>
        <w:spacing w:after="0" w:line="112" w:lineRule="exact"/>
        <w:rPr>
          <w:rFonts w:ascii="Arial" w:cs="Arial" w:eastAsia="Arial" w:hAnsi="Arial"/>
          <w:sz w:val="16"/>
          <w:szCs w:val="16"/>
          <w:color w:val="auto"/>
        </w:rPr>
      </w:pPr>
    </w:p>
    <w:p>
      <w:pPr>
        <w:jc w:val="both"/>
        <w:ind w:left="1420" w:right="319" w:hanging="165"/>
        <w:spacing w:after="0" w:line="238" w:lineRule="auto"/>
        <w:tabs>
          <w:tab w:leader="none" w:pos="1428" w:val="left"/>
        </w:tabs>
        <w:numPr>
          <w:ilvl w:val="0"/>
          <w:numId w:val="25"/>
        </w:numPr>
        <w:rPr>
          <w:rFonts w:ascii="Arial" w:cs="Arial" w:eastAsia="Arial" w:hAnsi="Arial"/>
          <w:sz w:val="16"/>
          <w:szCs w:val="16"/>
          <w:color w:val="auto"/>
        </w:rPr>
      </w:pPr>
      <w:r>
        <w:rPr>
          <w:rFonts w:ascii="Arial" w:cs="Arial" w:eastAsia="Arial" w:hAnsi="Arial"/>
          <w:sz w:val="16"/>
          <w:szCs w:val="16"/>
          <w:color w:val="auto"/>
        </w:rPr>
        <w:t>Oversee management policies and programs relating to legal, regulatory, compliance, and corporate responsibility matters concerning competition and antitrust, privacy, trade, digital safety, artificial intelligence, and environmental sustainability, as well as significant issues relating to accessibility, human rights, and responsible sourcing</w:t>
      </w:r>
    </w:p>
    <w:p>
      <w:pPr>
        <w:spacing w:after="0" w:line="113" w:lineRule="exact"/>
        <w:rPr>
          <w:rFonts w:ascii="Arial" w:cs="Arial" w:eastAsia="Arial" w:hAnsi="Arial"/>
          <w:sz w:val="16"/>
          <w:szCs w:val="16"/>
          <w:color w:val="auto"/>
        </w:rPr>
      </w:pPr>
    </w:p>
    <w:p>
      <w:pPr>
        <w:ind w:left="1420" w:hanging="165"/>
        <w:spacing w:after="0"/>
        <w:tabs>
          <w:tab w:leader="none" w:pos="14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Review our government relations activity and political activities and expenditures</w:t>
      </w:r>
    </w:p>
    <w:p>
      <w:pPr>
        <w:spacing w:after="0" w:line="113" w:lineRule="exact"/>
        <w:rPr>
          <w:rFonts w:ascii="Arial" w:cs="Arial" w:eastAsia="Arial" w:hAnsi="Arial"/>
          <w:sz w:val="16"/>
          <w:szCs w:val="16"/>
          <w:color w:val="auto"/>
        </w:rPr>
      </w:pPr>
    </w:p>
    <w:p>
      <w:pPr>
        <w:ind w:left="1420" w:hanging="165"/>
        <w:spacing w:after="0"/>
        <w:tabs>
          <w:tab w:leader="none" w:pos="14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Review our public policy agenda and position on significant public policy matters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-94615</wp:posOffset>
            </wp:positionV>
            <wp:extent cx="485140" cy="984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39"/>
          </w:cols>
          <w:pgMar w:left="320" w:top="445" w:right="1440"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0075C9"/>
                <w:w w:val="89"/>
              </w:rPr>
              <w:t>1</w:t>
            </w:r>
          </w:p>
        </w:tc>
        <w:tc>
          <w:tcPr>
            <w:tcW w:w="1220" w:type="dxa"/>
            <w:vAlign w:val="bottom"/>
            <w:vMerge w:val="restart"/>
          </w:tcPr>
          <w:p>
            <w:pPr>
              <w:ind w:left="80"/>
              <w:spacing w:after="0"/>
              <w:rPr>
                <w:sz w:val="20"/>
                <w:szCs w:val="20"/>
                <w:color w:val="auto"/>
              </w:rPr>
            </w:pPr>
            <w:r>
              <w:rPr>
                <w:rFonts w:ascii="Arial" w:cs="Arial" w:eastAsia="Arial" w:hAnsi="Arial"/>
                <w:sz w:val="12"/>
                <w:szCs w:val="12"/>
                <w:color w:val="0075C9"/>
                <w:w w:val="98"/>
              </w:rPr>
              <w:t>GOVERNANCE AND</w:t>
            </w:r>
          </w:p>
        </w:tc>
        <w:tc>
          <w:tcPr>
            <w:tcW w:w="720" w:type="dxa"/>
            <w:vAlign w:val="bottom"/>
          </w:tcPr>
          <w:p>
            <w:pPr>
              <w:jc w:val="right"/>
              <w:spacing w:after="0"/>
              <w:rPr>
                <w:sz w:val="20"/>
                <w:szCs w:val="20"/>
                <w:color w:val="auto"/>
              </w:rPr>
            </w:pPr>
            <w:r>
              <w:rPr>
                <w:rFonts w:ascii="Arial" w:cs="Arial" w:eastAsia="Arial" w:hAnsi="Arial"/>
                <w:sz w:val="36"/>
                <w:szCs w:val="36"/>
                <w:color w:val="auto"/>
              </w:rPr>
              <w:t>2</w:t>
            </w:r>
          </w:p>
        </w:tc>
        <w:tc>
          <w:tcPr>
            <w:tcW w:w="1540" w:type="dxa"/>
            <w:vAlign w:val="bottom"/>
            <w:vMerge w:val="restart"/>
          </w:tcPr>
          <w:p>
            <w:pPr>
              <w:ind w:left="80"/>
              <w:spacing w:after="0"/>
              <w:rPr>
                <w:sz w:val="20"/>
                <w:szCs w:val="20"/>
                <w:color w:val="auto"/>
              </w:rPr>
            </w:pPr>
            <w:r>
              <w:rPr>
                <w:rFonts w:ascii="Arial" w:cs="Arial" w:eastAsia="Arial" w:hAnsi="Arial"/>
                <w:sz w:val="12"/>
                <w:szCs w:val="12"/>
                <w:color w:val="auto"/>
              </w:rPr>
              <w:t>NAMED</w:t>
            </w:r>
          </w:p>
        </w:tc>
        <w:tc>
          <w:tcPr>
            <w:tcW w:w="500" w:type="dxa"/>
            <w:vAlign w:val="bottom"/>
          </w:tcPr>
          <w:p>
            <w:pPr>
              <w:jc w:val="right"/>
              <w:spacing w:after="0"/>
              <w:rPr>
                <w:sz w:val="20"/>
                <w:szCs w:val="20"/>
                <w:color w:val="auto"/>
              </w:rPr>
            </w:pPr>
            <w:r>
              <w:rPr>
                <w:rFonts w:ascii="Arial" w:cs="Arial" w:eastAsia="Arial" w:hAnsi="Arial"/>
                <w:sz w:val="36"/>
                <w:szCs w:val="36"/>
                <w:color w:val="auto"/>
              </w:rPr>
              <w:t>3</w:t>
            </w:r>
          </w:p>
        </w:tc>
        <w:tc>
          <w:tcPr>
            <w:tcW w:w="980" w:type="dxa"/>
            <w:vAlign w:val="bottom"/>
            <w:vMerge w:val="restart"/>
          </w:tcPr>
          <w:p>
            <w:pPr>
              <w:ind w:left="80"/>
              <w:spacing w:after="0"/>
              <w:rPr>
                <w:sz w:val="20"/>
                <w:szCs w:val="20"/>
                <w:color w:val="auto"/>
              </w:rPr>
            </w:pPr>
            <w:r>
              <w:rPr>
                <w:rFonts w:ascii="Arial" w:cs="Arial" w:eastAsia="Arial" w:hAnsi="Arial"/>
                <w:sz w:val="12"/>
                <w:szCs w:val="12"/>
                <w:color w:val="auto"/>
              </w:rPr>
              <w:t>AUDIT</w:t>
            </w:r>
          </w:p>
        </w:tc>
        <w:tc>
          <w:tcPr>
            <w:tcW w:w="460" w:type="dxa"/>
            <w:vAlign w:val="bottom"/>
          </w:tcPr>
          <w:p>
            <w:pPr>
              <w:jc w:val="right"/>
              <w:spacing w:after="0"/>
              <w:rPr>
                <w:sz w:val="20"/>
                <w:szCs w:val="20"/>
                <w:color w:val="auto"/>
              </w:rPr>
            </w:pPr>
            <w:r>
              <w:rPr>
                <w:rFonts w:ascii="Arial" w:cs="Arial" w:eastAsia="Arial" w:hAnsi="Arial"/>
                <w:sz w:val="36"/>
                <w:szCs w:val="36"/>
                <w:color w:val="auto"/>
              </w:rPr>
              <w:t>4</w:t>
            </w:r>
          </w:p>
        </w:tc>
        <w:tc>
          <w:tcPr>
            <w:tcW w:w="1580" w:type="dxa"/>
            <w:vAlign w:val="bottom"/>
            <w:vMerge w:val="restart"/>
          </w:tcPr>
          <w:p>
            <w:pPr>
              <w:ind w:left="80"/>
              <w:spacing w:after="0"/>
              <w:rPr>
                <w:sz w:val="20"/>
                <w:szCs w:val="20"/>
                <w:color w:val="auto"/>
              </w:rPr>
            </w:pPr>
            <w:r>
              <w:rPr>
                <w:rFonts w:ascii="Arial" w:cs="Arial" w:eastAsia="Arial" w:hAnsi="Arial"/>
                <w:sz w:val="12"/>
                <w:szCs w:val="12"/>
                <w:color w:val="auto"/>
              </w:rPr>
              <w:t>PROPOSALS TO</w:t>
            </w:r>
          </w:p>
        </w:tc>
        <w:tc>
          <w:tcPr>
            <w:tcW w:w="440" w:type="dxa"/>
            <w:vAlign w:val="bottom"/>
          </w:tcPr>
          <w:p>
            <w:pPr>
              <w:jc w:val="right"/>
              <w:spacing w:after="0"/>
              <w:rPr>
                <w:sz w:val="20"/>
                <w:szCs w:val="20"/>
                <w:color w:val="auto"/>
              </w:rPr>
            </w:pPr>
            <w:r>
              <w:rPr>
                <w:rFonts w:ascii="Arial" w:cs="Arial" w:eastAsia="Arial" w:hAnsi="Arial"/>
                <w:sz w:val="36"/>
                <w:szCs w:val="36"/>
                <w:color w:val="auto"/>
              </w:rPr>
              <w:t>5</w:t>
            </w:r>
          </w:p>
        </w:tc>
        <w:tc>
          <w:tcPr>
            <w:tcW w:w="1320" w:type="dxa"/>
            <w:vAlign w:val="bottom"/>
            <w:vMerge w:val="restart"/>
          </w:tcPr>
          <w:p>
            <w:pPr>
              <w:ind w:left="60"/>
              <w:spacing w:after="0"/>
              <w:rPr>
                <w:sz w:val="20"/>
                <w:szCs w:val="20"/>
                <w:color w:val="auto"/>
              </w:rPr>
            </w:pPr>
            <w:r>
              <w:rPr>
                <w:rFonts w:ascii="Arial" w:cs="Arial" w:eastAsia="Arial" w:hAnsi="Arial"/>
                <w:sz w:val="12"/>
                <w:szCs w:val="12"/>
                <w:color w:val="auto"/>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220" w:type="dxa"/>
            <w:vAlign w:val="bottom"/>
          </w:tcPr>
          <w:p>
            <w:pPr>
              <w:ind w:left="80"/>
              <w:spacing w:after="0" w:line="130" w:lineRule="exact"/>
              <w:rPr>
                <w:sz w:val="20"/>
                <w:szCs w:val="20"/>
                <w:color w:val="auto"/>
              </w:rPr>
            </w:pPr>
            <w:r>
              <w:rPr>
                <w:rFonts w:ascii="Arial" w:cs="Arial" w:eastAsia="Arial" w:hAnsi="Arial"/>
                <w:sz w:val="12"/>
                <w:szCs w:val="12"/>
                <w:color w:val="0075C9"/>
              </w:rPr>
              <w:t>OUR BOARD OF</w:t>
            </w:r>
          </w:p>
        </w:tc>
        <w:tc>
          <w:tcPr>
            <w:tcW w:w="720" w:type="dxa"/>
            <w:vAlign w:val="bottom"/>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460" w:type="dxa"/>
            <w:vAlign w:val="bottom"/>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40" w:type="dxa"/>
            <w:vAlign w:val="bottom"/>
          </w:tcPr>
          <w:p>
            <w:pPr>
              <w:spacing w:after="0"/>
              <w:rPr>
                <w:sz w:val="11"/>
                <w:szCs w:val="11"/>
                <w:color w:val="auto"/>
              </w:rPr>
            </w:pPr>
          </w:p>
        </w:tc>
        <w:tc>
          <w:tcPr>
            <w:tcW w:w="132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0075C9"/>
              </w:rPr>
              <w:t>DIRECTORS</w:t>
            </w:r>
          </w:p>
        </w:tc>
        <w:tc>
          <w:tcPr>
            <w:tcW w:w="720" w:type="dxa"/>
            <w:vAlign w:val="bottom"/>
          </w:tcPr>
          <w:p>
            <w:pPr>
              <w:spacing w:after="0"/>
              <w:rPr>
                <w:sz w:val="12"/>
                <w:szCs w:val="12"/>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tcPr>
          <w:p>
            <w:pPr>
              <w:spacing w:after="0"/>
              <w:rPr>
                <w:sz w:val="12"/>
                <w:szCs w:val="12"/>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460" w:type="dxa"/>
            <w:vAlign w:val="bottom"/>
          </w:tcPr>
          <w:p>
            <w:pPr>
              <w:spacing w:after="0"/>
              <w:rPr>
                <w:sz w:val="12"/>
                <w:szCs w:val="12"/>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40" w:type="dxa"/>
            <w:vAlign w:val="bottom"/>
          </w:tcPr>
          <w:p>
            <w:pPr>
              <w:spacing w:after="0"/>
              <w:rPr>
                <w:sz w:val="12"/>
                <w:szCs w:val="12"/>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shd w:val="clear" w:color="auto" w:fill="0075C9"/>
          </w:tcPr>
          <w:p>
            <w:pPr>
              <w:spacing w:after="0"/>
              <w:rPr>
                <w:sz w:val="9"/>
                <w:szCs w:val="9"/>
                <w:color w:val="auto"/>
              </w:rPr>
            </w:pPr>
          </w:p>
        </w:tc>
        <w:tc>
          <w:tcPr>
            <w:tcW w:w="1220" w:type="dxa"/>
            <w:vAlign w:val="bottom"/>
            <w:shd w:val="clear" w:color="auto" w:fill="0075C9"/>
          </w:tcPr>
          <w:p>
            <w:pPr>
              <w:spacing w:after="0"/>
              <w:rPr>
                <w:sz w:val="9"/>
                <w:szCs w:val="9"/>
                <w:color w:val="auto"/>
              </w:rPr>
            </w:pPr>
          </w:p>
        </w:tc>
        <w:tc>
          <w:tcPr>
            <w:tcW w:w="7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280" w:type="dxa"/>
            <w:vAlign w:val="bottom"/>
            <w:tcBorders>
              <w:bottom w:val="single" w:sz="8" w:color="0075C9"/>
            </w:tcBorders>
          </w:tcPr>
          <w:p>
            <w:pPr>
              <w:spacing w:after="0"/>
              <w:rPr>
                <w:sz w:val="24"/>
                <w:szCs w:val="24"/>
                <w:color w:val="auto"/>
              </w:rPr>
            </w:pPr>
          </w:p>
        </w:tc>
        <w:tc>
          <w:tcPr>
            <w:tcW w:w="1220" w:type="dxa"/>
            <w:vAlign w:val="bottom"/>
            <w:tcBorders>
              <w:bottom w:val="single" w:sz="8" w:color="0075C9"/>
            </w:tcBorders>
          </w:tcPr>
          <w:p>
            <w:pPr>
              <w:spacing w:after="0"/>
              <w:rPr>
                <w:sz w:val="24"/>
                <w:szCs w:val="24"/>
                <w:color w:val="auto"/>
              </w:rPr>
            </w:pPr>
          </w:p>
        </w:tc>
        <w:tc>
          <w:tcPr>
            <w:tcW w:w="720" w:type="dxa"/>
            <w:vAlign w:val="bottom"/>
            <w:tcBorders>
              <w:bottom w:val="single" w:sz="8" w:color="0075C9"/>
            </w:tcBorders>
          </w:tcPr>
          <w:p>
            <w:pPr>
              <w:spacing w:after="0"/>
              <w:rPr>
                <w:sz w:val="24"/>
                <w:szCs w:val="24"/>
                <w:color w:val="auto"/>
              </w:rPr>
            </w:pPr>
          </w:p>
        </w:tc>
        <w:tc>
          <w:tcPr>
            <w:tcW w:w="1540" w:type="dxa"/>
            <w:vAlign w:val="bottom"/>
            <w:tcBorders>
              <w:bottom w:val="single" w:sz="8" w:color="0075C9"/>
            </w:tcBorders>
          </w:tcPr>
          <w:p>
            <w:pPr>
              <w:spacing w:after="0"/>
              <w:rPr>
                <w:sz w:val="24"/>
                <w:szCs w:val="24"/>
                <w:color w:val="auto"/>
              </w:rPr>
            </w:pPr>
          </w:p>
        </w:tc>
        <w:tc>
          <w:tcPr>
            <w:tcW w:w="500" w:type="dxa"/>
            <w:vAlign w:val="bottom"/>
            <w:tcBorders>
              <w:bottom w:val="single" w:sz="8" w:color="0075C9"/>
            </w:tcBorders>
          </w:tcPr>
          <w:p>
            <w:pPr>
              <w:spacing w:after="0"/>
              <w:rPr>
                <w:sz w:val="24"/>
                <w:szCs w:val="24"/>
                <w:color w:val="auto"/>
              </w:rPr>
            </w:pPr>
          </w:p>
        </w:tc>
        <w:tc>
          <w:tcPr>
            <w:tcW w:w="980" w:type="dxa"/>
            <w:vAlign w:val="bottom"/>
            <w:tcBorders>
              <w:bottom w:val="single" w:sz="8" w:color="0075C9"/>
            </w:tcBorders>
          </w:tcPr>
          <w:p>
            <w:pPr>
              <w:spacing w:after="0"/>
              <w:rPr>
                <w:sz w:val="24"/>
                <w:szCs w:val="24"/>
                <w:color w:val="auto"/>
              </w:rPr>
            </w:pPr>
          </w:p>
        </w:tc>
        <w:tc>
          <w:tcPr>
            <w:tcW w:w="460" w:type="dxa"/>
            <w:vAlign w:val="bottom"/>
            <w:tcBorders>
              <w:bottom w:val="single" w:sz="8" w:color="0075C9"/>
            </w:tcBorders>
          </w:tcPr>
          <w:p>
            <w:pPr>
              <w:spacing w:after="0"/>
              <w:rPr>
                <w:sz w:val="24"/>
                <w:szCs w:val="24"/>
                <w:color w:val="auto"/>
              </w:rPr>
            </w:pPr>
          </w:p>
        </w:tc>
        <w:tc>
          <w:tcPr>
            <w:tcW w:w="1580" w:type="dxa"/>
            <w:vAlign w:val="bottom"/>
            <w:tcBorders>
              <w:bottom w:val="single" w:sz="8" w:color="0075C9"/>
            </w:tcBorders>
          </w:tcPr>
          <w:p>
            <w:pPr>
              <w:spacing w:after="0"/>
              <w:rPr>
                <w:sz w:val="24"/>
                <w:szCs w:val="24"/>
                <w:color w:val="auto"/>
              </w:rPr>
            </w:pPr>
          </w:p>
        </w:tc>
        <w:tc>
          <w:tcPr>
            <w:tcW w:w="440" w:type="dxa"/>
            <w:vAlign w:val="bottom"/>
            <w:tcBorders>
              <w:bottom w:val="single" w:sz="8" w:color="0075C9"/>
            </w:tcBorders>
          </w:tcPr>
          <w:p>
            <w:pPr>
              <w:spacing w:after="0"/>
              <w:rPr>
                <w:sz w:val="24"/>
                <w:szCs w:val="24"/>
                <w:color w:val="auto"/>
              </w:rPr>
            </w:pPr>
          </w:p>
        </w:tc>
        <w:tc>
          <w:tcPr>
            <w:tcW w:w="1320" w:type="dxa"/>
            <w:vAlign w:val="bottom"/>
            <w:tcBorders>
              <w:bottom w:val="single" w:sz="8" w:color="0075C9"/>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Director Selection and Qualifications</w:t>
      </w:r>
    </w:p>
    <w:p>
      <w:pPr>
        <w:spacing w:after="0" w:line="143" w:lineRule="exact"/>
        <w:rPr>
          <w:sz w:val="20"/>
          <w:szCs w:val="20"/>
          <w:color w:val="auto"/>
        </w:rPr>
      </w:pPr>
    </w:p>
    <w:p>
      <w:pPr>
        <w:ind w:left="1100" w:right="280"/>
        <w:spacing w:after="0" w:line="238" w:lineRule="auto"/>
        <w:rPr>
          <w:sz w:val="20"/>
          <w:szCs w:val="20"/>
          <w:color w:val="auto"/>
        </w:rPr>
      </w:pPr>
      <w:r>
        <w:rPr>
          <w:rFonts w:ascii="Arial" w:cs="Arial" w:eastAsia="Arial" w:hAnsi="Arial"/>
          <w:sz w:val="16"/>
          <w:szCs w:val="16"/>
          <w:color w:val="auto"/>
        </w:rPr>
        <w:t>Shareholders elect our Board of Directors annually. In making its annual director nominations determination, the Board’s objective is to recommend a group of directors that can best ensure the continuing success of our business and represent shareholder interests through the exercise of sound judgment using its diversity of experience and perspectives.</w:t>
      </w:r>
    </w:p>
    <w:p>
      <w:pPr>
        <w:spacing w:after="0" w:line="100" w:lineRule="exact"/>
        <w:rPr>
          <w:sz w:val="20"/>
          <w:szCs w:val="20"/>
          <w:color w:val="auto"/>
        </w:rPr>
      </w:pPr>
    </w:p>
    <w:p>
      <w:pPr>
        <w:ind w:left="1100" w:right="200"/>
        <w:spacing w:after="0" w:line="237" w:lineRule="auto"/>
        <w:rPr>
          <w:sz w:val="20"/>
          <w:szCs w:val="20"/>
          <w:color w:val="auto"/>
        </w:rPr>
      </w:pPr>
      <w:r>
        <w:rPr>
          <w:rFonts w:ascii="Arial" w:cs="Arial" w:eastAsia="Arial" w:hAnsi="Arial"/>
          <w:sz w:val="16"/>
          <w:szCs w:val="16"/>
          <w:color w:val="auto"/>
        </w:rPr>
        <w:t>The Governance and Nominating Committee recommends to the Board director candidates for nomination and election during the annual shareholders meeting or for appointment to fill vacancies. The Committee works with our Board to determine the characteristics, skills, and experience for the Board as a whole and its individual members with the objective of having a board with diverse backgrounds, skills, and experience. In making its recommendations to our Board, the Committee considers the qualifications of individual director candidates applying the Board membership criteria described below. The Committee retains any search firm involved in identifying potential candidates and approves their fees.</w:t>
      </w:r>
    </w:p>
    <w:p>
      <w:pPr>
        <w:spacing w:after="0" w:line="101" w:lineRule="exact"/>
        <w:rPr>
          <w:sz w:val="20"/>
          <w:szCs w:val="20"/>
          <w:color w:val="auto"/>
        </w:rPr>
      </w:pPr>
    </w:p>
    <w:p>
      <w:pPr>
        <w:ind w:left="1100" w:right="240"/>
        <w:spacing w:after="0" w:line="237" w:lineRule="auto"/>
        <w:rPr>
          <w:sz w:val="20"/>
          <w:szCs w:val="20"/>
          <w:color w:val="auto"/>
        </w:rPr>
      </w:pPr>
      <w:r>
        <w:rPr>
          <w:rFonts w:ascii="Arial" w:cs="Arial" w:eastAsia="Arial" w:hAnsi="Arial"/>
          <w:sz w:val="16"/>
          <w:szCs w:val="16"/>
          <w:color w:val="auto"/>
        </w:rPr>
        <w:t>For all directors, we require an independent mindset, integrity, personal and professional ethics, business judgment, and the ability and willingness to commit sufficient time to the Board. Our Board considers many factors in evaluating the suitability of individual director candidates, including their general understanding of global business, sales and marketing, finance, and other disciplines relevant to the success of a large, publicly traded company; understanding of our business and technology; educational and professional background; personal accomplishment; and national, gender, age, and ethnic diversity. In all cases, a record of significant accomplishment in a relevant arena is a must. The Board is committed to actively seeking highly qualified women and individuals from minority groups to include in the pool from which new candidates are selected. We work with our search firm to ensure the candidate slate provided to the Committee includes diverse candidates.</w:t>
      </w:r>
    </w:p>
    <w:p>
      <w:pPr>
        <w:spacing w:after="0" w:line="101" w:lineRule="exact"/>
        <w:rPr>
          <w:sz w:val="20"/>
          <w:szCs w:val="20"/>
          <w:color w:val="auto"/>
        </w:rPr>
      </w:pPr>
    </w:p>
    <w:p>
      <w:pPr>
        <w:ind w:left="1100" w:right="400"/>
        <w:spacing w:after="0" w:line="238" w:lineRule="auto"/>
        <w:rPr>
          <w:sz w:val="20"/>
          <w:szCs w:val="20"/>
          <w:color w:val="auto"/>
        </w:rPr>
      </w:pPr>
      <w:r>
        <w:rPr>
          <w:rFonts w:ascii="Arial" w:cs="Arial" w:eastAsia="Arial" w:hAnsi="Arial"/>
          <w:sz w:val="16"/>
          <w:szCs w:val="16"/>
          <w:color w:val="auto"/>
        </w:rPr>
        <w:t>The Board does not believe that directors should expect to be re-nominated annually. In determining whether to recommend a director for re-election, the Committee considers the director’s participation in and contributions to the activities of the Board, the results of the most recent Board evaluation, and meeting attendance.</w:t>
      </w:r>
    </w:p>
    <w:p>
      <w:pPr>
        <w:spacing w:after="0" w:line="97"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When the Committee recruits new director candidates, that process typically involves either a search firm or a member of the</w:t>
      </w:r>
    </w:p>
    <w:p>
      <w:pPr>
        <w:ind w:left="1100"/>
        <w:spacing w:after="0" w:line="236" w:lineRule="auto"/>
        <w:rPr>
          <w:sz w:val="20"/>
          <w:szCs w:val="20"/>
          <w:color w:val="auto"/>
        </w:rPr>
      </w:pPr>
      <w:r>
        <w:rPr>
          <w:rFonts w:ascii="Arial" w:cs="Arial" w:eastAsia="Arial" w:hAnsi="Arial"/>
          <w:sz w:val="16"/>
          <w:szCs w:val="16"/>
          <w:color w:val="auto"/>
        </w:rPr>
        <w:t>Committee contacting a prospect to assess interest and availability. A candidate will then meet with members of the Board and</w:t>
      </w:r>
    </w:p>
    <w:p>
      <w:pPr>
        <w:ind w:left="1100"/>
        <w:spacing w:after="0"/>
        <w:rPr>
          <w:sz w:val="20"/>
          <w:szCs w:val="20"/>
          <w:color w:val="auto"/>
        </w:rPr>
      </w:pPr>
      <w:r>
        <w:rPr>
          <w:rFonts w:ascii="Arial" w:cs="Arial" w:eastAsia="Arial" w:hAnsi="Arial"/>
          <w:sz w:val="14"/>
          <w:szCs w:val="14"/>
          <w:color w:val="auto"/>
        </w:rPr>
        <w:t>Mr. Nadella, and then meet with members of management as appropriate. At the same time, the Committee and the search firm will</w:t>
      </w:r>
    </w:p>
    <w:p>
      <w:pPr>
        <w:spacing w:after="0" w:line="18"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contact references for the candidate. A background check is completed before a final candidate recommendation is made to the</w:t>
      </w:r>
    </w:p>
    <w:p>
      <w:pPr>
        <w:ind w:left="1100"/>
        <w:spacing w:after="0"/>
        <w:rPr>
          <w:sz w:val="20"/>
          <w:szCs w:val="20"/>
          <w:color w:val="auto"/>
        </w:rPr>
      </w:pPr>
      <w:r>
        <w:rPr>
          <w:rFonts w:ascii="Arial" w:cs="Arial" w:eastAsia="Arial" w:hAnsi="Arial"/>
          <w:sz w:val="16"/>
          <w:szCs w:val="16"/>
          <w:color w:val="auto"/>
        </w:rPr>
        <w:t>Board.</w:t>
      </w:r>
    </w:p>
    <w:p>
      <w:pPr>
        <w:spacing w:after="0" w:line="101" w:lineRule="exact"/>
        <w:rPr>
          <w:sz w:val="20"/>
          <w:szCs w:val="20"/>
          <w:color w:val="auto"/>
        </w:rPr>
      </w:pPr>
    </w:p>
    <w:p>
      <w:pPr>
        <w:jc w:val="both"/>
        <w:ind w:left="1100" w:right="160"/>
        <w:spacing w:after="0" w:line="238" w:lineRule="auto"/>
        <w:rPr>
          <w:sz w:val="20"/>
          <w:szCs w:val="20"/>
          <w:color w:val="auto"/>
        </w:rPr>
      </w:pPr>
      <w:r>
        <w:rPr>
          <w:rFonts w:ascii="Arial" w:cs="Arial" w:eastAsia="Arial" w:hAnsi="Arial"/>
          <w:sz w:val="16"/>
          <w:szCs w:val="16"/>
          <w:color w:val="auto"/>
        </w:rPr>
        <w:t>Shareholders previously elected all Board nominees, except Mr. Rodriguez. In recruiting Mr. Rodriguez, the Committee retained the search firm Spencer Stuart to help identify director prospects, perform candidate outreach, assist in reference checks, and provide other related services.</w:t>
      </w:r>
    </w:p>
    <w:p>
      <w:pPr>
        <w:spacing w:after="0" w:line="100" w:lineRule="exact"/>
        <w:rPr>
          <w:sz w:val="20"/>
          <w:szCs w:val="20"/>
          <w:color w:val="auto"/>
        </w:rPr>
      </w:pPr>
    </w:p>
    <w:p>
      <w:pPr>
        <w:ind w:left="1100" w:right="340"/>
        <w:spacing w:after="0" w:line="239" w:lineRule="auto"/>
        <w:rPr>
          <w:sz w:val="20"/>
          <w:szCs w:val="20"/>
          <w:color w:val="auto"/>
        </w:rPr>
      </w:pPr>
      <w:r>
        <w:rPr>
          <w:rFonts w:ascii="Arial" w:cs="Arial" w:eastAsia="Arial" w:hAnsi="Arial"/>
          <w:sz w:val="16"/>
          <w:szCs w:val="16"/>
          <w:color w:val="auto"/>
        </w:rPr>
        <w:t>The Committee assesses its efforts to maintain an effective and diverse board as part of its regular responsibilities, which include annually:</w:t>
      </w:r>
    </w:p>
    <w:p>
      <w:pPr>
        <w:spacing w:after="0" w:line="113" w:lineRule="exact"/>
        <w:rPr>
          <w:sz w:val="20"/>
          <w:szCs w:val="20"/>
          <w:color w:val="auto"/>
        </w:rPr>
      </w:pPr>
    </w:p>
    <w:p>
      <w:pPr>
        <w:ind w:left="1260" w:hanging="158"/>
        <w:spacing w:after="0"/>
        <w:tabs>
          <w:tab w:leader="none" w:pos="12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Reporting to our Board on the performance and effectiveness of the Board</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Presenting to our Board individuals recommended for election to the Board during the annual shareholders meeting</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Assessing the Committee’s own performance</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Shareholder Recommendations and Nominations of Director Candidates</w:t>
      </w:r>
    </w:p>
    <w:p>
      <w:pPr>
        <w:spacing w:after="0" w:line="105"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0075C9"/>
        </w:rPr>
        <w:t>Recommendations</w:t>
      </w:r>
    </w:p>
    <w:p>
      <w:pPr>
        <w:spacing w:after="0" w:line="127" w:lineRule="exact"/>
        <w:rPr>
          <w:sz w:val="20"/>
          <w:szCs w:val="20"/>
          <w:color w:val="auto"/>
        </w:rPr>
      </w:pPr>
    </w:p>
    <w:p>
      <w:pPr>
        <w:ind w:left="1100" w:right="320"/>
        <w:spacing w:after="0" w:line="237" w:lineRule="auto"/>
        <w:rPr>
          <w:sz w:val="20"/>
          <w:szCs w:val="20"/>
          <w:color w:val="auto"/>
        </w:rPr>
      </w:pPr>
      <w:r>
        <w:rPr>
          <w:rFonts w:ascii="Arial" w:cs="Arial" w:eastAsia="Arial" w:hAnsi="Arial"/>
          <w:sz w:val="16"/>
          <w:szCs w:val="16"/>
          <w:color w:val="auto"/>
        </w:rPr>
        <w:t>The Governance and Nominating Committee considers shareholder recommendations for candidates for the Board of Directors using the same criteria described above. The name of any recommended candidate for director, together with a brief biographical sketch, a document indicating the candidate’s willingness to serve if elected, and evidence of the nominating shareholder’s ownership of Company stock must be sent to the attention of MSC 123/9999, Office of the Corporate Secretary, Microsoft Corporation, One Microsoft Way, Redmond, WA, 98052-6399.</w:t>
      </w:r>
    </w:p>
    <w:p>
      <w:pPr>
        <w:spacing w:after="0" w:line="181"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0075C9"/>
        </w:rPr>
        <w:t>Nominations</w:t>
      </w:r>
    </w:p>
    <w:p>
      <w:pPr>
        <w:spacing w:after="0" w:line="127" w:lineRule="exact"/>
        <w:rPr>
          <w:sz w:val="20"/>
          <w:szCs w:val="20"/>
          <w:color w:val="auto"/>
        </w:rPr>
      </w:pPr>
    </w:p>
    <w:p>
      <w:pPr>
        <w:ind w:left="1100" w:right="320"/>
        <w:spacing w:after="0" w:line="238" w:lineRule="auto"/>
        <w:rPr>
          <w:sz w:val="20"/>
          <w:szCs w:val="20"/>
          <w:color w:val="auto"/>
        </w:rPr>
      </w:pPr>
      <w:r>
        <w:rPr>
          <w:rFonts w:ascii="Arial" w:cs="Arial" w:eastAsia="Arial" w:hAnsi="Arial"/>
          <w:sz w:val="16"/>
          <w:szCs w:val="16"/>
          <w:color w:val="auto"/>
        </w:rPr>
        <w:t>Our Bylaws provide for proxy access shareholder nominations of director candidates by eligible shareholders. A shareholder who wishes to formally nominate a candidate, whether for inclusion in the Company’s proxy statement or not, must follow the procedures described in Article 1 of our Bylaws. Appropriately nominated proxy access candidates will be included in the Company’s proxy statement and ballot.</w:t>
      </w:r>
    </w:p>
    <w:p>
      <w:pPr>
        <w:spacing w:after="0" w:line="200" w:lineRule="exact"/>
        <w:rPr>
          <w:sz w:val="20"/>
          <w:szCs w:val="20"/>
          <w:color w:val="auto"/>
        </w:rPr>
      </w:pPr>
    </w:p>
    <w:p>
      <w:pPr>
        <w:spacing w:after="0" w:line="300"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2021 PROXY STATEMENT</w:t>
      </w:r>
      <w:r>
        <w:rPr>
          <w:sz w:val="20"/>
          <w:szCs w:val="20"/>
          <w:color w:val="auto"/>
        </w:rPr>
        <w:tab/>
      </w:r>
      <w:r>
        <w:rPr>
          <w:rFonts w:ascii="Arial" w:cs="Arial" w:eastAsia="Arial" w:hAnsi="Arial"/>
          <w:sz w:val="12"/>
          <w:szCs w:val="12"/>
          <w:b w:val="1"/>
          <w:bCs w:val="1"/>
          <w:color w:val="0075C9"/>
        </w:rPr>
        <w:t>19</w:t>
      </w:r>
    </w:p>
    <w:p>
      <w:pPr>
        <w:sectPr>
          <w:pgSz w:w="11900" w:h="16838" w:orient="portrait"/>
          <w:cols w:equalWidth="0" w:num="1">
            <w:col w:w="10280"/>
          </w:cols>
          <w:pgMar w:left="320" w:top="445" w:right="129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0075C9"/>
                <w:w w:val="89"/>
              </w:rPr>
              <w:t>1</w:t>
            </w:r>
          </w:p>
        </w:tc>
        <w:tc>
          <w:tcPr>
            <w:tcW w:w="1220" w:type="dxa"/>
            <w:vAlign w:val="bottom"/>
            <w:vMerge w:val="restart"/>
          </w:tcPr>
          <w:p>
            <w:pPr>
              <w:ind w:left="80"/>
              <w:spacing w:after="0"/>
              <w:rPr>
                <w:sz w:val="20"/>
                <w:szCs w:val="20"/>
                <w:color w:val="auto"/>
              </w:rPr>
            </w:pPr>
            <w:r>
              <w:rPr>
                <w:rFonts w:ascii="Arial" w:cs="Arial" w:eastAsia="Arial" w:hAnsi="Arial"/>
                <w:sz w:val="12"/>
                <w:szCs w:val="12"/>
                <w:color w:val="0075C9"/>
                <w:w w:val="98"/>
              </w:rPr>
              <w:t>GOVERNANCE AND</w:t>
            </w:r>
          </w:p>
        </w:tc>
        <w:tc>
          <w:tcPr>
            <w:tcW w:w="720" w:type="dxa"/>
            <w:vAlign w:val="bottom"/>
          </w:tcPr>
          <w:p>
            <w:pPr>
              <w:jc w:val="right"/>
              <w:spacing w:after="0"/>
              <w:rPr>
                <w:sz w:val="20"/>
                <w:szCs w:val="20"/>
                <w:color w:val="auto"/>
              </w:rPr>
            </w:pPr>
            <w:r>
              <w:rPr>
                <w:rFonts w:ascii="Arial" w:cs="Arial" w:eastAsia="Arial" w:hAnsi="Arial"/>
                <w:sz w:val="36"/>
                <w:szCs w:val="36"/>
                <w:color w:val="auto"/>
              </w:rPr>
              <w:t>2</w:t>
            </w:r>
          </w:p>
        </w:tc>
        <w:tc>
          <w:tcPr>
            <w:tcW w:w="1540" w:type="dxa"/>
            <w:vAlign w:val="bottom"/>
            <w:vMerge w:val="restart"/>
          </w:tcPr>
          <w:p>
            <w:pPr>
              <w:ind w:left="80"/>
              <w:spacing w:after="0"/>
              <w:rPr>
                <w:sz w:val="20"/>
                <w:szCs w:val="20"/>
                <w:color w:val="auto"/>
              </w:rPr>
            </w:pPr>
            <w:r>
              <w:rPr>
                <w:rFonts w:ascii="Arial" w:cs="Arial" w:eastAsia="Arial" w:hAnsi="Arial"/>
                <w:sz w:val="12"/>
                <w:szCs w:val="12"/>
                <w:color w:val="auto"/>
              </w:rPr>
              <w:t>NAMED</w:t>
            </w:r>
          </w:p>
        </w:tc>
        <w:tc>
          <w:tcPr>
            <w:tcW w:w="500" w:type="dxa"/>
            <w:vAlign w:val="bottom"/>
          </w:tcPr>
          <w:p>
            <w:pPr>
              <w:jc w:val="right"/>
              <w:spacing w:after="0"/>
              <w:rPr>
                <w:sz w:val="20"/>
                <w:szCs w:val="20"/>
                <w:color w:val="auto"/>
              </w:rPr>
            </w:pPr>
            <w:r>
              <w:rPr>
                <w:rFonts w:ascii="Arial" w:cs="Arial" w:eastAsia="Arial" w:hAnsi="Arial"/>
                <w:sz w:val="36"/>
                <w:szCs w:val="36"/>
                <w:color w:val="auto"/>
              </w:rPr>
              <w:t>3</w:t>
            </w:r>
          </w:p>
        </w:tc>
        <w:tc>
          <w:tcPr>
            <w:tcW w:w="980" w:type="dxa"/>
            <w:vAlign w:val="bottom"/>
            <w:vMerge w:val="restart"/>
          </w:tcPr>
          <w:p>
            <w:pPr>
              <w:ind w:left="80"/>
              <w:spacing w:after="0"/>
              <w:rPr>
                <w:sz w:val="20"/>
                <w:szCs w:val="20"/>
                <w:color w:val="auto"/>
              </w:rPr>
            </w:pPr>
            <w:r>
              <w:rPr>
                <w:rFonts w:ascii="Arial" w:cs="Arial" w:eastAsia="Arial" w:hAnsi="Arial"/>
                <w:sz w:val="12"/>
                <w:szCs w:val="12"/>
                <w:color w:val="auto"/>
              </w:rPr>
              <w:t>AUDIT</w:t>
            </w:r>
          </w:p>
        </w:tc>
        <w:tc>
          <w:tcPr>
            <w:tcW w:w="460" w:type="dxa"/>
            <w:vAlign w:val="bottom"/>
          </w:tcPr>
          <w:p>
            <w:pPr>
              <w:jc w:val="right"/>
              <w:spacing w:after="0"/>
              <w:rPr>
                <w:sz w:val="20"/>
                <w:szCs w:val="20"/>
                <w:color w:val="auto"/>
              </w:rPr>
            </w:pPr>
            <w:r>
              <w:rPr>
                <w:rFonts w:ascii="Arial" w:cs="Arial" w:eastAsia="Arial" w:hAnsi="Arial"/>
                <w:sz w:val="36"/>
                <w:szCs w:val="36"/>
                <w:color w:val="auto"/>
              </w:rPr>
              <w:t>4</w:t>
            </w:r>
          </w:p>
        </w:tc>
        <w:tc>
          <w:tcPr>
            <w:tcW w:w="1580" w:type="dxa"/>
            <w:vAlign w:val="bottom"/>
            <w:vMerge w:val="restart"/>
          </w:tcPr>
          <w:p>
            <w:pPr>
              <w:ind w:left="80"/>
              <w:spacing w:after="0"/>
              <w:rPr>
                <w:sz w:val="20"/>
                <w:szCs w:val="20"/>
                <w:color w:val="auto"/>
              </w:rPr>
            </w:pPr>
            <w:r>
              <w:rPr>
                <w:rFonts w:ascii="Arial" w:cs="Arial" w:eastAsia="Arial" w:hAnsi="Arial"/>
                <w:sz w:val="12"/>
                <w:szCs w:val="12"/>
                <w:color w:val="auto"/>
              </w:rPr>
              <w:t>PROPOSALS TO</w:t>
            </w:r>
          </w:p>
        </w:tc>
        <w:tc>
          <w:tcPr>
            <w:tcW w:w="440" w:type="dxa"/>
            <w:vAlign w:val="bottom"/>
          </w:tcPr>
          <w:p>
            <w:pPr>
              <w:jc w:val="right"/>
              <w:spacing w:after="0"/>
              <w:rPr>
                <w:sz w:val="20"/>
                <w:szCs w:val="20"/>
                <w:color w:val="auto"/>
              </w:rPr>
            </w:pPr>
            <w:r>
              <w:rPr>
                <w:rFonts w:ascii="Arial" w:cs="Arial" w:eastAsia="Arial" w:hAnsi="Arial"/>
                <w:sz w:val="36"/>
                <w:szCs w:val="36"/>
                <w:color w:val="auto"/>
              </w:rPr>
              <w:t>5</w:t>
            </w:r>
          </w:p>
        </w:tc>
        <w:tc>
          <w:tcPr>
            <w:tcW w:w="1320" w:type="dxa"/>
            <w:vAlign w:val="bottom"/>
            <w:vMerge w:val="restart"/>
          </w:tcPr>
          <w:p>
            <w:pPr>
              <w:ind w:left="60"/>
              <w:spacing w:after="0"/>
              <w:rPr>
                <w:sz w:val="20"/>
                <w:szCs w:val="20"/>
                <w:color w:val="auto"/>
              </w:rPr>
            </w:pPr>
            <w:r>
              <w:rPr>
                <w:rFonts w:ascii="Arial" w:cs="Arial" w:eastAsia="Arial" w:hAnsi="Arial"/>
                <w:sz w:val="12"/>
                <w:szCs w:val="12"/>
                <w:color w:val="auto"/>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220" w:type="dxa"/>
            <w:vAlign w:val="bottom"/>
          </w:tcPr>
          <w:p>
            <w:pPr>
              <w:ind w:left="80"/>
              <w:spacing w:after="0" w:line="130" w:lineRule="exact"/>
              <w:rPr>
                <w:sz w:val="20"/>
                <w:szCs w:val="20"/>
                <w:color w:val="auto"/>
              </w:rPr>
            </w:pPr>
            <w:r>
              <w:rPr>
                <w:rFonts w:ascii="Arial" w:cs="Arial" w:eastAsia="Arial" w:hAnsi="Arial"/>
                <w:sz w:val="12"/>
                <w:szCs w:val="12"/>
                <w:color w:val="0075C9"/>
              </w:rPr>
              <w:t>OUR BOARD OF</w:t>
            </w:r>
          </w:p>
        </w:tc>
        <w:tc>
          <w:tcPr>
            <w:tcW w:w="720" w:type="dxa"/>
            <w:vAlign w:val="bottom"/>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460" w:type="dxa"/>
            <w:vAlign w:val="bottom"/>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40" w:type="dxa"/>
            <w:vAlign w:val="bottom"/>
          </w:tcPr>
          <w:p>
            <w:pPr>
              <w:spacing w:after="0"/>
              <w:rPr>
                <w:sz w:val="11"/>
                <w:szCs w:val="11"/>
                <w:color w:val="auto"/>
              </w:rPr>
            </w:pPr>
          </w:p>
        </w:tc>
        <w:tc>
          <w:tcPr>
            <w:tcW w:w="132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0075C9"/>
              </w:rPr>
              <w:t>DIRECTORS</w:t>
            </w:r>
          </w:p>
        </w:tc>
        <w:tc>
          <w:tcPr>
            <w:tcW w:w="720" w:type="dxa"/>
            <w:vAlign w:val="bottom"/>
          </w:tcPr>
          <w:p>
            <w:pPr>
              <w:spacing w:after="0"/>
              <w:rPr>
                <w:sz w:val="12"/>
                <w:szCs w:val="12"/>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tcPr>
          <w:p>
            <w:pPr>
              <w:spacing w:after="0"/>
              <w:rPr>
                <w:sz w:val="12"/>
                <w:szCs w:val="12"/>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460" w:type="dxa"/>
            <w:vAlign w:val="bottom"/>
          </w:tcPr>
          <w:p>
            <w:pPr>
              <w:spacing w:after="0"/>
              <w:rPr>
                <w:sz w:val="12"/>
                <w:szCs w:val="12"/>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40" w:type="dxa"/>
            <w:vAlign w:val="bottom"/>
          </w:tcPr>
          <w:p>
            <w:pPr>
              <w:spacing w:after="0"/>
              <w:rPr>
                <w:sz w:val="12"/>
                <w:szCs w:val="12"/>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shd w:val="clear" w:color="auto" w:fill="0075C9"/>
          </w:tcPr>
          <w:p>
            <w:pPr>
              <w:spacing w:after="0"/>
              <w:rPr>
                <w:sz w:val="9"/>
                <w:szCs w:val="9"/>
                <w:color w:val="auto"/>
              </w:rPr>
            </w:pPr>
          </w:p>
        </w:tc>
        <w:tc>
          <w:tcPr>
            <w:tcW w:w="1220" w:type="dxa"/>
            <w:vAlign w:val="bottom"/>
            <w:shd w:val="clear" w:color="auto" w:fill="0075C9"/>
          </w:tcPr>
          <w:p>
            <w:pPr>
              <w:spacing w:after="0"/>
              <w:rPr>
                <w:sz w:val="9"/>
                <w:szCs w:val="9"/>
                <w:color w:val="auto"/>
              </w:rPr>
            </w:pPr>
          </w:p>
        </w:tc>
        <w:tc>
          <w:tcPr>
            <w:tcW w:w="7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280" w:type="dxa"/>
            <w:vAlign w:val="bottom"/>
            <w:tcBorders>
              <w:bottom w:val="single" w:sz="8" w:color="0075C9"/>
            </w:tcBorders>
          </w:tcPr>
          <w:p>
            <w:pPr>
              <w:spacing w:after="0"/>
              <w:rPr>
                <w:sz w:val="24"/>
                <w:szCs w:val="24"/>
                <w:color w:val="auto"/>
              </w:rPr>
            </w:pPr>
          </w:p>
        </w:tc>
        <w:tc>
          <w:tcPr>
            <w:tcW w:w="1220" w:type="dxa"/>
            <w:vAlign w:val="bottom"/>
            <w:tcBorders>
              <w:bottom w:val="single" w:sz="8" w:color="0075C9"/>
            </w:tcBorders>
          </w:tcPr>
          <w:p>
            <w:pPr>
              <w:spacing w:after="0"/>
              <w:rPr>
                <w:sz w:val="24"/>
                <w:szCs w:val="24"/>
                <w:color w:val="auto"/>
              </w:rPr>
            </w:pPr>
          </w:p>
        </w:tc>
        <w:tc>
          <w:tcPr>
            <w:tcW w:w="720" w:type="dxa"/>
            <w:vAlign w:val="bottom"/>
            <w:tcBorders>
              <w:bottom w:val="single" w:sz="8" w:color="0075C9"/>
            </w:tcBorders>
          </w:tcPr>
          <w:p>
            <w:pPr>
              <w:spacing w:after="0"/>
              <w:rPr>
                <w:sz w:val="24"/>
                <w:szCs w:val="24"/>
                <w:color w:val="auto"/>
              </w:rPr>
            </w:pPr>
          </w:p>
        </w:tc>
        <w:tc>
          <w:tcPr>
            <w:tcW w:w="1540" w:type="dxa"/>
            <w:vAlign w:val="bottom"/>
            <w:tcBorders>
              <w:bottom w:val="single" w:sz="8" w:color="0075C9"/>
            </w:tcBorders>
          </w:tcPr>
          <w:p>
            <w:pPr>
              <w:spacing w:after="0"/>
              <w:rPr>
                <w:sz w:val="24"/>
                <w:szCs w:val="24"/>
                <w:color w:val="auto"/>
              </w:rPr>
            </w:pPr>
          </w:p>
        </w:tc>
        <w:tc>
          <w:tcPr>
            <w:tcW w:w="500" w:type="dxa"/>
            <w:vAlign w:val="bottom"/>
            <w:tcBorders>
              <w:bottom w:val="single" w:sz="8" w:color="0075C9"/>
            </w:tcBorders>
          </w:tcPr>
          <w:p>
            <w:pPr>
              <w:spacing w:after="0"/>
              <w:rPr>
                <w:sz w:val="24"/>
                <w:szCs w:val="24"/>
                <w:color w:val="auto"/>
              </w:rPr>
            </w:pPr>
          </w:p>
        </w:tc>
        <w:tc>
          <w:tcPr>
            <w:tcW w:w="980" w:type="dxa"/>
            <w:vAlign w:val="bottom"/>
            <w:tcBorders>
              <w:bottom w:val="single" w:sz="8" w:color="0075C9"/>
            </w:tcBorders>
          </w:tcPr>
          <w:p>
            <w:pPr>
              <w:spacing w:after="0"/>
              <w:rPr>
                <w:sz w:val="24"/>
                <w:szCs w:val="24"/>
                <w:color w:val="auto"/>
              </w:rPr>
            </w:pPr>
          </w:p>
        </w:tc>
        <w:tc>
          <w:tcPr>
            <w:tcW w:w="460" w:type="dxa"/>
            <w:vAlign w:val="bottom"/>
            <w:tcBorders>
              <w:bottom w:val="single" w:sz="8" w:color="0075C9"/>
            </w:tcBorders>
          </w:tcPr>
          <w:p>
            <w:pPr>
              <w:spacing w:after="0"/>
              <w:rPr>
                <w:sz w:val="24"/>
                <w:szCs w:val="24"/>
                <w:color w:val="auto"/>
              </w:rPr>
            </w:pPr>
          </w:p>
        </w:tc>
        <w:tc>
          <w:tcPr>
            <w:tcW w:w="1580" w:type="dxa"/>
            <w:vAlign w:val="bottom"/>
            <w:tcBorders>
              <w:bottom w:val="single" w:sz="8" w:color="0075C9"/>
            </w:tcBorders>
          </w:tcPr>
          <w:p>
            <w:pPr>
              <w:spacing w:after="0"/>
              <w:rPr>
                <w:sz w:val="24"/>
                <w:szCs w:val="24"/>
                <w:color w:val="auto"/>
              </w:rPr>
            </w:pPr>
          </w:p>
        </w:tc>
        <w:tc>
          <w:tcPr>
            <w:tcW w:w="440" w:type="dxa"/>
            <w:vAlign w:val="bottom"/>
            <w:tcBorders>
              <w:bottom w:val="single" w:sz="8" w:color="0075C9"/>
            </w:tcBorders>
          </w:tcPr>
          <w:p>
            <w:pPr>
              <w:spacing w:after="0"/>
              <w:rPr>
                <w:sz w:val="24"/>
                <w:szCs w:val="24"/>
                <w:color w:val="auto"/>
              </w:rPr>
            </w:pPr>
          </w:p>
        </w:tc>
        <w:tc>
          <w:tcPr>
            <w:tcW w:w="1320" w:type="dxa"/>
            <w:vAlign w:val="bottom"/>
            <w:tcBorders>
              <w:bottom w:val="single" w:sz="8" w:color="0075C9"/>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Board Composition</w:t>
      </w:r>
    </w:p>
    <w:p>
      <w:pPr>
        <w:spacing w:after="0" w:line="143" w:lineRule="exact"/>
        <w:rPr>
          <w:sz w:val="20"/>
          <w:szCs w:val="20"/>
          <w:color w:val="auto"/>
        </w:rPr>
      </w:pPr>
    </w:p>
    <w:p>
      <w:pPr>
        <w:ind w:left="1100" w:right="40"/>
        <w:spacing w:after="0" w:line="239" w:lineRule="auto"/>
        <w:rPr>
          <w:sz w:val="20"/>
          <w:szCs w:val="20"/>
          <w:color w:val="auto"/>
        </w:rPr>
      </w:pPr>
      <w:r>
        <w:rPr>
          <w:rFonts w:ascii="Arial" w:cs="Arial" w:eastAsia="Arial" w:hAnsi="Arial"/>
          <w:sz w:val="16"/>
          <w:szCs w:val="16"/>
          <w:color w:val="auto"/>
        </w:rPr>
        <w:t>Our Board of Directors believes that having a diverse mix of directors with complementary qualifications, expertise, and attributes is essential to meeting its oversight responsibility.</w:t>
      </w:r>
    </w:p>
    <w:p>
      <w:pPr>
        <w:spacing w:after="0" w:line="338" w:lineRule="exact"/>
        <w:rPr>
          <w:sz w:val="20"/>
          <w:szCs w:val="20"/>
          <w:color w:val="auto"/>
        </w:rPr>
      </w:pPr>
    </w:p>
    <w:p>
      <w:pPr>
        <w:ind w:left="2720"/>
        <w:spacing w:after="0"/>
        <w:rPr>
          <w:sz w:val="20"/>
          <w:szCs w:val="20"/>
          <w:color w:val="auto"/>
        </w:rPr>
      </w:pPr>
      <w:r>
        <w:rPr>
          <w:rFonts w:ascii="Arial" w:cs="Arial" w:eastAsia="Arial" w:hAnsi="Arial"/>
          <w:sz w:val="21"/>
          <w:szCs w:val="21"/>
          <w:b w:val="1"/>
          <w:bCs w:val="1"/>
          <w:color w:val="auto"/>
        </w:rPr>
        <w:t>Director Nominee Qualifications, Expertise, and Attributes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-74930</wp:posOffset>
            </wp:positionV>
            <wp:extent cx="5690870" cy="65951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90870" cy="6595110"/>
                    </a:xfrm>
                    <a:prstGeom prst="rect">
                      <a:avLst/>
                    </a:prstGeom>
                    <a:noFill/>
                  </pic:spPr>
                </pic:pic>
              </a:graphicData>
            </a:graphic>
          </wp:anchor>
        </w:drawing>
      </w:r>
    </w:p>
    <w:p>
      <w:pPr>
        <w:spacing w:after="0" w:line="394"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Board Diversity</w:t>
      </w:r>
    </w:p>
    <w:p>
      <w:pPr>
        <w:spacing w:after="0" w:line="10" w:lineRule="exact"/>
        <w:rPr>
          <w:sz w:val="20"/>
          <w:szCs w:val="20"/>
          <w:color w:val="auto"/>
        </w:rPr>
      </w:pPr>
    </w:p>
    <w:p>
      <w:pPr>
        <w:ind w:left="1840" w:right="2380"/>
        <w:spacing w:after="0" w:line="236" w:lineRule="auto"/>
        <w:rPr>
          <w:sz w:val="20"/>
          <w:szCs w:val="20"/>
          <w:color w:val="auto"/>
        </w:rPr>
      </w:pPr>
      <w:r>
        <w:rPr>
          <w:rFonts w:ascii="Arial" w:cs="Arial" w:eastAsia="Arial" w:hAnsi="Arial"/>
          <w:sz w:val="14"/>
          <w:szCs w:val="14"/>
          <w:color w:val="auto"/>
        </w:rPr>
        <w:t>Representation of gender, ethnic, or other perspectives that expand the Board’s understanding of the needs and viewpoints of our customers, partners, employees, governments, and other stakeholders worldwide.</w:t>
      </w:r>
    </w:p>
    <w:p>
      <w:pPr>
        <w:spacing w:after="0" w:line="351"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8</w:t>
      </w:r>
    </w:p>
    <w:p>
      <w:pPr>
        <w:spacing w:after="0" w:line="230"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Financial</w:t>
      </w:r>
    </w:p>
    <w:p>
      <w:pPr>
        <w:spacing w:after="0" w:line="10" w:lineRule="exact"/>
        <w:rPr>
          <w:sz w:val="20"/>
          <w:szCs w:val="20"/>
          <w:color w:val="auto"/>
        </w:rPr>
      </w:pPr>
    </w:p>
    <w:p>
      <w:pPr>
        <w:ind w:left="1840" w:right="2320"/>
        <w:spacing w:after="0" w:line="274" w:lineRule="auto"/>
        <w:rPr>
          <w:sz w:val="20"/>
          <w:szCs w:val="20"/>
          <w:color w:val="auto"/>
        </w:rPr>
      </w:pPr>
      <w:r>
        <w:rPr>
          <w:rFonts w:ascii="Arial" w:cs="Arial" w:eastAsia="Arial" w:hAnsi="Arial"/>
          <w:sz w:val="13"/>
          <w:szCs w:val="13"/>
          <w:color w:val="auto"/>
        </w:rPr>
        <w:t>Leadership of a financial firm or management of the finance function of an enterprise, resulting in proficiency in complex financial management, capital allocation, and financial reporting processes.</w:t>
      </w:r>
    </w:p>
    <w:p>
      <w:pPr>
        <w:spacing w:after="0" w:line="252"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6</w:t>
      </w:r>
    </w:p>
    <w:p>
      <w:pPr>
        <w:spacing w:after="0" w:line="217"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Global Business</w:t>
      </w:r>
    </w:p>
    <w:p>
      <w:pPr>
        <w:spacing w:after="0" w:line="10" w:lineRule="exact"/>
        <w:rPr>
          <w:sz w:val="20"/>
          <w:szCs w:val="20"/>
          <w:color w:val="auto"/>
        </w:rPr>
      </w:pPr>
    </w:p>
    <w:p>
      <w:pPr>
        <w:ind w:left="1840" w:right="2380"/>
        <w:spacing w:after="0" w:line="236" w:lineRule="auto"/>
        <w:rPr>
          <w:sz w:val="20"/>
          <w:szCs w:val="20"/>
          <w:color w:val="auto"/>
        </w:rPr>
      </w:pPr>
      <w:r>
        <w:rPr>
          <w:rFonts w:ascii="Arial" w:cs="Arial" w:eastAsia="Arial" w:hAnsi="Arial"/>
          <w:sz w:val="14"/>
          <w:szCs w:val="14"/>
          <w:color w:val="auto"/>
        </w:rPr>
        <w:t>Experience driving business success in markets around the world, with an understanding of diverse business environments, economic conditions, cultures, and regulatory frameworks, and a broad perspective on global market opportunities.</w:t>
      </w:r>
    </w:p>
    <w:p>
      <w:pPr>
        <w:spacing w:after="0" w:line="364"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11</w:t>
      </w:r>
    </w:p>
    <w:p>
      <w:pPr>
        <w:spacing w:after="0" w:line="217"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Leadership</w:t>
      </w:r>
    </w:p>
    <w:p>
      <w:pPr>
        <w:spacing w:after="0" w:line="10" w:lineRule="exact"/>
        <w:rPr>
          <w:sz w:val="20"/>
          <w:szCs w:val="20"/>
          <w:color w:val="auto"/>
        </w:rPr>
      </w:pPr>
    </w:p>
    <w:p>
      <w:pPr>
        <w:ind w:left="1840" w:right="2420"/>
        <w:spacing w:after="0" w:line="235" w:lineRule="auto"/>
        <w:rPr>
          <w:sz w:val="20"/>
          <w:szCs w:val="20"/>
          <w:color w:val="auto"/>
        </w:rPr>
      </w:pPr>
      <w:r>
        <w:rPr>
          <w:rFonts w:ascii="Arial" w:cs="Arial" w:eastAsia="Arial" w:hAnsi="Arial"/>
          <w:sz w:val="14"/>
          <w:szCs w:val="14"/>
          <w:color w:val="auto"/>
        </w:rPr>
        <w:t>Extended leadership experience for a significant enterprise, resulting in a practical understanding of organizations, processes, strategic planning, and risk management. Demonstrated strengths in developing talent, planning succession, and driving change and long-term growth.</w:t>
      </w:r>
    </w:p>
    <w:p>
      <w:pPr>
        <w:spacing w:after="0" w:line="200" w:lineRule="exact"/>
        <w:rPr>
          <w:sz w:val="20"/>
          <w:szCs w:val="20"/>
          <w:color w:val="auto"/>
        </w:rPr>
      </w:pPr>
    </w:p>
    <w:p>
      <w:pPr>
        <w:spacing w:after="0" w:line="242"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12</w:t>
      </w:r>
    </w:p>
    <w:p>
      <w:pPr>
        <w:spacing w:after="0" w:line="217"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Mergers and Acquisitions</w:t>
      </w:r>
    </w:p>
    <w:p>
      <w:pPr>
        <w:spacing w:after="0" w:line="10" w:lineRule="exact"/>
        <w:rPr>
          <w:sz w:val="20"/>
          <w:szCs w:val="20"/>
          <w:color w:val="auto"/>
        </w:rPr>
      </w:pPr>
    </w:p>
    <w:p>
      <w:pPr>
        <w:ind w:left="1840" w:right="2260"/>
        <w:spacing w:after="0" w:line="236" w:lineRule="auto"/>
        <w:rPr>
          <w:sz w:val="20"/>
          <w:szCs w:val="20"/>
          <w:color w:val="auto"/>
        </w:rPr>
      </w:pPr>
      <w:r>
        <w:rPr>
          <w:rFonts w:ascii="Arial" w:cs="Arial" w:eastAsia="Arial" w:hAnsi="Arial"/>
          <w:sz w:val="14"/>
          <w:szCs w:val="14"/>
          <w:color w:val="auto"/>
        </w:rPr>
        <w:t>A history of leading growth through acquisitions and other business combinations, with the ability to assess “build or buy” decisions, analyze the fit of a target with a company’s strategy and culture, accurately value transactions, and evaluate operational integration plans.</w:t>
      </w:r>
    </w:p>
    <w:p>
      <w:pPr>
        <w:spacing w:after="0" w:line="364"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12</w:t>
      </w:r>
    </w:p>
    <w:p>
      <w:pPr>
        <w:spacing w:after="0" w:line="217"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Sales and Marketing</w:t>
      </w:r>
    </w:p>
    <w:p>
      <w:pPr>
        <w:spacing w:after="0" w:line="10" w:lineRule="exact"/>
        <w:rPr>
          <w:sz w:val="20"/>
          <w:szCs w:val="20"/>
          <w:color w:val="auto"/>
        </w:rPr>
      </w:pPr>
    </w:p>
    <w:p>
      <w:pPr>
        <w:ind w:left="1840" w:right="2560"/>
        <w:spacing w:after="0" w:line="238" w:lineRule="auto"/>
        <w:rPr>
          <w:sz w:val="20"/>
          <w:szCs w:val="20"/>
          <w:color w:val="auto"/>
        </w:rPr>
      </w:pPr>
      <w:r>
        <w:rPr>
          <w:rFonts w:ascii="Arial" w:cs="Arial" w:eastAsia="Arial" w:hAnsi="Arial"/>
          <w:sz w:val="14"/>
          <w:szCs w:val="14"/>
          <w:color w:val="auto"/>
        </w:rPr>
        <w:t>Experience developing strategies to grow sales and market share, build brand awareness and equity, and enhance enterprise reputation.</w:t>
      </w:r>
    </w:p>
    <w:p>
      <w:pPr>
        <w:spacing w:after="0" w:line="274" w:lineRule="exact"/>
        <w:rPr>
          <w:sz w:val="20"/>
          <w:szCs w:val="20"/>
          <w:color w:val="auto"/>
        </w:rPr>
      </w:pPr>
    </w:p>
    <w:p>
      <w:pPr>
        <w:jc w:val="center"/>
        <w:ind w:right="560"/>
        <w:spacing w:after="0"/>
        <w:rPr>
          <w:sz w:val="20"/>
          <w:szCs w:val="20"/>
          <w:color w:val="auto"/>
        </w:rPr>
      </w:pPr>
      <w:r>
        <w:rPr>
          <w:rFonts w:ascii="Arial" w:cs="Arial" w:eastAsia="Arial" w:hAnsi="Arial"/>
          <w:sz w:val="16"/>
          <w:szCs w:val="16"/>
          <w:color w:val="auto"/>
        </w:rPr>
        <w:t>5</w:t>
      </w:r>
    </w:p>
    <w:p>
      <w:pPr>
        <w:spacing w:after="0" w:line="230"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Technology</w:t>
      </w:r>
    </w:p>
    <w:p>
      <w:pPr>
        <w:spacing w:after="0" w:line="10" w:lineRule="exact"/>
        <w:rPr>
          <w:sz w:val="20"/>
          <w:szCs w:val="20"/>
          <w:color w:val="auto"/>
        </w:rPr>
      </w:pPr>
    </w:p>
    <w:p>
      <w:pPr>
        <w:ind w:left="1840" w:right="2420"/>
        <w:spacing w:after="0" w:line="274" w:lineRule="auto"/>
        <w:rPr>
          <w:sz w:val="20"/>
          <w:szCs w:val="20"/>
          <w:color w:val="auto"/>
        </w:rPr>
      </w:pPr>
      <w:r>
        <w:rPr>
          <w:rFonts w:ascii="Arial" w:cs="Arial" w:eastAsia="Arial" w:hAnsi="Arial"/>
          <w:sz w:val="13"/>
          <w:szCs w:val="13"/>
          <w:color w:val="auto"/>
        </w:rPr>
        <w:t>A significant background working in technology, resulting in knowledge of how to anticipate technological trends, generate disruptive innovation, and extend or create new business models.</w:t>
      </w:r>
    </w:p>
    <w:p>
      <w:pPr>
        <w:spacing w:after="0" w:line="252"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-94615</wp:posOffset>
            </wp:positionV>
            <wp:extent cx="485140" cy="984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45" w:right="143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0075C9"/>
                <w:w w:val="89"/>
              </w:rPr>
              <w:t>1</w:t>
            </w:r>
          </w:p>
        </w:tc>
        <w:tc>
          <w:tcPr>
            <w:tcW w:w="1220" w:type="dxa"/>
            <w:vAlign w:val="bottom"/>
            <w:vMerge w:val="restart"/>
          </w:tcPr>
          <w:p>
            <w:pPr>
              <w:ind w:left="80"/>
              <w:spacing w:after="0"/>
              <w:rPr>
                <w:sz w:val="20"/>
                <w:szCs w:val="20"/>
                <w:color w:val="auto"/>
              </w:rPr>
            </w:pPr>
            <w:r>
              <w:rPr>
                <w:rFonts w:ascii="Arial" w:cs="Arial" w:eastAsia="Arial" w:hAnsi="Arial"/>
                <w:sz w:val="12"/>
                <w:szCs w:val="12"/>
                <w:color w:val="0075C9"/>
                <w:w w:val="98"/>
              </w:rPr>
              <w:t>GOVERNANCE AND</w:t>
            </w:r>
          </w:p>
        </w:tc>
        <w:tc>
          <w:tcPr>
            <w:tcW w:w="720" w:type="dxa"/>
            <w:vAlign w:val="bottom"/>
          </w:tcPr>
          <w:p>
            <w:pPr>
              <w:jc w:val="right"/>
              <w:spacing w:after="0"/>
              <w:rPr>
                <w:sz w:val="20"/>
                <w:szCs w:val="20"/>
                <w:color w:val="auto"/>
              </w:rPr>
            </w:pPr>
            <w:r>
              <w:rPr>
                <w:rFonts w:ascii="Arial" w:cs="Arial" w:eastAsia="Arial" w:hAnsi="Arial"/>
                <w:sz w:val="36"/>
                <w:szCs w:val="36"/>
                <w:color w:val="auto"/>
              </w:rPr>
              <w:t>2</w:t>
            </w:r>
          </w:p>
        </w:tc>
        <w:tc>
          <w:tcPr>
            <w:tcW w:w="1540" w:type="dxa"/>
            <w:vAlign w:val="bottom"/>
            <w:vMerge w:val="restart"/>
          </w:tcPr>
          <w:p>
            <w:pPr>
              <w:ind w:left="80"/>
              <w:spacing w:after="0"/>
              <w:rPr>
                <w:sz w:val="20"/>
                <w:szCs w:val="20"/>
                <w:color w:val="auto"/>
              </w:rPr>
            </w:pPr>
            <w:r>
              <w:rPr>
                <w:rFonts w:ascii="Arial" w:cs="Arial" w:eastAsia="Arial" w:hAnsi="Arial"/>
                <w:sz w:val="12"/>
                <w:szCs w:val="12"/>
                <w:color w:val="auto"/>
              </w:rPr>
              <w:t>NAMED</w:t>
            </w:r>
          </w:p>
        </w:tc>
        <w:tc>
          <w:tcPr>
            <w:tcW w:w="500" w:type="dxa"/>
            <w:vAlign w:val="bottom"/>
          </w:tcPr>
          <w:p>
            <w:pPr>
              <w:jc w:val="right"/>
              <w:spacing w:after="0"/>
              <w:rPr>
                <w:sz w:val="20"/>
                <w:szCs w:val="20"/>
                <w:color w:val="auto"/>
              </w:rPr>
            </w:pPr>
            <w:r>
              <w:rPr>
                <w:rFonts w:ascii="Arial" w:cs="Arial" w:eastAsia="Arial" w:hAnsi="Arial"/>
                <w:sz w:val="36"/>
                <w:szCs w:val="36"/>
                <w:color w:val="auto"/>
              </w:rPr>
              <w:t>3</w:t>
            </w:r>
          </w:p>
        </w:tc>
        <w:tc>
          <w:tcPr>
            <w:tcW w:w="980" w:type="dxa"/>
            <w:vAlign w:val="bottom"/>
            <w:vMerge w:val="restart"/>
          </w:tcPr>
          <w:p>
            <w:pPr>
              <w:ind w:left="80"/>
              <w:spacing w:after="0"/>
              <w:rPr>
                <w:sz w:val="20"/>
                <w:szCs w:val="20"/>
                <w:color w:val="auto"/>
              </w:rPr>
            </w:pPr>
            <w:r>
              <w:rPr>
                <w:rFonts w:ascii="Arial" w:cs="Arial" w:eastAsia="Arial" w:hAnsi="Arial"/>
                <w:sz w:val="12"/>
                <w:szCs w:val="12"/>
                <w:color w:val="auto"/>
              </w:rPr>
              <w:t>AUDIT</w:t>
            </w:r>
          </w:p>
        </w:tc>
        <w:tc>
          <w:tcPr>
            <w:tcW w:w="460" w:type="dxa"/>
            <w:vAlign w:val="bottom"/>
          </w:tcPr>
          <w:p>
            <w:pPr>
              <w:jc w:val="right"/>
              <w:spacing w:after="0"/>
              <w:rPr>
                <w:sz w:val="20"/>
                <w:szCs w:val="20"/>
                <w:color w:val="auto"/>
              </w:rPr>
            </w:pPr>
            <w:r>
              <w:rPr>
                <w:rFonts w:ascii="Arial" w:cs="Arial" w:eastAsia="Arial" w:hAnsi="Arial"/>
                <w:sz w:val="36"/>
                <w:szCs w:val="36"/>
                <w:color w:val="auto"/>
              </w:rPr>
              <w:t>4</w:t>
            </w:r>
          </w:p>
        </w:tc>
        <w:tc>
          <w:tcPr>
            <w:tcW w:w="1580" w:type="dxa"/>
            <w:vAlign w:val="bottom"/>
            <w:vMerge w:val="restart"/>
          </w:tcPr>
          <w:p>
            <w:pPr>
              <w:ind w:left="80"/>
              <w:spacing w:after="0"/>
              <w:rPr>
                <w:sz w:val="20"/>
                <w:szCs w:val="20"/>
                <w:color w:val="auto"/>
              </w:rPr>
            </w:pPr>
            <w:r>
              <w:rPr>
                <w:rFonts w:ascii="Arial" w:cs="Arial" w:eastAsia="Arial" w:hAnsi="Arial"/>
                <w:sz w:val="12"/>
                <w:szCs w:val="12"/>
                <w:color w:val="auto"/>
              </w:rPr>
              <w:t>PROPOSALS TO</w:t>
            </w:r>
          </w:p>
        </w:tc>
        <w:tc>
          <w:tcPr>
            <w:tcW w:w="440" w:type="dxa"/>
            <w:vAlign w:val="bottom"/>
          </w:tcPr>
          <w:p>
            <w:pPr>
              <w:jc w:val="right"/>
              <w:spacing w:after="0"/>
              <w:rPr>
                <w:sz w:val="20"/>
                <w:szCs w:val="20"/>
                <w:color w:val="auto"/>
              </w:rPr>
            </w:pPr>
            <w:r>
              <w:rPr>
                <w:rFonts w:ascii="Arial" w:cs="Arial" w:eastAsia="Arial" w:hAnsi="Arial"/>
                <w:sz w:val="36"/>
                <w:szCs w:val="36"/>
                <w:color w:val="auto"/>
              </w:rPr>
              <w:t>5</w:t>
            </w:r>
          </w:p>
        </w:tc>
        <w:tc>
          <w:tcPr>
            <w:tcW w:w="1320" w:type="dxa"/>
            <w:vAlign w:val="bottom"/>
            <w:vMerge w:val="restart"/>
          </w:tcPr>
          <w:p>
            <w:pPr>
              <w:ind w:left="60"/>
              <w:spacing w:after="0"/>
              <w:rPr>
                <w:sz w:val="20"/>
                <w:szCs w:val="20"/>
                <w:color w:val="auto"/>
              </w:rPr>
            </w:pPr>
            <w:r>
              <w:rPr>
                <w:rFonts w:ascii="Arial" w:cs="Arial" w:eastAsia="Arial" w:hAnsi="Arial"/>
                <w:sz w:val="12"/>
                <w:szCs w:val="12"/>
                <w:color w:val="auto"/>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220" w:type="dxa"/>
            <w:vAlign w:val="bottom"/>
          </w:tcPr>
          <w:p>
            <w:pPr>
              <w:ind w:left="80"/>
              <w:spacing w:after="0" w:line="130" w:lineRule="exact"/>
              <w:rPr>
                <w:sz w:val="20"/>
                <w:szCs w:val="20"/>
                <w:color w:val="auto"/>
              </w:rPr>
            </w:pPr>
            <w:r>
              <w:rPr>
                <w:rFonts w:ascii="Arial" w:cs="Arial" w:eastAsia="Arial" w:hAnsi="Arial"/>
                <w:sz w:val="12"/>
                <w:szCs w:val="12"/>
                <w:color w:val="0075C9"/>
              </w:rPr>
              <w:t>OUR BOARD OF</w:t>
            </w:r>
          </w:p>
        </w:tc>
        <w:tc>
          <w:tcPr>
            <w:tcW w:w="720" w:type="dxa"/>
            <w:vAlign w:val="bottom"/>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460" w:type="dxa"/>
            <w:vAlign w:val="bottom"/>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40" w:type="dxa"/>
            <w:vAlign w:val="bottom"/>
          </w:tcPr>
          <w:p>
            <w:pPr>
              <w:spacing w:after="0"/>
              <w:rPr>
                <w:sz w:val="11"/>
                <w:szCs w:val="11"/>
                <w:color w:val="auto"/>
              </w:rPr>
            </w:pPr>
          </w:p>
        </w:tc>
        <w:tc>
          <w:tcPr>
            <w:tcW w:w="132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0075C9"/>
              </w:rPr>
              <w:t>DIRECTORS</w:t>
            </w:r>
          </w:p>
        </w:tc>
        <w:tc>
          <w:tcPr>
            <w:tcW w:w="720" w:type="dxa"/>
            <w:vAlign w:val="bottom"/>
          </w:tcPr>
          <w:p>
            <w:pPr>
              <w:spacing w:after="0"/>
              <w:rPr>
                <w:sz w:val="12"/>
                <w:szCs w:val="12"/>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tcPr>
          <w:p>
            <w:pPr>
              <w:spacing w:after="0"/>
              <w:rPr>
                <w:sz w:val="12"/>
                <w:szCs w:val="12"/>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460" w:type="dxa"/>
            <w:vAlign w:val="bottom"/>
          </w:tcPr>
          <w:p>
            <w:pPr>
              <w:spacing w:after="0"/>
              <w:rPr>
                <w:sz w:val="12"/>
                <w:szCs w:val="12"/>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40" w:type="dxa"/>
            <w:vAlign w:val="bottom"/>
          </w:tcPr>
          <w:p>
            <w:pPr>
              <w:spacing w:after="0"/>
              <w:rPr>
                <w:sz w:val="12"/>
                <w:szCs w:val="12"/>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shd w:val="clear" w:color="auto" w:fill="0075C9"/>
          </w:tcPr>
          <w:p>
            <w:pPr>
              <w:spacing w:after="0"/>
              <w:rPr>
                <w:sz w:val="9"/>
                <w:szCs w:val="9"/>
                <w:color w:val="auto"/>
              </w:rPr>
            </w:pPr>
          </w:p>
        </w:tc>
        <w:tc>
          <w:tcPr>
            <w:tcW w:w="1220" w:type="dxa"/>
            <w:vAlign w:val="bottom"/>
            <w:shd w:val="clear" w:color="auto" w:fill="0075C9"/>
          </w:tcPr>
          <w:p>
            <w:pPr>
              <w:spacing w:after="0"/>
              <w:rPr>
                <w:sz w:val="9"/>
                <w:szCs w:val="9"/>
                <w:color w:val="auto"/>
              </w:rPr>
            </w:pPr>
          </w:p>
        </w:tc>
        <w:tc>
          <w:tcPr>
            <w:tcW w:w="7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280" w:type="dxa"/>
            <w:vAlign w:val="bottom"/>
            <w:tcBorders>
              <w:bottom w:val="single" w:sz="8" w:color="0075C9"/>
            </w:tcBorders>
          </w:tcPr>
          <w:p>
            <w:pPr>
              <w:spacing w:after="0"/>
              <w:rPr>
                <w:sz w:val="24"/>
                <w:szCs w:val="24"/>
                <w:color w:val="auto"/>
              </w:rPr>
            </w:pPr>
          </w:p>
        </w:tc>
        <w:tc>
          <w:tcPr>
            <w:tcW w:w="1220" w:type="dxa"/>
            <w:vAlign w:val="bottom"/>
            <w:tcBorders>
              <w:bottom w:val="single" w:sz="8" w:color="0075C9"/>
            </w:tcBorders>
          </w:tcPr>
          <w:p>
            <w:pPr>
              <w:spacing w:after="0"/>
              <w:rPr>
                <w:sz w:val="24"/>
                <w:szCs w:val="24"/>
                <w:color w:val="auto"/>
              </w:rPr>
            </w:pPr>
          </w:p>
        </w:tc>
        <w:tc>
          <w:tcPr>
            <w:tcW w:w="720" w:type="dxa"/>
            <w:vAlign w:val="bottom"/>
            <w:tcBorders>
              <w:bottom w:val="single" w:sz="8" w:color="0075C9"/>
            </w:tcBorders>
          </w:tcPr>
          <w:p>
            <w:pPr>
              <w:spacing w:after="0"/>
              <w:rPr>
                <w:sz w:val="24"/>
                <w:szCs w:val="24"/>
                <w:color w:val="auto"/>
              </w:rPr>
            </w:pPr>
          </w:p>
        </w:tc>
        <w:tc>
          <w:tcPr>
            <w:tcW w:w="1540" w:type="dxa"/>
            <w:vAlign w:val="bottom"/>
            <w:tcBorders>
              <w:bottom w:val="single" w:sz="8" w:color="0075C9"/>
            </w:tcBorders>
          </w:tcPr>
          <w:p>
            <w:pPr>
              <w:spacing w:after="0"/>
              <w:rPr>
                <w:sz w:val="24"/>
                <w:szCs w:val="24"/>
                <w:color w:val="auto"/>
              </w:rPr>
            </w:pPr>
          </w:p>
        </w:tc>
        <w:tc>
          <w:tcPr>
            <w:tcW w:w="500" w:type="dxa"/>
            <w:vAlign w:val="bottom"/>
            <w:tcBorders>
              <w:bottom w:val="single" w:sz="8" w:color="0075C9"/>
            </w:tcBorders>
          </w:tcPr>
          <w:p>
            <w:pPr>
              <w:spacing w:after="0"/>
              <w:rPr>
                <w:sz w:val="24"/>
                <w:szCs w:val="24"/>
                <w:color w:val="auto"/>
              </w:rPr>
            </w:pPr>
          </w:p>
        </w:tc>
        <w:tc>
          <w:tcPr>
            <w:tcW w:w="980" w:type="dxa"/>
            <w:vAlign w:val="bottom"/>
            <w:tcBorders>
              <w:bottom w:val="single" w:sz="8" w:color="0075C9"/>
            </w:tcBorders>
          </w:tcPr>
          <w:p>
            <w:pPr>
              <w:spacing w:after="0"/>
              <w:rPr>
                <w:sz w:val="24"/>
                <w:szCs w:val="24"/>
                <w:color w:val="auto"/>
              </w:rPr>
            </w:pPr>
          </w:p>
        </w:tc>
        <w:tc>
          <w:tcPr>
            <w:tcW w:w="460" w:type="dxa"/>
            <w:vAlign w:val="bottom"/>
            <w:tcBorders>
              <w:bottom w:val="single" w:sz="8" w:color="0075C9"/>
            </w:tcBorders>
          </w:tcPr>
          <w:p>
            <w:pPr>
              <w:spacing w:after="0"/>
              <w:rPr>
                <w:sz w:val="24"/>
                <w:szCs w:val="24"/>
                <w:color w:val="auto"/>
              </w:rPr>
            </w:pPr>
          </w:p>
        </w:tc>
        <w:tc>
          <w:tcPr>
            <w:tcW w:w="1580" w:type="dxa"/>
            <w:vAlign w:val="bottom"/>
            <w:tcBorders>
              <w:bottom w:val="single" w:sz="8" w:color="0075C9"/>
            </w:tcBorders>
          </w:tcPr>
          <w:p>
            <w:pPr>
              <w:spacing w:after="0"/>
              <w:rPr>
                <w:sz w:val="24"/>
                <w:szCs w:val="24"/>
                <w:color w:val="auto"/>
              </w:rPr>
            </w:pPr>
          </w:p>
        </w:tc>
        <w:tc>
          <w:tcPr>
            <w:tcW w:w="440" w:type="dxa"/>
            <w:vAlign w:val="bottom"/>
            <w:tcBorders>
              <w:bottom w:val="single" w:sz="8" w:color="0075C9"/>
            </w:tcBorders>
          </w:tcPr>
          <w:p>
            <w:pPr>
              <w:spacing w:after="0"/>
              <w:rPr>
                <w:sz w:val="24"/>
                <w:szCs w:val="24"/>
                <w:color w:val="auto"/>
              </w:rPr>
            </w:pPr>
          </w:p>
        </w:tc>
        <w:tc>
          <w:tcPr>
            <w:tcW w:w="1320" w:type="dxa"/>
            <w:vAlign w:val="bottom"/>
            <w:tcBorders>
              <w:bottom w:val="single" w:sz="8" w:color="0075C9"/>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Board Diversity</w:t>
      </w:r>
    </w:p>
    <w:p>
      <w:pPr>
        <w:spacing w:after="0" w:line="143" w:lineRule="exact"/>
        <w:rPr>
          <w:sz w:val="20"/>
          <w:szCs w:val="20"/>
          <w:color w:val="auto"/>
        </w:rPr>
      </w:pPr>
    </w:p>
    <w:p>
      <w:pPr>
        <w:ind w:left="1100" w:right="220"/>
        <w:spacing w:after="0" w:line="238" w:lineRule="auto"/>
        <w:rPr>
          <w:sz w:val="20"/>
          <w:szCs w:val="20"/>
          <w:color w:val="auto"/>
        </w:rPr>
      </w:pPr>
      <w:r>
        <w:rPr>
          <w:rFonts w:ascii="Arial" w:cs="Arial" w:eastAsia="Arial" w:hAnsi="Arial"/>
          <w:sz w:val="16"/>
          <w:szCs w:val="16"/>
          <w:color w:val="auto"/>
        </w:rPr>
        <w:t>The table below summarizes the key qualifications, skills, and attributes most relevant to the decision to nominate candidates to serve on the Board. A mark indicates a specific area of focus or expertise on which the Board particularly relies. Not having a mark does not mean the director does not possess that qualification or skill. Our director nominees’ biographies describe each director’s background and relevant experience in more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816610</wp:posOffset>
            </wp:positionH>
            <wp:positionV relativeFrom="paragraph">
              <wp:posOffset>217805</wp:posOffset>
            </wp:positionV>
            <wp:extent cx="5501640" cy="50165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501640" cy="5016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2021 PROXY STATEMENT</w:t>
      </w:r>
      <w:r>
        <w:rPr>
          <w:sz w:val="20"/>
          <w:szCs w:val="20"/>
          <w:color w:val="auto"/>
        </w:rPr>
        <w:tab/>
      </w:r>
      <w:r>
        <w:rPr>
          <w:rFonts w:ascii="Arial" w:cs="Arial" w:eastAsia="Arial" w:hAnsi="Arial"/>
          <w:sz w:val="12"/>
          <w:szCs w:val="12"/>
          <w:b w:val="1"/>
          <w:bCs w:val="1"/>
          <w:color w:val="0075C9"/>
        </w:rPr>
        <w:t>21</w:t>
      </w:r>
    </w:p>
    <w:p>
      <w:pPr>
        <w:sectPr>
          <w:pgSz w:w="11900" w:h="16838" w:orient="portrait"/>
          <w:cols w:equalWidth="0" w:num="1">
            <w:col w:w="10280"/>
          </w:cols>
          <w:pgMar w:left="320" w:top="445" w:right="129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0075C9"/>
                <w:w w:val="89"/>
              </w:rPr>
              <w:t>1</w:t>
            </w:r>
          </w:p>
        </w:tc>
        <w:tc>
          <w:tcPr>
            <w:tcW w:w="1220" w:type="dxa"/>
            <w:vAlign w:val="bottom"/>
            <w:vMerge w:val="restart"/>
          </w:tcPr>
          <w:p>
            <w:pPr>
              <w:ind w:left="80"/>
              <w:spacing w:after="0"/>
              <w:rPr>
                <w:sz w:val="20"/>
                <w:szCs w:val="20"/>
                <w:color w:val="auto"/>
              </w:rPr>
            </w:pPr>
            <w:r>
              <w:rPr>
                <w:rFonts w:ascii="Arial" w:cs="Arial" w:eastAsia="Arial" w:hAnsi="Arial"/>
                <w:sz w:val="12"/>
                <w:szCs w:val="12"/>
                <w:color w:val="0075C9"/>
                <w:w w:val="98"/>
              </w:rPr>
              <w:t>GOVERNANCE AND</w:t>
            </w:r>
          </w:p>
        </w:tc>
        <w:tc>
          <w:tcPr>
            <w:tcW w:w="720" w:type="dxa"/>
            <w:vAlign w:val="bottom"/>
          </w:tcPr>
          <w:p>
            <w:pPr>
              <w:jc w:val="right"/>
              <w:spacing w:after="0"/>
              <w:rPr>
                <w:sz w:val="20"/>
                <w:szCs w:val="20"/>
                <w:color w:val="auto"/>
              </w:rPr>
            </w:pPr>
            <w:r>
              <w:rPr>
                <w:rFonts w:ascii="Arial" w:cs="Arial" w:eastAsia="Arial" w:hAnsi="Arial"/>
                <w:sz w:val="36"/>
                <w:szCs w:val="36"/>
                <w:color w:val="auto"/>
              </w:rPr>
              <w:t>2</w:t>
            </w:r>
          </w:p>
        </w:tc>
        <w:tc>
          <w:tcPr>
            <w:tcW w:w="1540" w:type="dxa"/>
            <w:vAlign w:val="bottom"/>
            <w:vMerge w:val="restart"/>
          </w:tcPr>
          <w:p>
            <w:pPr>
              <w:ind w:left="80"/>
              <w:spacing w:after="0"/>
              <w:rPr>
                <w:sz w:val="20"/>
                <w:szCs w:val="20"/>
                <w:color w:val="auto"/>
              </w:rPr>
            </w:pPr>
            <w:r>
              <w:rPr>
                <w:rFonts w:ascii="Arial" w:cs="Arial" w:eastAsia="Arial" w:hAnsi="Arial"/>
                <w:sz w:val="12"/>
                <w:szCs w:val="12"/>
                <w:color w:val="auto"/>
              </w:rPr>
              <w:t>NAMED</w:t>
            </w:r>
          </w:p>
        </w:tc>
        <w:tc>
          <w:tcPr>
            <w:tcW w:w="500" w:type="dxa"/>
            <w:vAlign w:val="bottom"/>
          </w:tcPr>
          <w:p>
            <w:pPr>
              <w:jc w:val="right"/>
              <w:spacing w:after="0"/>
              <w:rPr>
                <w:sz w:val="20"/>
                <w:szCs w:val="20"/>
                <w:color w:val="auto"/>
              </w:rPr>
            </w:pPr>
            <w:r>
              <w:rPr>
                <w:rFonts w:ascii="Arial" w:cs="Arial" w:eastAsia="Arial" w:hAnsi="Arial"/>
                <w:sz w:val="36"/>
                <w:szCs w:val="36"/>
                <w:color w:val="auto"/>
              </w:rPr>
              <w:t>3</w:t>
            </w:r>
          </w:p>
        </w:tc>
        <w:tc>
          <w:tcPr>
            <w:tcW w:w="980" w:type="dxa"/>
            <w:vAlign w:val="bottom"/>
            <w:vMerge w:val="restart"/>
          </w:tcPr>
          <w:p>
            <w:pPr>
              <w:ind w:left="80"/>
              <w:spacing w:after="0"/>
              <w:rPr>
                <w:sz w:val="20"/>
                <w:szCs w:val="20"/>
                <w:color w:val="auto"/>
              </w:rPr>
            </w:pPr>
            <w:r>
              <w:rPr>
                <w:rFonts w:ascii="Arial" w:cs="Arial" w:eastAsia="Arial" w:hAnsi="Arial"/>
                <w:sz w:val="12"/>
                <w:szCs w:val="12"/>
                <w:color w:val="auto"/>
              </w:rPr>
              <w:t>AUDIT</w:t>
            </w:r>
          </w:p>
        </w:tc>
        <w:tc>
          <w:tcPr>
            <w:tcW w:w="460" w:type="dxa"/>
            <w:vAlign w:val="bottom"/>
          </w:tcPr>
          <w:p>
            <w:pPr>
              <w:jc w:val="right"/>
              <w:spacing w:after="0"/>
              <w:rPr>
                <w:sz w:val="20"/>
                <w:szCs w:val="20"/>
                <w:color w:val="auto"/>
              </w:rPr>
            </w:pPr>
            <w:r>
              <w:rPr>
                <w:rFonts w:ascii="Arial" w:cs="Arial" w:eastAsia="Arial" w:hAnsi="Arial"/>
                <w:sz w:val="36"/>
                <w:szCs w:val="36"/>
                <w:color w:val="auto"/>
              </w:rPr>
              <w:t>4</w:t>
            </w:r>
          </w:p>
        </w:tc>
        <w:tc>
          <w:tcPr>
            <w:tcW w:w="1580" w:type="dxa"/>
            <w:vAlign w:val="bottom"/>
            <w:vMerge w:val="restart"/>
          </w:tcPr>
          <w:p>
            <w:pPr>
              <w:ind w:left="80"/>
              <w:spacing w:after="0"/>
              <w:rPr>
                <w:sz w:val="20"/>
                <w:szCs w:val="20"/>
                <w:color w:val="auto"/>
              </w:rPr>
            </w:pPr>
            <w:r>
              <w:rPr>
                <w:rFonts w:ascii="Arial" w:cs="Arial" w:eastAsia="Arial" w:hAnsi="Arial"/>
                <w:sz w:val="12"/>
                <w:szCs w:val="12"/>
                <w:color w:val="auto"/>
              </w:rPr>
              <w:t>PROPOSALS TO</w:t>
            </w:r>
          </w:p>
        </w:tc>
        <w:tc>
          <w:tcPr>
            <w:tcW w:w="440" w:type="dxa"/>
            <w:vAlign w:val="bottom"/>
          </w:tcPr>
          <w:p>
            <w:pPr>
              <w:jc w:val="right"/>
              <w:spacing w:after="0"/>
              <w:rPr>
                <w:sz w:val="20"/>
                <w:szCs w:val="20"/>
                <w:color w:val="auto"/>
              </w:rPr>
            </w:pPr>
            <w:r>
              <w:rPr>
                <w:rFonts w:ascii="Arial" w:cs="Arial" w:eastAsia="Arial" w:hAnsi="Arial"/>
                <w:sz w:val="36"/>
                <w:szCs w:val="36"/>
                <w:color w:val="auto"/>
              </w:rPr>
              <w:t>5</w:t>
            </w:r>
          </w:p>
        </w:tc>
        <w:tc>
          <w:tcPr>
            <w:tcW w:w="1320" w:type="dxa"/>
            <w:vAlign w:val="bottom"/>
            <w:vMerge w:val="restart"/>
          </w:tcPr>
          <w:p>
            <w:pPr>
              <w:ind w:left="60"/>
              <w:spacing w:after="0"/>
              <w:rPr>
                <w:sz w:val="20"/>
                <w:szCs w:val="20"/>
                <w:color w:val="auto"/>
              </w:rPr>
            </w:pPr>
            <w:r>
              <w:rPr>
                <w:rFonts w:ascii="Arial" w:cs="Arial" w:eastAsia="Arial" w:hAnsi="Arial"/>
                <w:sz w:val="12"/>
                <w:szCs w:val="12"/>
                <w:color w:val="auto"/>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220" w:type="dxa"/>
            <w:vAlign w:val="bottom"/>
          </w:tcPr>
          <w:p>
            <w:pPr>
              <w:ind w:left="80"/>
              <w:spacing w:after="0" w:line="130" w:lineRule="exact"/>
              <w:rPr>
                <w:sz w:val="20"/>
                <w:szCs w:val="20"/>
                <w:color w:val="auto"/>
              </w:rPr>
            </w:pPr>
            <w:r>
              <w:rPr>
                <w:rFonts w:ascii="Arial" w:cs="Arial" w:eastAsia="Arial" w:hAnsi="Arial"/>
                <w:sz w:val="12"/>
                <w:szCs w:val="12"/>
                <w:color w:val="0075C9"/>
              </w:rPr>
              <w:t>OUR BOARD OF</w:t>
            </w:r>
          </w:p>
        </w:tc>
        <w:tc>
          <w:tcPr>
            <w:tcW w:w="720" w:type="dxa"/>
            <w:vAlign w:val="bottom"/>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460" w:type="dxa"/>
            <w:vAlign w:val="bottom"/>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40" w:type="dxa"/>
            <w:vAlign w:val="bottom"/>
          </w:tcPr>
          <w:p>
            <w:pPr>
              <w:spacing w:after="0"/>
              <w:rPr>
                <w:sz w:val="11"/>
                <w:szCs w:val="11"/>
                <w:color w:val="auto"/>
              </w:rPr>
            </w:pPr>
          </w:p>
        </w:tc>
        <w:tc>
          <w:tcPr>
            <w:tcW w:w="132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0075C9"/>
              </w:rPr>
              <w:t>DIRECTORS</w:t>
            </w:r>
          </w:p>
        </w:tc>
        <w:tc>
          <w:tcPr>
            <w:tcW w:w="720" w:type="dxa"/>
            <w:vAlign w:val="bottom"/>
          </w:tcPr>
          <w:p>
            <w:pPr>
              <w:spacing w:after="0"/>
              <w:rPr>
                <w:sz w:val="12"/>
                <w:szCs w:val="12"/>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tcPr>
          <w:p>
            <w:pPr>
              <w:spacing w:after="0"/>
              <w:rPr>
                <w:sz w:val="12"/>
                <w:szCs w:val="12"/>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460" w:type="dxa"/>
            <w:vAlign w:val="bottom"/>
          </w:tcPr>
          <w:p>
            <w:pPr>
              <w:spacing w:after="0"/>
              <w:rPr>
                <w:sz w:val="12"/>
                <w:szCs w:val="12"/>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40" w:type="dxa"/>
            <w:vAlign w:val="bottom"/>
          </w:tcPr>
          <w:p>
            <w:pPr>
              <w:spacing w:after="0"/>
              <w:rPr>
                <w:sz w:val="12"/>
                <w:szCs w:val="12"/>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shd w:val="clear" w:color="auto" w:fill="0075C9"/>
          </w:tcPr>
          <w:p>
            <w:pPr>
              <w:spacing w:after="0"/>
              <w:rPr>
                <w:sz w:val="9"/>
                <w:szCs w:val="9"/>
                <w:color w:val="auto"/>
              </w:rPr>
            </w:pPr>
          </w:p>
        </w:tc>
        <w:tc>
          <w:tcPr>
            <w:tcW w:w="1220" w:type="dxa"/>
            <w:vAlign w:val="bottom"/>
            <w:shd w:val="clear" w:color="auto" w:fill="0075C9"/>
          </w:tcPr>
          <w:p>
            <w:pPr>
              <w:spacing w:after="0"/>
              <w:rPr>
                <w:sz w:val="9"/>
                <w:szCs w:val="9"/>
                <w:color w:val="auto"/>
              </w:rPr>
            </w:pPr>
          </w:p>
        </w:tc>
        <w:tc>
          <w:tcPr>
            <w:tcW w:w="7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280" w:type="dxa"/>
            <w:vAlign w:val="bottom"/>
            <w:tcBorders>
              <w:bottom w:val="single" w:sz="8" w:color="0075C9"/>
            </w:tcBorders>
          </w:tcPr>
          <w:p>
            <w:pPr>
              <w:spacing w:after="0"/>
              <w:rPr>
                <w:sz w:val="24"/>
                <w:szCs w:val="24"/>
                <w:color w:val="auto"/>
              </w:rPr>
            </w:pPr>
          </w:p>
        </w:tc>
        <w:tc>
          <w:tcPr>
            <w:tcW w:w="1220" w:type="dxa"/>
            <w:vAlign w:val="bottom"/>
            <w:tcBorders>
              <w:bottom w:val="single" w:sz="8" w:color="0075C9"/>
            </w:tcBorders>
          </w:tcPr>
          <w:p>
            <w:pPr>
              <w:spacing w:after="0"/>
              <w:rPr>
                <w:sz w:val="24"/>
                <w:szCs w:val="24"/>
                <w:color w:val="auto"/>
              </w:rPr>
            </w:pPr>
          </w:p>
        </w:tc>
        <w:tc>
          <w:tcPr>
            <w:tcW w:w="720" w:type="dxa"/>
            <w:vAlign w:val="bottom"/>
            <w:tcBorders>
              <w:bottom w:val="single" w:sz="8" w:color="0075C9"/>
            </w:tcBorders>
          </w:tcPr>
          <w:p>
            <w:pPr>
              <w:spacing w:after="0"/>
              <w:rPr>
                <w:sz w:val="24"/>
                <w:szCs w:val="24"/>
                <w:color w:val="auto"/>
              </w:rPr>
            </w:pPr>
          </w:p>
        </w:tc>
        <w:tc>
          <w:tcPr>
            <w:tcW w:w="1540" w:type="dxa"/>
            <w:vAlign w:val="bottom"/>
            <w:tcBorders>
              <w:bottom w:val="single" w:sz="8" w:color="0075C9"/>
            </w:tcBorders>
          </w:tcPr>
          <w:p>
            <w:pPr>
              <w:spacing w:after="0"/>
              <w:rPr>
                <w:sz w:val="24"/>
                <w:szCs w:val="24"/>
                <w:color w:val="auto"/>
              </w:rPr>
            </w:pPr>
          </w:p>
        </w:tc>
        <w:tc>
          <w:tcPr>
            <w:tcW w:w="500" w:type="dxa"/>
            <w:vAlign w:val="bottom"/>
            <w:tcBorders>
              <w:bottom w:val="single" w:sz="8" w:color="0075C9"/>
            </w:tcBorders>
          </w:tcPr>
          <w:p>
            <w:pPr>
              <w:spacing w:after="0"/>
              <w:rPr>
                <w:sz w:val="24"/>
                <w:szCs w:val="24"/>
                <w:color w:val="auto"/>
              </w:rPr>
            </w:pPr>
          </w:p>
        </w:tc>
        <w:tc>
          <w:tcPr>
            <w:tcW w:w="980" w:type="dxa"/>
            <w:vAlign w:val="bottom"/>
            <w:tcBorders>
              <w:bottom w:val="single" w:sz="8" w:color="0075C9"/>
            </w:tcBorders>
          </w:tcPr>
          <w:p>
            <w:pPr>
              <w:spacing w:after="0"/>
              <w:rPr>
                <w:sz w:val="24"/>
                <w:szCs w:val="24"/>
                <w:color w:val="auto"/>
              </w:rPr>
            </w:pPr>
          </w:p>
        </w:tc>
        <w:tc>
          <w:tcPr>
            <w:tcW w:w="460" w:type="dxa"/>
            <w:vAlign w:val="bottom"/>
            <w:tcBorders>
              <w:bottom w:val="single" w:sz="8" w:color="0075C9"/>
            </w:tcBorders>
          </w:tcPr>
          <w:p>
            <w:pPr>
              <w:spacing w:after="0"/>
              <w:rPr>
                <w:sz w:val="24"/>
                <w:szCs w:val="24"/>
                <w:color w:val="auto"/>
              </w:rPr>
            </w:pPr>
          </w:p>
        </w:tc>
        <w:tc>
          <w:tcPr>
            <w:tcW w:w="1580" w:type="dxa"/>
            <w:vAlign w:val="bottom"/>
            <w:tcBorders>
              <w:bottom w:val="single" w:sz="8" w:color="0075C9"/>
            </w:tcBorders>
          </w:tcPr>
          <w:p>
            <w:pPr>
              <w:spacing w:after="0"/>
              <w:rPr>
                <w:sz w:val="24"/>
                <w:szCs w:val="24"/>
                <w:color w:val="auto"/>
              </w:rPr>
            </w:pPr>
          </w:p>
        </w:tc>
        <w:tc>
          <w:tcPr>
            <w:tcW w:w="440" w:type="dxa"/>
            <w:vAlign w:val="bottom"/>
            <w:tcBorders>
              <w:bottom w:val="single" w:sz="8" w:color="0075C9"/>
            </w:tcBorders>
          </w:tcPr>
          <w:p>
            <w:pPr>
              <w:spacing w:after="0"/>
              <w:rPr>
                <w:sz w:val="24"/>
                <w:szCs w:val="24"/>
                <w:color w:val="auto"/>
              </w:rPr>
            </w:pPr>
          </w:p>
        </w:tc>
        <w:tc>
          <w:tcPr>
            <w:tcW w:w="1320" w:type="dxa"/>
            <w:vAlign w:val="bottom"/>
            <w:tcBorders>
              <w:bottom w:val="single" w:sz="8" w:color="0075C9"/>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Our Director Nominees</w:t>
      </w:r>
    </w:p>
    <w:p>
      <w:pPr>
        <w:spacing w:after="0" w:line="14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Following are biographies for the 12 directors nominated by the Board for election during the 2021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219075</wp:posOffset>
            </wp:positionV>
            <wp:extent cx="5748020" cy="29686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48020" cy="296862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2880"/>
        <w:spacing w:after="0"/>
        <w:rPr>
          <w:sz w:val="20"/>
          <w:szCs w:val="20"/>
          <w:color w:val="auto"/>
        </w:rPr>
      </w:pPr>
      <w:r>
        <w:rPr>
          <w:rFonts w:ascii="Arial" w:cs="Arial" w:eastAsia="Arial" w:hAnsi="Arial"/>
          <w:sz w:val="45"/>
          <w:szCs w:val="45"/>
          <w:color w:val="595959"/>
        </w:rPr>
        <w:t>Reid G. Hoffman</w:t>
      </w:r>
    </w:p>
    <w:p>
      <w:pPr>
        <w:ind w:left="288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54 |</w:t>
      </w:r>
      <w:r>
        <w:rPr>
          <w:rFonts w:ascii="Arial" w:cs="Arial" w:eastAsia="Arial" w:hAnsi="Arial"/>
          <w:sz w:val="17"/>
          <w:szCs w:val="17"/>
          <w:b w:val="1"/>
          <w:bCs w:val="1"/>
          <w:color w:val="auto"/>
        </w:rPr>
        <w:t xml:space="preserve"> Director since: </w:t>
      </w:r>
      <w:r>
        <w:rPr>
          <w:rFonts w:ascii="Arial" w:cs="Arial" w:eastAsia="Arial" w:hAnsi="Arial"/>
          <w:sz w:val="17"/>
          <w:szCs w:val="17"/>
          <w:color w:val="auto"/>
        </w:rPr>
        <w:t>2017 |</w:t>
      </w:r>
      <w:r>
        <w:rPr>
          <w:rFonts w:ascii="Arial" w:cs="Arial" w:eastAsia="Arial" w:hAnsi="Arial"/>
          <w:sz w:val="17"/>
          <w:szCs w:val="17"/>
          <w:b w:val="1"/>
          <w:bCs w:val="1"/>
          <w:color w:val="auto"/>
        </w:rPr>
        <w:t xml:space="preserve"> Birthplace: </w:t>
      </w:r>
      <w:r>
        <w:rPr>
          <w:rFonts w:ascii="Arial" w:cs="Arial" w:eastAsia="Arial" w:hAnsi="Arial"/>
          <w:sz w:val="17"/>
          <w:szCs w:val="17"/>
          <w:color w:val="auto"/>
        </w:rPr>
        <w:t>United States |</w:t>
      </w:r>
      <w:r>
        <w:rPr>
          <w:rFonts w:ascii="Arial" w:cs="Arial" w:eastAsia="Arial" w:hAnsi="Arial"/>
          <w:sz w:val="17"/>
          <w:szCs w:val="17"/>
          <w:b w:val="1"/>
          <w:bCs w:val="1"/>
          <w:color w:val="auto"/>
        </w:rPr>
        <w:t xml:space="preserve"> </w:t>
      </w:r>
      <w:r>
        <w:rPr>
          <w:rFonts w:ascii="Arial" w:cs="Arial" w:eastAsia="Arial" w:hAnsi="Arial"/>
          <w:sz w:val="17"/>
          <w:szCs w:val="17"/>
          <w:color w:val="0075C9"/>
        </w:rPr>
        <w:t>Independent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1660" w:type="dxa"/>
        <w:tblCellMar>
          <w:top w:w="0" w:type="dxa"/>
          <w:left w:w="0" w:type="dxa"/>
          <w:bottom w:w="0" w:type="dxa"/>
          <w:right w:w="0" w:type="dxa"/>
        </w:tblCellMar>
      </w:tblPr>
      <w:tr>
        <w:trPr>
          <w:trHeight w:val="184"/>
        </w:trPr>
        <w:tc>
          <w:tcPr>
            <w:tcW w:w="3680" w:type="dxa"/>
            <w:vAlign w:val="bottom"/>
            <w:gridSpan w:val="2"/>
          </w:tcPr>
          <w:p>
            <w:pPr>
              <w:spacing w:after="0"/>
              <w:rPr>
                <w:sz w:val="20"/>
                <w:szCs w:val="20"/>
                <w:color w:val="auto"/>
              </w:rPr>
            </w:pPr>
            <w:r>
              <w:rPr>
                <w:rFonts w:ascii="Arial" w:cs="Arial" w:eastAsia="Arial" w:hAnsi="Arial"/>
                <w:sz w:val="16"/>
                <w:szCs w:val="16"/>
                <w:b w:val="1"/>
                <w:bCs w:val="1"/>
                <w:color w:val="auto"/>
              </w:rPr>
              <w:t>Experience:</w:t>
            </w:r>
          </w:p>
        </w:tc>
        <w:tc>
          <w:tcPr>
            <w:tcW w:w="3620" w:type="dxa"/>
            <w:vAlign w:val="bottom"/>
          </w:tcPr>
          <w:p>
            <w:pPr>
              <w:ind w:left="820"/>
              <w:spacing w:after="0"/>
              <w:rPr>
                <w:sz w:val="20"/>
                <w:szCs w:val="20"/>
                <w:color w:val="auto"/>
              </w:rPr>
            </w:pPr>
            <w:r>
              <w:rPr>
                <w:rFonts w:ascii="Arial" w:cs="Arial" w:eastAsia="Arial" w:hAnsi="Arial"/>
                <w:sz w:val="16"/>
                <w:szCs w:val="16"/>
                <w:b w:val="1"/>
                <w:bCs w:val="1"/>
                <w:color w:val="auto"/>
              </w:rPr>
              <w:t>Microsoft committees:</w:t>
            </w:r>
          </w:p>
        </w:tc>
        <w:tc>
          <w:tcPr>
            <w:tcW w:w="0" w:type="dxa"/>
            <w:vAlign w:val="bottom"/>
          </w:tcPr>
          <w:p>
            <w:pPr>
              <w:spacing w:after="0"/>
              <w:rPr>
                <w:sz w:val="1"/>
                <w:szCs w:val="1"/>
                <w:color w:val="auto"/>
              </w:rPr>
            </w:pPr>
          </w:p>
        </w:tc>
      </w:tr>
      <w:tr>
        <w:trPr>
          <w:trHeight w:val="199"/>
        </w:trPr>
        <w:tc>
          <w:tcPr>
            <w:tcW w:w="3680" w:type="dxa"/>
            <w:vAlign w:val="bottom"/>
            <w:gridSpan w:val="2"/>
          </w:tcPr>
          <w:p>
            <w:pPr>
              <w:spacing w:after="0"/>
              <w:rPr>
                <w:sz w:val="20"/>
                <w:szCs w:val="20"/>
                <w:color w:val="auto"/>
              </w:rPr>
            </w:pPr>
            <w:r>
              <w:rPr>
                <w:rFonts w:ascii="Arial" w:cs="Arial" w:eastAsia="Arial" w:hAnsi="Arial"/>
                <w:sz w:val="16"/>
                <w:szCs w:val="16"/>
                <w:b w:val="1"/>
                <w:bCs w:val="1"/>
                <w:color w:val="0075C9"/>
              </w:rPr>
              <w:t>Greylock Partners (2009-present)</w:t>
            </w:r>
          </w:p>
        </w:tc>
        <w:tc>
          <w:tcPr>
            <w:tcW w:w="3620" w:type="dxa"/>
            <w:vAlign w:val="bottom"/>
          </w:tcPr>
          <w:p>
            <w:pPr>
              <w:ind w:left="820"/>
              <w:spacing w:after="0"/>
              <w:rPr>
                <w:sz w:val="20"/>
                <w:szCs w:val="20"/>
                <w:color w:val="auto"/>
              </w:rPr>
            </w:pPr>
            <w:r>
              <w:rPr>
                <w:rFonts w:ascii="Arial" w:cs="Arial" w:eastAsia="Arial" w:hAnsi="Arial"/>
                <w:sz w:val="16"/>
                <w:szCs w:val="16"/>
                <w:color w:val="auto"/>
              </w:rPr>
              <w:t>•  None</w:t>
            </w:r>
          </w:p>
        </w:tc>
        <w:tc>
          <w:tcPr>
            <w:tcW w:w="0" w:type="dxa"/>
            <w:vAlign w:val="bottom"/>
          </w:tcPr>
          <w:p>
            <w:pPr>
              <w:spacing w:after="0"/>
              <w:rPr>
                <w:sz w:val="1"/>
                <w:szCs w:val="1"/>
                <w:color w:val="auto"/>
              </w:rPr>
            </w:pPr>
          </w:p>
        </w:tc>
      </w:tr>
      <w:tr>
        <w:trPr>
          <w:trHeight w:val="181"/>
        </w:trPr>
        <w:tc>
          <w:tcPr>
            <w:tcW w:w="3680" w:type="dxa"/>
            <w:vAlign w:val="bottom"/>
            <w:gridSpan w:val="2"/>
          </w:tcPr>
          <w:p>
            <w:pPr>
              <w:spacing w:after="0" w:line="181" w:lineRule="exact"/>
              <w:rPr>
                <w:sz w:val="20"/>
                <w:szCs w:val="20"/>
                <w:color w:val="auto"/>
              </w:rPr>
            </w:pPr>
            <w:r>
              <w:rPr>
                <w:rFonts w:ascii="Arial" w:cs="Arial" w:eastAsia="Arial" w:hAnsi="Arial"/>
                <w:sz w:val="16"/>
                <w:szCs w:val="16"/>
                <w:color w:val="0075C9"/>
              </w:rPr>
              <w:t>(venture capital firm)</w:t>
            </w:r>
          </w:p>
        </w:tc>
        <w:tc>
          <w:tcPr>
            <w:tcW w:w="3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00" w:type="dxa"/>
            <w:vAlign w:val="bottom"/>
          </w:tcPr>
          <w:p>
            <w:pPr>
              <w:spacing w:after="0"/>
              <w:rPr>
                <w:sz w:val="20"/>
                <w:szCs w:val="20"/>
                <w:color w:val="auto"/>
              </w:rPr>
            </w:pPr>
            <w:r>
              <w:rPr>
                <w:rFonts w:ascii="Arial" w:cs="Arial" w:eastAsia="Arial" w:hAnsi="Arial"/>
                <w:sz w:val="16"/>
                <w:szCs w:val="16"/>
                <w:color w:val="auto"/>
              </w:rPr>
              <w:t>•</w:t>
            </w:r>
          </w:p>
        </w:tc>
        <w:tc>
          <w:tcPr>
            <w:tcW w:w="3580" w:type="dxa"/>
            <w:vAlign w:val="bottom"/>
          </w:tcPr>
          <w:p>
            <w:pPr>
              <w:ind w:left="60"/>
              <w:spacing w:after="0"/>
              <w:rPr>
                <w:sz w:val="20"/>
                <w:szCs w:val="20"/>
                <w:color w:val="auto"/>
              </w:rPr>
            </w:pPr>
            <w:r>
              <w:rPr>
                <w:rFonts w:ascii="Arial" w:cs="Arial" w:eastAsia="Arial" w:hAnsi="Arial"/>
                <w:sz w:val="16"/>
                <w:szCs w:val="16"/>
                <w:color w:val="auto"/>
              </w:rPr>
              <w:t>General Partner (2021-present)</w:t>
            </w:r>
          </w:p>
        </w:tc>
        <w:tc>
          <w:tcPr>
            <w:tcW w:w="3620" w:type="dxa"/>
            <w:vAlign w:val="bottom"/>
          </w:tcPr>
          <w:p>
            <w:pPr>
              <w:ind w:left="820"/>
              <w:spacing w:after="0"/>
              <w:rPr>
                <w:sz w:val="20"/>
                <w:szCs w:val="20"/>
                <w:color w:val="auto"/>
              </w:rPr>
            </w:pPr>
            <w:r>
              <w:rPr>
                <w:rFonts w:ascii="Arial" w:cs="Arial" w:eastAsia="Arial" w:hAnsi="Arial"/>
                <w:sz w:val="16"/>
                <w:szCs w:val="16"/>
                <w:b w:val="1"/>
                <w:bCs w:val="1"/>
                <w:color w:val="auto"/>
                <w:w w:val="99"/>
              </w:rPr>
              <w:t>Other public company directorships:</w:t>
            </w:r>
          </w:p>
        </w:tc>
        <w:tc>
          <w:tcPr>
            <w:tcW w:w="0" w:type="dxa"/>
            <w:vAlign w:val="bottom"/>
          </w:tcPr>
          <w:p>
            <w:pPr>
              <w:spacing w:after="0"/>
              <w:rPr>
                <w:sz w:val="1"/>
                <w:szCs w:val="1"/>
                <w:color w:val="auto"/>
              </w:rPr>
            </w:pPr>
          </w:p>
        </w:tc>
      </w:tr>
      <w:tr>
        <w:trPr>
          <w:trHeight w:val="152"/>
        </w:trPr>
        <w:tc>
          <w:tcPr>
            <w:tcW w:w="100" w:type="dxa"/>
            <w:vAlign w:val="bottom"/>
          </w:tcPr>
          <w:p>
            <w:pPr>
              <w:spacing w:after="0" w:line="152" w:lineRule="exact"/>
              <w:rPr>
                <w:sz w:val="20"/>
                <w:szCs w:val="20"/>
                <w:color w:val="auto"/>
              </w:rPr>
            </w:pPr>
            <w:r>
              <w:rPr>
                <w:rFonts w:ascii="Arial" w:cs="Arial" w:eastAsia="Arial" w:hAnsi="Arial"/>
                <w:sz w:val="16"/>
                <w:szCs w:val="16"/>
                <w:color w:val="auto"/>
              </w:rPr>
              <w:t>•</w:t>
            </w:r>
          </w:p>
        </w:tc>
        <w:tc>
          <w:tcPr>
            <w:tcW w:w="3580" w:type="dxa"/>
            <w:vAlign w:val="bottom"/>
          </w:tcPr>
          <w:p>
            <w:pPr>
              <w:ind w:left="60"/>
              <w:spacing w:after="0" w:line="152" w:lineRule="exact"/>
              <w:rPr>
                <w:sz w:val="20"/>
                <w:szCs w:val="20"/>
                <w:color w:val="auto"/>
              </w:rPr>
            </w:pPr>
            <w:r>
              <w:rPr>
                <w:rFonts w:ascii="Arial" w:cs="Arial" w:eastAsia="Arial" w:hAnsi="Arial"/>
                <w:sz w:val="16"/>
                <w:szCs w:val="16"/>
                <w:color w:val="auto"/>
              </w:rPr>
              <w:t>Partner (2009-2021)</w:t>
            </w:r>
          </w:p>
        </w:tc>
        <w:tc>
          <w:tcPr>
            <w:tcW w:w="3620" w:type="dxa"/>
            <w:vAlign w:val="bottom"/>
            <w:vMerge w:val="restart"/>
          </w:tcPr>
          <w:p>
            <w:pPr>
              <w:ind w:left="820"/>
              <w:spacing w:after="0"/>
              <w:rPr>
                <w:sz w:val="20"/>
                <w:szCs w:val="20"/>
                <w:color w:val="auto"/>
              </w:rPr>
            </w:pPr>
            <w:r>
              <w:rPr>
                <w:rFonts w:ascii="Arial" w:cs="Arial" w:eastAsia="Arial" w:hAnsi="Arial"/>
                <w:sz w:val="16"/>
                <w:szCs w:val="16"/>
                <w:color w:val="auto"/>
              </w:rPr>
              <w:t>•  Reinvent Technology Partners</w:t>
            </w:r>
          </w:p>
        </w:tc>
        <w:tc>
          <w:tcPr>
            <w:tcW w:w="0" w:type="dxa"/>
            <w:vAlign w:val="bottom"/>
          </w:tcPr>
          <w:p>
            <w:pPr>
              <w:spacing w:after="0"/>
              <w:rPr>
                <w:sz w:val="1"/>
                <w:szCs w:val="1"/>
                <w:color w:val="auto"/>
              </w:rPr>
            </w:pPr>
          </w:p>
        </w:tc>
      </w:tr>
      <w:tr>
        <w:trPr>
          <w:trHeight w:val="70"/>
        </w:trPr>
        <w:tc>
          <w:tcPr>
            <w:tcW w:w="3680" w:type="dxa"/>
            <w:vAlign w:val="bottom"/>
            <w:gridSpan w:val="2"/>
            <w:vMerge w:val="restart"/>
          </w:tcPr>
          <w:p>
            <w:pPr>
              <w:spacing w:after="0"/>
              <w:rPr>
                <w:sz w:val="20"/>
                <w:szCs w:val="20"/>
                <w:color w:val="auto"/>
              </w:rPr>
            </w:pPr>
            <w:r>
              <w:rPr>
                <w:rFonts w:ascii="Arial" w:cs="Arial" w:eastAsia="Arial" w:hAnsi="Arial"/>
                <w:sz w:val="16"/>
                <w:szCs w:val="16"/>
                <w:b w:val="1"/>
                <w:bCs w:val="1"/>
                <w:color w:val="0075C9"/>
              </w:rPr>
              <w:t>Reinvent Capital (2019-present)</w:t>
            </w:r>
          </w:p>
        </w:tc>
        <w:tc>
          <w:tcPr>
            <w:tcW w:w="3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3680" w:type="dxa"/>
            <w:vAlign w:val="bottom"/>
            <w:gridSpan w:val="2"/>
            <w:vMerge w:val="continue"/>
          </w:tcPr>
          <w:p>
            <w:pPr>
              <w:spacing w:after="0"/>
              <w:rPr>
                <w:sz w:val="11"/>
                <w:szCs w:val="11"/>
                <w:color w:val="auto"/>
              </w:rPr>
            </w:pPr>
          </w:p>
        </w:tc>
        <w:tc>
          <w:tcPr>
            <w:tcW w:w="3620" w:type="dxa"/>
            <w:vAlign w:val="bottom"/>
            <w:vMerge w:val="restart"/>
          </w:tcPr>
          <w:p>
            <w:pPr>
              <w:ind w:left="820"/>
              <w:spacing w:after="0"/>
              <w:rPr>
                <w:sz w:val="20"/>
                <w:szCs w:val="20"/>
                <w:color w:val="auto"/>
              </w:rPr>
            </w:pPr>
            <w:r>
              <w:rPr>
                <w:rFonts w:ascii="Arial" w:cs="Arial" w:eastAsia="Arial" w:hAnsi="Arial"/>
                <w:sz w:val="16"/>
                <w:szCs w:val="16"/>
                <w:color w:val="auto"/>
              </w:rPr>
              <w:t>•  Reinvent Technology Partners Z</w:t>
            </w:r>
          </w:p>
        </w:tc>
        <w:tc>
          <w:tcPr>
            <w:tcW w:w="0" w:type="dxa"/>
            <w:vAlign w:val="bottom"/>
          </w:tcPr>
          <w:p>
            <w:pPr>
              <w:spacing w:after="0"/>
              <w:rPr>
                <w:sz w:val="1"/>
                <w:szCs w:val="1"/>
                <w:color w:val="auto"/>
              </w:rPr>
            </w:pPr>
          </w:p>
        </w:tc>
      </w:tr>
      <w:tr>
        <w:trPr>
          <w:trHeight w:val="57"/>
        </w:trPr>
        <w:tc>
          <w:tcPr>
            <w:tcW w:w="100" w:type="dxa"/>
            <w:vAlign w:val="bottom"/>
            <w:vMerge w:val="restart"/>
          </w:tcPr>
          <w:p>
            <w:pPr>
              <w:spacing w:after="0" w:line="181" w:lineRule="exact"/>
              <w:rPr>
                <w:sz w:val="20"/>
                <w:szCs w:val="20"/>
                <w:color w:val="auto"/>
              </w:rPr>
            </w:pPr>
            <w:r>
              <w:rPr>
                <w:rFonts w:ascii="Arial" w:cs="Arial" w:eastAsia="Arial" w:hAnsi="Arial"/>
                <w:sz w:val="16"/>
                <w:szCs w:val="16"/>
                <w:color w:val="auto"/>
              </w:rPr>
              <w:t>•</w:t>
            </w:r>
          </w:p>
        </w:tc>
        <w:tc>
          <w:tcPr>
            <w:tcW w:w="3580" w:type="dxa"/>
            <w:vAlign w:val="bottom"/>
            <w:vMerge w:val="restart"/>
          </w:tcPr>
          <w:p>
            <w:pPr>
              <w:ind w:left="60"/>
              <w:spacing w:after="0" w:line="181" w:lineRule="exact"/>
              <w:rPr>
                <w:sz w:val="20"/>
                <w:szCs w:val="20"/>
                <w:color w:val="auto"/>
              </w:rPr>
            </w:pPr>
            <w:r>
              <w:rPr>
                <w:rFonts w:ascii="Arial" w:cs="Arial" w:eastAsia="Arial" w:hAnsi="Arial"/>
                <w:sz w:val="16"/>
                <w:szCs w:val="16"/>
                <w:color w:val="auto"/>
              </w:rPr>
              <w:t>Advisory Partner (2021-present)</w:t>
            </w:r>
          </w:p>
        </w:tc>
        <w:tc>
          <w:tcPr>
            <w:tcW w:w="36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100" w:type="dxa"/>
            <w:vAlign w:val="bottom"/>
            <w:vMerge w:val="continue"/>
          </w:tcPr>
          <w:p>
            <w:pPr>
              <w:spacing w:after="0"/>
              <w:rPr>
                <w:sz w:val="10"/>
                <w:szCs w:val="10"/>
                <w:color w:val="auto"/>
              </w:rPr>
            </w:pPr>
          </w:p>
        </w:tc>
        <w:tc>
          <w:tcPr>
            <w:tcW w:w="3580" w:type="dxa"/>
            <w:vAlign w:val="bottom"/>
            <w:vMerge w:val="continue"/>
          </w:tcPr>
          <w:p>
            <w:pPr>
              <w:spacing w:after="0"/>
              <w:rPr>
                <w:sz w:val="10"/>
                <w:szCs w:val="10"/>
                <w:color w:val="auto"/>
              </w:rPr>
            </w:pPr>
          </w:p>
        </w:tc>
        <w:tc>
          <w:tcPr>
            <w:tcW w:w="3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line="164" w:lineRule="exact"/>
              <w:rPr>
                <w:sz w:val="20"/>
                <w:szCs w:val="20"/>
                <w:color w:val="auto"/>
              </w:rPr>
            </w:pPr>
            <w:r>
              <w:rPr>
                <w:rFonts w:ascii="Arial" w:cs="Arial" w:eastAsia="Arial" w:hAnsi="Arial"/>
                <w:sz w:val="16"/>
                <w:szCs w:val="16"/>
                <w:color w:val="auto"/>
              </w:rPr>
              <w:t>•</w:t>
            </w:r>
          </w:p>
        </w:tc>
        <w:tc>
          <w:tcPr>
            <w:tcW w:w="3580" w:type="dxa"/>
            <w:vAlign w:val="bottom"/>
          </w:tcPr>
          <w:p>
            <w:pPr>
              <w:ind w:left="60"/>
              <w:spacing w:after="0" w:line="164" w:lineRule="exact"/>
              <w:rPr>
                <w:sz w:val="20"/>
                <w:szCs w:val="20"/>
                <w:color w:val="auto"/>
              </w:rPr>
            </w:pPr>
            <w:r>
              <w:rPr>
                <w:rFonts w:ascii="Arial" w:cs="Arial" w:eastAsia="Arial" w:hAnsi="Arial"/>
                <w:sz w:val="16"/>
                <w:szCs w:val="16"/>
                <w:color w:val="auto"/>
              </w:rPr>
              <w:t>Partner (2019-2021)</w:t>
            </w:r>
          </w:p>
        </w:tc>
        <w:tc>
          <w:tcPr>
            <w:tcW w:w="3620" w:type="dxa"/>
            <w:vAlign w:val="bottom"/>
            <w:vMerge w:val="restart"/>
          </w:tcPr>
          <w:p>
            <w:pPr>
              <w:ind w:left="820"/>
              <w:spacing w:after="0"/>
              <w:rPr>
                <w:sz w:val="20"/>
                <w:szCs w:val="20"/>
                <w:color w:val="auto"/>
              </w:rPr>
            </w:pPr>
            <w:r>
              <w:rPr>
                <w:rFonts w:ascii="Arial" w:cs="Arial" w:eastAsia="Arial" w:hAnsi="Arial"/>
                <w:sz w:val="16"/>
                <w:szCs w:val="16"/>
                <w:b w:val="1"/>
                <w:bCs w:val="1"/>
                <w:color w:val="auto"/>
                <w:w w:val="96"/>
              </w:rPr>
              <w:t>Former public company directorships</w:t>
            </w:r>
          </w:p>
        </w:tc>
        <w:tc>
          <w:tcPr>
            <w:tcW w:w="0" w:type="dxa"/>
            <w:vAlign w:val="bottom"/>
          </w:tcPr>
          <w:p>
            <w:pPr>
              <w:spacing w:after="0"/>
              <w:rPr>
                <w:sz w:val="1"/>
                <w:szCs w:val="1"/>
                <w:color w:val="auto"/>
              </w:rPr>
            </w:pPr>
          </w:p>
        </w:tc>
      </w:tr>
      <w:tr>
        <w:trPr>
          <w:trHeight w:val="104"/>
        </w:trPr>
        <w:tc>
          <w:tcPr>
            <w:tcW w:w="3680" w:type="dxa"/>
            <w:vAlign w:val="bottom"/>
            <w:gridSpan w:val="2"/>
            <w:vMerge w:val="restart"/>
          </w:tcPr>
          <w:p>
            <w:pPr>
              <w:spacing w:after="0"/>
              <w:rPr>
                <w:sz w:val="20"/>
                <w:szCs w:val="20"/>
                <w:color w:val="auto"/>
              </w:rPr>
            </w:pPr>
            <w:r>
              <w:rPr>
                <w:rFonts w:ascii="Arial" w:cs="Arial" w:eastAsia="Arial" w:hAnsi="Arial"/>
                <w:sz w:val="16"/>
                <w:szCs w:val="16"/>
                <w:b w:val="1"/>
                <w:bCs w:val="1"/>
                <w:color w:val="0075C9"/>
              </w:rPr>
              <w:t>LinkedIn Corporation (2003-2016)</w:t>
            </w:r>
          </w:p>
        </w:tc>
        <w:tc>
          <w:tcPr>
            <w:tcW w:w="3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3680" w:type="dxa"/>
            <w:vAlign w:val="bottom"/>
            <w:gridSpan w:val="2"/>
            <w:vMerge w:val="continue"/>
          </w:tcPr>
          <w:p>
            <w:pPr>
              <w:spacing w:after="0"/>
              <w:rPr>
                <w:sz w:val="8"/>
                <w:szCs w:val="8"/>
                <w:color w:val="auto"/>
              </w:rPr>
            </w:pPr>
          </w:p>
        </w:tc>
        <w:tc>
          <w:tcPr>
            <w:tcW w:w="3620" w:type="dxa"/>
            <w:vAlign w:val="bottom"/>
            <w:vMerge w:val="restart"/>
          </w:tcPr>
          <w:p>
            <w:pPr>
              <w:ind w:left="820"/>
              <w:spacing w:after="0"/>
              <w:rPr>
                <w:sz w:val="20"/>
                <w:szCs w:val="20"/>
                <w:color w:val="auto"/>
              </w:rPr>
            </w:pPr>
            <w:r>
              <w:rPr>
                <w:rFonts w:ascii="Arial" w:cs="Arial" w:eastAsia="Arial" w:hAnsi="Arial"/>
                <w:sz w:val="16"/>
                <w:szCs w:val="16"/>
                <w:b w:val="1"/>
                <w:bCs w:val="1"/>
                <w:color w:val="auto"/>
              </w:rPr>
              <w:t>held in the past five years:</w:t>
            </w:r>
          </w:p>
        </w:tc>
        <w:tc>
          <w:tcPr>
            <w:tcW w:w="0" w:type="dxa"/>
            <w:vAlign w:val="bottom"/>
          </w:tcPr>
          <w:p>
            <w:pPr>
              <w:spacing w:after="0"/>
              <w:rPr>
                <w:sz w:val="1"/>
                <w:szCs w:val="1"/>
                <w:color w:val="auto"/>
              </w:rPr>
            </w:pPr>
          </w:p>
        </w:tc>
      </w:tr>
      <w:tr>
        <w:trPr>
          <w:trHeight w:val="104"/>
        </w:trPr>
        <w:tc>
          <w:tcPr>
            <w:tcW w:w="3680" w:type="dxa"/>
            <w:vAlign w:val="bottom"/>
            <w:gridSpan w:val="2"/>
            <w:vMerge w:val="restart"/>
          </w:tcPr>
          <w:p>
            <w:pPr>
              <w:spacing w:after="0" w:line="181" w:lineRule="exact"/>
              <w:rPr>
                <w:sz w:val="20"/>
                <w:szCs w:val="20"/>
                <w:color w:val="auto"/>
              </w:rPr>
            </w:pPr>
            <w:r>
              <w:rPr>
                <w:rFonts w:ascii="Arial" w:cs="Arial" w:eastAsia="Arial" w:hAnsi="Arial"/>
                <w:sz w:val="16"/>
                <w:szCs w:val="16"/>
                <w:color w:val="auto"/>
              </w:rPr>
              <w:t>•  Co-founder and Chairman (2003-2016)</w:t>
            </w:r>
          </w:p>
        </w:tc>
        <w:tc>
          <w:tcPr>
            <w:tcW w:w="3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3680" w:type="dxa"/>
            <w:vAlign w:val="bottom"/>
            <w:gridSpan w:val="2"/>
            <w:vMerge w:val="continue"/>
          </w:tcPr>
          <w:p>
            <w:pPr>
              <w:spacing w:after="0"/>
              <w:rPr>
                <w:sz w:val="6"/>
                <w:szCs w:val="6"/>
                <w:color w:val="auto"/>
              </w:rPr>
            </w:pPr>
          </w:p>
        </w:tc>
        <w:tc>
          <w:tcPr>
            <w:tcW w:w="3620" w:type="dxa"/>
            <w:vAlign w:val="bottom"/>
            <w:vMerge w:val="restart"/>
          </w:tcPr>
          <w:p>
            <w:pPr>
              <w:ind w:left="820"/>
              <w:spacing w:after="0"/>
              <w:rPr>
                <w:sz w:val="20"/>
                <w:szCs w:val="20"/>
                <w:color w:val="auto"/>
              </w:rPr>
            </w:pPr>
            <w:r>
              <w:rPr>
                <w:rFonts w:ascii="Arial" w:cs="Arial" w:eastAsia="Arial" w:hAnsi="Arial"/>
                <w:sz w:val="16"/>
                <w:szCs w:val="16"/>
                <w:color w:val="auto"/>
              </w:rPr>
              <w:t>•  LinkedIn Corporation</w:t>
            </w:r>
          </w:p>
        </w:tc>
        <w:tc>
          <w:tcPr>
            <w:tcW w:w="0" w:type="dxa"/>
            <w:vAlign w:val="bottom"/>
          </w:tcPr>
          <w:p>
            <w:pPr>
              <w:spacing w:after="0"/>
              <w:rPr>
                <w:sz w:val="1"/>
                <w:szCs w:val="1"/>
                <w:color w:val="auto"/>
              </w:rPr>
            </w:pPr>
          </w:p>
        </w:tc>
      </w:tr>
      <w:tr>
        <w:trPr>
          <w:trHeight w:val="109"/>
        </w:trPr>
        <w:tc>
          <w:tcPr>
            <w:tcW w:w="100" w:type="dxa"/>
            <w:vAlign w:val="bottom"/>
            <w:vMerge w:val="restart"/>
          </w:tcPr>
          <w:p>
            <w:pPr>
              <w:spacing w:after="0" w:line="181" w:lineRule="exact"/>
              <w:rPr>
                <w:sz w:val="20"/>
                <w:szCs w:val="20"/>
                <w:color w:val="auto"/>
              </w:rPr>
            </w:pPr>
            <w:r>
              <w:rPr>
                <w:rFonts w:ascii="Arial" w:cs="Arial" w:eastAsia="Arial" w:hAnsi="Arial"/>
                <w:sz w:val="16"/>
                <w:szCs w:val="16"/>
                <w:color w:val="auto"/>
              </w:rPr>
              <w:t>•</w:t>
            </w:r>
          </w:p>
        </w:tc>
        <w:tc>
          <w:tcPr>
            <w:tcW w:w="3580" w:type="dxa"/>
            <w:vAlign w:val="bottom"/>
            <w:vMerge w:val="restart"/>
          </w:tcPr>
          <w:p>
            <w:pPr>
              <w:ind w:left="60"/>
              <w:spacing w:after="0" w:line="181" w:lineRule="exact"/>
              <w:rPr>
                <w:sz w:val="20"/>
                <w:szCs w:val="20"/>
                <w:color w:val="auto"/>
              </w:rPr>
            </w:pPr>
            <w:r>
              <w:rPr>
                <w:rFonts w:ascii="Arial" w:cs="Arial" w:eastAsia="Arial" w:hAnsi="Arial"/>
                <w:sz w:val="16"/>
                <w:szCs w:val="16"/>
                <w:color w:val="auto"/>
              </w:rPr>
              <w:t>Executive Chairman (2009)</w:t>
            </w:r>
          </w:p>
        </w:tc>
        <w:tc>
          <w:tcPr>
            <w:tcW w:w="3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100" w:type="dxa"/>
            <w:vAlign w:val="bottom"/>
            <w:vMerge w:val="continue"/>
          </w:tcPr>
          <w:p>
            <w:pPr>
              <w:spacing w:after="0"/>
              <w:rPr>
                <w:sz w:val="6"/>
                <w:szCs w:val="6"/>
                <w:color w:val="auto"/>
              </w:rPr>
            </w:pPr>
          </w:p>
        </w:tc>
        <w:tc>
          <w:tcPr>
            <w:tcW w:w="3580" w:type="dxa"/>
            <w:vAlign w:val="bottom"/>
            <w:vMerge w:val="continue"/>
          </w:tcPr>
          <w:p>
            <w:pPr>
              <w:spacing w:after="0"/>
              <w:rPr>
                <w:sz w:val="6"/>
                <w:szCs w:val="6"/>
                <w:color w:val="auto"/>
              </w:rPr>
            </w:pPr>
          </w:p>
        </w:tc>
        <w:tc>
          <w:tcPr>
            <w:tcW w:w="36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820" w:hanging="161"/>
        <w:spacing w:after="0" w:line="236" w:lineRule="auto"/>
        <w:tabs>
          <w:tab w:leader="none" w:pos="18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Chief Executive Officer (2003-2007 and 2008-2009)</w:t>
      </w:r>
    </w:p>
    <w:p>
      <w:pPr>
        <w:ind w:left="1820" w:hanging="161"/>
        <w:spacing w:after="0" w:line="236" w:lineRule="auto"/>
        <w:tabs>
          <w:tab w:leader="none" w:pos="18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President, Products (2007-2008)</w:t>
      </w:r>
    </w:p>
    <w:p>
      <w:pPr>
        <w:ind w:left="1660"/>
        <w:spacing w:after="0" w:line="237" w:lineRule="auto"/>
        <w:rPr>
          <w:sz w:val="20"/>
          <w:szCs w:val="20"/>
          <w:color w:val="auto"/>
        </w:rPr>
      </w:pPr>
      <w:r>
        <w:rPr>
          <w:rFonts w:ascii="Arial" w:cs="Arial" w:eastAsia="Arial" w:hAnsi="Arial"/>
          <w:sz w:val="16"/>
          <w:szCs w:val="16"/>
          <w:b w:val="1"/>
          <w:bCs w:val="1"/>
          <w:color w:val="0075C9"/>
        </w:rPr>
        <w:t>PayPal Holdings, Inc. (2000-2002)</w:t>
      </w:r>
    </w:p>
    <w:p>
      <w:pPr>
        <w:ind w:left="1660"/>
        <w:spacing w:after="0"/>
        <w:rPr>
          <w:sz w:val="20"/>
          <w:szCs w:val="20"/>
          <w:color w:val="auto"/>
        </w:rPr>
      </w:pPr>
      <w:r>
        <w:rPr>
          <w:rFonts w:ascii="Arial" w:cs="Arial" w:eastAsia="Arial" w:hAnsi="Arial"/>
          <w:sz w:val="16"/>
          <w:szCs w:val="16"/>
          <w:color w:val="auto"/>
        </w:rPr>
        <w:t>•  Executive Vice President (2000-2002)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383540</wp:posOffset>
            </wp:positionV>
            <wp:extent cx="5748020" cy="27463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48020" cy="2746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880"/>
        <w:spacing w:after="0"/>
        <w:rPr>
          <w:sz w:val="20"/>
          <w:szCs w:val="20"/>
          <w:color w:val="auto"/>
        </w:rPr>
      </w:pPr>
      <w:r>
        <w:rPr>
          <w:rFonts w:ascii="Arial" w:cs="Arial" w:eastAsia="Arial" w:hAnsi="Arial"/>
          <w:sz w:val="45"/>
          <w:szCs w:val="45"/>
          <w:color w:val="595959"/>
        </w:rPr>
        <w:t>Hugh F. Johnston</w:t>
      </w:r>
    </w:p>
    <w:p>
      <w:pPr>
        <w:ind w:left="288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60 |</w:t>
      </w:r>
      <w:r>
        <w:rPr>
          <w:rFonts w:ascii="Arial" w:cs="Arial" w:eastAsia="Arial" w:hAnsi="Arial"/>
          <w:sz w:val="17"/>
          <w:szCs w:val="17"/>
          <w:b w:val="1"/>
          <w:bCs w:val="1"/>
          <w:color w:val="auto"/>
        </w:rPr>
        <w:t xml:space="preserve"> Director since: </w:t>
      </w:r>
      <w:r>
        <w:rPr>
          <w:rFonts w:ascii="Arial" w:cs="Arial" w:eastAsia="Arial" w:hAnsi="Arial"/>
          <w:sz w:val="17"/>
          <w:szCs w:val="17"/>
          <w:color w:val="auto"/>
        </w:rPr>
        <w:t>2017 |</w:t>
      </w:r>
      <w:r>
        <w:rPr>
          <w:rFonts w:ascii="Arial" w:cs="Arial" w:eastAsia="Arial" w:hAnsi="Arial"/>
          <w:sz w:val="17"/>
          <w:szCs w:val="17"/>
          <w:b w:val="1"/>
          <w:bCs w:val="1"/>
          <w:color w:val="auto"/>
        </w:rPr>
        <w:t xml:space="preserve"> Birthplace: </w:t>
      </w:r>
      <w:r>
        <w:rPr>
          <w:rFonts w:ascii="Arial" w:cs="Arial" w:eastAsia="Arial" w:hAnsi="Arial"/>
          <w:sz w:val="17"/>
          <w:szCs w:val="17"/>
          <w:color w:val="auto"/>
        </w:rPr>
        <w:t>United States |</w:t>
      </w:r>
      <w:r>
        <w:rPr>
          <w:rFonts w:ascii="Arial" w:cs="Arial" w:eastAsia="Arial" w:hAnsi="Arial"/>
          <w:sz w:val="17"/>
          <w:szCs w:val="17"/>
          <w:b w:val="1"/>
          <w:bCs w:val="1"/>
          <w:color w:val="auto"/>
        </w:rPr>
        <w:t xml:space="preserve"> </w:t>
      </w:r>
      <w:r>
        <w:rPr>
          <w:rFonts w:ascii="Arial" w:cs="Arial" w:eastAsia="Arial" w:hAnsi="Arial"/>
          <w:sz w:val="17"/>
          <w:szCs w:val="17"/>
          <w:color w:val="0075C9"/>
        </w:rPr>
        <w:t>Independent</w:t>
      </w:r>
    </w:p>
    <w:p>
      <w:pPr>
        <w:sectPr>
          <w:pgSz w:w="11900" w:h="16838" w:orient="portrait"/>
          <w:cols w:equalWidth="0" w:num="1">
            <w:col w:w="10140"/>
          </w:cols>
          <w:pgMar w:left="320" w:top="445"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auto"/>
        </w:rPr>
        <w:t>Experience:</w:t>
      </w:r>
    </w:p>
    <w:p>
      <w:pPr>
        <w:spacing w:after="0" w:line="13"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0075C9"/>
        </w:rPr>
        <w:t>PepsiCo, Inc. (1987-1999 and 2002-present)</w:t>
      </w:r>
    </w:p>
    <w:p>
      <w:pPr>
        <w:ind w:left="1660"/>
        <w:spacing w:after="0" w:line="236" w:lineRule="auto"/>
        <w:rPr>
          <w:sz w:val="20"/>
          <w:szCs w:val="20"/>
          <w:color w:val="auto"/>
        </w:rPr>
      </w:pPr>
      <w:r>
        <w:rPr>
          <w:rFonts w:ascii="Arial" w:cs="Arial" w:eastAsia="Arial" w:hAnsi="Arial"/>
          <w:sz w:val="16"/>
          <w:szCs w:val="16"/>
          <w:color w:val="0075C9"/>
        </w:rPr>
        <w:t>(food and beverage company)</w:t>
      </w:r>
    </w:p>
    <w:p>
      <w:pPr>
        <w:ind w:left="1820" w:hanging="161"/>
        <w:spacing w:after="0" w:line="237" w:lineRule="auto"/>
        <w:tabs>
          <w:tab w:leader="none" w:pos="18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Vice Chairman (2015-present)</w:t>
      </w:r>
    </w:p>
    <w:p>
      <w:pPr>
        <w:ind w:left="1820" w:right="360" w:hanging="161"/>
        <w:spacing w:after="0" w:line="236" w:lineRule="auto"/>
        <w:tabs>
          <w:tab w:leader="none" w:pos="1828" w:val="left"/>
        </w:tabs>
        <w:numPr>
          <w:ilvl w:val="0"/>
          <w:numId w:val="28"/>
        </w:numPr>
        <w:rPr>
          <w:rFonts w:ascii="Arial" w:cs="Arial" w:eastAsia="Arial" w:hAnsi="Arial"/>
          <w:sz w:val="16"/>
          <w:szCs w:val="16"/>
          <w:color w:val="auto"/>
        </w:rPr>
      </w:pPr>
      <w:r>
        <w:rPr>
          <w:rFonts w:ascii="Arial" w:cs="Arial" w:eastAsia="Arial" w:hAnsi="Arial"/>
          <w:sz w:val="16"/>
          <w:szCs w:val="16"/>
          <w:color w:val="auto"/>
        </w:rPr>
        <w:t>Executive Vice President and Chief Financial Officer (2010-present)</w:t>
      </w:r>
    </w:p>
    <w:p>
      <w:pPr>
        <w:ind w:left="1820" w:hanging="161"/>
        <w:spacing w:after="0"/>
        <w:tabs>
          <w:tab w:leader="none" w:pos="18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Executive Vice President, Global Operations (2009-2010)</w:t>
      </w:r>
    </w:p>
    <w:p>
      <w:pPr>
        <w:spacing w:after="0" w:line="20" w:lineRule="exact"/>
        <w:rPr>
          <w:rFonts w:ascii="Arial" w:cs="Arial" w:eastAsia="Arial" w:hAnsi="Arial"/>
          <w:sz w:val="14"/>
          <w:szCs w:val="14"/>
          <w:color w:val="auto"/>
        </w:rPr>
      </w:pPr>
    </w:p>
    <w:p>
      <w:pPr>
        <w:ind w:left="1820" w:hanging="161"/>
        <w:spacing w:after="0" w:line="236" w:lineRule="auto"/>
        <w:tabs>
          <w:tab w:leader="none" w:pos="18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President, Pepsi-Cola North America (2007-2009)</w:t>
      </w:r>
    </w:p>
    <w:p>
      <w:pPr>
        <w:ind w:left="1820" w:right="1200" w:hanging="161"/>
        <w:spacing w:after="0" w:line="236" w:lineRule="auto"/>
        <w:tabs>
          <w:tab w:leader="none" w:pos="1828" w:val="left"/>
        </w:tabs>
        <w:numPr>
          <w:ilvl w:val="0"/>
          <w:numId w:val="28"/>
        </w:numPr>
        <w:rPr>
          <w:rFonts w:ascii="Arial" w:cs="Arial" w:eastAsia="Arial" w:hAnsi="Arial"/>
          <w:sz w:val="16"/>
          <w:szCs w:val="16"/>
          <w:color w:val="auto"/>
        </w:rPr>
      </w:pPr>
      <w:r>
        <w:rPr>
          <w:rFonts w:ascii="Arial" w:cs="Arial" w:eastAsia="Arial" w:hAnsi="Arial"/>
          <w:sz w:val="16"/>
          <w:szCs w:val="16"/>
          <w:color w:val="auto"/>
        </w:rPr>
        <w:t>Various positions of increasing authority (1987-1999 and 2002-2007)</w:t>
      </w:r>
    </w:p>
    <w:p>
      <w:pPr>
        <w:ind w:left="1660"/>
        <w:spacing w:after="0" w:line="237" w:lineRule="auto"/>
        <w:rPr>
          <w:sz w:val="20"/>
          <w:szCs w:val="20"/>
          <w:color w:val="auto"/>
        </w:rPr>
      </w:pPr>
      <w:r>
        <w:rPr>
          <w:rFonts w:ascii="Arial" w:cs="Arial" w:eastAsia="Arial" w:hAnsi="Arial"/>
          <w:sz w:val="16"/>
          <w:szCs w:val="16"/>
          <w:b w:val="1"/>
          <w:bCs w:val="1"/>
          <w:color w:val="0075C9"/>
        </w:rPr>
        <w:t>Merck &amp; Co., Inc. (1999-2002)</w:t>
      </w:r>
    </w:p>
    <w:p>
      <w:pPr>
        <w:ind w:left="1820" w:right="20" w:hanging="161"/>
        <w:spacing w:after="0" w:line="239" w:lineRule="auto"/>
        <w:tabs>
          <w:tab w:leader="none" w:pos="1828" w:val="left"/>
        </w:tabs>
        <w:numPr>
          <w:ilvl w:val="0"/>
          <w:numId w:val="29"/>
        </w:numPr>
        <w:rPr>
          <w:rFonts w:ascii="Arial" w:cs="Arial" w:eastAsia="Arial" w:hAnsi="Arial"/>
          <w:sz w:val="16"/>
          <w:szCs w:val="16"/>
          <w:color w:val="auto"/>
        </w:rPr>
      </w:pPr>
      <w:r>
        <w:rPr>
          <w:rFonts w:ascii="Arial" w:cs="Arial" w:eastAsia="Arial" w:hAnsi="Arial"/>
          <w:sz w:val="16"/>
          <w:szCs w:val="16"/>
          <w:color w:val="auto"/>
        </w:rPr>
        <w:t>Vice President, Retail Marketing, Merck-Medco Managed Care LLC (1999-2002)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Microsoft committees: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 Audit (Chair)</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public company directorships: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  HCA Healthcare, Inc.</w:t>
      </w:r>
    </w:p>
    <w:p>
      <w:pPr>
        <w:spacing w:after="0" w:line="212" w:lineRule="exact"/>
        <w:rPr>
          <w:sz w:val="20"/>
          <w:szCs w:val="20"/>
          <w:color w:val="auto"/>
        </w:rPr>
      </w:pPr>
    </w:p>
    <w:p>
      <w:pPr>
        <w:ind w:right="1180"/>
        <w:spacing w:after="0" w:line="283" w:lineRule="auto"/>
        <w:rPr>
          <w:sz w:val="20"/>
          <w:szCs w:val="20"/>
          <w:color w:val="auto"/>
        </w:rPr>
      </w:pPr>
      <w:r>
        <w:rPr>
          <w:rFonts w:ascii="Arial" w:cs="Arial" w:eastAsia="Arial" w:hAnsi="Arial"/>
          <w:sz w:val="14"/>
          <w:szCs w:val="14"/>
          <w:b w:val="1"/>
          <w:bCs w:val="1"/>
          <w:color w:val="auto"/>
        </w:rPr>
        <w:t>Former public company directorships held in the past five years: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Twitter Inc.</w:t>
      </w:r>
    </w:p>
    <w:p>
      <w:pPr>
        <w:spacing w:after="0" w:line="822" w:lineRule="exact"/>
        <w:rPr>
          <w:sz w:val="20"/>
          <w:szCs w:val="20"/>
          <w:color w:val="auto"/>
        </w:rPr>
      </w:pPr>
    </w:p>
    <w:p>
      <w:pPr>
        <w:sectPr>
          <w:pgSz w:w="11900" w:h="16838" w:orient="portrait"/>
          <w:cols w:equalWidth="0" w:num="2">
            <w:col w:w="5760" w:space="400"/>
            <w:col w:w="3980"/>
          </w:cols>
          <w:pgMar w:left="320" w:top="445" w:right="1439" w:bottom="1440" w:gutter="0" w:footer="0" w:header="0"/>
          <w:type w:val="continuous"/>
        </w:sectPr>
      </w:pPr>
    </w:p>
    <w:p>
      <w:pPr>
        <w:spacing w:after="0" w:line="386" w:lineRule="exact"/>
        <w:rPr>
          <w:sz w:val="20"/>
          <w:szCs w:val="20"/>
          <w:color w:val="auto"/>
        </w:rPr>
      </w:pPr>
    </w:p>
    <w:tbl>
      <w:tblPr>
        <w:tblLayout w:type="fixed"/>
        <w:tblInd w:w="1640" w:type="dxa"/>
        <w:tblCellMar>
          <w:top w:w="0" w:type="dxa"/>
          <w:left w:w="0" w:type="dxa"/>
          <w:bottom w:w="0" w:type="dxa"/>
          <w:right w:w="0" w:type="dxa"/>
        </w:tblCellMar>
      </w:tblPr>
      <w:tr>
        <w:trPr>
          <w:trHeight w:val="161"/>
        </w:trPr>
        <w:tc>
          <w:tcPr>
            <w:tcW w:w="1240" w:type="dxa"/>
            <w:vAlign w:val="bottom"/>
            <w:vMerge w:val="restart"/>
          </w:tcPr>
          <w:p>
            <w:pPr>
              <w:spacing w:after="0"/>
              <w:rPr>
                <w:sz w:val="20"/>
                <w:szCs w:val="20"/>
                <w:color w:val="auto"/>
              </w:rPr>
            </w:pPr>
            <w:r>
              <w:rPr>
                <w:rFonts w:ascii="Arial" w:cs="Arial" w:eastAsia="Arial" w:hAnsi="Arial"/>
                <w:sz w:val="14"/>
                <w:szCs w:val="14"/>
                <w:b w:val="1"/>
                <w:bCs w:val="1"/>
                <w:color w:val="0075C9"/>
              </w:rPr>
              <w:t>Board Diversity</w:t>
            </w:r>
          </w:p>
        </w:tc>
        <w:tc>
          <w:tcPr>
            <w:tcW w:w="1080" w:type="dxa"/>
            <w:vAlign w:val="bottom"/>
            <w:vMerge w:val="restart"/>
          </w:tcPr>
          <w:p>
            <w:pPr>
              <w:ind w:left="200"/>
              <w:spacing w:after="0"/>
              <w:rPr>
                <w:sz w:val="20"/>
                <w:szCs w:val="20"/>
                <w:color w:val="auto"/>
              </w:rPr>
            </w:pPr>
            <w:r>
              <w:rPr>
                <w:rFonts w:ascii="Arial" w:cs="Arial" w:eastAsia="Arial" w:hAnsi="Arial"/>
                <w:sz w:val="14"/>
                <w:szCs w:val="14"/>
                <w:b w:val="1"/>
                <w:bCs w:val="1"/>
                <w:color w:val="0075C9"/>
              </w:rPr>
              <w:t>Financial</w:t>
            </w:r>
          </w:p>
        </w:tc>
        <w:tc>
          <w:tcPr>
            <w:tcW w:w="1180" w:type="dxa"/>
            <w:vAlign w:val="bottom"/>
          </w:tcPr>
          <w:p>
            <w:pPr>
              <w:ind w:left="280"/>
              <w:spacing w:after="0"/>
              <w:rPr>
                <w:sz w:val="20"/>
                <w:szCs w:val="20"/>
                <w:color w:val="auto"/>
              </w:rPr>
            </w:pPr>
            <w:r>
              <w:rPr>
                <w:rFonts w:ascii="Arial" w:cs="Arial" w:eastAsia="Arial" w:hAnsi="Arial"/>
                <w:sz w:val="14"/>
                <w:szCs w:val="14"/>
                <w:b w:val="1"/>
                <w:bCs w:val="1"/>
                <w:color w:val="0075C9"/>
              </w:rPr>
              <w:t>Global</w:t>
            </w:r>
          </w:p>
        </w:tc>
        <w:tc>
          <w:tcPr>
            <w:tcW w:w="1300" w:type="dxa"/>
            <w:vAlign w:val="bottom"/>
            <w:vMerge w:val="restart"/>
          </w:tcPr>
          <w:p>
            <w:pPr>
              <w:ind w:left="280"/>
              <w:spacing w:after="0"/>
              <w:rPr>
                <w:sz w:val="20"/>
                <w:szCs w:val="20"/>
                <w:color w:val="auto"/>
              </w:rPr>
            </w:pPr>
            <w:r>
              <w:rPr>
                <w:rFonts w:ascii="Arial" w:cs="Arial" w:eastAsia="Arial" w:hAnsi="Arial"/>
                <w:sz w:val="14"/>
                <w:szCs w:val="14"/>
                <w:b w:val="1"/>
                <w:bCs w:val="1"/>
                <w:color w:val="0075C9"/>
              </w:rPr>
              <w:t>Leadership</w:t>
            </w:r>
          </w:p>
        </w:tc>
        <w:tc>
          <w:tcPr>
            <w:tcW w:w="1380" w:type="dxa"/>
            <w:vAlign w:val="bottom"/>
          </w:tcPr>
          <w:p>
            <w:pPr>
              <w:ind w:left="280"/>
              <w:spacing w:after="0"/>
              <w:rPr>
                <w:sz w:val="20"/>
                <w:szCs w:val="20"/>
                <w:color w:val="auto"/>
              </w:rPr>
            </w:pPr>
            <w:r>
              <w:rPr>
                <w:rFonts w:ascii="Arial" w:cs="Arial" w:eastAsia="Arial" w:hAnsi="Arial"/>
                <w:sz w:val="14"/>
                <w:szCs w:val="14"/>
                <w:b w:val="1"/>
                <w:bCs w:val="1"/>
                <w:color w:val="0075C9"/>
              </w:rPr>
              <w:t>Mergers and</w:t>
            </w:r>
          </w:p>
        </w:tc>
        <w:tc>
          <w:tcPr>
            <w:tcW w:w="1240" w:type="dxa"/>
            <w:vAlign w:val="bottom"/>
          </w:tcPr>
          <w:p>
            <w:pPr>
              <w:ind w:left="300"/>
              <w:spacing w:after="0"/>
              <w:rPr>
                <w:sz w:val="20"/>
                <w:szCs w:val="20"/>
                <w:color w:val="auto"/>
              </w:rPr>
            </w:pPr>
            <w:r>
              <w:rPr>
                <w:rFonts w:ascii="Arial" w:cs="Arial" w:eastAsia="Arial" w:hAnsi="Arial"/>
                <w:sz w:val="14"/>
                <w:szCs w:val="14"/>
                <w:b w:val="1"/>
                <w:bCs w:val="1"/>
                <w:color w:val="0075C9"/>
              </w:rPr>
              <w:t>Sales and</w:t>
            </w:r>
          </w:p>
        </w:tc>
        <w:tc>
          <w:tcPr>
            <w:tcW w:w="1080" w:type="dxa"/>
            <w:vAlign w:val="bottom"/>
            <w:vMerge w:val="restart"/>
          </w:tcPr>
          <w:p>
            <w:pPr>
              <w:ind w:left="300"/>
              <w:spacing w:after="0"/>
              <w:rPr>
                <w:sz w:val="20"/>
                <w:szCs w:val="20"/>
                <w:color w:val="auto"/>
              </w:rPr>
            </w:pPr>
            <w:r>
              <w:rPr>
                <w:rFonts w:ascii="Arial" w:cs="Arial" w:eastAsia="Arial" w:hAnsi="Arial"/>
                <w:sz w:val="14"/>
                <w:szCs w:val="14"/>
                <w:b w:val="1"/>
                <w:bCs w:val="1"/>
                <w:color w:val="0075C9"/>
                <w:w w:val="96"/>
              </w:rPr>
              <w:t>Technology</w:t>
            </w:r>
          </w:p>
        </w:tc>
        <w:tc>
          <w:tcPr>
            <w:tcW w:w="0" w:type="dxa"/>
            <w:vAlign w:val="bottom"/>
          </w:tcPr>
          <w:p>
            <w:pPr>
              <w:spacing w:after="0"/>
              <w:rPr>
                <w:sz w:val="1"/>
                <w:szCs w:val="1"/>
                <w:color w:val="auto"/>
              </w:rPr>
            </w:pPr>
          </w:p>
        </w:tc>
      </w:tr>
      <w:tr>
        <w:trPr>
          <w:trHeight w:val="103"/>
        </w:trPr>
        <w:tc>
          <w:tcPr>
            <w:tcW w:w="124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180" w:type="dxa"/>
            <w:vAlign w:val="bottom"/>
            <w:vMerge w:val="restart"/>
          </w:tcPr>
          <w:p>
            <w:pPr>
              <w:ind w:left="280"/>
              <w:spacing w:after="0"/>
              <w:rPr>
                <w:sz w:val="20"/>
                <w:szCs w:val="20"/>
                <w:color w:val="auto"/>
              </w:rPr>
            </w:pPr>
            <w:r>
              <w:rPr>
                <w:rFonts w:ascii="Arial" w:cs="Arial" w:eastAsia="Arial" w:hAnsi="Arial"/>
                <w:sz w:val="14"/>
                <w:szCs w:val="14"/>
                <w:b w:val="1"/>
                <w:bCs w:val="1"/>
                <w:color w:val="0075C9"/>
              </w:rPr>
              <w:t>Business</w:t>
            </w:r>
          </w:p>
        </w:tc>
        <w:tc>
          <w:tcPr>
            <w:tcW w:w="1300" w:type="dxa"/>
            <w:vAlign w:val="bottom"/>
            <w:vMerge w:val="continue"/>
          </w:tcPr>
          <w:p>
            <w:pPr>
              <w:spacing w:after="0"/>
              <w:rPr>
                <w:sz w:val="8"/>
                <w:szCs w:val="8"/>
                <w:color w:val="auto"/>
              </w:rPr>
            </w:pPr>
          </w:p>
        </w:tc>
        <w:tc>
          <w:tcPr>
            <w:tcW w:w="1380" w:type="dxa"/>
            <w:vAlign w:val="bottom"/>
            <w:vMerge w:val="restart"/>
          </w:tcPr>
          <w:p>
            <w:pPr>
              <w:ind w:left="280"/>
              <w:spacing w:after="0"/>
              <w:rPr>
                <w:sz w:val="20"/>
                <w:szCs w:val="20"/>
                <w:color w:val="auto"/>
              </w:rPr>
            </w:pPr>
            <w:r>
              <w:rPr>
                <w:rFonts w:ascii="Arial" w:cs="Arial" w:eastAsia="Arial" w:hAnsi="Arial"/>
                <w:sz w:val="14"/>
                <w:szCs w:val="14"/>
                <w:b w:val="1"/>
                <w:bCs w:val="1"/>
                <w:color w:val="0075C9"/>
              </w:rPr>
              <w:t>Acquisitions</w:t>
            </w:r>
          </w:p>
        </w:tc>
        <w:tc>
          <w:tcPr>
            <w:tcW w:w="1240" w:type="dxa"/>
            <w:vAlign w:val="bottom"/>
            <w:vMerge w:val="restart"/>
          </w:tcPr>
          <w:p>
            <w:pPr>
              <w:ind w:left="300"/>
              <w:spacing w:after="0"/>
              <w:rPr>
                <w:sz w:val="20"/>
                <w:szCs w:val="20"/>
                <w:color w:val="auto"/>
              </w:rPr>
            </w:pPr>
            <w:r>
              <w:rPr>
                <w:rFonts w:ascii="Arial" w:cs="Arial" w:eastAsia="Arial" w:hAnsi="Arial"/>
                <w:sz w:val="14"/>
                <w:szCs w:val="14"/>
                <w:b w:val="1"/>
                <w:bCs w:val="1"/>
                <w:color w:val="0075C9"/>
              </w:rPr>
              <w:t>Marketing</w:t>
            </w: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12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3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-205740</wp:posOffset>
            </wp:positionV>
            <wp:extent cx="230505" cy="1974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30505" cy="197485"/>
                    </a:xfrm>
                    <a:prstGeom prst="rect">
                      <a:avLst/>
                    </a:prstGeom>
                    <a:noFill/>
                  </pic:spPr>
                </pic:pic>
              </a:graphicData>
            </a:graphic>
          </wp:anchor>
        </w:drawing>
        <w:drawing>
          <wp:anchor simplePos="0" relativeHeight="251657728" behindDoc="1" locked="0" layoutInCell="0" allowOverlap="1">
            <wp:simplePos x="0" y="0"/>
            <wp:positionH relativeFrom="column">
              <wp:posOffset>1729105</wp:posOffset>
            </wp:positionH>
            <wp:positionV relativeFrom="paragraph">
              <wp:posOffset>-205740</wp:posOffset>
            </wp:positionV>
            <wp:extent cx="197485" cy="1974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97485" cy="197485"/>
                    </a:xfrm>
                    <a:prstGeom prst="rect">
                      <a:avLst/>
                    </a:prstGeom>
                    <a:noFill/>
                  </pic:spPr>
                </pic:pic>
              </a:graphicData>
            </a:graphic>
          </wp:anchor>
        </w:drawing>
        <w:drawing>
          <wp:anchor simplePos="0" relativeHeight="251657728" behindDoc="1" locked="0" layoutInCell="0" allowOverlap="1">
            <wp:simplePos x="0" y="0"/>
            <wp:positionH relativeFrom="column">
              <wp:posOffset>2469515</wp:posOffset>
            </wp:positionH>
            <wp:positionV relativeFrom="paragraph">
              <wp:posOffset>-205740</wp:posOffset>
            </wp:positionV>
            <wp:extent cx="197485" cy="1974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97485" cy="197485"/>
                    </a:xfrm>
                    <a:prstGeom prst="rect">
                      <a:avLst/>
                    </a:prstGeom>
                    <a:noFill/>
                  </pic:spPr>
                </pic:pic>
              </a:graphicData>
            </a:graphic>
          </wp:anchor>
        </w:drawing>
        <w:drawing>
          <wp:anchor simplePos="0" relativeHeight="251657728" behindDoc="1" locked="0" layoutInCell="0" allowOverlap="1">
            <wp:simplePos x="0" y="0"/>
            <wp:positionH relativeFrom="column">
              <wp:posOffset>3217545</wp:posOffset>
            </wp:positionH>
            <wp:positionV relativeFrom="paragraph">
              <wp:posOffset>-205740</wp:posOffset>
            </wp:positionV>
            <wp:extent cx="197485" cy="1974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97485" cy="19748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-205740</wp:posOffset>
            </wp:positionV>
            <wp:extent cx="189230" cy="1974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89230" cy="19748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-205740</wp:posOffset>
            </wp:positionV>
            <wp:extent cx="197485" cy="1974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97485" cy="197485"/>
                    </a:xfrm>
                    <a:prstGeom prst="rect">
                      <a:avLst/>
                    </a:prstGeom>
                    <a:noFill/>
                  </pic:spPr>
                </pic:pic>
              </a:graphicData>
            </a:graphic>
          </wp:anchor>
        </w:drawing>
        <w:drawing>
          <wp:anchor simplePos="0" relativeHeight="251657728" behindDoc="1" locked="0" layoutInCell="0" allowOverlap="1">
            <wp:simplePos x="0" y="0"/>
            <wp:positionH relativeFrom="column">
              <wp:posOffset>5684520</wp:posOffset>
            </wp:positionH>
            <wp:positionV relativeFrom="paragraph">
              <wp:posOffset>-205740</wp:posOffset>
            </wp:positionV>
            <wp:extent cx="238760" cy="1974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38760"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-94615</wp:posOffset>
            </wp:positionV>
            <wp:extent cx="485140" cy="984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45" w:right="1439" w:bottom="1440" w:gutter="0" w:footer="0" w:header="0"/>
          <w:type w:val="continuous"/>
        </w:sectPr>
      </w:pPr>
    </w:p>
    <w:bookmarkStart w:id="30" w:name="page31"/>
    <w:bookmarkEnd w:id="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0075C9"/>
                <w:w w:val="89"/>
              </w:rPr>
              <w:t>1</w:t>
            </w:r>
          </w:p>
        </w:tc>
        <w:tc>
          <w:tcPr>
            <w:tcW w:w="1220" w:type="dxa"/>
            <w:vAlign w:val="bottom"/>
            <w:vMerge w:val="restart"/>
          </w:tcPr>
          <w:p>
            <w:pPr>
              <w:ind w:left="80"/>
              <w:spacing w:after="0"/>
              <w:rPr>
                <w:sz w:val="20"/>
                <w:szCs w:val="20"/>
                <w:color w:val="auto"/>
              </w:rPr>
            </w:pPr>
            <w:r>
              <w:rPr>
                <w:rFonts w:ascii="Arial" w:cs="Arial" w:eastAsia="Arial" w:hAnsi="Arial"/>
                <w:sz w:val="12"/>
                <w:szCs w:val="12"/>
                <w:color w:val="0075C9"/>
                <w:w w:val="98"/>
              </w:rPr>
              <w:t>GOVERNANCE AND</w:t>
            </w:r>
          </w:p>
        </w:tc>
        <w:tc>
          <w:tcPr>
            <w:tcW w:w="720" w:type="dxa"/>
            <w:vAlign w:val="bottom"/>
          </w:tcPr>
          <w:p>
            <w:pPr>
              <w:jc w:val="right"/>
              <w:spacing w:after="0"/>
              <w:rPr>
                <w:sz w:val="20"/>
                <w:szCs w:val="20"/>
                <w:color w:val="auto"/>
              </w:rPr>
            </w:pPr>
            <w:r>
              <w:rPr>
                <w:rFonts w:ascii="Arial" w:cs="Arial" w:eastAsia="Arial" w:hAnsi="Arial"/>
                <w:sz w:val="36"/>
                <w:szCs w:val="36"/>
                <w:color w:val="auto"/>
              </w:rPr>
              <w:t>2</w:t>
            </w:r>
          </w:p>
        </w:tc>
        <w:tc>
          <w:tcPr>
            <w:tcW w:w="1540" w:type="dxa"/>
            <w:vAlign w:val="bottom"/>
            <w:vMerge w:val="restart"/>
          </w:tcPr>
          <w:p>
            <w:pPr>
              <w:ind w:left="80"/>
              <w:spacing w:after="0"/>
              <w:rPr>
                <w:sz w:val="20"/>
                <w:szCs w:val="20"/>
                <w:color w:val="auto"/>
              </w:rPr>
            </w:pPr>
            <w:r>
              <w:rPr>
                <w:rFonts w:ascii="Arial" w:cs="Arial" w:eastAsia="Arial" w:hAnsi="Arial"/>
                <w:sz w:val="12"/>
                <w:szCs w:val="12"/>
                <w:color w:val="auto"/>
              </w:rPr>
              <w:t>NAMED</w:t>
            </w:r>
          </w:p>
        </w:tc>
        <w:tc>
          <w:tcPr>
            <w:tcW w:w="500" w:type="dxa"/>
            <w:vAlign w:val="bottom"/>
          </w:tcPr>
          <w:p>
            <w:pPr>
              <w:jc w:val="right"/>
              <w:spacing w:after="0"/>
              <w:rPr>
                <w:sz w:val="20"/>
                <w:szCs w:val="20"/>
                <w:color w:val="auto"/>
              </w:rPr>
            </w:pPr>
            <w:r>
              <w:rPr>
                <w:rFonts w:ascii="Arial" w:cs="Arial" w:eastAsia="Arial" w:hAnsi="Arial"/>
                <w:sz w:val="36"/>
                <w:szCs w:val="36"/>
                <w:color w:val="auto"/>
              </w:rPr>
              <w:t>3</w:t>
            </w:r>
          </w:p>
        </w:tc>
        <w:tc>
          <w:tcPr>
            <w:tcW w:w="980" w:type="dxa"/>
            <w:vAlign w:val="bottom"/>
            <w:vMerge w:val="restart"/>
          </w:tcPr>
          <w:p>
            <w:pPr>
              <w:ind w:left="80"/>
              <w:spacing w:after="0"/>
              <w:rPr>
                <w:sz w:val="20"/>
                <w:szCs w:val="20"/>
                <w:color w:val="auto"/>
              </w:rPr>
            </w:pPr>
            <w:r>
              <w:rPr>
                <w:rFonts w:ascii="Arial" w:cs="Arial" w:eastAsia="Arial" w:hAnsi="Arial"/>
                <w:sz w:val="12"/>
                <w:szCs w:val="12"/>
                <w:color w:val="auto"/>
              </w:rPr>
              <w:t>AUDIT</w:t>
            </w:r>
          </w:p>
        </w:tc>
        <w:tc>
          <w:tcPr>
            <w:tcW w:w="460" w:type="dxa"/>
            <w:vAlign w:val="bottom"/>
          </w:tcPr>
          <w:p>
            <w:pPr>
              <w:jc w:val="right"/>
              <w:spacing w:after="0"/>
              <w:rPr>
                <w:sz w:val="20"/>
                <w:szCs w:val="20"/>
                <w:color w:val="auto"/>
              </w:rPr>
            </w:pPr>
            <w:r>
              <w:rPr>
                <w:rFonts w:ascii="Arial" w:cs="Arial" w:eastAsia="Arial" w:hAnsi="Arial"/>
                <w:sz w:val="36"/>
                <w:szCs w:val="36"/>
                <w:color w:val="auto"/>
              </w:rPr>
              <w:t>4</w:t>
            </w:r>
          </w:p>
        </w:tc>
        <w:tc>
          <w:tcPr>
            <w:tcW w:w="1580" w:type="dxa"/>
            <w:vAlign w:val="bottom"/>
            <w:vMerge w:val="restart"/>
          </w:tcPr>
          <w:p>
            <w:pPr>
              <w:ind w:left="80"/>
              <w:spacing w:after="0"/>
              <w:rPr>
                <w:sz w:val="20"/>
                <w:szCs w:val="20"/>
                <w:color w:val="auto"/>
              </w:rPr>
            </w:pPr>
            <w:r>
              <w:rPr>
                <w:rFonts w:ascii="Arial" w:cs="Arial" w:eastAsia="Arial" w:hAnsi="Arial"/>
                <w:sz w:val="12"/>
                <w:szCs w:val="12"/>
                <w:color w:val="auto"/>
              </w:rPr>
              <w:t>PROPOSALS TO</w:t>
            </w:r>
          </w:p>
        </w:tc>
        <w:tc>
          <w:tcPr>
            <w:tcW w:w="440" w:type="dxa"/>
            <w:vAlign w:val="bottom"/>
          </w:tcPr>
          <w:p>
            <w:pPr>
              <w:jc w:val="right"/>
              <w:spacing w:after="0"/>
              <w:rPr>
                <w:sz w:val="20"/>
                <w:szCs w:val="20"/>
                <w:color w:val="auto"/>
              </w:rPr>
            </w:pPr>
            <w:r>
              <w:rPr>
                <w:rFonts w:ascii="Arial" w:cs="Arial" w:eastAsia="Arial" w:hAnsi="Arial"/>
                <w:sz w:val="36"/>
                <w:szCs w:val="36"/>
                <w:color w:val="auto"/>
              </w:rPr>
              <w:t>5</w:t>
            </w:r>
          </w:p>
        </w:tc>
        <w:tc>
          <w:tcPr>
            <w:tcW w:w="900" w:type="dxa"/>
            <w:vAlign w:val="bottom"/>
            <w:vMerge w:val="restart"/>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220" w:type="dxa"/>
            <w:vAlign w:val="bottom"/>
          </w:tcPr>
          <w:p>
            <w:pPr>
              <w:ind w:left="80"/>
              <w:spacing w:after="0" w:line="130" w:lineRule="exact"/>
              <w:rPr>
                <w:sz w:val="20"/>
                <w:szCs w:val="20"/>
                <w:color w:val="auto"/>
              </w:rPr>
            </w:pPr>
            <w:r>
              <w:rPr>
                <w:rFonts w:ascii="Arial" w:cs="Arial" w:eastAsia="Arial" w:hAnsi="Arial"/>
                <w:sz w:val="12"/>
                <w:szCs w:val="12"/>
                <w:color w:val="0075C9"/>
              </w:rPr>
              <w:t>OUR BOARD OF</w:t>
            </w:r>
          </w:p>
        </w:tc>
        <w:tc>
          <w:tcPr>
            <w:tcW w:w="720" w:type="dxa"/>
            <w:vAlign w:val="bottom"/>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460" w:type="dxa"/>
            <w:vAlign w:val="bottom"/>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40" w:type="dxa"/>
            <w:vAlign w:val="bottom"/>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0075C9"/>
              </w:rPr>
              <w:t>DIRECTORS</w:t>
            </w:r>
          </w:p>
        </w:tc>
        <w:tc>
          <w:tcPr>
            <w:tcW w:w="720" w:type="dxa"/>
            <w:vAlign w:val="bottom"/>
          </w:tcPr>
          <w:p>
            <w:pPr>
              <w:spacing w:after="0"/>
              <w:rPr>
                <w:sz w:val="12"/>
                <w:szCs w:val="12"/>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tcPr>
          <w:p>
            <w:pPr>
              <w:spacing w:after="0"/>
              <w:rPr>
                <w:sz w:val="12"/>
                <w:szCs w:val="12"/>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460" w:type="dxa"/>
            <w:vAlign w:val="bottom"/>
          </w:tcPr>
          <w:p>
            <w:pPr>
              <w:spacing w:after="0"/>
              <w:rPr>
                <w:sz w:val="12"/>
                <w:szCs w:val="12"/>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40" w:type="dxa"/>
            <w:vAlign w:val="bottom"/>
          </w:tcPr>
          <w:p>
            <w:pPr>
              <w:spacing w:after="0"/>
              <w:rPr>
                <w:sz w:val="12"/>
                <w:szCs w:val="12"/>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shd w:val="clear" w:color="auto" w:fill="0075C9"/>
          </w:tcPr>
          <w:p>
            <w:pPr>
              <w:spacing w:after="0"/>
              <w:rPr>
                <w:sz w:val="9"/>
                <w:szCs w:val="9"/>
                <w:color w:val="auto"/>
              </w:rPr>
            </w:pPr>
          </w:p>
        </w:tc>
        <w:tc>
          <w:tcPr>
            <w:tcW w:w="1220" w:type="dxa"/>
            <w:vAlign w:val="bottom"/>
            <w:shd w:val="clear" w:color="auto" w:fill="0075C9"/>
          </w:tcPr>
          <w:p>
            <w:pPr>
              <w:spacing w:after="0"/>
              <w:rPr>
                <w:sz w:val="9"/>
                <w:szCs w:val="9"/>
                <w:color w:val="auto"/>
              </w:rPr>
            </w:pPr>
          </w:p>
        </w:tc>
        <w:tc>
          <w:tcPr>
            <w:tcW w:w="7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189230</wp:posOffset>
            </wp:positionV>
            <wp:extent cx="5748020" cy="3182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48020" cy="318262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2880"/>
        <w:spacing w:after="0"/>
        <w:rPr>
          <w:sz w:val="20"/>
          <w:szCs w:val="20"/>
          <w:color w:val="auto"/>
        </w:rPr>
      </w:pPr>
      <w:r>
        <w:rPr>
          <w:rFonts w:ascii="Arial" w:cs="Arial" w:eastAsia="Arial" w:hAnsi="Arial"/>
          <w:sz w:val="45"/>
          <w:szCs w:val="45"/>
          <w:color w:val="595959"/>
        </w:rPr>
        <w:t>Teri L. List</w:t>
      </w:r>
    </w:p>
    <w:p>
      <w:pPr>
        <w:ind w:left="288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58 |</w:t>
      </w:r>
      <w:r>
        <w:rPr>
          <w:rFonts w:ascii="Arial" w:cs="Arial" w:eastAsia="Arial" w:hAnsi="Arial"/>
          <w:sz w:val="17"/>
          <w:szCs w:val="17"/>
          <w:b w:val="1"/>
          <w:bCs w:val="1"/>
          <w:color w:val="auto"/>
        </w:rPr>
        <w:t xml:space="preserve"> Director Since: </w:t>
      </w:r>
      <w:r>
        <w:rPr>
          <w:rFonts w:ascii="Arial" w:cs="Arial" w:eastAsia="Arial" w:hAnsi="Arial"/>
          <w:sz w:val="17"/>
          <w:szCs w:val="17"/>
          <w:color w:val="auto"/>
        </w:rPr>
        <w:t>2014 |</w:t>
      </w:r>
      <w:r>
        <w:rPr>
          <w:rFonts w:ascii="Arial" w:cs="Arial" w:eastAsia="Arial" w:hAnsi="Arial"/>
          <w:sz w:val="17"/>
          <w:szCs w:val="17"/>
          <w:b w:val="1"/>
          <w:bCs w:val="1"/>
          <w:color w:val="auto"/>
        </w:rPr>
        <w:t xml:space="preserve"> Birthplace: </w:t>
      </w:r>
      <w:r>
        <w:rPr>
          <w:rFonts w:ascii="Arial" w:cs="Arial" w:eastAsia="Arial" w:hAnsi="Arial"/>
          <w:sz w:val="17"/>
          <w:szCs w:val="17"/>
          <w:color w:val="auto"/>
        </w:rPr>
        <w:t>United States |</w:t>
      </w:r>
      <w:r>
        <w:rPr>
          <w:rFonts w:ascii="Arial" w:cs="Arial" w:eastAsia="Arial" w:hAnsi="Arial"/>
          <w:sz w:val="17"/>
          <w:szCs w:val="17"/>
          <w:b w:val="1"/>
          <w:bCs w:val="1"/>
          <w:color w:val="auto"/>
        </w:rPr>
        <w:t xml:space="preserve"> </w:t>
      </w:r>
      <w:r>
        <w:rPr>
          <w:rFonts w:ascii="Arial" w:cs="Arial" w:eastAsia="Arial" w:hAnsi="Arial"/>
          <w:sz w:val="17"/>
          <w:szCs w:val="17"/>
          <w:color w:val="0075C9"/>
        </w:rPr>
        <w:t>Independent</w:t>
      </w:r>
    </w:p>
    <w:p>
      <w:pPr>
        <w:sectPr>
          <w:pgSz w:w="11900" w:h="16838" w:orient="portrait"/>
          <w:cols w:equalWidth="0" w:num="1">
            <w:col w:w="10280"/>
          </w:cols>
          <w:pgMar w:left="320" w:top="445"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640"/>
        <w:spacing w:after="0"/>
        <w:rPr>
          <w:sz w:val="20"/>
          <w:szCs w:val="20"/>
          <w:color w:val="auto"/>
        </w:rPr>
      </w:pPr>
      <w:r>
        <w:rPr>
          <w:rFonts w:ascii="Arial" w:cs="Arial" w:eastAsia="Arial" w:hAnsi="Arial"/>
          <w:sz w:val="16"/>
          <w:szCs w:val="16"/>
          <w:b w:val="1"/>
          <w:bCs w:val="1"/>
          <w:color w:val="auto"/>
        </w:rPr>
        <w:t>Experience:</w:t>
      </w:r>
    </w:p>
    <w:p>
      <w:pPr>
        <w:spacing w:after="0" w:line="13" w:lineRule="exact"/>
        <w:rPr>
          <w:sz w:val="20"/>
          <w:szCs w:val="20"/>
          <w:color w:val="auto"/>
        </w:rPr>
      </w:pPr>
    </w:p>
    <w:p>
      <w:pPr>
        <w:ind w:left="1640"/>
        <w:spacing w:after="0"/>
        <w:rPr>
          <w:sz w:val="20"/>
          <w:szCs w:val="20"/>
          <w:color w:val="auto"/>
        </w:rPr>
      </w:pPr>
      <w:r>
        <w:rPr>
          <w:rFonts w:ascii="Arial" w:cs="Arial" w:eastAsia="Arial" w:hAnsi="Arial"/>
          <w:sz w:val="16"/>
          <w:szCs w:val="16"/>
          <w:b w:val="1"/>
          <w:bCs w:val="1"/>
          <w:color w:val="0075C9"/>
        </w:rPr>
        <w:t>The Gap, Inc. (2016-2020)</w:t>
      </w:r>
    </w:p>
    <w:p>
      <w:pPr>
        <w:ind w:left="1640"/>
        <w:spacing w:after="0" w:line="236" w:lineRule="auto"/>
        <w:rPr>
          <w:sz w:val="20"/>
          <w:szCs w:val="20"/>
          <w:color w:val="auto"/>
        </w:rPr>
      </w:pPr>
      <w:r>
        <w:rPr>
          <w:rFonts w:ascii="Arial" w:cs="Arial" w:eastAsia="Arial" w:hAnsi="Arial"/>
          <w:sz w:val="16"/>
          <w:szCs w:val="16"/>
          <w:color w:val="0075C9"/>
        </w:rPr>
        <w:t>(clothing and accessories retailer)</w:t>
      </w:r>
    </w:p>
    <w:p>
      <w:pPr>
        <w:ind w:left="1800" w:right="40" w:hanging="154"/>
        <w:spacing w:after="0" w:line="236" w:lineRule="auto"/>
        <w:rPr>
          <w:sz w:val="20"/>
          <w:szCs w:val="20"/>
          <w:color w:val="auto"/>
        </w:rPr>
      </w:pPr>
      <w:r>
        <w:rPr>
          <w:rFonts w:ascii="Arial" w:cs="Arial" w:eastAsia="Arial" w:hAnsi="Arial"/>
          <w:sz w:val="16"/>
          <w:szCs w:val="16"/>
          <w:color w:val="auto"/>
        </w:rPr>
        <w:t>• Executive Vice President and Chief Financial Officer (2016-2020)</w:t>
      </w:r>
    </w:p>
    <w:p>
      <w:pPr>
        <w:spacing w:after="0" w:line="1" w:lineRule="exact"/>
        <w:rPr>
          <w:sz w:val="20"/>
          <w:szCs w:val="20"/>
          <w:color w:val="auto"/>
        </w:rPr>
      </w:pPr>
    </w:p>
    <w:p>
      <w:pPr>
        <w:jc w:val="center"/>
        <w:ind w:left="760"/>
        <w:spacing w:after="0"/>
        <w:rPr>
          <w:sz w:val="20"/>
          <w:szCs w:val="20"/>
          <w:color w:val="auto"/>
        </w:rPr>
      </w:pPr>
      <w:r>
        <w:rPr>
          <w:rFonts w:ascii="Arial" w:cs="Arial" w:eastAsia="Arial" w:hAnsi="Arial"/>
          <w:sz w:val="14"/>
          <w:szCs w:val="14"/>
          <w:b w:val="1"/>
          <w:bCs w:val="1"/>
          <w:color w:val="0075C9"/>
        </w:rPr>
        <w:t>Dick’s Sporting Goods, Inc. (2015-2016)</w:t>
      </w:r>
    </w:p>
    <w:p>
      <w:pPr>
        <w:spacing w:after="0" w:line="20" w:lineRule="exact"/>
        <w:rPr>
          <w:sz w:val="20"/>
          <w:szCs w:val="20"/>
          <w:color w:val="auto"/>
        </w:rPr>
      </w:pPr>
    </w:p>
    <w:p>
      <w:pPr>
        <w:ind w:left="1800" w:right="40" w:hanging="154"/>
        <w:spacing w:after="0" w:line="236" w:lineRule="auto"/>
        <w:tabs>
          <w:tab w:leader="none" w:pos="1808" w:val="left"/>
        </w:tabs>
        <w:numPr>
          <w:ilvl w:val="0"/>
          <w:numId w:val="30"/>
        </w:numPr>
        <w:rPr>
          <w:rFonts w:ascii="Arial" w:cs="Arial" w:eastAsia="Arial" w:hAnsi="Arial"/>
          <w:sz w:val="16"/>
          <w:szCs w:val="16"/>
          <w:color w:val="auto"/>
        </w:rPr>
      </w:pPr>
      <w:r>
        <w:rPr>
          <w:rFonts w:ascii="Arial" w:cs="Arial" w:eastAsia="Arial" w:hAnsi="Arial"/>
          <w:sz w:val="16"/>
          <w:szCs w:val="16"/>
          <w:color w:val="auto"/>
        </w:rPr>
        <w:t>Executive Vice President and Chief Financial Officer (2015-2016)</w:t>
      </w:r>
    </w:p>
    <w:p>
      <w:pPr>
        <w:ind w:left="1640"/>
        <w:spacing w:after="0" w:line="237" w:lineRule="auto"/>
        <w:rPr>
          <w:sz w:val="20"/>
          <w:szCs w:val="20"/>
          <w:color w:val="auto"/>
        </w:rPr>
      </w:pPr>
      <w:r>
        <w:rPr>
          <w:rFonts w:ascii="Arial" w:cs="Arial" w:eastAsia="Arial" w:hAnsi="Arial"/>
          <w:sz w:val="16"/>
          <w:szCs w:val="16"/>
          <w:b w:val="1"/>
          <w:bCs w:val="1"/>
          <w:color w:val="0075C9"/>
        </w:rPr>
        <w:t>Kraft Foods Group, Inc. (2013-2015)</w:t>
      </w:r>
    </w:p>
    <w:p>
      <w:pPr>
        <w:ind w:left="1800" w:hanging="154"/>
        <w:spacing w:after="0" w:line="237" w:lineRule="auto"/>
        <w:tabs>
          <w:tab w:leader="none" w:pos="18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Senior Advisor (2015)</w:t>
      </w:r>
    </w:p>
    <w:p>
      <w:pPr>
        <w:ind w:left="1800" w:right="40" w:hanging="154"/>
        <w:spacing w:after="0" w:line="236" w:lineRule="auto"/>
        <w:tabs>
          <w:tab w:leader="none" w:pos="1808" w:val="left"/>
        </w:tabs>
        <w:numPr>
          <w:ilvl w:val="0"/>
          <w:numId w:val="31"/>
        </w:numPr>
        <w:rPr>
          <w:rFonts w:ascii="Arial" w:cs="Arial" w:eastAsia="Arial" w:hAnsi="Arial"/>
          <w:sz w:val="16"/>
          <w:szCs w:val="16"/>
          <w:color w:val="auto"/>
        </w:rPr>
      </w:pPr>
      <w:r>
        <w:rPr>
          <w:rFonts w:ascii="Arial" w:cs="Arial" w:eastAsia="Arial" w:hAnsi="Arial"/>
          <w:sz w:val="16"/>
          <w:szCs w:val="16"/>
          <w:color w:val="auto"/>
        </w:rPr>
        <w:t>Executive Vice President and Chief Financial Officer (2013-2015)</w:t>
      </w:r>
    </w:p>
    <w:p>
      <w:pPr>
        <w:ind w:left="1800" w:hanging="154"/>
        <w:spacing w:after="0" w:line="236" w:lineRule="auto"/>
        <w:tabs>
          <w:tab w:leader="none" w:pos="18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Senior Vice President (2013)</w:t>
      </w:r>
    </w:p>
    <w:p>
      <w:pPr>
        <w:ind w:left="1640"/>
        <w:spacing w:after="0" w:line="237" w:lineRule="auto"/>
        <w:rPr>
          <w:sz w:val="20"/>
          <w:szCs w:val="20"/>
          <w:color w:val="auto"/>
        </w:rPr>
      </w:pPr>
      <w:r>
        <w:rPr>
          <w:rFonts w:ascii="Arial" w:cs="Arial" w:eastAsia="Arial" w:hAnsi="Arial"/>
          <w:sz w:val="16"/>
          <w:szCs w:val="16"/>
          <w:b w:val="1"/>
          <w:bCs w:val="1"/>
          <w:color w:val="0075C9"/>
        </w:rPr>
        <w:t>The Procter &amp; Gamble Company (1994-2013)</w:t>
      </w:r>
    </w:p>
    <w:p>
      <w:pPr>
        <w:ind w:left="1800" w:hanging="154"/>
        <w:spacing w:after="0" w:line="236" w:lineRule="auto"/>
        <w:tabs>
          <w:tab w:leader="none" w:pos="18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Senior Vice President and Treasurer (2009-2013)</w:t>
      </w:r>
    </w:p>
    <w:p>
      <w:pPr>
        <w:ind w:left="1800" w:hanging="154"/>
        <w:spacing w:after="0"/>
        <w:tabs>
          <w:tab w:leader="none" w:pos="18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Various positions of increasing authority (1994-2009)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537845</wp:posOffset>
            </wp:positionV>
            <wp:extent cx="5748020" cy="258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48020" cy="258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Microsoft Committees:</w:t>
      </w:r>
    </w:p>
    <w:p>
      <w:pPr>
        <w:spacing w:after="0" w:line="13" w:lineRule="exact"/>
        <w:rPr>
          <w:sz w:val="20"/>
          <w:szCs w:val="20"/>
          <w:color w:val="auto"/>
        </w:rPr>
      </w:pPr>
    </w:p>
    <w:p>
      <w:pPr>
        <w:ind w:left="148" w:hanging="148"/>
        <w:spacing w:after="0"/>
        <w:tabs>
          <w:tab w:leader="none" w:pos="148" w:val="left"/>
        </w:tabs>
        <w:numPr>
          <w:ilvl w:val="0"/>
          <w:numId w:val="33"/>
        </w:numPr>
        <w:rPr>
          <w:rFonts w:ascii="Arial" w:cs="Arial" w:eastAsia="Arial" w:hAnsi="Arial"/>
          <w:sz w:val="16"/>
          <w:szCs w:val="16"/>
          <w:color w:val="auto"/>
        </w:rPr>
      </w:pPr>
      <w:r>
        <w:rPr>
          <w:rFonts w:ascii="Arial" w:cs="Arial" w:eastAsia="Arial" w:hAnsi="Arial"/>
          <w:sz w:val="16"/>
          <w:szCs w:val="16"/>
          <w:color w:val="auto"/>
        </w:rPr>
        <w:t>Audit</w:t>
      </w:r>
    </w:p>
    <w:p>
      <w:pPr>
        <w:ind w:left="168" w:hanging="168"/>
        <w:spacing w:after="0"/>
        <w:tabs>
          <w:tab w:leader="none" w:pos="168" w:val="left"/>
        </w:tabs>
        <w:numPr>
          <w:ilvl w:val="0"/>
          <w:numId w:val="33"/>
        </w:numPr>
        <w:rPr>
          <w:rFonts w:ascii="Arial" w:cs="Arial" w:eastAsia="Arial" w:hAnsi="Arial"/>
          <w:sz w:val="16"/>
          <w:szCs w:val="16"/>
          <w:color w:val="auto"/>
        </w:rPr>
      </w:pPr>
      <w:r>
        <w:rPr>
          <w:rFonts w:ascii="Arial" w:cs="Arial" w:eastAsia="Arial" w:hAnsi="Arial"/>
          <w:sz w:val="16"/>
          <w:szCs w:val="16"/>
          <w:color w:val="auto"/>
        </w:rPr>
        <w:t>Governance and Nominating</w:t>
      </w:r>
    </w:p>
    <w:p>
      <w:pPr>
        <w:spacing w:after="0" w:line="174"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Other Public Company Directorships:</w:t>
      </w:r>
    </w:p>
    <w:p>
      <w:pPr>
        <w:spacing w:after="0" w:line="13" w:lineRule="exact"/>
        <w:rPr>
          <w:sz w:val="20"/>
          <w:szCs w:val="20"/>
          <w:color w:val="auto"/>
        </w:rPr>
      </w:pPr>
    </w:p>
    <w:p>
      <w:pPr>
        <w:ind w:left="168" w:hanging="168"/>
        <w:spacing w:after="0"/>
        <w:tabs>
          <w:tab w:leader="none" w:pos="168" w:val="left"/>
        </w:tabs>
        <w:numPr>
          <w:ilvl w:val="0"/>
          <w:numId w:val="34"/>
        </w:numPr>
        <w:rPr>
          <w:rFonts w:ascii="Arial" w:cs="Arial" w:eastAsia="Arial" w:hAnsi="Arial"/>
          <w:sz w:val="16"/>
          <w:szCs w:val="16"/>
          <w:color w:val="auto"/>
        </w:rPr>
      </w:pPr>
      <w:r>
        <w:rPr>
          <w:rFonts w:ascii="Arial" w:cs="Arial" w:eastAsia="Arial" w:hAnsi="Arial"/>
          <w:sz w:val="16"/>
          <w:szCs w:val="16"/>
          <w:color w:val="auto"/>
        </w:rPr>
        <w:t>Danaher Corporation</w:t>
      </w:r>
    </w:p>
    <w:p>
      <w:pPr>
        <w:ind w:left="168" w:hanging="168"/>
        <w:spacing w:after="0" w:line="236" w:lineRule="auto"/>
        <w:tabs>
          <w:tab w:leader="none" w:pos="168" w:val="left"/>
        </w:tabs>
        <w:numPr>
          <w:ilvl w:val="0"/>
          <w:numId w:val="34"/>
        </w:numPr>
        <w:rPr>
          <w:rFonts w:ascii="Arial" w:cs="Arial" w:eastAsia="Arial" w:hAnsi="Arial"/>
          <w:sz w:val="16"/>
          <w:szCs w:val="16"/>
          <w:color w:val="auto"/>
        </w:rPr>
      </w:pPr>
      <w:r>
        <w:rPr>
          <w:rFonts w:ascii="Arial" w:cs="Arial" w:eastAsia="Arial" w:hAnsi="Arial"/>
          <w:sz w:val="16"/>
          <w:szCs w:val="16"/>
          <w:color w:val="auto"/>
        </w:rPr>
        <w:t>DoubleVerify Holdings, Inc.</w:t>
      </w:r>
    </w:p>
    <w:p>
      <w:pPr>
        <w:ind w:left="168" w:hanging="168"/>
        <w:spacing w:after="0"/>
        <w:tabs>
          <w:tab w:leader="none" w:pos="168" w:val="left"/>
        </w:tabs>
        <w:numPr>
          <w:ilvl w:val="0"/>
          <w:numId w:val="34"/>
        </w:numPr>
        <w:rPr>
          <w:rFonts w:ascii="Arial" w:cs="Arial" w:eastAsia="Arial" w:hAnsi="Arial"/>
          <w:sz w:val="16"/>
          <w:szCs w:val="16"/>
          <w:color w:val="auto"/>
        </w:rPr>
      </w:pPr>
      <w:r>
        <w:rPr>
          <w:rFonts w:ascii="Arial" w:cs="Arial" w:eastAsia="Arial" w:hAnsi="Arial"/>
          <w:sz w:val="16"/>
          <w:szCs w:val="16"/>
          <w:color w:val="auto"/>
        </w:rPr>
        <w:t>Oscar Health, Inc.</w:t>
      </w:r>
    </w:p>
    <w:p>
      <w:pPr>
        <w:spacing w:after="0" w:line="174" w:lineRule="exact"/>
        <w:rPr>
          <w:sz w:val="20"/>
          <w:szCs w:val="20"/>
          <w:color w:val="auto"/>
        </w:rPr>
      </w:pPr>
    </w:p>
    <w:p>
      <w:pPr>
        <w:ind w:left="8" w:right="1280"/>
        <w:spacing w:after="0" w:line="283" w:lineRule="auto"/>
        <w:rPr>
          <w:sz w:val="20"/>
          <w:szCs w:val="20"/>
          <w:color w:val="auto"/>
        </w:rPr>
      </w:pPr>
      <w:r>
        <w:rPr>
          <w:rFonts w:ascii="Arial" w:cs="Arial" w:eastAsia="Arial" w:hAnsi="Arial"/>
          <w:sz w:val="14"/>
          <w:szCs w:val="14"/>
          <w:b w:val="1"/>
          <w:bCs w:val="1"/>
          <w:color w:val="auto"/>
        </w:rPr>
        <w:t>Former Public Company Directorships Held in the Past Five Years:</w:t>
      </w:r>
    </w:p>
    <w:p>
      <w:pPr>
        <w:spacing w:after="0" w:line="1" w:lineRule="exact"/>
        <w:rPr>
          <w:sz w:val="20"/>
          <w:szCs w:val="20"/>
          <w:color w:val="auto"/>
        </w:rPr>
      </w:pPr>
    </w:p>
    <w:p>
      <w:pPr>
        <w:ind w:left="8"/>
        <w:spacing w:after="0"/>
        <w:rPr>
          <w:sz w:val="20"/>
          <w:szCs w:val="20"/>
          <w:color w:val="auto"/>
        </w:rPr>
      </w:pPr>
      <w:r>
        <w:rPr>
          <w:rFonts w:ascii="Arial" w:cs="Arial" w:eastAsia="Arial" w:hAnsi="Arial"/>
          <w:sz w:val="16"/>
          <w:szCs w:val="16"/>
          <w:color w:val="auto"/>
        </w:rPr>
        <w:t>•  None</w:t>
      </w:r>
    </w:p>
    <w:p>
      <w:pPr>
        <w:spacing w:after="0" w:line="174"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Other Positions:</w:t>
      </w:r>
    </w:p>
    <w:p>
      <w:pPr>
        <w:spacing w:after="0" w:line="15" w:lineRule="exact"/>
        <w:rPr>
          <w:sz w:val="20"/>
          <w:szCs w:val="20"/>
          <w:color w:val="auto"/>
        </w:rPr>
      </w:pPr>
    </w:p>
    <w:p>
      <w:pPr>
        <w:ind w:left="168" w:hanging="168"/>
        <w:spacing w:after="0"/>
        <w:tabs>
          <w:tab w:leader="none" w:pos="168" w:val="left"/>
        </w:tabs>
        <w:numPr>
          <w:ilvl w:val="0"/>
          <w:numId w:val="35"/>
        </w:numPr>
        <w:rPr>
          <w:rFonts w:ascii="Arial" w:cs="Arial" w:eastAsia="Arial" w:hAnsi="Arial"/>
          <w:sz w:val="14"/>
          <w:szCs w:val="14"/>
          <w:color w:val="auto"/>
        </w:rPr>
      </w:pPr>
      <w:r>
        <w:rPr>
          <w:rFonts w:ascii="Arial" w:cs="Arial" w:eastAsia="Arial" w:hAnsi="Arial"/>
          <w:sz w:val="14"/>
          <w:szCs w:val="14"/>
          <w:color w:val="auto"/>
        </w:rPr>
        <w:t>Former Trustee, Financial Accounting Foundation</w:t>
      </w:r>
    </w:p>
    <w:p>
      <w:pPr>
        <w:spacing w:after="0" w:line="20" w:lineRule="exact"/>
        <w:rPr>
          <w:rFonts w:ascii="Arial" w:cs="Arial" w:eastAsia="Arial" w:hAnsi="Arial"/>
          <w:sz w:val="14"/>
          <w:szCs w:val="14"/>
          <w:color w:val="auto"/>
        </w:rPr>
      </w:pPr>
    </w:p>
    <w:p>
      <w:pPr>
        <w:ind w:left="148" w:right="860" w:hanging="148"/>
        <w:spacing w:after="0" w:line="239" w:lineRule="auto"/>
        <w:tabs>
          <w:tab w:leader="none" w:pos="155" w:val="left"/>
        </w:tabs>
        <w:numPr>
          <w:ilvl w:val="0"/>
          <w:numId w:val="35"/>
        </w:numPr>
        <w:rPr>
          <w:rFonts w:ascii="Arial" w:cs="Arial" w:eastAsia="Arial" w:hAnsi="Arial"/>
          <w:sz w:val="16"/>
          <w:szCs w:val="16"/>
          <w:color w:val="auto"/>
        </w:rPr>
      </w:pPr>
      <w:r>
        <w:rPr>
          <w:rFonts w:ascii="Arial" w:cs="Arial" w:eastAsia="Arial" w:hAnsi="Arial"/>
          <w:sz w:val="16"/>
          <w:szCs w:val="16"/>
          <w:color w:val="auto"/>
        </w:rPr>
        <w:t>Former Practice Fellow, Financial Accounting Standards Board</w:t>
      </w:r>
    </w:p>
    <w:p>
      <w:pPr>
        <w:spacing w:after="0" w:line="200" w:lineRule="exact"/>
        <w:rPr>
          <w:sz w:val="20"/>
          <w:szCs w:val="20"/>
          <w:color w:val="auto"/>
        </w:rPr>
      </w:pPr>
    </w:p>
    <w:p>
      <w:pPr>
        <w:sectPr>
          <w:pgSz w:w="11900" w:h="16838" w:orient="portrait"/>
          <w:cols w:equalWidth="0" w:num="2">
            <w:col w:w="5440" w:space="712"/>
            <w:col w:w="4128"/>
          </w:cols>
          <w:pgMar w:left="320" w:top="445" w:right="1299" w:bottom="1440" w:gutter="0" w:footer="0" w:header="0"/>
          <w:type w:val="continuous"/>
        </w:sectPr>
      </w:pPr>
    </w:p>
    <w:p>
      <w:pPr>
        <w:spacing w:after="0" w:line="200" w:lineRule="exact"/>
        <w:rPr>
          <w:sz w:val="20"/>
          <w:szCs w:val="20"/>
          <w:color w:val="auto"/>
        </w:rPr>
      </w:pPr>
    </w:p>
    <w:p>
      <w:pPr>
        <w:spacing w:after="0" w:line="332" w:lineRule="exact"/>
        <w:rPr>
          <w:sz w:val="20"/>
          <w:szCs w:val="20"/>
          <w:color w:val="auto"/>
        </w:rPr>
      </w:pPr>
    </w:p>
    <w:p>
      <w:pPr>
        <w:ind w:left="2880"/>
        <w:spacing w:after="0"/>
        <w:rPr>
          <w:sz w:val="20"/>
          <w:szCs w:val="20"/>
          <w:color w:val="auto"/>
        </w:rPr>
      </w:pPr>
      <w:r>
        <w:rPr>
          <w:rFonts w:ascii="Arial" w:cs="Arial" w:eastAsia="Arial" w:hAnsi="Arial"/>
          <w:sz w:val="45"/>
          <w:szCs w:val="45"/>
          <w:color w:val="595959"/>
        </w:rPr>
        <w:t>Satya Nadella</w:t>
      </w:r>
    </w:p>
    <w:p>
      <w:pPr>
        <w:ind w:left="288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54 |</w:t>
      </w:r>
      <w:r>
        <w:rPr>
          <w:rFonts w:ascii="Arial" w:cs="Arial" w:eastAsia="Arial" w:hAnsi="Arial"/>
          <w:sz w:val="17"/>
          <w:szCs w:val="17"/>
          <w:b w:val="1"/>
          <w:bCs w:val="1"/>
          <w:color w:val="auto"/>
        </w:rPr>
        <w:t xml:space="preserve"> Director Since: </w:t>
      </w:r>
      <w:r>
        <w:rPr>
          <w:rFonts w:ascii="Arial" w:cs="Arial" w:eastAsia="Arial" w:hAnsi="Arial"/>
          <w:sz w:val="17"/>
          <w:szCs w:val="17"/>
          <w:color w:val="auto"/>
        </w:rPr>
        <w:t>2014 |</w:t>
      </w:r>
      <w:r>
        <w:rPr>
          <w:rFonts w:ascii="Arial" w:cs="Arial" w:eastAsia="Arial" w:hAnsi="Arial"/>
          <w:sz w:val="17"/>
          <w:szCs w:val="17"/>
          <w:b w:val="1"/>
          <w:bCs w:val="1"/>
          <w:color w:val="auto"/>
        </w:rPr>
        <w:t xml:space="preserve"> Birthplace: </w:t>
      </w:r>
      <w:r>
        <w:rPr>
          <w:rFonts w:ascii="Arial" w:cs="Arial" w:eastAsia="Arial" w:hAnsi="Arial"/>
          <w:sz w:val="17"/>
          <w:szCs w:val="17"/>
          <w:color w:val="auto"/>
        </w:rPr>
        <w:t>India</w:t>
      </w:r>
    </w:p>
    <w:p>
      <w:pPr>
        <w:sectPr>
          <w:pgSz w:w="11900" w:h="16838" w:orient="portrait"/>
          <w:cols w:equalWidth="0" w:num="1">
            <w:col w:w="10280"/>
          </w:cols>
          <w:pgMar w:left="320" w:top="445" w:right="1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auto"/>
        </w:rPr>
        <w:t>Experience:</w:t>
      </w:r>
    </w:p>
    <w:p>
      <w:pPr>
        <w:spacing w:after="0" w:line="15" w:lineRule="exact"/>
        <w:rPr>
          <w:sz w:val="20"/>
          <w:szCs w:val="20"/>
          <w:color w:val="auto"/>
        </w:rPr>
      </w:pPr>
    </w:p>
    <w:p>
      <w:pPr>
        <w:jc w:val="center"/>
        <w:ind w:left="420"/>
        <w:spacing w:after="0"/>
        <w:rPr>
          <w:sz w:val="20"/>
          <w:szCs w:val="20"/>
          <w:color w:val="auto"/>
        </w:rPr>
      </w:pPr>
      <w:r>
        <w:rPr>
          <w:rFonts w:ascii="Arial" w:cs="Arial" w:eastAsia="Arial" w:hAnsi="Arial"/>
          <w:sz w:val="14"/>
          <w:szCs w:val="14"/>
          <w:b w:val="1"/>
          <w:bCs w:val="1"/>
          <w:color w:val="0075C9"/>
        </w:rPr>
        <w:t>Microsoft Corporation (1992-present)</w:t>
      </w:r>
    </w:p>
    <w:p>
      <w:pPr>
        <w:spacing w:after="0" w:line="20" w:lineRule="exact"/>
        <w:rPr>
          <w:sz w:val="20"/>
          <w:szCs w:val="20"/>
          <w:color w:val="auto"/>
        </w:rPr>
      </w:pPr>
    </w:p>
    <w:p>
      <w:pPr>
        <w:ind w:left="1820" w:hanging="161"/>
        <w:spacing w:after="0"/>
        <w:tabs>
          <w:tab w:leader="none" w:pos="18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Chairman and Chief Executive Officer (2021 to present)</w:t>
      </w:r>
    </w:p>
    <w:p>
      <w:pPr>
        <w:spacing w:after="0" w:line="20" w:lineRule="exact"/>
        <w:rPr>
          <w:rFonts w:ascii="Arial" w:cs="Arial" w:eastAsia="Arial" w:hAnsi="Arial"/>
          <w:sz w:val="14"/>
          <w:szCs w:val="14"/>
          <w:color w:val="auto"/>
        </w:rPr>
      </w:pPr>
    </w:p>
    <w:p>
      <w:pPr>
        <w:ind w:left="1820" w:hanging="161"/>
        <w:spacing w:after="0" w:line="236" w:lineRule="auto"/>
        <w:tabs>
          <w:tab w:leader="none" w:pos="18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Chief Executive Officer and Director (2014-2021)</w:t>
      </w:r>
    </w:p>
    <w:p>
      <w:pPr>
        <w:ind w:left="1820" w:right="60" w:hanging="161"/>
        <w:spacing w:after="0" w:line="236" w:lineRule="auto"/>
        <w:tabs>
          <w:tab w:leader="none" w:pos="1828" w:val="left"/>
        </w:tabs>
        <w:numPr>
          <w:ilvl w:val="0"/>
          <w:numId w:val="36"/>
        </w:numPr>
        <w:rPr>
          <w:rFonts w:ascii="Arial" w:cs="Arial" w:eastAsia="Arial" w:hAnsi="Arial"/>
          <w:sz w:val="16"/>
          <w:szCs w:val="16"/>
          <w:color w:val="auto"/>
        </w:rPr>
      </w:pPr>
      <w:r>
        <w:rPr>
          <w:rFonts w:ascii="Arial" w:cs="Arial" w:eastAsia="Arial" w:hAnsi="Arial"/>
          <w:sz w:val="16"/>
          <w:szCs w:val="16"/>
          <w:color w:val="auto"/>
        </w:rPr>
        <w:t>Executive Vice President, Cloud and Enterprise (2013-2014)</w:t>
      </w:r>
    </w:p>
    <w:p>
      <w:pPr>
        <w:ind w:left="1820" w:hanging="161"/>
        <w:spacing w:after="0" w:line="236" w:lineRule="auto"/>
        <w:tabs>
          <w:tab w:leader="none" w:pos="18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President, Server and Tools (2011-2013)</w:t>
      </w:r>
    </w:p>
    <w:p>
      <w:pPr>
        <w:ind w:left="1820" w:right="80" w:hanging="161"/>
        <w:spacing w:after="0" w:line="236" w:lineRule="auto"/>
        <w:tabs>
          <w:tab w:leader="none" w:pos="1828" w:val="left"/>
        </w:tabs>
        <w:numPr>
          <w:ilvl w:val="0"/>
          <w:numId w:val="36"/>
        </w:numPr>
        <w:rPr>
          <w:rFonts w:ascii="Arial" w:cs="Arial" w:eastAsia="Arial" w:hAnsi="Arial"/>
          <w:sz w:val="16"/>
          <w:szCs w:val="16"/>
          <w:color w:val="auto"/>
        </w:rPr>
      </w:pPr>
      <w:r>
        <w:rPr>
          <w:rFonts w:ascii="Arial" w:cs="Arial" w:eastAsia="Arial" w:hAnsi="Arial"/>
          <w:sz w:val="16"/>
          <w:szCs w:val="16"/>
          <w:color w:val="auto"/>
        </w:rPr>
        <w:t>Senior Vice President, Online Services Division (2009-2011)</w:t>
      </w:r>
    </w:p>
    <w:p>
      <w:pPr>
        <w:ind w:left="1820" w:right="100" w:hanging="161"/>
        <w:spacing w:after="0" w:line="236" w:lineRule="auto"/>
        <w:tabs>
          <w:tab w:leader="none" w:pos="1828" w:val="left"/>
        </w:tabs>
        <w:numPr>
          <w:ilvl w:val="0"/>
          <w:numId w:val="36"/>
        </w:numPr>
        <w:rPr>
          <w:rFonts w:ascii="Arial" w:cs="Arial" w:eastAsia="Arial" w:hAnsi="Arial"/>
          <w:sz w:val="16"/>
          <w:szCs w:val="16"/>
          <w:color w:val="auto"/>
        </w:rPr>
      </w:pPr>
      <w:r>
        <w:rPr>
          <w:rFonts w:ascii="Arial" w:cs="Arial" w:eastAsia="Arial" w:hAnsi="Arial"/>
          <w:sz w:val="16"/>
          <w:szCs w:val="16"/>
          <w:color w:val="auto"/>
        </w:rPr>
        <w:t>Senior Vice President, Search, Portal, and Advertising (2008-2009)</w:t>
      </w:r>
    </w:p>
    <w:p>
      <w:pPr>
        <w:ind w:left="1820" w:hanging="161"/>
        <w:spacing w:after="0"/>
        <w:tabs>
          <w:tab w:leader="none" w:pos="18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Various positions of increasing authority (1992-2008)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Microsoft Committees: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  None</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Public Company Directorships: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  Starbucks Corporation</w:t>
      </w:r>
    </w:p>
    <w:p>
      <w:pPr>
        <w:spacing w:after="0" w:line="174" w:lineRule="exact"/>
        <w:rPr>
          <w:sz w:val="20"/>
          <w:szCs w:val="20"/>
          <w:color w:val="auto"/>
        </w:rPr>
      </w:pPr>
    </w:p>
    <w:p>
      <w:pPr>
        <w:ind w:right="1280"/>
        <w:spacing w:after="0" w:line="283" w:lineRule="auto"/>
        <w:rPr>
          <w:sz w:val="20"/>
          <w:szCs w:val="20"/>
          <w:color w:val="auto"/>
        </w:rPr>
      </w:pPr>
      <w:r>
        <w:rPr>
          <w:rFonts w:ascii="Arial" w:cs="Arial" w:eastAsia="Arial" w:hAnsi="Arial"/>
          <w:sz w:val="14"/>
          <w:szCs w:val="14"/>
          <w:b w:val="1"/>
          <w:bCs w:val="1"/>
          <w:color w:val="auto"/>
        </w:rPr>
        <w:t>Former Public Company Directorships Held in the Past Five Years: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None</w:t>
      </w:r>
    </w:p>
    <w:p>
      <w:pPr>
        <w:spacing w:after="0" w:line="718" w:lineRule="exact"/>
        <w:rPr>
          <w:sz w:val="20"/>
          <w:szCs w:val="20"/>
          <w:color w:val="auto"/>
        </w:rPr>
      </w:pPr>
    </w:p>
    <w:p>
      <w:pPr>
        <w:sectPr>
          <w:pgSz w:w="11900" w:h="16838" w:orient="portrait"/>
          <w:cols w:equalWidth="0" w:num="2">
            <w:col w:w="5640" w:space="520"/>
            <w:col w:w="4120"/>
          </w:cols>
          <w:pgMar w:left="320" w:top="445" w:right="1299" w:bottom="1440" w:gutter="0" w:footer="0" w:header="0"/>
          <w:type w:val="continuous"/>
        </w:sectPr>
      </w:pPr>
    </w:p>
    <w:p>
      <w:pPr>
        <w:spacing w:after="0" w:line="200" w:lineRule="exact"/>
        <w:rPr>
          <w:sz w:val="20"/>
          <w:szCs w:val="20"/>
          <w:color w:val="auto"/>
        </w:rPr>
      </w:pPr>
    </w:p>
    <w:p>
      <w:pPr>
        <w:spacing w:after="0" w:line="245" w:lineRule="exact"/>
        <w:rPr>
          <w:sz w:val="20"/>
          <w:szCs w:val="20"/>
          <w:color w:val="auto"/>
        </w:rPr>
      </w:pPr>
    </w:p>
    <w:p>
      <w:pPr>
        <w:ind w:left="8240"/>
        <w:spacing w:after="0"/>
        <w:tabs>
          <w:tab w:leader="none" w:pos="10120" w:val="left"/>
        </w:tabs>
        <w:rPr>
          <w:sz w:val="20"/>
          <w:szCs w:val="20"/>
          <w:color w:val="auto"/>
        </w:rPr>
      </w:pPr>
      <w:r>
        <w:rPr>
          <w:rFonts w:ascii="Arial" w:cs="Arial" w:eastAsia="Arial" w:hAnsi="Arial"/>
          <w:sz w:val="14"/>
          <w:szCs w:val="14"/>
          <w:color w:val="auto"/>
        </w:rPr>
        <w:t>2021 PROXY STATEMENT</w:t>
      </w:r>
      <w:r>
        <w:rPr>
          <w:sz w:val="20"/>
          <w:szCs w:val="20"/>
          <w:color w:val="auto"/>
        </w:rPr>
        <w:tab/>
      </w:r>
      <w:r>
        <w:rPr>
          <w:rFonts w:ascii="Arial" w:cs="Arial" w:eastAsia="Arial" w:hAnsi="Arial"/>
          <w:sz w:val="12"/>
          <w:szCs w:val="12"/>
          <w:b w:val="1"/>
          <w:bCs w:val="1"/>
          <w:color w:val="0075C9"/>
        </w:rPr>
        <w:t>23</w:t>
      </w:r>
    </w:p>
    <w:p>
      <w:pPr>
        <w:sectPr>
          <w:pgSz w:w="11900" w:h="16838" w:orient="portrait"/>
          <w:cols w:equalWidth="0" w:num="1">
            <w:col w:w="10280"/>
          </w:cols>
          <w:pgMar w:left="320" w:top="445" w:right="1299" w:bottom="1440" w:gutter="0" w:footer="0" w:header="0"/>
          <w:type w:val="continuous"/>
        </w:sectPr>
      </w:pPr>
    </w:p>
    <w:bookmarkStart w:id="31" w:name="page32"/>
    <w:bookmarkEnd w:id="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0075C9"/>
                <w:w w:val="89"/>
              </w:rPr>
              <w:t>1</w:t>
            </w:r>
          </w:p>
        </w:tc>
        <w:tc>
          <w:tcPr>
            <w:tcW w:w="1220" w:type="dxa"/>
            <w:vAlign w:val="bottom"/>
            <w:vMerge w:val="restart"/>
          </w:tcPr>
          <w:p>
            <w:pPr>
              <w:ind w:left="80"/>
              <w:spacing w:after="0"/>
              <w:rPr>
                <w:sz w:val="20"/>
                <w:szCs w:val="20"/>
                <w:color w:val="auto"/>
              </w:rPr>
            </w:pPr>
            <w:r>
              <w:rPr>
                <w:rFonts w:ascii="Arial" w:cs="Arial" w:eastAsia="Arial" w:hAnsi="Arial"/>
                <w:sz w:val="12"/>
                <w:szCs w:val="12"/>
                <w:color w:val="0075C9"/>
                <w:w w:val="98"/>
              </w:rPr>
              <w:t>GOVERNANCE AND</w:t>
            </w:r>
          </w:p>
        </w:tc>
        <w:tc>
          <w:tcPr>
            <w:tcW w:w="720" w:type="dxa"/>
            <w:vAlign w:val="bottom"/>
          </w:tcPr>
          <w:p>
            <w:pPr>
              <w:jc w:val="right"/>
              <w:spacing w:after="0"/>
              <w:rPr>
                <w:sz w:val="20"/>
                <w:szCs w:val="20"/>
                <w:color w:val="auto"/>
              </w:rPr>
            </w:pPr>
            <w:r>
              <w:rPr>
                <w:rFonts w:ascii="Arial" w:cs="Arial" w:eastAsia="Arial" w:hAnsi="Arial"/>
                <w:sz w:val="36"/>
                <w:szCs w:val="36"/>
                <w:color w:val="auto"/>
              </w:rPr>
              <w:t>2</w:t>
            </w:r>
          </w:p>
        </w:tc>
        <w:tc>
          <w:tcPr>
            <w:tcW w:w="1540" w:type="dxa"/>
            <w:vAlign w:val="bottom"/>
            <w:vMerge w:val="restart"/>
          </w:tcPr>
          <w:p>
            <w:pPr>
              <w:ind w:left="80"/>
              <w:spacing w:after="0"/>
              <w:rPr>
                <w:sz w:val="20"/>
                <w:szCs w:val="20"/>
                <w:color w:val="auto"/>
              </w:rPr>
            </w:pPr>
            <w:r>
              <w:rPr>
                <w:rFonts w:ascii="Arial" w:cs="Arial" w:eastAsia="Arial" w:hAnsi="Arial"/>
                <w:sz w:val="12"/>
                <w:szCs w:val="12"/>
                <w:color w:val="auto"/>
              </w:rPr>
              <w:t>NAMED</w:t>
            </w:r>
          </w:p>
        </w:tc>
        <w:tc>
          <w:tcPr>
            <w:tcW w:w="500" w:type="dxa"/>
            <w:vAlign w:val="bottom"/>
          </w:tcPr>
          <w:p>
            <w:pPr>
              <w:jc w:val="right"/>
              <w:spacing w:after="0"/>
              <w:rPr>
                <w:sz w:val="20"/>
                <w:szCs w:val="20"/>
                <w:color w:val="auto"/>
              </w:rPr>
            </w:pPr>
            <w:r>
              <w:rPr>
                <w:rFonts w:ascii="Arial" w:cs="Arial" w:eastAsia="Arial" w:hAnsi="Arial"/>
                <w:sz w:val="36"/>
                <w:szCs w:val="36"/>
                <w:color w:val="auto"/>
              </w:rPr>
              <w:t>3</w:t>
            </w:r>
          </w:p>
        </w:tc>
        <w:tc>
          <w:tcPr>
            <w:tcW w:w="980" w:type="dxa"/>
            <w:vAlign w:val="bottom"/>
            <w:vMerge w:val="restart"/>
          </w:tcPr>
          <w:p>
            <w:pPr>
              <w:ind w:left="80"/>
              <w:spacing w:after="0"/>
              <w:rPr>
                <w:sz w:val="20"/>
                <w:szCs w:val="20"/>
                <w:color w:val="auto"/>
              </w:rPr>
            </w:pPr>
            <w:r>
              <w:rPr>
                <w:rFonts w:ascii="Arial" w:cs="Arial" w:eastAsia="Arial" w:hAnsi="Arial"/>
                <w:sz w:val="12"/>
                <w:szCs w:val="12"/>
                <w:color w:val="auto"/>
              </w:rPr>
              <w:t>AUDIT</w:t>
            </w:r>
          </w:p>
        </w:tc>
        <w:tc>
          <w:tcPr>
            <w:tcW w:w="460" w:type="dxa"/>
            <w:vAlign w:val="bottom"/>
          </w:tcPr>
          <w:p>
            <w:pPr>
              <w:jc w:val="right"/>
              <w:spacing w:after="0"/>
              <w:rPr>
                <w:sz w:val="20"/>
                <w:szCs w:val="20"/>
                <w:color w:val="auto"/>
              </w:rPr>
            </w:pPr>
            <w:r>
              <w:rPr>
                <w:rFonts w:ascii="Arial" w:cs="Arial" w:eastAsia="Arial" w:hAnsi="Arial"/>
                <w:sz w:val="36"/>
                <w:szCs w:val="36"/>
                <w:color w:val="auto"/>
              </w:rPr>
              <w:t>4</w:t>
            </w:r>
          </w:p>
        </w:tc>
        <w:tc>
          <w:tcPr>
            <w:tcW w:w="1580" w:type="dxa"/>
            <w:vAlign w:val="bottom"/>
            <w:vMerge w:val="restart"/>
          </w:tcPr>
          <w:p>
            <w:pPr>
              <w:ind w:left="80"/>
              <w:spacing w:after="0"/>
              <w:rPr>
                <w:sz w:val="20"/>
                <w:szCs w:val="20"/>
                <w:color w:val="auto"/>
              </w:rPr>
            </w:pPr>
            <w:r>
              <w:rPr>
                <w:rFonts w:ascii="Arial" w:cs="Arial" w:eastAsia="Arial" w:hAnsi="Arial"/>
                <w:sz w:val="12"/>
                <w:szCs w:val="12"/>
                <w:color w:val="auto"/>
              </w:rPr>
              <w:t>PROPOSALS TO</w:t>
            </w:r>
          </w:p>
        </w:tc>
        <w:tc>
          <w:tcPr>
            <w:tcW w:w="440" w:type="dxa"/>
            <w:vAlign w:val="bottom"/>
          </w:tcPr>
          <w:p>
            <w:pPr>
              <w:jc w:val="right"/>
              <w:spacing w:after="0"/>
              <w:rPr>
                <w:sz w:val="20"/>
                <w:szCs w:val="20"/>
                <w:color w:val="auto"/>
              </w:rPr>
            </w:pPr>
            <w:r>
              <w:rPr>
                <w:rFonts w:ascii="Arial" w:cs="Arial" w:eastAsia="Arial" w:hAnsi="Arial"/>
                <w:sz w:val="36"/>
                <w:szCs w:val="36"/>
                <w:color w:val="auto"/>
              </w:rPr>
              <w:t>5</w:t>
            </w:r>
          </w:p>
        </w:tc>
        <w:tc>
          <w:tcPr>
            <w:tcW w:w="900" w:type="dxa"/>
            <w:vAlign w:val="bottom"/>
            <w:vMerge w:val="restart"/>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220" w:type="dxa"/>
            <w:vAlign w:val="bottom"/>
          </w:tcPr>
          <w:p>
            <w:pPr>
              <w:ind w:left="80"/>
              <w:spacing w:after="0" w:line="130" w:lineRule="exact"/>
              <w:rPr>
                <w:sz w:val="20"/>
                <w:szCs w:val="20"/>
                <w:color w:val="auto"/>
              </w:rPr>
            </w:pPr>
            <w:r>
              <w:rPr>
                <w:rFonts w:ascii="Arial" w:cs="Arial" w:eastAsia="Arial" w:hAnsi="Arial"/>
                <w:sz w:val="12"/>
                <w:szCs w:val="12"/>
                <w:color w:val="0075C9"/>
              </w:rPr>
              <w:t>OUR BOARD OF</w:t>
            </w:r>
          </w:p>
        </w:tc>
        <w:tc>
          <w:tcPr>
            <w:tcW w:w="720" w:type="dxa"/>
            <w:vAlign w:val="bottom"/>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460" w:type="dxa"/>
            <w:vAlign w:val="bottom"/>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40" w:type="dxa"/>
            <w:vAlign w:val="bottom"/>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0075C9"/>
              </w:rPr>
              <w:t>DIRECTORS</w:t>
            </w:r>
          </w:p>
        </w:tc>
        <w:tc>
          <w:tcPr>
            <w:tcW w:w="720" w:type="dxa"/>
            <w:vAlign w:val="bottom"/>
          </w:tcPr>
          <w:p>
            <w:pPr>
              <w:spacing w:after="0"/>
              <w:rPr>
                <w:sz w:val="12"/>
                <w:szCs w:val="12"/>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tcPr>
          <w:p>
            <w:pPr>
              <w:spacing w:after="0"/>
              <w:rPr>
                <w:sz w:val="12"/>
                <w:szCs w:val="12"/>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460" w:type="dxa"/>
            <w:vAlign w:val="bottom"/>
          </w:tcPr>
          <w:p>
            <w:pPr>
              <w:spacing w:after="0"/>
              <w:rPr>
                <w:sz w:val="12"/>
                <w:szCs w:val="12"/>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40" w:type="dxa"/>
            <w:vAlign w:val="bottom"/>
          </w:tcPr>
          <w:p>
            <w:pPr>
              <w:spacing w:after="0"/>
              <w:rPr>
                <w:sz w:val="12"/>
                <w:szCs w:val="12"/>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shd w:val="clear" w:color="auto" w:fill="0075C9"/>
          </w:tcPr>
          <w:p>
            <w:pPr>
              <w:spacing w:after="0"/>
              <w:rPr>
                <w:sz w:val="9"/>
                <w:szCs w:val="9"/>
                <w:color w:val="auto"/>
              </w:rPr>
            </w:pPr>
          </w:p>
        </w:tc>
        <w:tc>
          <w:tcPr>
            <w:tcW w:w="1220" w:type="dxa"/>
            <w:vAlign w:val="bottom"/>
            <w:shd w:val="clear" w:color="auto" w:fill="0075C9"/>
          </w:tcPr>
          <w:p>
            <w:pPr>
              <w:spacing w:after="0"/>
              <w:rPr>
                <w:sz w:val="9"/>
                <w:szCs w:val="9"/>
                <w:color w:val="auto"/>
              </w:rPr>
            </w:pPr>
          </w:p>
        </w:tc>
        <w:tc>
          <w:tcPr>
            <w:tcW w:w="7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189230</wp:posOffset>
            </wp:positionV>
            <wp:extent cx="5748020" cy="33877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748020" cy="338772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2880"/>
        <w:spacing w:after="0"/>
        <w:rPr>
          <w:sz w:val="20"/>
          <w:szCs w:val="20"/>
          <w:color w:val="auto"/>
        </w:rPr>
      </w:pPr>
      <w:r>
        <w:rPr>
          <w:rFonts w:ascii="Arial" w:cs="Arial" w:eastAsia="Arial" w:hAnsi="Arial"/>
          <w:sz w:val="45"/>
          <w:szCs w:val="45"/>
          <w:color w:val="595959"/>
        </w:rPr>
        <w:t>Sandra E. Peterson</w:t>
      </w:r>
    </w:p>
    <w:p>
      <w:pPr>
        <w:ind w:left="288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62 |</w:t>
      </w:r>
      <w:r>
        <w:rPr>
          <w:rFonts w:ascii="Arial" w:cs="Arial" w:eastAsia="Arial" w:hAnsi="Arial"/>
          <w:sz w:val="17"/>
          <w:szCs w:val="17"/>
          <w:b w:val="1"/>
          <w:bCs w:val="1"/>
          <w:color w:val="auto"/>
        </w:rPr>
        <w:t xml:space="preserve"> Director Since: </w:t>
      </w:r>
      <w:r>
        <w:rPr>
          <w:rFonts w:ascii="Arial" w:cs="Arial" w:eastAsia="Arial" w:hAnsi="Arial"/>
          <w:sz w:val="17"/>
          <w:szCs w:val="17"/>
          <w:color w:val="auto"/>
        </w:rPr>
        <w:t>2015 |</w:t>
      </w:r>
      <w:r>
        <w:rPr>
          <w:rFonts w:ascii="Arial" w:cs="Arial" w:eastAsia="Arial" w:hAnsi="Arial"/>
          <w:sz w:val="17"/>
          <w:szCs w:val="17"/>
          <w:b w:val="1"/>
          <w:bCs w:val="1"/>
          <w:color w:val="auto"/>
        </w:rPr>
        <w:t xml:space="preserve"> Birthplace: </w:t>
      </w:r>
      <w:r>
        <w:rPr>
          <w:rFonts w:ascii="Arial" w:cs="Arial" w:eastAsia="Arial" w:hAnsi="Arial"/>
          <w:sz w:val="17"/>
          <w:szCs w:val="17"/>
          <w:color w:val="auto"/>
        </w:rPr>
        <w:t>United States |</w:t>
      </w:r>
      <w:r>
        <w:rPr>
          <w:rFonts w:ascii="Arial" w:cs="Arial" w:eastAsia="Arial" w:hAnsi="Arial"/>
          <w:sz w:val="17"/>
          <w:szCs w:val="17"/>
          <w:b w:val="1"/>
          <w:bCs w:val="1"/>
          <w:color w:val="auto"/>
        </w:rPr>
        <w:t xml:space="preserve"> </w:t>
      </w:r>
      <w:r>
        <w:rPr>
          <w:rFonts w:ascii="Arial" w:cs="Arial" w:eastAsia="Arial" w:hAnsi="Arial"/>
          <w:sz w:val="17"/>
          <w:szCs w:val="17"/>
          <w:color w:val="0075C9"/>
        </w:rPr>
        <w:t>Independent</w:t>
      </w:r>
    </w:p>
    <w:p>
      <w:pPr>
        <w:sectPr>
          <w:pgSz w:w="11900" w:h="16838" w:orient="portrait"/>
          <w:cols w:equalWidth="0" w:num="1">
            <w:col w:w="10140"/>
          </w:cols>
          <w:pgMar w:left="320" w:top="445"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auto"/>
        </w:rPr>
        <w:t>Experience:</w:t>
      </w:r>
    </w:p>
    <w:p>
      <w:pPr>
        <w:spacing w:after="0" w:line="13"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0075C9"/>
        </w:rPr>
        <w:t>Clayton, Dubilier &amp; Rice, LLC (2019-present)</w:t>
      </w:r>
    </w:p>
    <w:p>
      <w:pPr>
        <w:ind w:left="1660"/>
        <w:spacing w:after="0" w:line="236" w:lineRule="auto"/>
        <w:rPr>
          <w:sz w:val="20"/>
          <w:szCs w:val="20"/>
          <w:color w:val="auto"/>
        </w:rPr>
      </w:pPr>
      <w:r>
        <w:rPr>
          <w:rFonts w:ascii="Arial" w:cs="Arial" w:eastAsia="Arial" w:hAnsi="Arial"/>
          <w:sz w:val="16"/>
          <w:szCs w:val="16"/>
          <w:color w:val="0075C9"/>
        </w:rPr>
        <w:t>(investment firm)</w:t>
      </w:r>
    </w:p>
    <w:p>
      <w:pPr>
        <w:ind w:left="1820" w:hanging="161"/>
        <w:spacing w:after="0" w:line="237" w:lineRule="auto"/>
        <w:tabs>
          <w:tab w:leader="none" w:pos="18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Operating Partner (2019-present)</w:t>
      </w:r>
    </w:p>
    <w:p>
      <w:pPr>
        <w:ind w:left="1660"/>
        <w:spacing w:after="0" w:line="236" w:lineRule="auto"/>
        <w:rPr>
          <w:rFonts w:ascii="Arial" w:cs="Arial" w:eastAsia="Arial" w:hAnsi="Arial"/>
          <w:sz w:val="16"/>
          <w:szCs w:val="16"/>
          <w:color w:val="auto"/>
        </w:rPr>
      </w:pPr>
      <w:r>
        <w:rPr>
          <w:rFonts w:ascii="Arial" w:cs="Arial" w:eastAsia="Arial" w:hAnsi="Arial"/>
          <w:sz w:val="16"/>
          <w:szCs w:val="16"/>
          <w:b w:val="1"/>
          <w:bCs w:val="1"/>
          <w:color w:val="0075C9"/>
        </w:rPr>
        <w:t>Johnson &amp; Johnson (2012-2018)</w:t>
      </w:r>
    </w:p>
    <w:p>
      <w:pPr>
        <w:ind w:left="1820" w:hanging="161"/>
        <w:spacing w:after="0"/>
        <w:tabs>
          <w:tab w:leader="none" w:pos="18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Group Worldwide Chair and member of the Executive</w:t>
      </w:r>
    </w:p>
    <w:p>
      <w:pPr>
        <w:spacing w:after="0" w:line="18" w:lineRule="exact"/>
        <w:rPr>
          <w:sz w:val="20"/>
          <w:szCs w:val="20"/>
          <w:color w:val="auto"/>
        </w:rPr>
      </w:pPr>
    </w:p>
    <w:p>
      <w:pPr>
        <w:ind w:left="1820"/>
        <w:spacing w:after="0"/>
        <w:rPr>
          <w:sz w:val="20"/>
          <w:szCs w:val="20"/>
          <w:color w:val="auto"/>
        </w:rPr>
      </w:pPr>
      <w:r>
        <w:rPr>
          <w:rFonts w:ascii="Arial" w:cs="Arial" w:eastAsia="Arial" w:hAnsi="Arial"/>
          <w:sz w:val="16"/>
          <w:szCs w:val="16"/>
          <w:color w:val="auto"/>
        </w:rPr>
        <w:t>Committee (2012-2018)</w:t>
      </w:r>
    </w:p>
    <w:p>
      <w:pPr>
        <w:ind w:left="1660"/>
        <w:spacing w:after="0" w:line="236" w:lineRule="auto"/>
        <w:rPr>
          <w:sz w:val="20"/>
          <w:szCs w:val="20"/>
          <w:color w:val="auto"/>
        </w:rPr>
      </w:pPr>
      <w:r>
        <w:rPr>
          <w:rFonts w:ascii="Arial" w:cs="Arial" w:eastAsia="Arial" w:hAnsi="Arial"/>
          <w:sz w:val="16"/>
          <w:szCs w:val="16"/>
          <w:b w:val="1"/>
          <w:bCs w:val="1"/>
          <w:color w:val="0075C9"/>
        </w:rPr>
        <w:t>Bayer CropScience AG (2010-2012)</w:t>
      </w:r>
    </w:p>
    <w:p>
      <w:pPr>
        <w:ind w:left="1820" w:hanging="161"/>
        <w:spacing w:after="0" w:line="237" w:lineRule="auto"/>
        <w:tabs>
          <w:tab w:leader="none" w:pos="18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Chairman of the Board of Management (2010-2012)</w:t>
      </w:r>
    </w:p>
    <w:p>
      <w:pPr>
        <w:ind w:left="1820" w:hanging="161"/>
        <w:spacing w:after="0" w:line="236" w:lineRule="auto"/>
        <w:tabs>
          <w:tab w:leader="none" w:pos="18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Member of Board of Management (2010)</w:t>
      </w:r>
    </w:p>
    <w:p>
      <w:pPr>
        <w:ind w:left="1660"/>
        <w:spacing w:after="0" w:line="237" w:lineRule="auto"/>
        <w:rPr>
          <w:sz w:val="20"/>
          <w:szCs w:val="20"/>
          <w:color w:val="auto"/>
        </w:rPr>
      </w:pPr>
      <w:r>
        <w:rPr>
          <w:rFonts w:ascii="Arial" w:cs="Arial" w:eastAsia="Arial" w:hAnsi="Arial"/>
          <w:sz w:val="16"/>
          <w:szCs w:val="16"/>
          <w:b w:val="1"/>
          <w:bCs w:val="1"/>
          <w:color w:val="0075C9"/>
        </w:rPr>
        <w:t>Bayer HealthCare LLC (2005-2010)</w:t>
      </w:r>
    </w:p>
    <w:p>
      <w:pPr>
        <w:ind w:left="1820" w:right="40" w:hanging="161"/>
        <w:spacing w:after="0" w:line="236" w:lineRule="auto"/>
        <w:tabs>
          <w:tab w:leader="none" w:pos="1828" w:val="left"/>
        </w:tabs>
        <w:numPr>
          <w:ilvl w:val="0"/>
          <w:numId w:val="39"/>
        </w:numPr>
        <w:rPr>
          <w:rFonts w:ascii="Arial" w:cs="Arial" w:eastAsia="Arial" w:hAnsi="Arial"/>
          <w:sz w:val="16"/>
          <w:szCs w:val="16"/>
          <w:color w:val="auto"/>
        </w:rPr>
      </w:pPr>
      <w:r>
        <w:rPr>
          <w:rFonts w:ascii="Arial" w:cs="Arial" w:eastAsia="Arial" w:hAnsi="Arial"/>
          <w:sz w:val="16"/>
          <w:szCs w:val="16"/>
          <w:color w:val="auto"/>
        </w:rPr>
        <w:t>Executive Vice President and President, Medical Care (2009-2010)</w:t>
      </w:r>
    </w:p>
    <w:p>
      <w:pPr>
        <w:ind w:left="1820" w:hanging="161"/>
        <w:spacing w:after="0" w:line="236" w:lineRule="auto"/>
        <w:tabs>
          <w:tab w:leader="none" w:pos="18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President, Diabetes Care Division (2005-2009)</w:t>
      </w:r>
    </w:p>
    <w:p>
      <w:pPr>
        <w:ind w:left="1660"/>
        <w:spacing w:after="0" w:line="236" w:lineRule="auto"/>
        <w:rPr>
          <w:rFonts w:ascii="Arial" w:cs="Arial" w:eastAsia="Arial" w:hAnsi="Arial"/>
          <w:sz w:val="16"/>
          <w:szCs w:val="16"/>
          <w:color w:val="auto"/>
        </w:rPr>
      </w:pPr>
      <w:r>
        <w:rPr>
          <w:rFonts w:ascii="Arial" w:cs="Arial" w:eastAsia="Arial" w:hAnsi="Arial"/>
          <w:sz w:val="16"/>
          <w:szCs w:val="16"/>
          <w:b w:val="1"/>
          <w:bCs w:val="1"/>
          <w:color w:val="0075C9"/>
        </w:rPr>
        <w:t>Medco Health Solutions, Inc. (1999-2004)</w:t>
      </w:r>
    </w:p>
    <w:p>
      <w:pPr>
        <w:ind w:left="1820" w:hanging="161"/>
        <w:spacing w:after="0" w:line="236" w:lineRule="auto"/>
        <w:tabs>
          <w:tab w:leader="none" w:pos="18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Group President of Government (2003-2004)</w:t>
      </w:r>
    </w:p>
    <w:p>
      <w:pPr>
        <w:ind w:left="1820" w:hanging="161"/>
        <w:spacing w:after="0"/>
        <w:tabs>
          <w:tab w:leader="none" w:pos="18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Senior Vice President, Health Businesses (2001-2003)</w:t>
      </w:r>
    </w:p>
    <w:p>
      <w:pPr>
        <w:spacing w:after="0" w:line="20" w:lineRule="exact"/>
        <w:rPr>
          <w:rFonts w:ascii="Arial" w:cs="Arial" w:eastAsia="Arial" w:hAnsi="Arial"/>
          <w:sz w:val="14"/>
          <w:szCs w:val="14"/>
          <w:color w:val="auto"/>
        </w:rPr>
      </w:pPr>
    </w:p>
    <w:p>
      <w:pPr>
        <w:ind w:left="1820" w:right="80" w:hanging="161"/>
        <w:spacing w:after="0" w:line="239" w:lineRule="auto"/>
        <w:tabs>
          <w:tab w:leader="none" w:pos="1828" w:val="left"/>
        </w:tabs>
        <w:numPr>
          <w:ilvl w:val="0"/>
          <w:numId w:val="39"/>
        </w:numPr>
        <w:rPr>
          <w:rFonts w:ascii="Arial" w:cs="Arial" w:eastAsia="Arial" w:hAnsi="Arial"/>
          <w:sz w:val="16"/>
          <w:szCs w:val="16"/>
          <w:color w:val="auto"/>
        </w:rPr>
      </w:pPr>
      <w:r>
        <w:rPr>
          <w:rFonts w:ascii="Arial" w:cs="Arial" w:eastAsia="Arial" w:hAnsi="Arial"/>
          <w:sz w:val="16"/>
          <w:szCs w:val="16"/>
          <w:color w:val="auto"/>
        </w:rPr>
        <w:t>Senior Vice President, Marketing and Strategy (1999-2001)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391160</wp:posOffset>
            </wp:positionV>
            <wp:extent cx="5748020" cy="2927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48020" cy="2927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Microsoft Committees:</w:t>
      </w:r>
    </w:p>
    <w:p>
      <w:pPr>
        <w:spacing w:after="0" w:line="13" w:lineRule="exact"/>
        <w:rPr>
          <w:sz w:val="20"/>
          <w:szCs w:val="20"/>
          <w:color w:val="auto"/>
        </w:rPr>
      </w:pPr>
    </w:p>
    <w:p>
      <w:pPr>
        <w:ind w:left="160" w:hanging="155"/>
        <w:spacing w:after="0"/>
        <w:tabs>
          <w:tab w:leader="none" w:pos="1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Compensation (Chair)</w:t>
      </w:r>
    </w:p>
    <w:p>
      <w:pPr>
        <w:ind w:left="160" w:hanging="155"/>
        <w:spacing w:after="0"/>
        <w:tabs>
          <w:tab w:leader="none" w:pos="1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Governance and Nominating</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Public Company Directorships:</w:t>
      </w:r>
    </w:p>
    <w:p>
      <w:pPr>
        <w:spacing w:after="0" w:line="36" w:lineRule="exact"/>
        <w:rPr>
          <w:sz w:val="20"/>
          <w:szCs w:val="20"/>
          <w:color w:val="auto"/>
        </w:rPr>
      </w:pPr>
    </w:p>
    <w:p>
      <w:pPr>
        <w:ind w:left="160" w:hanging="155"/>
        <w:spacing w:after="0"/>
        <w:tabs>
          <w:tab w:leader="none" w:pos="1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Covetrus, Inc.</w:t>
      </w:r>
    </w:p>
    <w:p>
      <w:pPr>
        <w:ind w:left="160" w:hanging="155"/>
        <w:spacing w:after="0"/>
        <w:tabs>
          <w:tab w:leader="none" w:pos="1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Zymergen, Inc.</w:t>
      </w:r>
    </w:p>
    <w:p>
      <w:pPr>
        <w:spacing w:after="0" w:line="174" w:lineRule="exact"/>
        <w:rPr>
          <w:sz w:val="20"/>
          <w:szCs w:val="20"/>
          <w:color w:val="auto"/>
        </w:rPr>
      </w:pPr>
    </w:p>
    <w:p>
      <w:pPr>
        <w:ind w:right="1140"/>
        <w:spacing w:after="0" w:line="283" w:lineRule="auto"/>
        <w:rPr>
          <w:sz w:val="20"/>
          <w:szCs w:val="20"/>
          <w:color w:val="auto"/>
        </w:rPr>
      </w:pPr>
      <w:r>
        <w:rPr>
          <w:rFonts w:ascii="Arial" w:cs="Arial" w:eastAsia="Arial" w:hAnsi="Arial"/>
          <w:sz w:val="14"/>
          <w:szCs w:val="14"/>
          <w:b w:val="1"/>
          <w:bCs w:val="1"/>
          <w:color w:val="auto"/>
        </w:rPr>
        <w:t>Former Public Company Directorships Held in the Past Five Years: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None</w:t>
      </w:r>
    </w:p>
    <w:p>
      <w:pPr>
        <w:spacing w:after="0" w:line="1625" w:lineRule="exact"/>
        <w:rPr>
          <w:sz w:val="20"/>
          <w:szCs w:val="20"/>
          <w:color w:val="auto"/>
        </w:rPr>
      </w:pPr>
    </w:p>
    <w:p>
      <w:pPr>
        <w:sectPr>
          <w:pgSz w:w="11900" w:h="16838" w:orient="portrait"/>
          <w:cols w:equalWidth="0" w:num="2">
            <w:col w:w="5580" w:space="580"/>
            <w:col w:w="3980"/>
          </w:cols>
          <w:pgMar w:left="320" w:top="445" w:right="1439" w:bottom="1440" w:gutter="0" w:footer="0" w:header="0"/>
          <w:type w:val="continuous"/>
        </w:sectPr>
      </w:pPr>
    </w:p>
    <w:p>
      <w:pPr>
        <w:spacing w:after="0" w:line="200" w:lineRule="exact"/>
        <w:rPr>
          <w:sz w:val="20"/>
          <w:szCs w:val="20"/>
          <w:color w:val="auto"/>
        </w:rPr>
      </w:pPr>
    </w:p>
    <w:p>
      <w:pPr>
        <w:spacing w:after="0" w:line="345" w:lineRule="exact"/>
        <w:rPr>
          <w:sz w:val="20"/>
          <w:szCs w:val="20"/>
          <w:color w:val="auto"/>
        </w:rPr>
      </w:pPr>
    </w:p>
    <w:p>
      <w:pPr>
        <w:ind w:left="2880"/>
        <w:spacing w:after="0"/>
        <w:rPr>
          <w:sz w:val="20"/>
          <w:szCs w:val="20"/>
          <w:color w:val="auto"/>
        </w:rPr>
      </w:pPr>
      <w:r>
        <w:rPr>
          <w:rFonts w:ascii="Arial" w:cs="Arial" w:eastAsia="Arial" w:hAnsi="Arial"/>
          <w:sz w:val="45"/>
          <w:szCs w:val="45"/>
          <w:color w:val="595959"/>
        </w:rPr>
        <w:t>Penny S. Pritzker</w:t>
      </w:r>
    </w:p>
    <w:p>
      <w:pPr>
        <w:ind w:left="288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62 |</w:t>
      </w:r>
      <w:r>
        <w:rPr>
          <w:rFonts w:ascii="Arial" w:cs="Arial" w:eastAsia="Arial" w:hAnsi="Arial"/>
          <w:sz w:val="17"/>
          <w:szCs w:val="17"/>
          <w:b w:val="1"/>
          <w:bCs w:val="1"/>
          <w:color w:val="auto"/>
        </w:rPr>
        <w:t xml:space="preserve"> Director Since: </w:t>
      </w:r>
      <w:r>
        <w:rPr>
          <w:rFonts w:ascii="Arial" w:cs="Arial" w:eastAsia="Arial" w:hAnsi="Arial"/>
          <w:sz w:val="17"/>
          <w:szCs w:val="17"/>
          <w:color w:val="auto"/>
        </w:rPr>
        <w:t>2017 |</w:t>
      </w:r>
      <w:r>
        <w:rPr>
          <w:rFonts w:ascii="Arial" w:cs="Arial" w:eastAsia="Arial" w:hAnsi="Arial"/>
          <w:sz w:val="17"/>
          <w:szCs w:val="17"/>
          <w:b w:val="1"/>
          <w:bCs w:val="1"/>
          <w:color w:val="auto"/>
        </w:rPr>
        <w:t xml:space="preserve"> Birthplace: </w:t>
      </w:r>
      <w:r>
        <w:rPr>
          <w:rFonts w:ascii="Arial" w:cs="Arial" w:eastAsia="Arial" w:hAnsi="Arial"/>
          <w:sz w:val="17"/>
          <w:szCs w:val="17"/>
          <w:color w:val="auto"/>
        </w:rPr>
        <w:t>United States |</w:t>
      </w:r>
      <w:r>
        <w:rPr>
          <w:rFonts w:ascii="Arial" w:cs="Arial" w:eastAsia="Arial" w:hAnsi="Arial"/>
          <w:sz w:val="17"/>
          <w:szCs w:val="17"/>
          <w:b w:val="1"/>
          <w:bCs w:val="1"/>
          <w:color w:val="auto"/>
        </w:rPr>
        <w:t xml:space="preserve"> </w:t>
      </w:r>
      <w:r>
        <w:rPr>
          <w:rFonts w:ascii="Arial" w:cs="Arial" w:eastAsia="Arial" w:hAnsi="Arial"/>
          <w:sz w:val="17"/>
          <w:szCs w:val="17"/>
          <w:color w:val="0075C9"/>
        </w:rPr>
        <w:t>Independent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1660" w:type="dxa"/>
        <w:tblCellMar>
          <w:top w:w="0" w:type="dxa"/>
          <w:left w:w="0" w:type="dxa"/>
          <w:bottom w:w="0" w:type="dxa"/>
          <w:right w:w="0" w:type="dxa"/>
        </w:tblCellMar>
      </w:tblPr>
      <w:tr>
        <w:trPr>
          <w:trHeight w:val="184"/>
        </w:trPr>
        <w:tc>
          <w:tcPr>
            <w:tcW w:w="4080" w:type="dxa"/>
            <w:vAlign w:val="bottom"/>
          </w:tcPr>
          <w:p>
            <w:pPr>
              <w:spacing w:after="0"/>
              <w:rPr>
                <w:sz w:val="20"/>
                <w:szCs w:val="20"/>
                <w:color w:val="auto"/>
              </w:rPr>
            </w:pPr>
            <w:r>
              <w:rPr>
                <w:rFonts w:ascii="Arial" w:cs="Arial" w:eastAsia="Arial" w:hAnsi="Arial"/>
                <w:sz w:val="16"/>
                <w:szCs w:val="16"/>
                <w:b w:val="1"/>
                <w:bCs w:val="1"/>
                <w:color w:val="auto"/>
              </w:rPr>
              <w:t>Experience:</w:t>
            </w:r>
          </w:p>
        </w:tc>
        <w:tc>
          <w:tcPr>
            <w:tcW w:w="3420" w:type="dxa"/>
            <w:vAlign w:val="bottom"/>
          </w:tcPr>
          <w:p>
            <w:pPr>
              <w:ind w:left="420"/>
              <w:spacing w:after="0"/>
              <w:rPr>
                <w:sz w:val="20"/>
                <w:szCs w:val="20"/>
                <w:color w:val="auto"/>
              </w:rPr>
            </w:pPr>
            <w:r>
              <w:rPr>
                <w:rFonts w:ascii="Arial" w:cs="Arial" w:eastAsia="Arial" w:hAnsi="Arial"/>
                <w:sz w:val="16"/>
                <w:szCs w:val="16"/>
                <w:b w:val="1"/>
                <w:bCs w:val="1"/>
                <w:color w:val="auto"/>
              </w:rPr>
              <w:t>Microsoft Committees:</w:t>
            </w:r>
          </w:p>
        </w:tc>
        <w:tc>
          <w:tcPr>
            <w:tcW w:w="0" w:type="dxa"/>
            <w:vAlign w:val="bottom"/>
          </w:tcPr>
          <w:p>
            <w:pPr>
              <w:spacing w:after="0"/>
              <w:rPr>
                <w:sz w:val="1"/>
                <w:szCs w:val="1"/>
                <w:color w:val="auto"/>
              </w:rPr>
            </w:pPr>
          </w:p>
        </w:tc>
      </w:tr>
      <w:tr>
        <w:trPr>
          <w:trHeight w:val="181"/>
        </w:trPr>
        <w:tc>
          <w:tcPr>
            <w:tcW w:w="4080" w:type="dxa"/>
            <w:vAlign w:val="bottom"/>
          </w:tcPr>
          <w:p>
            <w:pPr>
              <w:spacing w:after="0" w:line="181" w:lineRule="exact"/>
              <w:rPr>
                <w:sz w:val="20"/>
                <w:szCs w:val="20"/>
                <w:color w:val="auto"/>
              </w:rPr>
            </w:pPr>
            <w:r>
              <w:rPr>
                <w:rFonts w:ascii="Arial" w:cs="Arial" w:eastAsia="Arial" w:hAnsi="Arial"/>
                <w:sz w:val="16"/>
                <w:szCs w:val="16"/>
                <w:b w:val="1"/>
                <w:bCs w:val="1"/>
                <w:color w:val="0075C9"/>
              </w:rPr>
              <w:t>United States Secretary of Commerce (2013-2017)</w:t>
            </w:r>
          </w:p>
        </w:tc>
        <w:tc>
          <w:tcPr>
            <w:tcW w:w="3420" w:type="dxa"/>
            <w:vAlign w:val="bottom"/>
          </w:tcPr>
          <w:p>
            <w:pPr>
              <w:ind w:left="420"/>
              <w:spacing w:after="0" w:line="181" w:lineRule="exact"/>
              <w:rPr>
                <w:sz w:val="20"/>
                <w:szCs w:val="20"/>
                <w:color w:val="auto"/>
              </w:rPr>
            </w:pPr>
            <w:r>
              <w:rPr>
                <w:rFonts w:ascii="Arial" w:cs="Arial" w:eastAsia="Arial" w:hAnsi="Arial"/>
                <w:sz w:val="16"/>
                <w:szCs w:val="16"/>
                <w:color w:val="auto"/>
              </w:rPr>
              <w:t>•  Regulatory and Public Policy (Chair)</w:t>
            </w:r>
          </w:p>
        </w:tc>
        <w:tc>
          <w:tcPr>
            <w:tcW w:w="0" w:type="dxa"/>
            <w:vAlign w:val="bottom"/>
          </w:tcPr>
          <w:p>
            <w:pPr>
              <w:spacing w:after="0"/>
              <w:rPr>
                <w:sz w:val="1"/>
                <w:szCs w:val="1"/>
                <w:color w:val="auto"/>
              </w:rPr>
            </w:pPr>
          </w:p>
        </w:tc>
      </w:tr>
      <w:tr>
        <w:trPr>
          <w:trHeight w:val="199"/>
        </w:trPr>
        <w:tc>
          <w:tcPr>
            <w:tcW w:w="4080" w:type="dxa"/>
            <w:vAlign w:val="bottom"/>
          </w:tcPr>
          <w:p>
            <w:pPr>
              <w:spacing w:after="0"/>
              <w:rPr>
                <w:sz w:val="20"/>
                <w:szCs w:val="20"/>
                <w:color w:val="auto"/>
              </w:rPr>
            </w:pPr>
            <w:r>
              <w:rPr>
                <w:rFonts w:ascii="Arial" w:cs="Arial" w:eastAsia="Arial" w:hAnsi="Arial"/>
                <w:sz w:val="16"/>
                <w:szCs w:val="16"/>
                <w:b w:val="1"/>
                <w:bCs w:val="1"/>
                <w:color w:val="0075C9"/>
              </w:rPr>
              <w:t>PSP Partners, LLC (present)</w:t>
            </w:r>
          </w:p>
        </w:tc>
        <w:tc>
          <w:tcPr>
            <w:tcW w:w="3420" w:type="dxa"/>
            <w:vAlign w:val="bottom"/>
            <w:vMerge w:val="restart"/>
          </w:tcPr>
          <w:p>
            <w:pPr>
              <w:ind w:left="420"/>
              <w:spacing w:after="0"/>
              <w:rPr>
                <w:sz w:val="20"/>
                <w:szCs w:val="20"/>
                <w:color w:val="auto"/>
              </w:rPr>
            </w:pPr>
            <w:r>
              <w:rPr>
                <w:rFonts w:ascii="Arial" w:cs="Arial" w:eastAsia="Arial" w:hAnsi="Arial"/>
                <w:sz w:val="16"/>
                <w:szCs w:val="16"/>
                <w:b w:val="1"/>
                <w:bCs w:val="1"/>
                <w:color w:val="auto"/>
              </w:rPr>
              <w:t>Other Public Company Directorships:</w:t>
            </w:r>
          </w:p>
        </w:tc>
        <w:tc>
          <w:tcPr>
            <w:tcW w:w="0" w:type="dxa"/>
            <w:vAlign w:val="bottom"/>
          </w:tcPr>
          <w:p>
            <w:pPr>
              <w:spacing w:after="0"/>
              <w:rPr>
                <w:sz w:val="1"/>
                <w:szCs w:val="1"/>
                <w:color w:val="auto"/>
              </w:rPr>
            </w:pPr>
          </w:p>
        </w:tc>
      </w:tr>
      <w:tr>
        <w:trPr>
          <w:trHeight w:val="181"/>
        </w:trPr>
        <w:tc>
          <w:tcPr>
            <w:tcW w:w="4080" w:type="dxa"/>
            <w:vAlign w:val="bottom"/>
          </w:tcPr>
          <w:p>
            <w:pPr>
              <w:spacing w:after="0" w:line="181" w:lineRule="exact"/>
              <w:rPr>
                <w:sz w:val="20"/>
                <w:szCs w:val="20"/>
                <w:color w:val="auto"/>
              </w:rPr>
            </w:pPr>
            <w:r>
              <w:rPr>
                <w:rFonts w:ascii="Arial" w:cs="Arial" w:eastAsia="Arial" w:hAnsi="Arial"/>
                <w:sz w:val="16"/>
                <w:szCs w:val="16"/>
                <w:color w:val="0075C9"/>
              </w:rPr>
              <w:t>(private investment firm)</w:t>
            </w:r>
          </w:p>
        </w:tc>
        <w:tc>
          <w:tcPr>
            <w:tcW w:w="3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4080" w:type="dxa"/>
            <w:vAlign w:val="bottom"/>
          </w:tcPr>
          <w:p>
            <w:pPr>
              <w:spacing w:after="0" w:line="164" w:lineRule="exact"/>
              <w:rPr>
                <w:sz w:val="20"/>
                <w:szCs w:val="20"/>
                <w:color w:val="auto"/>
              </w:rPr>
            </w:pPr>
            <w:r>
              <w:rPr>
                <w:rFonts w:ascii="Arial" w:cs="Arial" w:eastAsia="Arial" w:hAnsi="Arial"/>
                <w:sz w:val="16"/>
                <w:szCs w:val="16"/>
                <w:color w:val="auto"/>
              </w:rPr>
              <w:t>•  Founder and Chairman (present)</w:t>
            </w:r>
          </w:p>
        </w:tc>
        <w:tc>
          <w:tcPr>
            <w:tcW w:w="3420" w:type="dxa"/>
            <w:vAlign w:val="bottom"/>
          </w:tcPr>
          <w:p>
            <w:pPr>
              <w:ind w:left="420"/>
              <w:spacing w:after="0" w:line="164" w:lineRule="exact"/>
              <w:rPr>
                <w:sz w:val="20"/>
                <w:szCs w:val="20"/>
                <w:color w:val="auto"/>
              </w:rPr>
            </w:pPr>
            <w:r>
              <w:rPr>
                <w:rFonts w:ascii="Arial" w:cs="Arial" w:eastAsia="Arial" w:hAnsi="Arial"/>
                <w:sz w:val="16"/>
                <w:szCs w:val="16"/>
                <w:color w:val="auto"/>
              </w:rPr>
              <w:t>•  None</w:t>
            </w:r>
          </w:p>
        </w:tc>
        <w:tc>
          <w:tcPr>
            <w:tcW w:w="0" w:type="dxa"/>
            <w:vAlign w:val="bottom"/>
          </w:tcPr>
          <w:p>
            <w:pPr>
              <w:spacing w:after="0"/>
              <w:rPr>
                <w:sz w:val="1"/>
                <w:szCs w:val="1"/>
                <w:color w:val="auto"/>
              </w:rPr>
            </w:pPr>
          </w:p>
        </w:tc>
      </w:tr>
      <w:tr>
        <w:trPr>
          <w:trHeight w:val="199"/>
        </w:trPr>
        <w:tc>
          <w:tcPr>
            <w:tcW w:w="4080" w:type="dxa"/>
            <w:vAlign w:val="bottom"/>
          </w:tcPr>
          <w:p>
            <w:pPr>
              <w:spacing w:after="0"/>
              <w:rPr>
                <w:sz w:val="20"/>
                <w:szCs w:val="20"/>
                <w:color w:val="auto"/>
              </w:rPr>
            </w:pPr>
            <w:r>
              <w:rPr>
                <w:rFonts w:ascii="Arial" w:cs="Arial" w:eastAsia="Arial" w:hAnsi="Arial"/>
                <w:sz w:val="16"/>
                <w:szCs w:val="16"/>
                <w:b w:val="1"/>
                <w:bCs w:val="1"/>
                <w:color w:val="0075C9"/>
              </w:rPr>
              <w:t>Pritzker Realty Group (present)</w:t>
            </w:r>
          </w:p>
        </w:tc>
        <w:tc>
          <w:tcPr>
            <w:tcW w:w="3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4080" w:type="dxa"/>
            <w:vAlign w:val="bottom"/>
          </w:tcPr>
          <w:p>
            <w:pPr>
              <w:spacing w:after="0" w:line="167" w:lineRule="exact"/>
              <w:rPr>
                <w:sz w:val="20"/>
                <w:szCs w:val="20"/>
                <w:color w:val="auto"/>
              </w:rPr>
            </w:pPr>
            <w:r>
              <w:rPr>
                <w:rFonts w:ascii="Arial" w:cs="Arial" w:eastAsia="Arial" w:hAnsi="Arial"/>
                <w:sz w:val="16"/>
                <w:szCs w:val="16"/>
                <w:color w:val="auto"/>
              </w:rPr>
              <w:t>•  Co-founder and Chairman (present)</w:t>
            </w:r>
          </w:p>
        </w:tc>
        <w:tc>
          <w:tcPr>
            <w:tcW w:w="3420" w:type="dxa"/>
            <w:vAlign w:val="bottom"/>
          </w:tcPr>
          <w:p>
            <w:pPr>
              <w:ind w:left="420"/>
              <w:spacing w:after="0" w:line="167" w:lineRule="exact"/>
              <w:rPr>
                <w:sz w:val="20"/>
                <w:szCs w:val="20"/>
                <w:color w:val="auto"/>
              </w:rPr>
            </w:pPr>
            <w:r>
              <w:rPr>
                <w:rFonts w:ascii="Arial" w:cs="Arial" w:eastAsia="Arial" w:hAnsi="Arial"/>
                <w:sz w:val="16"/>
                <w:szCs w:val="16"/>
                <w:b w:val="1"/>
                <w:bCs w:val="1"/>
                <w:color w:val="auto"/>
              </w:rPr>
              <w:t>Former Public Company Directorships</w:t>
            </w:r>
          </w:p>
        </w:tc>
        <w:tc>
          <w:tcPr>
            <w:tcW w:w="0" w:type="dxa"/>
            <w:vAlign w:val="bottom"/>
          </w:tcPr>
          <w:p>
            <w:pPr>
              <w:spacing w:after="0"/>
              <w:rPr>
                <w:sz w:val="1"/>
                <w:szCs w:val="1"/>
                <w:color w:val="auto"/>
              </w:rPr>
            </w:pPr>
          </w:p>
        </w:tc>
      </w:tr>
      <w:tr>
        <w:trPr>
          <w:trHeight w:val="196"/>
        </w:trPr>
        <w:tc>
          <w:tcPr>
            <w:tcW w:w="4080" w:type="dxa"/>
            <w:vAlign w:val="bottom"/>
          </w:tcPr>
          <w:p>
            <w:pPr>
              <w:spacing w:after="0"/>
              <w:rPr>
                <w:sz w:val="20"/>
                <w:szCs w:val="20"/>
                <w:color w:val="auto"/>
              </w:rPr>
            </w:pPr>
            <w:r>
              <w:rPr>
                <w:rFonts w:ascii="Arial" w:cs="Arial" w:eastAsia="Arial" w:hAnsi="Arial"/>
                <w:sz w:val="16"/>
                <w:szCs w:val="16"/>
                <w:b w:val="1"/>
                <w:bCs w:val="1"/>
                <w:color w:val="0075C9"/>
              </w:rPr>
              <w:t>Inspired Capital Partners (present)</w:t>
            </w:r>
          </w:p>
        </w:tc>
        <w:tc>
          <w:tcPr>
            <w:tcW w:w="3420" w:type="dxa"/>
            <w:vAlign w:val="bottom"/>
          </w:tcPr>
          <w:p>
            <w:pPr>
              <w:ind w:left="420"/>
              <w:spacing w:after="0"/>
              <w:rPr>
                <w:sz w:val="20"/>
                <w:szCs w:val="20"/>
                <w:color w:val="auto"/>
              </w:rPr>
            </w:pPr>
            <w:r>
              <w:rPr>
                <w:rFonts w:ascii="Arial" w:cs="Arial" w:eastAsia="Arial" w:hAnsi="Arial"/>
                <w:sz w:val="16"/>
                <w:szCs w:val="16"/>
                <w:b w:val="1"/>
                <w:bCs w:val="1"/>
                <w:color w:val="auto"/>
              </w:rPr>
              <w:t>Held in the Past Five Years:</w:t>
            </w:r>
          </w:p>
        </w:tc>
        <w:tc>
          <w:tcPr>
            <w:tcW w:w="0" w:type="dxa"/>
            <w:vAlign w:val="bottom"/>
          </w:tcPr>
          <w:p>
            <w:pPr>
              <w:spacing w:after="0"/>
              <w:rPr>
                <w:sz w:val="1"/>
                <w:szCs w:val="1"/>
                <w:color w:val="auto"/>
              </w:rPr>
            </w:pPr>
          </w:p>
        </w:tc>
      </w:tr>
      <w:tr>
        <w:trPr>
          <w:trHeight w:val="167"/>
        </w:trPr>
        <w:tc>
          <w:tcPr>
            <w:tcW w:w="4080" w:type="dxa"/>
            <w:vAlign w:val="bottom"/>
          </w:tcPr>
          <w:p>
            <w:pPr>
              <w:spacing w:after="0" w:line="167" w:lineRule="exact"/>
              <w:rPr>
                <w:sz w:val="20"/>
                <w:szCs w:val="20"/>
                <w:color w:val="auto"/>
              </w:rPr>
            </w:pPr>
            <w:r>
              <w:rPr>
                <w:rFonts w:ascii="Arial" w:cs="Arial" w:eastAsia="Arial" w:hAnsi="Arial"/>
                <w:sz w:val="16"/>
                <w:szCs w:val="16"/>
                <w:color w:val="auto"/>
              </w:rPr>
              <w:t>•  Co-founder and Chairman (present)</w:t>
            </w:r>
          </w:p>
        </w:tc>
        <w:tc>
          <w:tcPr>
            <w:tcW w:w="3420" w:type="dxa"/>
            <w:vAlign w:val="bottom"/>
          </w:tcPr>
          <w:p>
            <w:pPr>
              <w:ind w:left="420"/>
              <w:spacing w:after="0" w:line="167" w:lineRule="exact"/>
              <w:rPr>
                <w:sz w:val="20"/>
                <w:szCs w:val="20"/>
                <w:color w:val="auto"/>
              </w:rPr>
            </w:pPr>
            <w:r>
              <w:rPr>
                <w:rFonts w:ascii="Arial" w:cs="Arial" w:eastAsia="Arial" w:hAnsi="Arial"/>
                <w:sz w:val="16"/>
                <w:szCs w:val="16"/>
                <w:color w:val="auto"/>
              </w:rPr>
              <w:t>•  None</w:t>
            </w:r>
          </w:p>
        </w:tc>
        <w:tc>
          <w:tcPr>
            <w:tcW w:w="0" w:type="dxa"/>
            <w:vAlign w:val="bottom"/>
          </w:tcPr>
          <w:p>
            <w:pPr>
              <w:spacing w:after="0"/>
              <w:rPr>
                <w:sz w:val="1"/>
                <w:szCs w:val="1"/>
                <w:color w:val="auto"/>
              </w:rPr>
            </w:pPr>
          </w:p>
        </w:tc>
      </w:tr>
      <w:tr>
        <w:trPr>
          <w:trHeight w:val="196"/>
        </w:trPr>
        <w:tc>
          <w:tcPr>
            <w:tcW w:w="4080" w:type="dxa"/>
            <w:vAlign w:val="bottom"/>
          </w:tcPr>
          <w:p>
            <w:pPr>
              <w:spacing w:after="0"/>
              <w:rPr>
                <w:sz w:val="20"/>
                <w:szCs w:val="20"/>
                <w:color w:val="auto"/>
              </w:rPr>
            </w:pPr>
            <w:r>
              <w:rPr>
                <w:rFonts w:ascii="Arial" w:cs="Arial" w:eastAsia="Arial" w:hAnsi="Arial"/>
                <w:sz w:val="16"/>
                <w:szCs w:val="16"/>
                <w:b w:val="1"/>
                <w:bCs w:val="1"/>
                <w:color w:val="0075C9"/>
              </w:rPr>
              <w:t>Artemis Real Estate Partners (present)</w:t>
            </w:r>
          </w:p>
        </w:tc>
        <w:tc>
          <w:tcPr>
            <w:tcW w:w="3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4080" w:type="dxa"/>
            <w:vAlign w:val="bottom"/>
          </w:tcPr>
          <w:p>
            <w:pPr>
              <w:spacing w:after="0" w:line="180" w:lineRule="exact"/>
              <w:rPr>
                <w:sz w:val="20"/>
                <w:szCs w:val="20"/>
                <w:color w:val="auto"/>
              </w:rPr>
            </w:pPr>
            <w:r>
              <w:rPr>
                <w:rFonts w:ascii="Arial" w:cs="Arial" w:eastAsia="Arial" w:hAnsi="Arial"/>
                <w:sz w:val="16"/>
                <w:szCs w:val="16"/>
                <w:color w:val="auto"/>
              </w:rPr>
              <w:t>•  Co-founder (present)</w:t>
            </w:r>
          </w:p>
        </w:tc>
        <w:tc>
          <w:tcPr>
            <w:tcW w:w="3420" w:type="dxa"/>
            <w:vAlign w:val="bottom"/>
          </w:tcPr>
          <w:p>
            <w:pPr>
              <w:ind w:left="420"/>
              <w:spacing w:after="0" w:line="180" w:lineRule="exact"/>
              <w:rPr>
                <w:sz w:val="20"/>
                <w:szCs w:val="20"/>
                <w:color w:val="auto"/>
              </w:rPr>
            </w:pPr>
            <w:r>
              <w:rPr>
                <w:rFonts w:ascii="Arial" w:cs="Arial" w:eastAsia="Arial" w:hAnsi="Arial"/>
                <w:sz w:val="16"/>
                <w:szCs w:val="16"/>
                <w:b w:val="1"/>
                <w:bCs w:val="1"/>
                <w:color w:val="auto"/>
              </w:rPr>
              <w:t>Other Positions:</w:t>
            </w:r>
          </w:p>
        </w:tc>
        <w:tc>
          <w:tcPr>
            <w:tcW w:w="0" w:type="dxa"/>
            <w:vAlign w:val="bottom"/>
          </w:tcPr>
          <w:p>
            <w:pPr>
              <w:spacing w:after="0"/>
              <w:rPr>
                <w:sz w:val="1"/>
                <w:szCs w:val="1"/>
                <w:color w:val="auto"/>
              </w:rPr>
            </w:pPr>
          </w:p>
        </w:tc>
      </w:tr>
      <w:tr>
        <w:trPr>
          <w:trHeight w:val="183"/>
        </w:trPr>
        <w:tc>
          <w:tcPr>
            <w:tcW w:w="4080" w:type="dxa"/>
            <w:vAlign w:val="bottom"/>
          </w:tcPr>
          <w:p>
            <w:pPr>
              <w:spacing w:after="0"/>
              <w:rPr>
                <w:sz w:val="20"/>
                <w:szCs w:val="20"/>
                <w:color w:val="auto"/>
              </w:rPr>
            </w:pPr>
            <w:r>
              <w:rPr>
                <w:rFonts w:ascii="Arial" w:cs="Arial" w:eastAsia="Arial" w:hAnsi="Arial"/>
                <w:sz w:val="16"/>
                <w:szCs w:val="16"/>
                <w:b w:val="1"/>
                <w:bCs w:val="1"/>
                <w:color w:val="0075C9"/>
              </w:rPr>
              <w:t>The Parking Spot (1998-2011)</w:t>
            </w:r>
          </w:p>
        </w:tc>
        <w:tc>
          <w:tcPr>
            <w:tcW w:w="3420" w:type="dxa"/>
            <w:vAlign w:val="bottom"/>
          </w:tcPr>
          <w:p>
            <w:pPr>
              <w:ind w:left="420"/>
              <w:spacing w:after="0"/>
              <w:rPr>
                <w:sz w:val="20"/>
                <w:szCs w:val="20"/>
                <w:color w:val="auto"/>
              </w:rPr>
            </w:pPr>
            <w:r>
              <w:rPr>
                <w:rFonts w:ascii="Arial" w:cs="Arial" w:eastAsia="Arial" w:hAnsi="Arial"/>
                <w:sz w:val="16"/>
                <w:szCs w:val="16"/>
                <w:color w:val="auto"/>
                <w:w w:val="97"/>
              </w:rPr>
              <w:t>•  Co-founder, Pritzker Traubert Foundation</w:t>
            </w:r>
          </w:p>
        </w:tc>
        <w:tc>
          <w:tcPr>
            <w:tcW w:w="0" w:type="dxa"/>
            <w:vAlign w:val="bottom"/>
          </w:tcPr>
          <w:p>
            <w:pPr>
              <w:spacing w:after="0"/>
              <w:rPr>
                <w:sz w:val="1"/>
                <w:szCs w:val="1"/>
                <w:color w:val="auto"/>
              </w:rPr>
            </w:pPr>
          </w:p>
        </w:tc>
      </w:tr>
      <w:tr>
        <w:trPr>
          <w:trHeight w:val="163"/>
        </w:trPr>
        <w:tc>
          <w:tcPr>
            <w:tcW w:w="4080" w:type="dxa"/>
            <w:vAlign w:val="bottom"/>
          </w:tcPr>
          <w:p>
            <w:pPr>
              <w:spacing w:after="0" w:line="164" w:lineRule="exact"/>
              <w:rPr>
                <w:sz w:val="20"/>
                <w:szCs w:val="20"/>
                <w:color w:val="auto"/>
              </w:rPr>
            </w:pPr>
            <w:r>
              <w:rPr>
                <w:rFonts w:ascii="Arial" w:cs="Arial" w:eastAsia="Arial" w:hAnsi="Arial"/>
                <w:sz w:val="16"/>
                <w:szCs w:val="16"/>
                <w:color w:val="auto"/>
              </w:rPr>
              <w:t>•  Co-founder and Chairman (1998-2011)</w:t>
            </w:r>
          </w:p>
        </w:tc>
        <w:tc>
          <w:tcPr>
            <w:tcW w:w="3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4080" w:type="dxa"/>
            <w:vAlign w:val="bottom"/>
          </w:tcPr>
          <w:p>
            <w:pPr>
              <w:spacing w:after="0"/>
              <w:rPr>
                <w:sz w:val="20"/>
                <w:szCs w:val="20"/>
                <w:color w:val="auto"/>
              </w:rPr>
            </w:pPr>
            <w:r>
              <w:rPr>
                <w:rFonts w:ascii="Arial" w:cs="Arial" w:eastAsia="Arial" w:hAnsi="Arial"/>
                <w:sz w:val="16"/>
                <w:szCs w:val="16"/>
                <w:b w:val="1"/>
                <w:bCs w:val="1"/>
                <w:color w:val="0075C9"/>
              </w:rPr>
              <w:t>Vi Senior Living (1987-2011)</w:t>
            </w:r>
          </w:p>
        </w:tc>
        <w:tc>
          <w:tcPr>
            <w:tcW w:w="3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4080" w:type="dxa"/>
            <w:vAlign w:val="bottom"/>
          </w:tcPr>
          <w:p>
            <w:pPr>
              <w:spacing w:after="0"/>
              <w:rPr>
                <w:sz w:val="20"/>
                <w:szCs w:val="20"/>
                <w:color w:val="auto"/>
              </w:rPr>
            </w:pPr>
            <w:r>
              <w:rPr>
                <w:rFonts w:ascii="Arial" w:cs="Arial" w:eastAsia="Arial" w:hAnsi="Arial"/>
                <w:sz w:val="16"/>
                <w:szCs w:val="16"/>
                <w:color w:val="auto"/>
              </w:rPr>
              <w:t>•  Founder and Chairman (1987-2011)</w:t>
            </w:r>
          </w:p>
        </w:tc>
        <w:tc>
          <w:tcPr>
            <w:tcW w:w="34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51" w:lineRule="exact"/>
        <w:rPr>
          <w:sz w:val="20"/>
          <w:szCs w:val="20"/>
          <w:color w:val="auto"/>
        </w:rPr>
      </w:pPr>
    </w:p>
    <w:tbl>
      <w:tblPr>
        <w:tblLayout w:type="fixed"/>
        <w:tblInd w:w="1640" w:type="dxa"/>
        <w:tblCellMar>
          <w:top w:w="0" w:type="dxa"/>
          <w:left w:w="0" w:type="dxa"/>
          <w:bottom w:w="0" w:type="dxa"/>
          <w:right w:w="0" w:type="dxa"/>
        </w:tblCellMar>
      </w:tblPr>
      <w:tr>
        <w:trPr>
          <w:trHeight w:val="161"/>
        </w:trPr>
        <w:tc>
          <w:tcPr>
            <w:tcW w:w="1240" w:type="dxa"/>
            <w:vAlign w:val="bottom"/>
            <w:vMerge w:val="restart"/>
          </w:tcPr>
          <w:p>
            <w:pPr>
              <w:spacing w:after="0"/>
              <w:rPr>
                <w:sz w:val="20"/>
                <w:szCs w:val="20"/>
                <w:color w:val="auto"/>
              </w:rPr>
            </w:pPr>
            <w:r>
              <w:rPr>
                <w:rFonts w:ascii="Arial" w:cs="Arial" w:eastAsia="Arial" w:hAnsi="Arial"/>
                <w:sz w:val="14"/>
                <w:szCs w:val="14"/>
                <w:b w:val="1"/>
                <w:bCs w:val="1"/>
                <w:color w:val="0075C9"/>
              </w:rPr>
              <w:t>Board Diversity</w:t>
            </w:r>
          </w:p>
        </w:tc>
        <w:tc>
          <w:tcPr>
            <w:tcW w:w="1080" w:type="dxa"/>
            <w:vAlign w:val="bottom"/>
            <w:vMerge w:val="restart"/>
          </w:tcPr>
          <w:p>
            <w:pPr>
              <w:ind w:left="200"/>
              <w:spacing w:after="0"/>
              <w:rPr>
                <w:sz w:val="20"/>
                <w:szCs w:val="20"/>
                <w:color w:val="auto"/>
              </w:rPr>
            </w:pPr>
            <w:r>
              <w:rPr>
                <w:rFonts w:ascii="Arial" w:cs="Arial" w:eastAsia="Arial" w:hAnsi="Arial"/>
                <w:sz w:val="14"/>
                <w:szCs w:val="14"/>
                <w:b w:val="1"/>
                <w:bCs w:val="1"/>
                <w:color w:val="0075C9"/>
              </w:rPr>
              <w:t>Financial</w:t>
            </w:r>
          </w:p>
        </w:tc>
        <w:tc>
          <w:tcPr>
            <w:tcW w:w="1180" w:type="dxa"/>
            <w:vAlign w:val="bottom"/>
          </w:tcPr>
          <w:p>
            <w:pPr>
              <w:ind w:left="280"/>
              <w:spacing w:after="0"/>
              <w:rPr>
                <w:sz w:val="20"/>
                <w:szCs w:val="20"/>
                <w:color w:val="auto"/>
              </w:rPr>
            </w:pPr>
            <w:r>
              <w:rPr>
                <w:rFonts w:ascii="Arial" w:cs="Arial" w:eastAsia="Arial" w:hAnsi="Arial"/>
                <w:sz w:val="14"/>
                <w:szCs w:val="14"/>
                <w:b w:val="1"/>
                <w:bCs w:val="1"/>
                <w:color w:val="0075C9"/>
              </w:rPr>
              <w:t>Global</w:t>
            </w:r>
          </w:p>
        </w:tc>
        <w:tc>
          <w:tcPr>
            <w:tcW w:w="1300" w:type="dxa"/>
            <w:vAlign w:val="bottom"/>
            <w:vMerge w:val="restart"/>
          </w:tcPr>
          <w:p>
            <w:pPr>
              <w:ind w:left="280"/>
              <w:spacing w:after="0"/>
              <w:rPr>
                <w:sz w:val="20"/>
                <w:szCs w:val="20"/>
                <w:color w:val="auto"/>
              </w:rPr>
            </w:pPr>
            <w:r>
              <w:rPr>
                <w:rFonts w:ascii="Arial" w:cs="Arial" w:eastAsia="Arial" w:hAnsi="Arial"/>
                <w:sz w:val="14"/>
                <w:szCs w:val="14"/>
                <w:b w:val="1"/>
                <w:bCs w:val="1"/>
                <w:color w:val="0075C9"/>
              </w:rPr>
              <w:t>Leadership</w:t>
            </w:r>
          </w:p>
        </w:tc>
        <w:tc>
          <w:tcPr>
            <w:tcW w:w="1380" w:type="dxa"/>
            <w:vAlign w:val="bottom"/>
          </w:tcPr>
          <w:p>
            <w:pPr>
              <w:ind w:left="280"/>
              <w:spacing w:after="0"/>
              <w:rPr>
                <w:sz w:val="20"/>
                <w:szCs w:val="20"/>
                <w:color w:val="auto"/>
              </w:rPr>
            </w:pPr>
            <w:r>
              <w:rPr>
                <w:rFonts w:ascii="Arial" w:cs="Arial" w:eastAsia="Arial" w:hAnsi="Arial"/>
                <w:sz w:val="14"/>
                <w:szCs w:val="14"/>
                <w:b w:val="1"/>
                <w:bCs w:val="1"/>
                <w:color w:val="0075C9"/>
              </w:rPr>
              <w:t>Mergers and</w:t>
            </w:r>
          </w:p>
        </w:tc>
        <w:tc>
          <w:tcPr>
            <w:tcW w:w="1240" w:type="dxa"/>
            <w:vAlign w:val="bottom"/>
          </w:tcPr>
          <w:p>
            <w:pPr>
              <w:ind w:left="300"/>
              <w:spacing w:after="0"/>
              <w:rPr>
                <w:sz w:val="20"/>
                <w:szCs w:val="20"/>
                <w:color w:val="auto"/>
              </w:rPr>
            </w:pPr>
            <w:r>
              <w:rPr>
                <w:rFonts w:ascii="Arial" w:cs="Arial" w:eastAsia="Arial" w:hAnsi="Arial"/>
                <w:sz w:val="14"/>
                <w:szCs w:val="14"/>
                <w:b w:val="1"/>
                <w:bCs w:val="1"/>
                <w:color w:val="0075C9"/>
              </w:rPr>
              <w:t>Sales and</w:t>
            </w:r>
          </w:p>
        </w:tc>
        <w:tc>
          <w:tcPr>
            <w:tcW w:w="1080" w:type="dxa"/>
            <w:vAlign w:val="bottom"/>
            <w:vMerge w:val="restart"/>
          </w:tcPr>
          <w:p>
            <w:pPr>
              <w:ind w:left="300"/>
              <w:spacing w:after="0"/>
              <w:rPr>
                <w:sz w:val="20"/>
                <w:szCs w:val="20"/>
                <w:color w:val="auto"/>
              </w:rPr>
            </w:pPr>
            <w:r>
              <w:rPr>
                <w:rFonts w:ascii="Arial" w:cs="Arial" w:eastAsia="Arial" w:hAnsi="Arial"/>
                <w:sz w:val="14"/>
                <w:szCs w:val="14"/>
                <w:b w:val="1"/>
                <w:bCs w:val="1"/>
                <w:color w:val="0075C9"/>
                <w:w w:val="96"/>
              </w:rPr>
              <w:t>Technology</w:t>
            </w:r>
          </w:p>
        </w:tc>
        <w:tc>
          <w:tcPr>
            <w:tcW w:w="0" w:type="dxa"/>
            <w:vAlign w:val="bottom"/>
          </w:tcPr>
          <w:p>
            <w:pPr>
              <w:spacing w:after="0"/>
              <w:rPr>
                <w:sz w:val="1"/>
                <w:szCs w:val="1"/>
                <w:color w:val="auto"/>
              </w:rPr>
            </w:pPr>
          </w:p>
        </w:tc>
      </w:tr>
      <w:tr>
        <w:trPr>
          <w:trHeight w:val="103"/>
        </w:trPr>
        <w:tc>
          <w:tcPr>
            <w:tcW w:w="124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180" w:type="dxa"/>
            <w:vAlign w:val="bottom"/>
            <w:vMerge w:val="restart"/>
          </w:tcPr>
          <w:p>
            <w:pPr>
              <w:ind w:left="280"/>
              <w:spacing w:after="0"/>
              <w:rPr>
                <w:sz w:val="20"/>
                <w:szCs w:val="20"/>
                <w:color w:val="auto"/>
              </w:rPr>
            </w:pPr>
            <w:r>
              <w:rPr>
                <w:rFonts w:ascii="Arial" w:cs="Arial" w:eastAsia="Arial" w:hAnsi="Arial"/>
                <w:sz w:val="14"/>
                <w:szCs w:val="14"/>
                <w:b w:val="1"/>
                <w:bCs w:val="1"/>
                <w:color w:val="0075C9"/>
              </w:rPr>
              <w:t>Business</w:t>
            </w:r>
          </w:p>
        </w:tc>
        <w:tc>
          <w:tcPr>
            <w:tcW w:w="1300" w:type="dxa"/>
            <w:vAlign w:val="bottom"/>
            <w:vMerge w:val="continue"/>
          </w:tcPr>
          <w:p>
            <w:pPr>
              <w:spacing w:after="0"/>
              <w:rPr>
                <w:sz w:val="8"/>
                <w:szCs w:val="8"/>
                <w:color w:val="auto"/>
              </w:rPr>
            </w:pPr>
          </w:p>
        </w:tc>
        <w:tc>
          <w:tcPr>
            <w:tcW w:w="1380" w:type="dxa"/>
            <w:vAlign w:val="bottom"/>
            <w:vMerge w:val="restart"/>
          </w:tcPr>
          <w:p>
            <w:pPr>
              <w:ind w:left="280"/>
              <w:spacing w:after="0"/>
              <w:rPr>
                <w:sz w:val="20"/>
                <w:szCs w:val="20"/>
                <w:color w:val="auto"/>
              </w:rPr>
            </w:pPr>
            <w:r>
              <w:rPr>
                <w:rFonts w:ascii="Arial" w:cs="Arial" w:eastAsia="Arial" w:hAnsi="Arial"/>
                <w:sz w:val="14"/>
                <w:szCs w:val="14"/>
                <w:b w:val="1"/>
                <w:bCs w:val="1"/>
                <w:color w:val="0075C9"/>
              </w:rPr>
              <w:t>Acquisitions</w:t>
            </w:r>
          </w:p>
        </w:tc>
        <w:tc>
          <w:tcPr>
            <w:tcW w:w="1240" w:type="dxa"/>
            <w:vAlign w:val="bottom"/>
            <w:vMerge w:val="restart"/>
          </w:tcPr>
          <w:p>
            <w:pPr>
              <w:ind w:left="300"/>
              <w:spacing w:after="0"/>
              <w:rPr>
                <w:sz w:val="20"/>
                <w:szCs w:val="20"/>
                <w:color w:val="auto"/>
              </w:rPr>
            </w:pPr>
            <w:r>
              <w:rPr>
                <w:rFonts w:ascii="Arial" w:cs="Arial" w:eastAsia="Arial" w:hAnsi="Arial"/>
                <w:sz w:val="14"/>
                <w:szCs w:val="14"/>
                <w:b w:val="1"/>
                <w:bCs w:val="1"/>
                <w:color w:val="0075C9"/>
              </w:rPr>
              <w:t>Marketing</w:t>
            </w: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12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3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-205740</wp:posOffset>
            </wp:positionV>
            <wp:extent cx="230505" cy="1974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30505" cy="197485"/>
                    </a:xfrm>
                    <a:prstGeom prst="rect">
                      <a:avLst/>
                    </a:prstGeom>
                    <a:noFill/>
                  </pic:spPr>
                </pic:pic>
              </a:graphicData>
            </a:graphic>
          </wp:anchor>
        </w:drawing>
        <w:drawing>
          <wp:anchor simplePos="0" relativeHeight="251657728" behindDoc="1" locked="0" layoutInCell="0" allowOverlap="1">
            <wp:simplePos x="0" y="0"/>
            <wp:positionH relativeFrom="column">
              <wp:posOffset>1729105</wp:posOffset>
            </wp:positionH>
            <wp:positionV relativeFrom="paragraph">
              <wp:posOffset>-205740</wp:posOffset>
            </wp:positionV>
            <wp:extent cx="197485" cy="1974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97485" cy="197485"/>
                    </a:xfrm>
                    <a:prstGeom prst="rect">
                      <a:avLst/>
                    </a:prstGeom>
                    <a:noFill/>
                  </pic:spPr>
                </pic:pic>
              </a:graphicData>
            </a:graphic>
          </wp:anchor>
        </w:drawing>
        <w:drawing>
          <wp:anchor simplePos="0" relativeHeight="251657728" behindDoc="1" locked="0" layoutInCell="0" allowOverlap="1">
            <wp:simplePos x="0" y="0"/>
            <wp:positionH relativeFrom="column">
              <wp:posOffset>2469515</wp:posOffset>
            </wp:positionH>
            <wp:positionV relativeFrom="paragraph">
              <wp:posOffset>-205740</wp:posOffset>
            </wp:positionV>
            <wp:extent cx="197485" cy="1974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97485" cy="197485"/>
                    </a:xfrm>
                    <a:prstGeom prst="rect">
                      <a:avLst/>
                    </a:prstGeom>
                    <a:noFill/>
                  </pic:spPr>
                </pic:pic>
              </a:graphicData>
            </a:graphic>
          </wp:anchor>
        </w:drawing>
        <w:drawing>
          <wp:anchor simplePos="0" relativeHeight="251657728" behindDoc="1" locked="0" layoutInCell="0" allowOverlap="1">
            <wp:simplePos x="0" y="0"/>
            <wp:positionH relativeFrom="column">
              <wp:posOffset>3217545</wp:posOffset>
            </wp:positionH>
            <wp:positionV relativeFrom="paragraph">
              <wp:posOffset>-205740</wp:posOffset>
            </wp:positionV>
            <wp:extent cx="197485" cy="1974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97485" cy="19748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-205740</wp:posOffset>
            </wp:positionV>
            <wp:extent cx="189230" cy="1974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89230" cy="19748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-205740</wp:posOffset>
            </wp:positionV>
            <wp:extent cx="197485" cy="1974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97485" cy="197485"/>
                    </a:xfrm>
                    <a:prstGeom prst="rect">
                      <a:avLst/>
                    </a:prstGeom>
                    <a:noFill/>
                  </pic:spPr>
                </pic:pic>
              </a:graphicData>
            </a:graphic>
          </wp:anchor>
        </w:drawing>
        <w:drawing>
          <wp:anchor simplePos="0" relativeHeight="251657728" behindDoc="1" locked="0" layoutInCell="0" allowOverlap="1">
            <wp:simplePos x="0" y="0"/>
            <wp:positionH relativeFrom="column">
              <wp:posOffset>5684520</wp:posOffset>
            </wp:positionH>
            <wp:positionV relativeFrom="paragraph">
              <wp:posOffset>-205740</wp:posOffset>
            </wp:positionV>
            <wp:extent cx="238760" cy="1974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38760" cy="19748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-94615</wp:posOffset>
            </wp:positionV>
            <wp:extent cx="485140" cy="984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45" w:right="1439" w:bottom="1440" w:gutter="0" w:footer="0" w:header="0"/>
          <w:type w:val="continuous"/>
        </w:sectPr>
      </w:pPr>
    </w:p>
    <w:bookmarkStart w:id="32" w:name="page33"/>
    <w:bookmarkEnd w:id="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0075C9"/>
                <w:w w:val="89"/>
              </w:rPr>
              <w:t>1</w:t>
            </w:r>
          </w:p>
        </w:tc>
        <w:tc>
          <w:tcPr>
            <w:tcW w:w="1220" w:type="dxa"/>
            <w:vAlign w:val="bottom"/>
            <w:vMerge w:val="restart"/>
          </w:tcPr>
          <w:p>
            <w:pPr>
              <w:ind w:left="80"/>
              <w:spacing w:after="0"/>
              <w:rPr>
                <w:sz w:val="20"/>
                <w:szCs w:val="20"/>
                <w:color w:val="auto"/>
              </w:rPr>
            </w:pPr>
            <w:r>
              <w:rPr>
                <w:rFonts w:ascii="Arial" w:cs="Arial" w:eastAsia="Arial" w:hAnsi="Arial"/>
                <w:sz w:val="12"/>
                <w:szCs w:val="12"/>
                <w:color w:val="0075C9"/>
                <w:w w:val="98"/>
              </w:rPr>
              <w:t>GOVERNANCE AND</w:t>
            </w:r>
          </w:p>
        </w:tc>
        <w:tc>
          <w:tcPr>
            <w:tcW w:w="720" w:type="dxa"/>
            <w:vAlign w:val="bottom"/>
          </w:tcPr>
          <w:p>
            <w:pPr>
              <w:jc w:val="right"/>
              <w:spacing w:after="0"/>
              <w:rPr>
                <w:sz w:val="20"/>
                <w:szCs w:val="20"/>
                <w:color w:val="auto"/>
              </w:rPr>
            </w:pPr>
            <w:r>
              <w:rPr>
                <w:rFonts w:ascii="Arial" w:cs="Arial" w:eastAsia="Arial" w:hAnsi="Arial"/>
                <w:sz w:val="36"/>
                <w:szCs w:val="36"/>
                <w:color w:val="auto"/>
              </w:rPr>
              <w:t>2</w:t>
            </w:r>
          </w:p>
        </w:tc>
        <w:tc>
          <w:tcPr>
            <w:tcW w:w="1540" w:type="dxa"/>
            <w:vAlign w:val="bottom"/>
            <w:vMerge w:val="restart"/>
          </w:tcPr>
          <w:p>
            <w:pPr>
              <w:ind w:left="80"/>
              <w:spacing w:after="0"/>
              <w:rPr>
                <w:sz w:val="20"/>
                <w:szCs w:val="20"/>
                <w:color w:val="auto"/>
              </w:rPr>
            </w:pPr>
            <w:r>
              <w:rPr>
                <w:rFonts w:ascii="Arial" w:cs="Arial" w:eastAsia="Arial" w:hAnsi="Arial"/>
                <w:sz w:val="12"/>
                <w:szCs w:val="12"/>
                <w:color w:val="auto"/>
              </w:rPr>
              <w:t>NAMED</w:t>
            </w:r>
          </w:p>
        </w:tc>
        <w:tc>
          <w:tcPr>
            <w:tcW w:w="500" w:type="dxa"/>
            <w:vAlign w:val="bottom"/>
          </w:tcPr>
          <w:p>
            <w:pPr>
              <w:jc w:val="right"/>
              <w:spacing w:after="0"/>
              <w:rPr>
                <w:sz w:val="20"/>
                <w:szCs w:val="20"/>
                <w:color w:val="auto"/>
              </w:rPr>
            </w:pPr>
            <w:r>
              <w:rPr>
                <w:rFonts w:ascii="Arial" w:cs="Arial" w:eastAsia="Arial" w:hAnsi="Arial"/>
                <w:sz w:val="36"/>
                <w:szCs w:val="36"/>
                <w:color w:val="auto"/>
              </w:rPr>
              <w:t>3</w:t>
            </w:r>
          </w:p>
        </w:tc>
        <w:tc>
          <w:tcPr>
            <w:tcW w:w="980" w:type="dxa"/>
            <w:vAlign w:val="bottom"/>
            <w:vMerge w:val="restart"/>
          </w:tcPr>
          <w:p>
            <w:pPr>
              <w:ind w:left="80"/>
              <w:spacing w:after="0"/>
              <w:rPr>
                <w:sz w:val="20"/>
                <w:szCs w:val="20"/>
                <w:color w:val="auto"/>
              </w:rPr>
            </w:pPr>
            <w:r>
              <w:rPr>
                <w:rFonts w:ascii="Arial" w:cs="Arial" w:eastAsia="Arial" w:hAnsi="Arial"/>
                <w:sz w:val="12"/>
                <w:szCs w:val="12"/>
                <w:color w:val="auto"/>
              </w:rPr>
              <w:t>AUDIT</w:t>
            </w:r>
          </w:p>
        </w:tc>
        <w:tc>
          <w:tcPr>
            <w:tcW w:w="460" w:type="dxa"/>
            <w:vAlign w:val="bottom"/>
          </w:tcPr>
          <w:p>
            <w:pPr>
              <w:jc w:val="right"/>
              <w:spacing w:after="0"/>
              <w:rPr>
                <w:sz w:val="20"/>
                <w:szCs w:val="20"/>
                <w:color w:val="auto"/>
              </w:rPr>
            </w:pPr>
            <w:r>
              <w:rPr>
                <w:rFonts w:ascii="Arial" w:cs="Arial" w:eastAsia="Arial" w:hAnsi="Arial"/>
                <w:sz w:val="36"/>
                <w:szCs w:val="36"/>
                <w:color w:val="auto"/>
              </w:rPr>
              <w:t>4</w:t>
            </w:r>
          </w:p>
        </w:tc>
        <w:tc>
          <w:tcPr>
            <w:tcW w:w="1580" w:type="dxa"/>
            <w:vAlign w:val="bottom"/>
            <w:vMerge w:val="restart"/>
          </w:tcPr>
          <w:p>
            <w:pPr>
              <w:ind w:left="80"/>
              <w:spacing w:after="0"/>
              <w:rPr>
                <w:sz w:val="20"/>
                <w:szCs w:val="20"/>
                <w:color w:val="auto"/>
              </w:rPr>
            </w:pPr>
            <w:r>
              <w:rPr>
                <w:rFonts w:ascii="Arial" w:cs="Arial" w:eastAsia="Arial" w:hAnsi="Arial"/>
                <w:sz w:val="12"/>
                <w:szCs w:val="12"/>
                <w:color w:val="auto"/>
              </w:rPr>
              <w:t>PROPOSALS TO</w:t>
            </w:r>
          </w:p>
        </w:tc>
        <w:tc>
          <w:tcPr>
            <w:tcW w:w="440" w:type="dxa"/>
            <w:vAlign w:val="bottom"/>
          </w:tcPr>
          <w:p>
            <w:pPr>
              <w:jc w:val="right"/>
              <w:spacing w:after="0"/>
              <w:rPr>
                <w:sz w:val="20"/>
                <w:szCs w:val="20"/>
                <w:color w:val="auto"/>
              </w:rPr>
            </w:pPr>
            <w:r>
              <w:rPr>
                <w:rFonts w:ascii="Arial" w:cs="Arial" w:eastAsia="Arial" w:hAnsi="Arial"/>
                <w:sz w:val="36"/>
                <w:szCs w:val="36"/>
                <w:color w:val="auto"/>
              </w:rPr>
              <w:t>5</w:t>
            </w:r>
          </w:p>
        </w:tc>
        <w:tc>
          <w:tcPr>
            <w:tcW w:w="900" w:type="dxa"/>
            <w:vAlign w:val="bottom"/>
            <w:vMerge w:val="restart"/>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220" w:type="dxa"/>
            <w:vAlign w:val="bottom"/>
          </w:tcPr>
          <w:p>
            <w:pPr>
              <w:ind w:left="80"/>
              <w:spacing w:after="0" w:line="130" w:lineRule="exact"/>
              <w:rPr>
                <w:sz w:val="20"/>
                <w:szCs w:val="20"/>
                <w:color w:val="auto"/>
              </w:rPr>
            </w:pPr>
            <w:r>
              <w:rPr>
                <w:rFonts w:ascii="Arial" w:cs="Arial" w:eastAsia="Arial" w:hAnsi="Arial"/>
                <w:sz w:val="12"/>
                <w:szCs w:val="12"/>
                <w:color w:val="0075C9"/>
              </w:rPr>
              <w:t>OUR BOARD OF</w:t>
            </w:r>
          </w:p>
        </w:tc>
        <w:tc>
          <w:tcPr>
            <w:tcW w:w="720" w:type="dxa"/>
            <w:vAlign w:val="bottom"/>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460" w:type="dxa"/>
            <w:vAlign w:val="bottom"/>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40" w:type="dxa"/>
            <w:vAlign w:val="bottom"/>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0075C9"/>
              </w:rPr>
              <w:t>DIRECTORS</w:t>
            </w:r>
          </w:p>
        </w:tc>
        <w:tc>
          <w:tcPr>
            <w:tcW w:w="720" w:type="dxa"/>
            <w:vAlign w:val="bottom"/>
          </w:tcPr>
          <w:p>
            <w:pPr>
              <w:spacing w:after="0"/>
              <w:rPr>
                <w:sz w:val="12"/>
                <w:szCs w:val="12"/>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tcPr>
          <w:p>
            <w:pPr>
              <w:spacing w:after="0"/>
              <w:rPr>
                <w:sz w:val="12"/>
                <w:szCs w:val="12"/>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460" w:type="dxa"/>
            <w:vAlign w:val="bottom"/>
          </w:tcPr>
          <w:p>
            <w:pPr>
              <w:spacing w:after="0"/>
              <w:rPr>
                <w:sz w:val="12"/>
                <w:szCs w:val="12"/>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40" w:type="dxa"/>
            <w:vAlign w:val="bottom"/>
          </w:tcPr>
          <w:p>
            <w:pPr>
              <w:spacing w:after="0"/>
              <w:rPr>
                <w:sz w:val="12"/>
                <w:szCs w:val="12"/>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shd w:val="clear" w:color="auto" w:fill="0075C9"/>
          </w:tcPr>
          <w:p>
            <w:pPr>
              <w:spacing w:after="0"/>
              <w:rPr>
                <w:sz w:val="9"/>
                <w:szCs w:val="9"/>
                <w:color w:val="auto"/>
              </w:rPr>
            </w:pPr>
          </w:p>
        </w:tc>
        <w:tc>
          <w:tcPr>
            <w:tcW w:w="1220" w:type="dxa"/>
            <w:vAlign w:val="bottom"/>
            <w:shd w:val="clear" w:color="auto" w:fill="0075C9"/>
          </w:tcPr>
          <w:p>
            <w:pPr>
              <w:spacing w:after="0"/>
              <w:rPr>
                <w:sz w:val="9"/>
                <w:szCs w:val="9"/>
                <w:color w:val="auto"/>
              </w:rPr>
            </w:pPr>
          </w:p>
        </w:tc>
        <w:tc>
          <w:tcPr>
            <w:tcW w:w="7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189230</wp:posOffset>
            </wp:positionV>
            <wp:extent cx="5748020" cy="26974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748020" cy="269748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2880"/>
        <w:spacing w:after="0"/>
        <w:rPr>
          <w:sz w:val="20"/>
          <w:szCs w:val="20"/>
          <w:color w:val="auto"/>
        </w:rPr>
      </w:pPr>
      <w:r>
        <w:rPr>
          <w:rFonts w:ascii="Arial" w:cs="Arial" w:eastAsia="Arial" w:hAnsi="Arial"/>
          <w:sz w:val="45"/>
          <w:szCs w:val="45"/>
          <w:color w:val="595959"/>
        </w:rPr>
        <w:t>Carlos A. Rodriguez</w:t>
      </w:r>
    </w:p>
    <w:p>
      <w:pPr>
        <w:ind w:left="288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57 |</w:t>
      </w:r>
      <w:r>
        <w:rPr>
          <w:rFonts w:ascii="Arial" w:cs="Arial" w:eastAsia="Arial" w:hAnsi="Arial"/>
          <w:sz w:val="17"/>
          <w:szCs w:val="17"/>
          <w:b w:val="1"/>
          <w:bCs w:val="1"/>
          <w:color w:val="auto"/>
        </w:rPr>
        <w:t xml:space="preserve"> Director since: </w:t>
      </w:r>
      <w:r>
        <w:rPr>
          <w:rFonts w:ascii="Arial" w:cs="Arial" w:eastAsia="Arial" w:hAnsi="Arial"/>
          <w:sz w:val="17"/>
          <w:szCs w:val="17"/>
          <w:color w:val="auto"/>
        </w:rPr>
        <w:t>Nominee |</w:t>
      </w:r>
      <w:r>
        <w:rPr>
          <w:rFonts w:ascii="Arial" w:cs="Arial" w:eastAsia="Arial" w:hAnsi="Arial"/>
          <w:sz w:val="17"/>
          <w:szCs w:val="17"/>
          <w:b w:val="1"/>
          <w:bCs w:val="1"/>
          <w:color w:val="auto"/>
        </w:rPr>
        <w:t xml:space="preserve"> Birthplace: </w:t>
      </w:r>
      <w:r>
        <w:rPr>
          <w:rFonts w:ascii="Arial" w:cs="Arial" w:eastAsia="Arial" w:hAnsi="Arial"/>
          <w:sz w:val="17"/>
          <w:szCs w:val="17"/>
          <w:color w:val="auto"/>
        </w:rPr>
        <w:t>Cuba |</w:t>
      </w:r>
      <w:r>
        <w:rPr>
          <w:rFonts w:ascii="Arial" w:cs="Arial" w:eastAsia="Arial" w:hAnsi="Arial"/>
          <w:sz w:val="17"/>
          <w:szCs w:val="17"/>
          <w:b w:val="1"/>
          <w:bCs w:val="1"/>
          <w:color w:val="auto"/>
        </w:rPr>
        <w:t xml:space="preserve"> </w:t>
      </w:r>
      <w:r>
        <w:rPr>
          <w:rFonts w:ascii="Arial" w:cs="Arial" w:eastAsia="Arial" w:hAnsi="Arial"/>
          <w:sz w:val="17"/>
          <w:szCs w:val="17"/>
          <w:color w:val="0075C9"/>
        </w:rPr>
        <w:t>Independent</w:t>
      </w:r>
    </w:p>
    <w:p>
      <w:pPr>
        <w:sectPr>
          <w:pgSz w:w="11900" w:h="16838" w:orient="portrait"/>
          <w:cols w:equalWidth="0" w:num="1">
            <w:col w:w="10280"/>
          </w:cols>
          <w:pgMar w:left="320" w:top="445"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640"/>
        <w:spacing w:after="0"/>
        <w:rPr>
          <w:sz w:val="20"/>
          <w:szCs w:val="20"/>
          <w:color w:val="auto"/>
        </w:rPr>
      </w:pPr>
      <w:r>
        <w:rPr>
          <w:rFonts w:ascii="Arial" w:cs="Arial" w:eastAsia="Arial" w:hAnsi="Arial"/>
          <w:sz w:val="16"/>
          <w:szCs w:val="16"/>
          <w:b w:val="1"/>
          <w:bCs w:val="1"/>
          <w:color w:val="auto"/>
        </w:rPr>
        <w:t>Experience:</w:t>
      </w:r>
    </w:p>
    <w:p>
      <w:pPr>
        <w:spacing w:after="0" w:line="13" w:lineRule="exact"/>
        <w:rPr>
          <w:sz w:val="20"/>
          <w:szCs w:val="20"/>
          <w:color w:val="auto"/>
        </w:rPr>
      </w:pPr>
    </w:p>
    <w:p>
      <w:pPr>
        <w:ind w:left="1640"/>
        <w:spacing w:after="0"/>
        <w:rPr>
          <w:sz w:val="20"/>
          <w:szCs w:val="20"/>
          <w:color w:val="auto"/>
        </w:rPr>
      </w:pPr>
      <w:r>
        <w:rPr>
          <w:rFonts w:ascii="Arial" w:cs="Arial" w:eastAsia="Arial" w:hAnsi="Arial"/>
          <w:sz w:val="16"/>
          <w:szCs w:val="16"/>
          <w:b w:val="1"/>
          <w:bCs w:val="1"/>
          <w:color w:val="0075C9"/>
        </w:rPr>
        <w:t>Automatic Data Processing, Inc. (1999-present)</w:t>
      </w:r>
    </w:p>
    <w:p>
      <w:pPr>
        <w:ind w:left="1640"/>
        <w:spacing w:after="0" w:line="236" w:lineRule="auto"/>
        <w:rPr>
          <w:sz w:val="20"/>
          <w:szCs w:val="20"/>
          <w:color w:val="auto"/>
        </w:rPr>
      </w:pPr>
      <w:r>
        <w:rPr>
          <w:rFonts w:ascii="Arial" w:cs="Arial" w:eastAsia="Arial" w:hAnsi="Arial"/>
          <w:sz w:val="16"/>
          <w:szCs w:val="16"/>
          <w:color w:val="0075C9"/>
        </w:rPr>
        <w:t>(human capital management solutions provider)</w:t>
      </w:r>
    </w:p>
    <w:p>
      <w:pPr>
        <w:ind w:left="1800" w:right="220" w:hanging="154"/>
        <w:spacing w:after="0" w:line="236" w:lineRule="auto"/>
        <w:tabs>
          <w:tab w:leader="none" w:pos="1808" w:val="left"/>
        </w:tabs>
        <w:numPr>
          <w:ilvl w:val="0"/>
          <w:numId w:val="42"/>
        </w:numPr>
        <w:rPr>
          <w:rFonts w:ascii="Arial" w:cs="Arial" w:eastAsia="Arial" w:hAnsi="Arial"/>
          <w:sz w:val="16"/>
          <w:szCs w:val="16"/>
          <w:color w:val="auto"/>
        </w:rPr>
      </w:pPr>
      <w:r>
        <w:rPr>
          <w:rFonts w:ascii="Arial" w:cs="Arial" w:eastAsia="Arial" w:hAnsi="Arial"/>
          <w:sz w:val="16"/>
          <w:szCs w:val="16"/>
          <w:color w:val="auto"/>
        </w:rPr>
        <w:t>President, Chief Executive Officer, and Director (2011-present)</w:t>
      </w:r>
    </w:p>
    <w:p>
      <w:pPr>
        <w:ind w:left="1800" w:hanging="154"/>
        <w:spacing w:after="0" w:line="236" w:lineRule="auto"/>
        <w:tabs>
          <w:tab w:leader="none" w:pos="18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President, Chief Operating Officer, and Director (2011)</w:t>
      </w:r>
    </w:p>
    <w:p>
      <w:pPr>
        <w:ind w:left="1800" w:hanging="154"/>
        <w:spacing w:after="0" w:line="236" w:lineRule="auto"/>
        <w:tabs>
          <w:tab w:leader="none" w:pos="18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Various positions of increasing authority (1999-2011)</w:t>
      </w:r>
    </w:p>
    <w:p>
      <w:pPr>
        <w:ind w:left="1640"/>
        <w:spacing w:after="0" w:line="236" w:lineRule="auto"/>
        <w:rPr>
          <w:rFonts w:ascii="Arial" w:cs="Arial" w:eastAsia="Arial" w:hAnsi="Arial"/>
          <w:sz w:val="16"/>
          <w:szCs w:val="16"/>
          <w:color w:val="auto"/>
        </w:rPr>
      </w:pPr>
      <w:r>
        <w:rPr>
          <w:rFonts w:ascii="Arial" w:cs="Arial" w:eastAsia="Arial" w:hAnsi="Arial"/>
          <w:sz w:val="16"/>
          <w:szCs w:val="16"/>
          <w:b w:val="1"/>
          <w:bCs w:val="1"/>
          <w:color w:val="0075C9"/>
        </w:rPr>
        <w:t>Vincam Group, Inc. (1996-1999)</w:t>
      </w:r>
    </w:p>
    <w:p>
      <w:pPr>
        <w:ind w:left="1640"/>
        <w:spacing w:after="0" w:line="236" w:lineRule="auto"/>
        <w:rPr>
          <w:rFonts w:ascii="Arial" w:cs="Arial" w:eastAsia="Arial" w:hAnsi="Arial"/>
          <w:sz w:val="16"/>
          <w:szCs w:val="16"/>
          <w:color w:val="auto"/>
        </w:rPr>
      </w:pPr>
      <w:r>
        <w:rPr>
          <w:rFonts w:ascii="Arial" w:cs="Arial" w:eastAsia="Arial" w:hAnsi="Arial"/>
          <w:sz w:val="16"/>
          <w:szCs w:val="16"/>
          <w:i w:val="1"/>
          <w:iCs w:val="1"/>
          <w:color w:val="auto"/>
        </w:rPr>
        <w:t>(acquiredby Automatic Data Processing, Inc. in 1999)</w:t>
      </w:r>
    </w:p>
    <w:p>
      <w:pPr>
        <w:ind w:left="1800" w:hanging="154"/>
        <w:spacing w:after="0" w:line="236" w:lineRule="auto"/>
        <w:tabs>
          <w:tab w:leader="none" w:pos="1808" w:val="left"/>
        </w:tabs>
        <w:numPr>
          <w:ilvl w:val="0"/>
          <w:numId w:val="42"/>
        </w:numPr>
        <w:rPr>
          <w:rFonts w:ascii="Arial" w:cs="Arial" w:eastAsia="Arial" w:hAnsi="Arial"/>
          <w:sz w:val="16"/>
          <w:szCs w:val="16"/>
          <w:color w:val="auto"/>
        </w:rPr>
      </w:pPr>
      <w:r>
        <w:rPr>
          <w:rFonts w:ascii="Arial" w:cs="Arial" w:eastAsia="Arial" w:hAnsi="Arial"/>
          <w:sz w:val="16"/>
          <w:szCs w:val="16"/>
          <w:color w:val="auto"/>
        </w:rPr>
        <w:t>Senior Vice President Finance and Chief Financial Officer (1997-1999)</w:t>
      </w:r>
    </w:p>
    <w:p>
      <w:pPr>
        <w:ind w:left="1800" w:hanging="154"/>
        <w:spacing w:after="0" w:line="236" w:lineRule="auto"/>
        <w:tabs>
          <w:tab w:leader="none" w:pos="18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Vice President, Mergers &amp; Acquisitions (1996-1997)</w:t>
      </w:r>
    </w:p>
    <w:p>
      <w:pPr>
        <w:ind w:left="1800" w:hanging="154"/>
        <w:spacing w:after="0"/>
        <w:tabs>
          <w:tab w:leader="none" w:pos="18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Vice President, Operations (1996)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391795</wp:posOffset>
            </wp:positionV>
            <wp:extent cx="5748020" cy="35032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748020" cy="35032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Microsoft committees: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 Appointment will be made after election</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public company directorships: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 Automatic Data Processing, Inc.</w:t>
      </w:r>
    </w:p>
    <w:p>
      <w:pPr>
        <w:spacing w:after="0" w:line="174" w:lineRule="exact"/>
        <w:rPr>
          <w:sz w:val="20"/>
          <w:szCs w:val="20"/>
          <w:color w:val="auto"/>
        </w:rPr>
      </w:pPr>
    </w:p>
    <w:p>
      <w:pPr>
        <w:ind w:right="1340"/>
        <w:spacing w:after="0" w:line="283" w:lineRule="auto"/>
        <w:rPr>
          <w:sz w:val="20"/>
          <w:szCs w:val="20"/>
          <w:color w:val="auto"/>
        </w:rPr>
      </w:pPr>
      <w:r>
        <w:rPr>
          <w:rFonts w:ascii="Arial" w:cs="Arial" w:eastAsia="Arial" w:hAnsi="Arial"/>
          <w:sz w:val="14"/>
          <w:szCs w:val="14"/>
          <w:b w:val="1"/>
          <w:bCs w:val="1"/>
          <w:color w:val="auto"/>
        </w:rPr>
        <w:t>Former public company directorships held in the past five years: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None</w:t>
      </w:r>
    </w:p>
    <w:p>
      <w:pPr>
        <w:spacing w:after="0" w:line="899" w:lineRule="exact"/>
        <w:rPr>
          <w:sz w:val="20"/>
          <w:szCs w:val="20"/>
          <w:color w:val="auto"/>
        </w:rPr>
      </w:pPr>
    </w:p>
    <w:p>
      <w:pPr>
        <w:sectPr>
          <w:pgSz w:w="11900" w:h="16838" w:orient="portrait"/>
          <w:cols w:equalWidth="0" w:num="2">
            <w:col w:w="5760" w:space="400"/>
            <w:col w:w="4120"/>
          </w:cols>
          <w:pgMar w:left="320" w:top="445" w:right="1299" w:bottom="1440" w:gutter="0" w:footer="0" w:header="0"/>
          <w:type w:val="continuous"/>
        </w:sectPr>
      </w:pPr>
    </w:p>
    <w:p>
      <w:pPr>
        <w:spacing w:after="0" w:line="200" w:lineRule="exact"/>
        <w:rPr>
          <w:sz w:val="20"/>
          <w:szCs w:val="20"/>
          <w:color w:val="auto"/>
        </w:rPr>
      </w:pPr>
    </w:p>
    <w:p>
      <w:pPr>
        <w:spacing w:after="0" w:line="346" w:lineRule="exact"/>
        <w:rPr>
          <w:sz w:val="20"/>
          <w:szCs w:val="20"/>
          <w:color w:val="auto"/>
        </w:rPr>
      </w:pPr>
    </w:p>
    <w:p>
      <w:pPr>
        <w:ind w:left="2880"/>
        <w:spacing w:after="0"/>
        <w:rPr>
          <w:sz w:val="20"/>
          <w:szCs w:val="20"/>
          <w:color w:val="auto"/>
        </w:rPr>
      </w:pPr>
      <w:r>
        <w:rPr>
          <w:rFonts w:ascii="Arial" w:cs="Arial" w:eastAsia="Arial" w:hAnsi="Arial"/>
          <w:sz w:val="45"/>
          <w:szCs w:val="45"/>
          <w:color w:val="595959"/>
        </w:rPr>
        <w:t>Charles W. Scharf</w:t>
      </w:r>
    </w:p>
    <w:p>
      <w:pPr>
        <w:ind w:left="288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56 |</w:t>
      </w:r>
      <w:r>
        <w:rPr>
          <w:rFonts w:ascii="Arial" w:cs="Arial" w:eastAsia="Arial" w:hAnsi="Arial"/>
          <w:sz w:val="17"/>
          <w:szCs w:val="17"/>
          <w:b w:val="1"/>
          <w:bCs w:val="1"/>
          <w:color w:val="auto"/>
        </w:rPr>
        <w:t xml:space="preserve"> Director Since: </w:t>
      </w:r>
      <w:r>
        <w:rPr>
          <w:rFonts w:ascii="Arial" w:cs="Arial" w:eastAsia="Arial" w:hAnsi="Arial"/>
          <w:sz w:val="17"/>
          <w:szCs w:val="17"/>
          <w:color w:val="auto"/>
        </w:rPr>
        <w:t>2014 |</w:t>
      </w:r>
      <w:r>
        <w:rPr>
          <w:rFonts w:ascii="Arial" w:cs="Arial" w:eastAsia="Arial" w:hAnsi="Arial"/>
          <w:sz w:val="17"/>
          <w:szCs w:val="17"/>
          <w:b w:val="1"/>
          <w:bCs w:val="1"/>
          <w:color w:val="auto"/>
        </w:rPr>
        <w:t xml:space="preserve"> Birthplace: </w:t>
      </w:r>
      <w:r>
        <w:rPr>
          <w:rFonts w:ascii="Arial" w:cs="Arial" w:eastAsia="Arial" w:hAnsi="Arial"/>
          <w:sz w:val="17"/>
          <w:szCs w:val="17"/>
          <w:color w:val="auto"/>
        </w:rPr>
        <w:t>United States |</w:t>
      </w:r>
      <w:r>
        <w:rPr>
          <w:rFonts w:ascii="Arial" w:cs="Arial" w:eastAsia="Arial" w:hAnsi="Arial"/>
          <w:sz w:val="17"/>
          <w:szCs w:val="17"/>
          <w:b w:val="1"/>
          <w:bCs w:val="1"/>
          <w:color w:val="auto"/>
        </w:rPr>
        <w:t xml:space="preserve"> </w:t>
      </w:r>
      <w:r>
        <w:rPr>
          <w:rFonts w:ascii="Arial" w:cs="Arial" w:eastAsia="Arial" w:hAnsi="Arial"/>
          <w:sz w:val="17"/>
          <w:szCs w:val="17"/>
          <w:color w:val="0075C9"/>
        </w:rPr>
        <w:t>Independent</w:t>
      </w:r>
    </w:p>
    <w:p>
      <w:pPr>
        <w:sectPr>
          <w:pgSz w:w="11900" w:h="16838" w:orient="portrait"/>
          <w:cols w:equalWidth="0" w:num="1">
            <w:col w:w="10280"/>
          </w:cols>
          <w:pgMar w:left="320" w:top="445" w:right="1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auto"/>
        </w:rPr>
        <w:t>Experience:</w:t>
      </w:r>
    </w:p>
    <w:p>
      <w:pPr>
        <w:spacing w:after="0" w:line="13"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0075C9"/>
        </w:rPr>
        <w:t>Wells Fargo &amp; Company (2019-present)</w:t>
      </w:r>
    </w:p>
    <w:p>
      <w:pPr>
        <w:ind w:left="1660"/>
        <w:spacing w:after="0" w:line="236" w:lineRule="auto"/>
        <w:rPr>
          <w:sz w:val="20"/>
          <w:szCs w:val="20"/>
          <w:color w:val="auto"/>
        </w:rPr>
      </w:pPr>
      <w:r>
        <w:rPr>
          <w:rFonts w:ascii="Arial" w:cs="Arial" w:eastAsia="Arial" w:hAnsi="Arial"/>
          <w:sz w:val="16"/>
          <w:szCs w:val="16"/>
          <w:color w:val="0075C9"/>
        </w:rPr>
        <w:t>(banking and financial services company)</w:t>
      </w:r>
    </w:p>
    <w:p>
      <w:pPr>
        <w:ind w:left="1820" w:hanging="161"/>
        <w:spacing w:after="0" w:line="237" w:lineRule="auto"/>
        <w:tabs>
          <w:tab w:leader="none" w:pos="18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Chief Executive Officer and President (2019-present)</w:t>
      </w:r>
    </w:p>
    <w:p>
      <w:pPr>
        <w:ind w:left="1660"/>
        <w:spacing w:after="0"/>
        <w:rPr>
          <w:rFonts w:ascii="Arial" w:cs="Arial" w:eastAsia="Arial" w:hAnsi="Arial"/>
          <w:sz w:val="16"/>
          <w:szCs w:val="16"/>
          <w:color w:val="auto"/>
        </w:rPr>
      </w:pPr>
      <w:r>
        <w:rPr>
          <w:rFonts w:ascii="Arial" w:cs="Arial" w:eastAsia="Arial" w:hAnsi="Arial"/>
          <w:sz w:val="14"/>
          <w:szCs w:val="14"/>
          <w:b w:val="1"/>
          <w:bCs w:val="1"/>
          <w:color w:val="0075C9"/>
        </w:rPr>
        <w:t>The Bank of New York Mellon Corporation (2017-2019)</w:t>
      </w:r>
    </w:p>
    <w:p>
      <w:pPr>
        <w:spacing w:after="0" w:line="20" w:lineRule="exact"/>
        <w:rPr>
          <w:rFonts w:ascii="Arial" w:cs="Arial" w:eastAsia="Arial" w:hAnsi="Arial"/>
          <w:sz w:val="16"/>
          <w:szCs w:val="16"/>
          <w:color w:val="auto"/>
        </w:rPr>
      </w:pPr>
    </w:p>
    <w:p>
      <w:pPr>
        <w:ind w:left="1820" w:hanging="161"/>
        <w:spacing w:after="0" w:line="236" w:lineRule="auto"/>
        <w:tabs>
          <w:tab w:leader="none" w:pos="18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Chairman and Chief Executive Officer (2018-2019)</w:t>
      </w:r>
    </w:p>
    <w:p>
      <w:pPr>
        <w:ind w:left="1820" w:hanging="161"/>
        <w:spacing w:after="0" w:line="236" w:lineRule="auto"/>
        <w:tabs>
          <w:tab w:leader="none" w:pos="18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Chief Executive Officer and Director (2017)</w:t>
      </w:r>
    </w:p>
    <w:p>
      <w:pPr>
        <w:ind w:left="1660"/>
        <w:spacing w:after="0" w:line="237" w:lineRule="auto"/>
        <w:rPr>
          <w:sz w:val="20"/>
          <w:szCs w:val="20"/>
          <w:color w:val="auto"/>
        </w:rPr>
      </w:pPr>
      <w:r>
        <w:rPr>
          <w:rFonts w:ascii="Arial" w:cs="Arial" w:eastAsia="Arial" w:hAnsi="Arial"/>
          <w:sz w:val="16"/>
          <w:szCs w:val="16"/>
          <w:b w:val="1"/>
          <w:bCs w:val="1"/>
          <w:color w:val="0075C9"/>
        </w:rPr>
        <w:t>Visa Inc. (2012-2016)</w:t>
      </w:r>
    </w:p>
    <w:p>
      <w:pPr>
        <w:ind w:left="1820" w:hanging="161"/>
        <w:spacing w:after="0" w:line="236" w:lineRule="auto"/>
        <w:tabs>
          <w:tab w:leader="none" w:pos="18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Chief Executive Officer and Director (2012-2016)</w:t>
      </w:r>
    </w:p>
    <w:p>
      <w:pPr>
        <w:ind w:left="1660"/>
        <w:spacing w:after="0" w:line="236" w:lineRule="auto"/>
        <w:rPr>
          <w:rFonts w:ascii="Arial" w:cs="Arial" w:eastAsia="Arial" w:hAnsi="Arial"/>
          <w:sz w:val="16"/>
          <w:szCs w:val="16"/>
          <w:color w:val="auto"/>
        </w:rPr>
      </w:pPr>
      <w:r>
        <w:rPr>
          <w:rFonts w:ascii="Arial" w:cs="Arial" w:eastAsia="Arial" w:hAnsi="Arial"/>
          <w:sz w:val="16"/>
          <w:szCs w:val="16"/>
          <w:b w:val="1"/>
          <w:bCs w:val="1"/>
          <w:color w:val="0075C9"/>
        </w:rPr>
        <w:t>JPMorgan Chase &amp; Co. (2004-2012)</w:t>
      </w:r>
    </w:p>
    <w:p>
      <w:pPr>
        <w:ind w:left="1820" w:right="620" w:hanging="161"/>
        <w:spacing w:after="0" w:line="236" w:lineRule="auto"/>
        <w:tabs>
          <w:tab w:leader="none" w:pos="1828" w:val="left"/>
        </w:tabs>
        <w:numPr>
          <w:ilvl w:val="0"/>
          <w:numId w:val="44"/>
        </w:numPr>
        <w:rPr>
          <w:rFonts w:ascii="Arial" w:cs="Arial" w:eastAsia="Arial" w:hAnsi="Arial"/>
          <w:sz w:val="16"/>
          <w:szCs w:val="16"/>
          <w:color w:val="auto"/>
        </w:rPr>
      </w:pPr>
      <w:r>
        <w:rPr>
          <w:rFonts w:ascii="Arial" w:cs="Arial" w:eastAsia="Arial" w:hAnsi="Arial"/>
          <w:sz w:val="16"/>
          <w:szCs w:val="16"/>
          <w:color w:val="auto"/>
        </w:rPr>
        <w:t>Managing Director, One Equity Partners, private investment arm (2011-2012)</w:t>
      </w:r>
    </w:p>
    <w:p>
      <w:pPr>
        <w:ind w:left="1820" w:right="420" w:hanging="161"/>
        <w:spacing w:after="0" w:line="236" w:lineRule="auto"/>
        <w:tabs>
          <w:tab w:leader="none" w:pos="1828" w:val="left"/>
        </w:tabs>
        <w:numPr>
          <w:ilvl w:val="0"/>
          <w:numId w:val="44"/>
        </w:numPr>
        <w:rPr>
          <w:rFonts w:ascii="Arial" w:cs="Arial" w:eastAsia="Arial" w:hAnsi="Arial"/>
          <w:sz w:val="16"/>
          <w:szCs w:val="16"/>
          <w:color w:val="auto"/>
        </w:rPr>
      </w:pPr>
      <w:r>
        <w:rPr>
          <w:rFonts w:ascii="Arial" w:cs="Arial" w:eastAsia="Arial" w:hAnsi="Arial"/>
          <w:sz w:val="16"/>
          <w:szCs w:val="16"/>
          <w:color w:val="auto"/>
        </w:rPr>
        <w:t>Chief Executive Officer of Retail Financial Services (2004-2011)</w:t>
      </w:r>
    </w:p>
    <w:p>
      <w:pPr>
        <w:ind w:left="1660"/>
        <w:spacing w:after="0" w:line="237" w:lineRule="auto"/>
        <w:rPr>
          <w:sz w:val="20"/>
          <w:szCs w:val="20"/>
          <w:color w:val="auto"/>
        </w:rPr>
      </w:pPr>
      <w:r>
        <w:rPr>
          <w:rFonts w:ascii="Arial" w:cs="Arial" w:eastAsia="Arial" w:hAnsi="Arial"/>
          <w:sz w:val="16"/>
          <w:szCs w:val="16"/>
          <w:b w:val="1"/>
          <w:bCs w:val="1"/>
          <w:color w:val="0075C9"/>
        </w:rPr>
        <w:t>Bank One Corporation (2000-2004)</w:t>
      </w:r>
    </w:p>
    <w:p>
      <w:pPr>
        <w:ind w:left="1820" w:hanging="161"/>
        <w:spacing w:after="0"/>
        <w:tabs>
          <w:tab w:leader="none" w:pos="18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Chief Executive Officer of the Retail Division (2002-2004)</w:t>
      </w:r>
    </w:p>
    <w:p>
      <w:pPr>
        <w:spacing w:after="0" w:line="20" w:lineRule="exact"/>
        <w:rPr>
          <w:rFonts w:ascii="Arial" w:cs="Arial" w:eastAsia="Arial" w:hAnsi="Arial"/>
          <w:sz w:val="14"/>
          <w:szCs w:val="14"/>
          <w:color w:val="auto"/>
        </w:rPr>
      </w:pPr>
    </w:p>
    <w:p>
      <w:pPr>
        <w:ind w:left="1820" w:hanging="161"/>
        <w:spacing w:after="0" w:line="236" w:lineRule="auto"/>
        <w:tabs>
          <w:tab w:leader="none" w:pos="18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Chief Financial Officer (2000-2002)</w:t>
      </w:r>
    </w:p>
    <w:p>
      <w:pPr>
        <w:ind w:left="1660"/>
        <w:spacing w:after="0" w:line="237" w:lineRule="auto"/>
        <w:rPr>
          <w:sz w:val="20"/>
          <w:szCs w:val="20"/>
          <w:color w:val="auto"/>
        </w:rPr>
      </w:pPr>
      <w:r>
        <w:rPr>
          <w:rFonts w:ascii="Arial" w:cs="Arial" w:eastAsia="Arial" w:hAnsi="Arial"/>
          <w:sz w:val="16"/>
          <w:szCs w:val="16"/>
          <w:b w:val="1"/>
          <w:bCs w:val="1"/>
          <w:color w:val="0075C9"/>
        </w:rPr>
        <w:t>Citigroup Inc. (1999-2000)</w:t>
      </w:r>
    </w:p>
    <w:p>
      <w:pPr>
        <w:ind w:left="1820" w:right="440" w:hanging="161"/>
        <w:spacing w:after="0" w:line="239" w:lineRule="auto"/>
        <w:tabs>
          <w:tab w:leader="none" w:pos="1828" w:val="left"/>
        </w:tabs>
        <w:numPr>
          <w:ilvl w:val="0"/>
          <w:numId w:val="46"/>
        </w:numPr>
        <w:rPr>
          <w:rFonts w:ascii="Arial" w:cs="Arial" w:eastAsia="Arial" w:hAnsi="Arial"/>
          <w:sz w:val="16"/>
          <w:szCs w:val="16"/>
          <w:color w:val="auto"/>
        </w:rPr>
      </w:pPr>
      <w:r>
        <w:rPr>
          <w:rFonts w:ascii="Arial" w:cs="Arial" w:eastAsia="Arial" w:hAnsi="Arial"/>
          <w:sz w:val="16"/>
          <w:szCs w:val="16"/>
          <w:color w:val="auto"/>
        </w:rPr>
        <w:t>Chief Financial Officer of the Global Corporate and Investment Bank Division (1999-2000)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Microsoft Committees:</w:t>
      </w:r>
    </w:p>
    <w:p>
      <w:pPr>
        <w:spacing w:after="0" w:line="13" w:lineRule="exact"/>
        <w:rPr>
          <w:sz w:val="20"/>
          <w:szCs w:val="20"/>
          <w:color w:val="auto"/>
        </w:rPr>
      </w:pPr>
    </w:p>
    <w:p>
      <w:pPr>
        <w:ind w:left="160" w:hanging="155"/>
        <w:spacing w:after="0"/>
        <w:tabs>
          <w:tab w:leader="none" w:pos="1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Compensation</w:t>
      </w:r>
    </w:p>
    <w:p>
      <w:pPr>
        <w:ind w:left="160" w:hanging="155"/>
        <w:spacing w:after="0"/>
        <w:tabs>
          <w:tab w:leader="none" w:pos="1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Governance and Nominating</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Public Company Directorships: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  Wells Fargo &amp; Company</w:t>
      </w:r>
    </w:p>
    <w:p>
      <w:pPr>
        <w:spacing w:after="0" w:line="174" w:lineRule="exact"/>
        <w:rPr>
          <w:sz w:val="20"/>
          <w:szCs w:val="20"/>
          <w:color w:val="auto"/>
        </w:rPr>
      </w:pPr>
    </w:p>
    <w:p>
      <w:pPr>
        <w:ind w:right="1280"/>
        <w:spacing w:after="0" w:line="283" w:lineRule="auto"/>
        <w:rPr>
          <w:sz w:val="20"/>
          <w:szCs w:val="20"/>
          <w:color w:val="auto"/>
        </w:rPr>
      </w:pPr>
      <w:r>
        <w:rPr>
          <w:rFonts w:ascii="Arial" w:cs="Arial" w:eastAsia="Arial" w:hAnsi="Arial"/>
          <w:sz w:val="14"/>
          <w:szCs w:val="14"/>
          <w:b w:val="1"/>
          <w:bCs w:val="1"/>
          <w:color w:val="auto"/>
        </w:rPr>
        <w:t>Former Public Company Directorships Held in the Past Five Years:</w:t>
      </w:r>
    </w:p>
    <w:p>
      <w:pPr>
        <w:spacing w:after="0" w:line="1" w:lineRule="exact"/>
        <w:rPr>
          <w:sz w:val="20"/>
          <w:szCs w:val="20"/>
          <w:color w:val="auto"/>
        </w:rPr>
      </w:pPr>
    </w:p>
    <w:p>
      <w:pPr>
        <w:ind w:left="160" w:hanging="155"/>
        <w:spacing w:after="0"/>
        <w:tabs>
          <w:tab w:leader="none" w:pos="1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Bank of New York Mellon Corporation</w:t>
      </w:r>
    </w:p>
    <w:p>
      <w:pPr>
        <w:spacing w:after="0" w:line="20" w:lineRule="exact"/>
        <w:rPr>
          <w:rFonts w:ascii="Arial" w:cs="Arial" w:eastAsia="Arial" w:hAnsi="Arial"/>
          <w:sz w:val="14"/>
          <w:szCs w:val="14"/>
          <w:color w:val="auto"/>
        </w:rPr>
      </w:pPr>
    </w:p>
    <w:p>
      <w:pPr>
        <w:ind w:left="160" w:hanging="155"/>
        <w:spacing w:after="0"/>
        <w:tabs>
          <w:tab w:leader="none" w:pos="1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Visa Inc.</w:t>
      </w:r>
    </w:p>
    <w:p>
      <w:pPr>
        <w:spacing w:after="0" w:line="1806" w:lineRule="exact"/>
        <w:rPr>
          <w:sz w:val="20"/>
          <w:szCs w:val="20"/>
          <w:color w:val="auto"/>
        </w:rPr>
      </w:pPr>
    </w:p>
    <w:p>
      <w:pPr>
        <w:sectPr>
          <w:pgSz w:w="11900" w:h="16838" w:orient="portrait"/>
          <w:cols w:equalWidth="0" w:num="2">
            <w:col w:w="5740" w:space="420"/>
            <w:col w:w="4120"/>
          </w:cols>
          <w:pgMar w:left="320" w:top="445" w:right="1299" w:bottom="144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ind w:left="8240"/>
        <w:spacing w:after="0"/>
        <w:tabs>
          <w:tab w:leader="none" w:pos="10120" w:val="left"/>
        </w:tabs>
        <w:rPr>
          <w:sz w:val="20"/>
          <w:szCs w:val="20"/>
          <w:color w:val="auto"/>
        </w:rPr>
      </w:pPr>
      <w:r>
        <w:rPr>
          <w:rFonts w:ascii="Arial" w:cs="Arial" w:eastAsia="Arial" w:hAnsi="Arial"/>
          <w:sz w:val="14"/>
          <w:szCs w:val="14"/>
          <w:color w:val="auto"/>
        </w:rPr>
        <w:t>2021 PROXY STATEMENT</w:t>
      </w:r>
      <w:r>
        <w:rPr>
          <w:sz w:val="20"/>
          <w:szCs w:val="20"/>
          <w:color w:val="auto"/>
        </w:rPr>
        <w:tab/>
      </w:r>
      <w:r>
        <w:rPr>
          <w:rFonts w:ascii="Arial" w:cs="Arial" w:eastAsia="Arial" w:hAnsi="Arial"/>
          <w:sz w:val="12"/>
          <w:szCs w:val="12"/>
          <w:b w:val="1"/>
          <w:bCs w:val="1"/>
          <w:color w:val="0075C9"/>
        </w:rPr>
        <w:t>25</w:t>
      </w:r>
    </w:p>
    <w:p>
      <w:pPr>
        <w:sectPr>
          <w:pgSz w:w="11900" w:h="16838" w:orient="portrait"/>
          <w:cols w:equalWidth="0" w:num="1">
            <w:col w:w="10280"/>
          </w:cols>
          <w:pgMar w:left="320" w:top="445" w:right="1299" w:bottom="1440" w:gutter="0" w:footer="0" w:header="0"/>
          <w:type w:val="continuous"/>
        </w:sectPr>
      </w:pPr>
    </w:p>
    <w:bookmarkStart w:id="33" w:name="page34"/>
    <w:bookmarkEnd w:id="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0075C9"/>
                <w:w w:val="89"/>
              </w:rPr>
              <w:t>1</w:t>
            </w:r>
          </w:p>
        </w:tc>
        <w:tc>
          <w:tcPr>
            <w:tcW w:w="1220" w:type="dxa"/>
            <w:vAlign w:val="bottom"/>
            <w:vMerge w:val="restart"/>
          </w:tcPr>
          <w:p>
            <w:pPr>
              <w:ind w:left="80"/>
              <w:spacing w:after="0"/>
              <w:rPr>
                <w:sz w:val="20"/>
                <w:szCs w:val="20"/>
                <w:color w:val="auto"/>
              </w:rPr>
            </w:pPr>
            <w:r>
              <w:rPr>
                <w:rFonts w:ascii="Arial" w:cs="Arial" w:eastAsia="Arial" w:hAnsi="Arial"/>
                <w:sz w:val="12"/>
                <w:szCs w:val="12"/>
                <w:color w:val="0075C9"/>
                <w:w w:val="98"/>
              </w:rPr>
              <w:t>GOVERNANCE AND</w:t>
            </w:r>
          </w:p>
        </w:tc>
        <w:tc>
          <w:tcPr>
            <w:tcW w:w="720" w:type="dxa"/>
            <w:vAlign w:val="bottom"/>
          </w:tcPr>
          <w:p>
            <w:pPr>
              <w:jc w:val="right"/>
              <w:spacing w:after="0"/>
              <w:rPr>
                <w:sz w:val="20"/>
                <w:szCs w:val="20"/>
                <w:color w:val="auto"/>
              </w:rPr>
            </w:pPr>
            <w:r>
              <w:rPr>
                <w:rFonts w:ascii="Arial" w:cs="Arial" w:eastAsia="Arial" w:hAnsi="Arial"/>
                <w:sz w:val="36"/>
                <w:szCs w:val="36"/>
                <w:color w:val="auto"/>
              </w:rPr>
              <w:t>2</w:t>
            </w:r>
          </w:p>
        </w:tc>
        <w:tc>
          <w:tcPr>
            <w:tcW w:w="1540" w:type="dxa"/>
            <w:vAlign w:val="bottom"/>
            <w:vMerge w:val="restart"/>
          </w:tcPr>
          <w:p>
            <w:pPr>
              <w:ind w:left="80"/>
              <w:spacing w:after="0"/>
              <w:rPr>
                <w:sz w:val="20"/>
                <w:szCs w:val="20"/>
                <w:color w:val="auto"/>
              </w:rPr>
            </w:pPr>
            <w:r>
              <w:rPr>
                <w:rFonts w:ascii="Arial" w:cs="Arial" w:eastAsia="Arial" w:hAnsi="Arial"/>
                <w:sz w:val="12"/>
                <w:szCs w:val="12"/>
                <w:color w:val="auto"/>
              </w:rPr>
              <w:t>NAMED</w:t>
            </w:r>
          </w:p>
        </w:tc>
        <w:tc>
          <w:tcPr>
            <w:tcW w:w="500" w:type="dxa"/>
            <w:vAlign w:val="bottom"/>
          </w:tcPr>
          <w:p>
            <w:pPr>
              <w:jc w:val="right"/>
              <w:spacing w:after="0"/>
              <w:rPr>
                <w:sz w:val="20"/>
                <w:szCs w:val="20"/>
                <w:color w:val="auto"/>
              </w:rPr>
            </w:pPr>
            <w:r>
              <w:rPr>
                <w:rFonts w:ascii="Arial" w:cs="Arial" w:eastAsia="Arial" w:hAnsi="Arial"/>
                <w:sz w:val="36"/>
                <w:szCs w:val="36"/>
                <w:color w:val="auto"/>
              </w:rPr>
              <w:t>3</w:t>
            </w:r>
          </w:p>
        </w:tc>
        <w:tc>
          <w:tcPr>
            <w:tcW w:w="980" w:type="dxa"/>
            <w:vAlign w:val="bottom"/>
            <w:vMerge w:val="restart"/>
          </w:tcPr>
          <w:p>
            <w:pPr>
              <w:ind w:left="80"/>
              <w:spacing w:after="0"/>
              <w:rPr>
                <w:sz w:val="20"/>
                <w:szCs w:val="20"/>
                <w:color w:val="auto"/>
              </w:rPr>
            </w:pPr>
            <w:r>
              <w:rPr>
                <w:rFonts w:ascii="Arial" w:cs="Arial" w:eastAsia="Arial" w:hAnsi="Arial"/>
                <w:sz w:val="12"/>
                <w:szCs w:val="12"/>
                <w:color w:val="auto"/>
              </w:rPr>
              <w:t>AUDIT</w:t>
            </w:r>
          </w:p>
        </w:tc>
        <w:tc>
          <w:tcPr>
            <w:tcW w:w="460" w:type="dxa"/>
            <w:vAlign w:val="bottom"/>
          </w:tcPr>
          <w:p>
            <w:pPr>
              <w:jc w:val="right"/>
              <w:spacing w:after="0"/>
              <w:rPr>
                <w:sz w:val="20"/>
                <w:szCs w:val="20"/>
                <w:color w:val="auto"/>
              </w:rPr>
            </w:pPr>
            <w:r>
              <w:rPr>
                <w:rFonts w:ascii="Arial" w:cs="Arial" w:eastAsia="Arial" w:hAnsi="Arial"/>
                <w:sz w:val="36"/>
                <w:szCs w:val="36"/>
                <w:color w:val="auto"/>
              </w:rPr>
              <w:t>4</w:t>
            </w:r>
          </w:p>
        </w:tc>
        <w:tc>
          <w:tcPr>
            <w:tcW w:w="1580" w:type="dxa"/>
            <w:vAlign w:val="bottom"/>
            <w:vMerge w:val="restart"/>
          </w:tcPr>
          <w:p>
            <w:pPr>
              <w:ind w:left="80"/>
              <w:spacing w:after="0"/>
              <w:rPr>
                <w:sz w:val="20"/>
                <w:szCs w:val="20"/>
                <w:color w:val="auto"/>
              </w:rPr>
            </w:pPr>
            <w:r>
              <w:rPr>
                <w:rFonts w:ascii="Arial" w:cs="Arial" w:eastAsia="Arial" w:hAnsi="Arial"/>
                <w:sz w:val="12"/>
                <w:szCs w:val="12"/>
                <w:color w:val="auto"/>
              </w:rPr>
              <w:t>PROPOSALS TO</w:t>
            </w:r>
          </w:p>
        </w:tc>
        <w:tc>
          <w:tcPr>
            <w:tcW w:w="440" w:type="dxa"/>
            <w:vAlign w:val="bottom"/>
          </w:tcPr>
          <w:p>
            <w:pPr>
              <w:jc w:val="right"/>
              <w:spacing w:after="0"/>
              <w:rPr>
                <w:sz w:val="20"/>
                <w:szCs w:val="20"/>
                <w:color w:val="auto"/>
              </w:rPr>
            </w:pPr>
            <w:r>
              <w:rPr>
                <w:rFonts w:ascii="Arial" w:cs="Arial" w:eastAsia="Arial" w:hAnsi="Arial"/>
                <w:sz w:val="36"/>
                <w:szCs w:val="36"/>
                <w:color w:val="auto"/>
              </w:rPr>
              <w:t>5</w:t>
            </w:r>
          </w:p>
        </w:tc>
        <w:tc>
          <w:tcPr>
            <w:tcW w:w="900" w:type="dxa"/>
            <w:vAlign w:val="bottom"/>
            <w:vMerge w:val="restart"/>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220" w:type="dxa"/>
            <w:vAlign w:val="bottom"/>
          </w:tcPr>
          <w:p>
            <w:pPr>
              <w:ind w:left="80"/>
              <w:spacing w:after="0" w:line="130" w:lineRule="exact"/>
              <w:rPr>
                <w:sz w:val="20"/>
                <w:szCs w:val="20"/>
                <w:color w:val="auto"/>
              </w:rPr>
            </w:pPr>
            <w:r>
              <w:rPr>
                <w:rFonts w:ascii="Arial" w:cs="Arial" w:eastAsia="Arial" w:hAnsi="Arial"/>
                <w:sz w:val="12"/>
                <w:szCs w:val="12"/>
                <w:color w:val="0075C9"/>
              </w:rPr>
              <w:t>OUR BOARD OF</w:t>
            </w:r>
          </w:p>
        </w:tc>
        <w:tc>
          <w:tcPr>
            <w:tcW w:w="720" w:type="dxa"/>
            <w:vAlign w:val="bottom"/>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460" w:type="dxa"/>
            <w:vAlign w:val="bottom"/>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40" w:type="dxa"/>
            <w:vAlign w:val="bottom"/>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0075C9"/>
              </w:rPr>
              <w:t>DIRECTORS</w:t>
            </w:r>
          </w:p>
        </w:tc>
        <w:tc>
          <w:tcPr>
            <w:tcW w:w="720" w:type="dxa"/>
            <w:vAlign w:val="bottom"/>
          </w:tcPr>
          <w:p>
            <w:pPr>
              <w:spacing w:after="0"/>
              <w:rPr>
                <w:sz w:val="12"/>
                <w:szCs w:val="12"/>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tcPr>
          <w:p>
            <w:pPr>
              <w:spacing w:after="0"/>
              <w:rPr>
                <w:sz w:val="12"/>
                <w:szCs w:val="12"/>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460" w:type="dxa"/>
            <w:vAlign w:val="bottom"/>
          </w:tcPr>
          <w:p>
            <w:pPr>
              <w:spacing w:after="0"/>
              <w:rPr>
                <w:sz w:val="12"/>
                <w:szCs w:val="12"/>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40" w:type="dxa"/>
            <w:vAlign w:val="bottom"/>
          </w:tcPr>
          <w:p>
            <w:pPr>
              <w:spacing w:after="0"/>
              <w:rPr>
                <w:sz w:val="12"/>
                <w:szCs w:val="12"/>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shd w:val="clear" w:color="auto" w:fill="0075C9"/>
          </w:tcPr>
          <w:p>
            <w:pPr>
              <w:spacing w:after="0"/>
              <w:rPr>
                <w:sz w:val="9"/>
                <w:szCs w:val="9"/>
                <w:color w:val="auto"/>
              </w:rPr>
            </w:pPr>
          </w:p>
        </w:tc>
        <w:tc>
          <w:tcPr>
            <w:tcW w:w="1220" w:type="dxa"/>
            <w:vAlign w:val="bottom"/>
            <w:shd w:val="clear" w:color="auto" w:fill="0075C9"/>
          </w:tcPr>
          <w:p>
            <w:pPr>
              <w:spacing w:after="0"/>
              <w:rPr>
                <w:sz w:val="9"/>
                <w:szCs w:val="9"/>
                <w:color w:val="auto"/>
              </w:rPr>
            </w:pPr>
          </w:p>
        </w:tc>
        <w:tc>
          <w:tcPr>
            <w:tcW w:w="7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189230</wp:posOffset>
            </wp:positionV>
            <wp:extent cx="5748020" cy="30099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748020" cy="300990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2880"/>
        <w:spacing w:after="0"/>
        <w:rPr>
          <w:sz w:val="20"/>
          <w:szCs w:val="20"/>
          <w:color w:val="auto"/>
        </w:rPr>
      </w:pPr>
      <w:r>
        <w:rPr>
          <w:rFonts w:ascii="Arial" w:cs="Arial" w:eastAsia="Arial" w:hAnsi="Arial"/>
          <w:sz w:val="45"/>
          <w:szCs w:val="45"/>
          <w:color w:val="595959"/>
        </w:rPr>
        <w:t>John W. Stanton</w:t>
      </w:r>
    </w:p>
    <w:p>
      <w:pPr>
        <w:ind w:left="288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66 |</w:t>
      </w:r>
      <w:r>
        <w:rPr>
          <w:rFonts w:ascii="Arial" w:cs="Arial" w:eastAsia="Arial" w:hAnsi="Arial"/>
          <w:sz w:val="17"/>
          <w:szCs w:val="17"/>
          <w:b w:val="1"/>
          <w:bCs w:val="1"/>
          <w:color w:val="auto"/>
        </w:rPr>
        <w:t xml:space="preserve"> Director Since: </w:t>
      </w:r>
      <w:r>
        <w:rPr>
          <w:rFonts w:ascii="Arial" w:cs="Arial" w:eastAsia="Arial" w:hAnsi="Arial"/>
          <w:sz w:val="17"/>
          <w:szCs w:val="17"/>
          <w:color w:val="auto"/>
        </w:rPr>
        <w:t>2014 |</w:t>
      </w:r>
      <w:r>
        <w:rPr>
          <w:rFonts w:ascii="Arial" w:cs="Arial" w:eastAsia="Arial" w:hAnsi="Arial"/>
          <w:sz w:val="17"/>
          <w:szCs w:val="17"/>
          <w:b w:val="1"/>
          <w:bCs w:val="1"/>
          <w:color w:val="auto"/>
        </w:rPr>
        <w:t xml:space="preserve"> Birthplace: </w:t>
      </w:r>
      <w:r>
        <w:rPr>
          <w:rFonts w:ascii="Arial" w:cs="Arial" w:eastAsia="Arial" w:hAnsi="Arial"/>
          <w:sz w:val="17"/>
          <w:szCs w:val="17"/>
          <w:color w:val="auto"/>
        </w:rPr>
        <w:t>United States |</w:t>
      </w:r>
      <w:r>
        <w:rPr>
          <w:rFonts w:ascii="Arial" w:cs="Arial" w:eastAsia="Arial" w:hAnsi="Arial"/>
          <w:sz w:val="17"/>
          <w:szCs w:val="17"/>
          <w:b w:val="1"/>
          <w:bCs w:val="1"/>
          <w:color w:val="auto"/>
        </w:rPr>
        <w:t xml:space="preserve"> </w:t>
      </w:r>
      <w:r>
        <w:rPr>
          <w:rFonts w:ascii="Arial" w:cs="Arial" w:eastAsia="Arial" w:hAnsi="Arial"/>
          <w:sz w:val="17"/>
          <w:szCs w:val="17"/>
          <w:color w:val="0075C9"/>
        </w:rPr>
        <w:t>Independent</w:t>
      </w:r>
    </w:p>
    <w:p>
      <w:pPr>
        <w:sectPr>
          <w:pgSz w:w="11900" w:h="16838" w:orient="portrait"/>
          <w:cols w:equalWidth="0" w:num="1">
            <w:col w:w="10140"/>
          </w:cols>
          <w:pgMar w:left="320" w:top="445"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auto"/>
        </w:rPr>
        <w:t>Experience:</w:t>
      </w:r>
    </w:p>
    <w:p>
      <w:pPr>
        <w:spacing w:after="0" w:line="13"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0075C9"/>
        </w:rPr>
        <w:t>Trilogy Partnerships (2005-present)</w:t>
      </w:r>
    </w:p>
    <w:p>
      <w:pPr>
        <w:ind w:left="1660"/>
        <w:spacing w:after="0" w:line="236" w:lineRule="auto"/>
        <w:rPr>
          <w:sz w:val="20"/>
          <w:szCs w:val="20"/>
          <w:color w:val="auto"/>
        </w:rPr>
      </w:pPr>
      <w:r>
        <w:rPr>
          <w:rFonts w:ascii="Arial" w:cs="Arial" w:eastAsia="Arial" w:hAnsi="Arial"/>
          <w:sz w:val="16"/>
          <w:szCs w:val="16"/>
          <w:color w:val="0075C9"/>
        </w:rPr>
        <w:t>(investment company)</w:t>
      </w:r>
    </w:p>
    <w:p>
      <w:pPr>
        <w:ind w:left="1820" w:hanging="161"/>
        <w:spacing w:after="0" w:line="237" w:lineRule="auto"/>
        <w:tabs>
          <w:tab w:leader="none" w:pos="18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Founder and Chairman (2005-present)</w:t>
      </w:r>
    </w:p>
    <w:p>
      <w:pPr>
        <w:ind w:left="1660"/>
        <w:spacing w:after="0" w:line="236" w:lineRule="auto"/>
        <w:rPr>
          <w:rFonts w:ascii="Arial" w:cs="Arial" w:eastAsia="Arial" w:hAnsi="Arial"/>
          <w:sz w:val="16"/>
          <w:szCs w:val="16"/>
          <w:color w:val="auto"/>
        </w:rPr>
      </w:pPr>
      <w:r>
        <w:rPr>
          <w:rFonts w:ascii="Arial" w:cs="Arial" w:eastAsia="Arial" w:hAnsi="Arial"/>
          <w:sz w:val="16"/>
          <w:szCs w:val="16"/>
          <w:b w:val="1"/>
          <w:bCs w:val="1"/>
          <w:color w:val="0075C9"/>
        </w:rPr>
        <w:t>Clearwire Corp. (2008-2013)</w:t>
      </w:r>
    </w:p>
    <w:p>
      <w:pPr>
        <w:ind w:left="1820" w:hanging="161"/>
        <w:spacing w:after="0" w:line="236" w:lineRule="auto"/>
        <w:tabs>
          <w:tab w:leader="none" w:pos="18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Chairman of the Board (2011-2013)</w:t>
      </w:r>
    </w:p>
    <w:p>
      <w:pPr>
        <w:ind w:left="1820" w:hanging="161"/>
        <w:spacing w:after="0" w:line="236" w:lineRule="auto"/>
        <w:tabs>
          <w:tab w:leader="none" w:pos="18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Interim Chief Executive Officer (2011)</w:t>
      </w:r>
    </w:p>
    <w:p>
      <w:pPr>
        <w:ind w:left="1820" w:hanging="161"/>
        <w:spacing w:after="0" w:line="236" w:lineRule="auto"/>
        <w:tabs>
          <w:tab w:leader="none" w:pos="18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Board member (2008-2011)</w:t>
      </w:r>
    </w:p>
    <w:p>
      <w:pPr>
        <w:ind w:left="1660"/>
        <w:spacing w:after="0" w:line="237" w:lineRule="auto"/>
        <w:rPr>
          <w:sz w:val="20"/>
          <w:szCs w:val="20"/>
          <w:color w:val="auto"/>
        </w:rPr>
      </w:pPr>
      <w:r>
        <w:rPr>
          <w:rFonts w:ascii="Arial" w:cs="Arial" w:eastAsia="Arial" w:hAnsi="Arial"/>
          <w:sz w:val="16"/>
          <w:szCs w:val="16"/>
          <w:b w:val="1"/>
          <w:bCs w:val="1"/>
          <w:color w:val="0075C9"/>
        </w:rPr>
        <w:t>Western Wireless Corporation (1992-2005)</w:t>
      </w:r>
    </w:p>
    <w:p>
      <w:pPr>
        <w:ind w:left="1820" w:right="340" w:hanging="161"/>
        <w:spacing w:after="0" w:line="236" w:lineRule="auto"/>
        <w:tabs>
          <w:tab w:leader="none" w:pos="1828" w:val="left"/>
        </w:tabs>
        <w:numPr>
          <w:ilvl w:val="0"/>
          <w:numId w:val="50"/>
        </w:numPr>
        <w:rPr>
          <w:rFonts w:ascii="Arial" w:cs="Arial" w:eastAsia="Arial" w:hAnsi="Arial"/>
          <w:sz w:val="16"/>
          <w:szCs w:val="16"/>
          <w:color w:val="auto"/>
        </w:rPr>
      </w:pPr>
      <w:r>
        <w:rPr>
          <w:rFonts w:ascii="Arial" w:cs="Arial" w:eastAsia="Arial" w:hAnsi="Arial"/>
          <w:sz w:val="16"/>
          <w:szCs w:val="16"/>
          <w:color w:val="auto"/>
        </w:rPr>
        <w:t>Founder, Chief Executive Officer, and Chairman (1992-2005)</w:t>
      </w:r>
    </w:p>
    <w:p>
      <w:pPr>
        <w:ind w:left="1660"/>
        <w:spacing w:after="0" w:line="237" w:lineRule="auto"/>
        <w:rPr>
          <w:sz w:val="20"/>
          <w:szCs w:val="20"/>
          <w:color w:val="auto"/>
        </w:rPr>
      </w:pPr>
      <w:r>
        <w:rPr>
          <w:rFonts w:ascii="Arial" w:cs="Arial" w:eastAsia="Arial" w:hAnsi="Arial"/>
          <w:sz w:val="16"/>
          <w:szCs w:val="16"/>
          <w:b w:val="1"/>
          <w:bCs w:val="1"/>
          <w:color w:val="0075C9"/>
        </w:rPr>
        <w:t>VoiceStream Wireless Corporation (1995-2003)</w:t>
      </w:r>
    </w:p>
    <w:p>
      <w:pPr>
        <w:ind w:left="1660"/>
        <w:spacing w:after="0"/>
        <w:rPr>
          <w:sz w:val="20"/>
          <w:szCs w:val="20"/>
          <w:color w:val="auto"/>
        </w:rPr>
      </w:pPr>
      <w:r>
        <w:rPr>
          <w:rFonts w:ascii="Arial" w:cs="Arial" w:eastAsia="Arial" w:hAnsi="Arial"/>
          <w:sz w:val="14"/>
          <w:szCs w:val="14"/>
          <w:color w:val="auto"/>
        </w:rPr>
        <w:t>•  Chief Executive Officer and Chairman (1995-2003)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718820</wp:posOffset>
            </wp:positionV>
            <wp:extent cx="5748020" cy="27711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748020" cy="27711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Microsoft Committees:</w:t>
      </w:r>
    </w:p>
    <w:p>
      <w:pPr>
        <w:spacing w:after="0" w:line="13" w:lineRule="exact"/>
        <w:rPr>
          <w:sz w:val="20"/>
          <w:szCs w:val="20"/>
          <w:color w:val="auto"/>
        </w:rPr>
      </w:pPr>
    </w:p>
    <w:p>
      <w:pPr>
        <w:ind w:left="160" w:hanging="155"/>
        <w:spacing w:after="0"/>
        <w:tabs>
          <w:tab w:leader="none" w:pos="1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Audit</w:t>
      </w:r>
    </w:p>
    <w:p>
      <w:pPr>
        <w:ind w:left="160" w:hanging="155"/>
        <w:spacing w:after="0"/>
        <w:tabs>
          <w:tab w:leader="none" w:pos="1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Regulatory and Public Policy</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Public Company Directorships:</w:t>
      </w:r>
    </w:p>
    <w:p>
      <w:pPr>
        <w:spacing w:after="0" w:line="13" w:lineRule="exact"/>
        <w:rPr>
          <w:sz w:val="20"/>
          <w:szCs w:val="20"/>
          <w:color w:val="auto"/>
        </w:rPr>
      </w:pPr>
    </w:p>
    <w:p>
      <w:pPr>
        <w:ind w:left="160" w:hanging="155"/>
        <w:spacing w:after="0"/>
        <w:tabs>
          <w:tab w:leader="none" w:pos="1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Costco Wholesale Corporation</w:t>
      </w:r>
    </w:p>
    <w:p>
      <w:pPr>
        <w:ind w:left="160" w:hanging="155"/>
        <w:spacing w:after="0"/>
        <w:tabs>
          <w:tab w:leader="none" w:pos="1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Trilogy International Partners, Inc.</w:t>
      </w:r>
    </w:p>
    <w:p>
      <w:pPr>
        <w:spacing w:after="0" w:line="174" w:lineRule="exact"/>
        <w:rPr>
          <w:sz w:val="20"/>
          <w:szCs w:val="20"/>
          <w:color w:val="auto"/>
        </w:rPr>
      </w:pPr>
    </w:p>
    <w:p>
      <w:pPr>
        <w:ind w:right="1140"/>
        <w:spacing w:after="0" w:line="283" w:lineRule="auto"/>
        <w:rPr>
          <w:sz w:val="20"/>
          <w:szCs w:val="20"/>
          <w:color w:val="auto"/>
        </w:rPr>
      </w:pPr>
      <w:r>
        <w:rPr>
          <w:rFonts w:ascii="Arial" w:cs="Arial" w:eastAsia="Arial" w:hAnsi="Arial"/>
          <w:sz w:val="14"/>
          <w:szCs w:val="14"/>
          <w:b w:val="1"/>
          <w:bCs w:val="1"/>
          <w:color w:val="auto"/>
        </w:rPr>
        <w:t>Former Public Company Directorships Held in the Past Five Years: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Columbia Sportswear Company</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Positions:</w:t>
      </w:r>
    </w:p>
    <w:p>
      <w:pPr>
        <w:spacing w:after="0" w:line="15" w:lineRule="exact"/>
        <w:rPr>
          <w:sz w:val="20"/>
          <w:szCs w:val="20"/>
          <w:color w:val="auto"/>
        </w:rPr>
      </w:pPr>
    </w:p>
    <w:p>
      <w:pPr>
        <w:ind w:left="160" w:right="280" w:hanging="155"/>
        <w:spacing w:after="0" w:line="239" w:lineRule="auto"/>
        <w:tabs>
          <w:tab w:leader="none" w:pos="168" w:val="left"/>
        </w:tabs>
        <w:numPr>
          <w:ilvl w:val="0"/>
          <w:numId w:val="53"/>
        </w:numPr>
        <w:rPr>
          <w:rFonts w:ascii="Arial" w:cs="Arial" w:eastAsia="Arial" w:hAnsi="Arial"/>
          <w:sz w:val="16"/>
          <w:szCs w:val="16"/>
          <w:color w:val="auto"/>
        </w:rPr>
      </w:pPr>
      <w:r>
        <w:rPr>
          <w:rFonts w:ascii="Arial" w:cs="Arial" w:eastAsia="Arial" w:hAnsi="Arial"/>
          <w:sz w:val="16"/>
          <w:szCs w:val="16"/>
          <w:color w:val="auto"/>
        </w:rPr>
        <w:t>Chairman, First Avenue Entertainment LLLP, owner of Seattle Mariners (2016-present)</w:t>
      </w:r>
    </w:p>
    <w:p>
      <w:pPr>
        <w:spacing w:after="0" w:line="200" w:lineRule="exact"/>
        <w:rPr>
          <w:sz w:val="20"/>
          <w:szCs w:val="20"/>
          <w:color w:val="auto"/>
        </w:rPr>
      </w:pPr>
    </w:p>
    <w:p>
      <w:pPr>
        <w:sectPr>
          <w:pgSz w:w="11900" w:h="16838" w:orient="portrait"/>
          <w:cols w:equalWidth="0" w:num="2">
            <w:col w:w="5440" w:space="720"/>
            <w:col w:w="3980"/>
          </w:cols>
          <w:pgMar w:left="320" w:top="445" w:right="1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880"/>
        <w:spacing w:after="0"/>
        <w:rPr>
          <w:sz w:val="20"/>
          <w:szCs w:val="20"/>
          <w:color w:val="auto"/>
        </w:rPr>
      </w:pPr>
      <w:r>
        <w:rPr>
          <w:rFonts w:ascii="Arial" w:cs="Arial" w:eastAsia="Arial" w:hAnsi="Arial"/>
          <w:sz w:val="45"/>
          <w:szCs w:val="45"/>
          <w:color w:val="595959"/>
        </w:rPr>
        <w:t>John W. Thompson</w:t>
      </w:r>
    </w:p>
    <w:p>
      <w:pPr>
        <w:ind w:left="288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72 |</w:t>
      </w:r>
      <w:r>
        <w:rPr>
          <w:rFonts w:ascii="Arial" w:cs="Arial" w:eastAsia="Arial" w:hAnsi="Arial"/>
          <w:sz w:val="17"/>
          <w:szCs w:val="17"/>
          <w:b w:val="1"/>
          <w:bCs w:val="1"/>
          <w:color w:val="auto"/>
        </w:rPr>
        <w:t xml:space="preserve"> Director Since: </w:t>
      </w:r>
      <w:r>
        <w:rPr>
          <w:rFonts w:ascii="Arial" w:cs="Arial" w:eastAsia="Arial" w:hAnsi="Arial"/>
          <w:sz w:val="17"/>
          <w:szCs w:val="17"/>
          <w:color w:val="auto"/>
        </w:rPr>
        <w:t>2012 |</w:t>
      </w:r>
      <w:r>
        <w:rPr>
          <w:rFonts w:ascii="Arial" w:cs="Arial" w:eastAsia="Arial" w:hAnsi="Arial"/>
          <w:sz w:val="17"/>
          <w:szCs w:val="17"/>
          <w:b w:val="1"/>
          <w:bCs w:val="1"/>
          <w:color w:val="auto"/>
        </w:rPr>
        <w:t xml:space="preserve"> Birthplace: </w:t>
      </w:r>
      <w:r>
        <w:rPr>
          <w:rFonts w:ascii="Arial" w:cs="Arial" w:eastAsia="Arial" w:hAnsi="Arial"/>
          <w:sz w:val="17"/>
          <w:szCs w:val="17"/>
          <w:color w:val="auto"/>
        </w:rPr>
        <w:t>United States |</w:t>
      </w:r>
      <w:r>
        <w:rPr>
          <w:rFonts w:ascii="Arial" w:cs="Arial" w:eastAsia="Arial" w:hAnsi="Arial"/>
          <w:sz w:val="17"/>
          <w:szCs w:val="17"/>
          <w:b w:val="1"/>
          <w:bCs w:val="1"/>
          <w:color w:val="auto"/>
        </w:rPr>
        <w:t xml:space="preserve"> </w:t>
      </w:r>
      <w:r>
        <w:rPr>
          <w:rFonts w:ascii="Arial" w:cs="Arial" w:eastAsia="Arial" w:hAnsi="Arial"/>
          <w:sz w:val="17"/>
          <w:szCs w:val="17"/>
          <w:color w:val="0075C9"/>
        </w:rPr>
        <w:t>Independent</w:t>
      </w:r>
    </w:p>
    <w:p>
      <w:pPr>
        <w:sectPr>
          <w:pgSz w:w="11900" w:h="16838" w:orient="portrait"/>
          <w:cols w:equalWidth="0" w:num="1">
            <w:col w:w="10140"/>
          </w:cols>
          <w:pgMar w:left="320" w:top="445" w:right="1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auto"/>
        </w:rPr>
        <w:t>Experience:</w:t>
      </w:r>
    </w:p>
    <w:p>
      <w:pPr>
        <w:spacing w:after="0" w:line="15" w:lineRule="exact"/>
        <w:rPr>
          <w:sz w:val="20"/>
          <w:szCs w:val="20"/>
          <w:color w:val="auto"/>
        </w:rPr>
      </w:pPr>
    </w:p>
    <w:p>
      <w:pPr>
        <w:jc w:val="center"/>
        <w:ind w:left="620"/>
        <w:spacing w:after="0"/>
        <w:rPr>
          <w:sz w:val="20"/>
          <w:szCs w:val="20"/>
          <w:color w:val="auto"/>
        </w:rPr>
      </w:pPr>
      <w:r>
        <w:rPr>
          <w:rFonts w:ascii="Arial" w:cs="Arial" w:eastAsia="Arial" w:hAnsi="Arial"/>
          <w:sz w:val="14"/>
          <w:szCs w:val="14"/>
          <w:b w:val="1"/>
          <w:bCs w:val="1"/>
          <w:color w:val="0075C9"/>
        </w:rPr>
        <w:t>Microsoft Corporation (2012-present)</w:t>
      </w:r>
    </w:p>
    <w:p>
      <w:pPr>
        <w:spacing w:after="0" w:line="18" w:lineRule="exact"/>
        <w:rPr>
          <w:sz w:val="20"/>
          <w:szCs w:val="20"/>
          <w:color w:val="auto"/>
        </w:rPr>
      </w:pPr>
    </w:p>
    <w:p>
      <w:pPr>
        <w:ind w:left="1820" w:hanging="161"/>
        <w:spacing w:after="0"/>
        <w:tabs>
          <w:tab w:leader="none" w:pos="18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Lead Independent Director (2021-present)</w:t>
      </w:r>
    </w:p>
    <w:p>
      <w:pPr>
        <w:ind w:left="1820" w:hanging="161"/>
        <w:spacing w:after="0" w:line="236" w:lineRule="auto"/>
        <w:tabs>
          <w:tab w:leader="none" w:pos="18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Independent Board Chair (2014-2021)</w:t>
      </w:r>
    </w:p>
    <w:p>
      <w:pPr>
        <w:ind w:left="1820" w:hanging="161"/>
        <w:spacing w:after="0" w:line="236" w:lineRule="auto"/>
        <w:tabs>
          <w:tab w:leader="none" w:pos="18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Lead Independent Director (2012-2014)</w:t>
      </w:r>
    </w:p>
    <w:p>
      <w:pPr>
        <w:ind w:left="1660"/>
        <w:spacing w:after="0" w:line="236" w:lineRule="auto"/>
        <w:rPr>
          <w:rFonts w:ascii="Arial" w:cs="Arial" w:eastAsia="Arial" w:hAnsi="Arial"/>
          <w:sz w:val="16"/>
          <w:szCs w:val="16"/>
          <w:color w:val="auto"/>
        </w:rPr>
      </w:pPr>
      <w:r>
        <w:rPr>
          <w:rFonts w:ascii="Arial" w:cs="Arial" w:eastAsia="Arial" w:hAnsi="Arial"/>
          <w:sz w:val="16"/>
          <w:szCs w:val="16"/>
          <w:b w:val="1"/>
          <w:bCs w:val="1"/>
          <w:color w:val="0075C9"/>
        </w:rPr>
        <w:t>Virtual Instruments Corporation (2010-2016)</w:t>
      </w:r>
    </w:p>
    <w:p>
      <w:pPr>
        <w:ind w:left="1820" w:hanging="161"/>
        <w:spacing w:after="0" w:line="236" w:lineRule="auto"/>
        <w:tabs>
          <w:tab w:leader="none" w:pos="18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Chief Executive Officer and Director (2010-2016)</w:t>
      </w:r>
    </w:p>
    <w:p>
      <w:pPr>
        <w:ind w:left="1660"/>
        <w:spacing w:after="0" w:line="236" w:lineRule="auto"/>
        <w:rPr>
          <w:rFonts w:ascii="Arial" w:cs="Arial" w:eastAsia="Arial" w:hAnsi="Arial"/>
          <w:sz w:val="16"/>
          <w:szCs w:val="16"/>
          <w:color w:val="auto"/>
        </w:rPr>
      </w:pPr>
      <w:r>
        <w:rPr>
          <w:rFonts w:ascii="Arial" w:cs="Arial" w:eastAsia="Arial" w:hAnsi="Arial"/>
          <w:sz w:val="16"/>
          <w:szCs w:val="16"/>
          <w:b w:val="1"/>
          <w:bCs w:val="1"/>
          <w:color w:val="0075C9"/>
        </w:rPr>
        <w:t>Symantec Corp. (1999-2011)</w:t>
      </w:r>
    </w:p>
    <w:p>
      <w:pPr>
        <w:ind w:left="1820" w:hanging="161"/>
        <w:spacing w:after="0" w:line="236" w:lineRule="auto"/>
        <w:tabs>
          <w:tab w:leader="none" w:pos="18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Chairman of the Board (1999-2011)</w:t>
      </w:r>
    </w:p>
    <w:p>
      <w:pPr>
        <w:ind w:left="1820" w:hanging="161"/>
        <w:spacing w:after="0" w:line="236" w:lineRule="auto"/>
        <w:tabs>
          <w:tab w:leader="none" w:pos="18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Chairman and Chief Executive Officer (1999-2009)</w:t>
      </w:r>
    </w:p>
    <w:p>
      <w:pPr>
        <w:ind w:left="1660"/>
        <w:spacing w:after="0" w:line="236" w:lineRule="auto"/>
        <w:rPr>
          <w:rFonts w:ascii="Arial" w:cs="Arial" w:eastAsia="Arial" w:hAnsi="Arial"/>
          <w:sz w:val="16"/>
          <w:szCs w:val="16"/>
          <w:color w:val="auto"/>
        </w:rPr>
      </w:pPr>
      <w:r>
        <w:rPr>
          <w:rFonts w:ascii="Arial" w:cs="Arial" w:eastAsia="Arial" w:hAnsi="Arial"/>
          <w:sz w:val="16"/>
          <w:szCs w:val="16"/>
          <w:b w:val="1"/>
          <w:bCs w:val="1"/>
          <w:color w:val="0075C9"/>
        </w:rPr>
        <w:t>IBM Corporation (1971-1999)</w:t>
      </w:r>
    </w:p>
    <w:p>
      <w:pPr>
        <w:ind w:left="1820" w:hanging="161"/>
        <w:spacing w:after="0" w:line="236" w:lineRule="auto"/>
        <w:tabs>
          <w:tab w:leader="none" w:pos="18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General Manager, IBM Americas (1996-1999)</w:t>
      </w:r>
    </w:p>
    <w:p>
      <w:pPr>
        <w:ind w:left="1820" w:hanging="161"/>
        <w:spacing w:after="0"/>
        <w:tabs>
          <w:tab w:leader="none" w:pos="18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Various positions of increasing authority (1971-1996)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Microsoft Committees:</w:t>
      </w:r>
    </w:p>
    <w:p>
      <w:pPr>
        <w:spacing w:after="0" w:line="13" w:lineRule="exact"/>
        <w:rPr>
          <w:sz w:val="20"/>
          <w:szCs w:val="20"/>
          <w:color w:val="auto"/>
        </w:rPr>
      </w:pPr>
    </w:p>
    <w:p>
      <w:pPr>
        <w:ind w:left="160" w:hanging="155"/>
        <w:spacing w:after="0"/>
        <w:tabs>
          <w:tab w:leader="none" w:pos="1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Governance and Nominating (Chair)</w:t>
      </w:r>
    </w:p>
    <w:p>
      <w:pPr>
        <w:ind w:left="160" w:hanging="155"/>
        <w:spacing w:after="0"/>
        <w:tabs>
          <w:tab w:leader="none" w:pos="1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Regulatory and Public Policy</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Public Company Directorships: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  Illumina, Inc.</w:t>
      </w:r>
    </w:p>
    <w:p>
      <w:pPr>
        <w:spacing w:after="0" w:line="174" w:lineRule="exact"/>
        <w:rPr>
          <w:sz w:val="20"/>
          <w:szCs w:val="20"/>
          <w:color w:val="auto"/>
        </w:rPr>
      </w:pPr>
    </w:p>
    <w:p>
      <w:pPr>
        <w:ind w:right="1140"/>
        <w:spacing w:after="0" w:line="283" w:lineRule="auto"/>
        <w:rPr>
          <w:sz w:val="20"/>
          <w:szCs w:val="20"/>
          <w:color w:val="auto"/>
        </w:rPr>
      </w:pPr>
      <w:r>
        <w:rPr>
          <w:rFonts w:ascii="Arial" w:cs="Arial" w:eastAsia="Arial" w:hAnsi="Arial"/>
          <w:sz w:val="14"/>
          <w:szCs w:val="14"/>
          <w:b w:val="1"/>
          <w:bCs w:val="1"/>
          <w:color w:val="auto"/>
        </w:rPr>
        <w:t>Former Public Company Directorships Held in the Past Five Years: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None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Positions: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  Partner, Lightspeed Venture Partners</w:t>
      </w:r>
    </w:p>
    <w:p>
      <w:pPr>
        <w:spacing w:after="0" w:line="200" w:lineRule="exact"/>
        <w:rPr>
          <w:sz w:val="20"/>
          <w:szCs w:val="20"/>
          <w:color w:val="auto"/>
        </w:rPr>
      </w:pPr>
    </w:p>
    <w:p>
      <w:pPr>
        <w:sectPr>
          <w:pgSz w:w="11900" w:h="16838" w:orient="portrait"/>
          <w:cols w:equalWidth="0" w:num="2">
            <w:col w:w="5440" w:space="720"/>
            <w:col w:w="3980"/>
          </w:cols>
          <w:pgMar w:left="320" w:top="445" w:right="1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1640" w:type="dxa"/>
        <w:tblCellMar>
          <w:top w:w="0" w:type="dxa"/>
          <w:left w:w="0" w:type="dxa"/>
          <w:bottom w:w="0" w:type="dxa"/>
          <w:right w:w="0" w:type="dxa"/>
        </w:tblCellMar>
      </w:tblPr>
      <w:tr>
        <w:trPr>
          <w:trHeight w:val="161"/>
        </w:trPr>
        <w:tc>
          <w:tcPr>
            <w:tcW w:w="1240" w:type="dxa"/>
            <w:vAlign w:val="bottom"/>
            <w:vMerge w:val="restart"/>
          </w:tcPr>
          <w:p>
            <w:pPr>
              <w:spacing w:after="0"/>
              <w:rPr>
                <w:sz w:val="20"/>
                <w:szCs w:val="20"/>
                <w:color w:val="auto"/>
              </w:rPr>
            </w:pPr>
            <w:r>
              <w:rPr>
                <w:rFonts w:ascii="Arial" w:cs="Arial" w:eastAsia="Arial" w:hAnsi="Arial"/>
                <w:sz w:val="14"/>
                <w:szCs w:val="14"/>
                <w:b w:val="1"/>
                <w:bCs w:val="1"/>
                <w:color w:val="0075C9"/>
              </w:rPr>
              <w:t>Board Diversity</w:t>
            </w:r>
          </w:p>
        </w:tc>
        <w:tc>
          <w:tcPr>
            <w:tcW w:w="1080" w:type="dxa"/>
            <w:vAlign w:val="bottom"/>
            <w:vMerge w:val="restart"/>
          </w:tcPr>
          <w:p>
            <w:pPr>
              <w:ind w:left="200"/>
              <w:spacing w:after="0"/>
              <w:rPr>
                <w:sz w:val="20"/>
                <w:szCs w:val="20"/>
                <w:color w:val="auto"/>
              </w:rPr>
            </w:pPr>
            <w:r>
              <w:rPr>
                <w:rFonts w:ascii="Arial" w:cs="Arial" w:eastAsia="Arial" w:hAnsi="Arial"/>
                <w:sz w:val="14"/>
                <w:szCs w:val="14"/>
                <w:b w:val="1"/>
                <w:bCs w:val="1"/>
                <w:color w:val="0075C9"/>
              </w:rPr>
              <w:t>Financial</w:t>
            </w:r>
          </w:p>
        </w:tc>
        <w:tc>
          <w:tcPr>
            <w:tcW w:w="1180" w:type="dxa"/>
            <w:vAlign w:val="bottom"/>
          </w:tcPr>
          <w:p>
            <w:pPr>
              <w:ind w:left="280"/>
              <w:spacing w:after="0"/>
              <w:rPr>
                <w:sz w:val="20"/>
                <w:szCs w:val="20"/>
                <w:color w:val="auto"/>
              </w:rPr>
            </w:pPr>
            <w:r>
              <w:rPr>
                <w:rFonts w:ascii="Arial" w:cs="Arial" w:eastAsia="Arial" w:hAnsi="Arial"/>
                <w:sz w:val="14"/>
                <w:szCs w:val="14"/>
                <w:b w:val="1"/>
                <w:bCs w:val="1"/>
                <w:color w:val="0075C9"/>
              </w:rPr>
              <w:t>Global</w:t>
            </w:r>
          </w:p>
        </w:tc>
        <w:tc>
          <w:tcPr>
            <w:tcW w:w="1300" w:type="dxa"/>
            <w:vAlign w:val="bottom"/>
            <w:vMerge w:val="restart"/>
          </w:tcPr>
          <w:p>
            <w:pPr>
              <w:ind w:left="280"/>
              <w:spacing w:after="0"/>
              <w:rPr>
                <w:sz w:val="20"/>
                <w:szCs w:val="20"/>
                <w:color w:val="auto"/>
              </w:rPr>
            </w:pPr>
            <w:r>
              <w:rPr>
                <w:rFonts w:ascii="Arial" w:cs="Arial" w:eastAsia="Arial" w:hAnsi="Arial"/>
                <w:sz w:val="14"/>
                <w:szCs w:val="14"/>
                <w:b w:val="1"/>
                <w:bCs w:val="1"/>
                <w:color w:val="0075C9"/>
              </w:rPr>
              <w:t>Leadership</w:t>
            </w:r>
          </w:p>
        </w:tc>
        <w:tc>
          <w:tcPr>
            <w:tcW w:w="1380" w:type="dxa"/>
            <w:vAlign w:val="bottom"/>
          </w:tcPr>
          <w:p>
            <w:pPr>
              <w:ind w:left="280"/>
              <w:spacing w:after="0"/>
              <w:rPr>
                <w:sz w:val="20"/>
                <w:szCs w:val="20"/>
                <w:color w:val="auto"/>
              </w:rPr>
            </w:pPr>
            <w:r>
              <w:rPr>
                <w:rFonts w:ascii="Arial" w:cs="Arial" w:eastAsia="Arial" w:hAnsi="Arial"/>
                <w:sz w:val="14"/>
                <w:szCs w:val="14"/>
                <w:b w:val="1"/>
                <w:bCs w:val="1"/>
                <w:color w:val="0075C9"/>
              </w:rPr>
              <w:t>Mergers and</w:t>
            </w:r>
          </w:p>
        </w:tc>
        <w:tc>
          <w:tcPr>
            <w:tcW w:w="1240" w:type="dxa"/>
            <w:vAlign w:val="bottom"/>
          </w:tcPr>
          <w:p>
            <w:pPr>
              <w:ind w:left="300"/>
              <w:spacing w:after="0"/>
              <w:rPr>
                <w:sz w:val="20"/>
                <w:szCs w:val="20"/>
                <w:color w:val="auto"/>
              </w:rPr>
            </w:pPr>
            <w:r>
              <w:rPr>
                <w:rFonts w:ascii="Arial" w:cs="Arial" w:eastAsia="Arial" w:hAnsi="Arial"/>
                <w:sz w:val="14"/>
                <w:szCs w:val="14"/>
                <w:b w:val="1"/>
                <w:bCs w:val="1"/>
                <w:color w:val="0075C9"/>
              </w:rPr>
              <w:t>Sales and</w:t>
            </w:r>
          </w:p>
        </w:tc>
        <w:tc>
          <w:tcPr>
            <w:tcW w:w="1080" w:type="dxa"/>
            <w:vAlign w:val="bottom"/>
            <w:vMerge w:val="restart"/>
          </w:tcPr>
          <w:p>
            <w:pPr>
              <w:ind w:left="300"/>
              <w:spacing w:after="0"/>
              <w:rPr>
                <w:sz w:val="20"/>
                <w:szCs w:val="20"/>
                <w:color w:val="auto"/>
              </w:rPr>
            </w:pPr>
            <w:r>
              <w:rPr>
                <w:rFonts w:ascii="Arial" w:cs="Arial" w:eastAsia="Arial" w:hAnsi="Arial"/>
                <w:sz w:val="14"/>
                <w:szCs w:val="14"/>
                <w:b w:val="1"/>
                <w:bCs w:val="1"/>
                <w:color w:val="0075C9"/>
                <w:w w:val="96"/>
              </w:rPr>
              <w:t>Technology</w:t>
            </w:r>
          </w:p>
        </w:tc>
        <w:tc>
          <w:tcPr>
            <w:tcW w:w="0" w:type="dxa"/>
            <w:vAlign w:val="bottom"/>
          </w:tcPr>
          <w:p>
            <w:pPr>
              <w:spacing w:after="0"/>
              <w:rPr>
                <w:sz w:val="1"/>
                <w:szCs w:val="1"/>
                <w:color w:val="auto"/>
              </w:rPr>
            </w:pPr>
          </w:p>
        </w:tc>
      </w:tr>
      <w:tr>
        <w:trPr>
          <w:trHeight w:val="103"/>
        </w:trPr>
        <w:tc>
          <w:tcPr>
            <w:tcW w:w="124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180" w:type="dxa"/>
            <w:vAlign w:val="bottom"/>
            <w:vMerge w:val="restart"/>
          </w:tcPr>
          <w:p>
            <w:pPr>
              <w:ind w:left="280"/>
              <w:spacing w:after="0"/>
              <w:rPr>
                <w:sz w:val="20"/>
                <w:szCs w:val="20"/>
                <w:color w:val="auto"/>
              </w:rPr>
            </w:pPr>
            <w:r>
              <w:rPr>
                <w:rFonts w:ascii="Arial" w:cs="Arial" w:eastAsia="Arial" w:hAnsi="Arial"/>
                <w:sz w:val="14"/>
                <w:szCs w:val="14"/>
                <w:b w:val="1"/>
                <w:bCs w:val="1"/>
                <w:color w:val="0075C9"/>
              </w:rPr>
              <w:t>Business</w:t>
            </w:r>
          </w:p>
        </w:tc>
        <w:tc>
          <w:tcPr>
            <w:tcW w:w="1300" w:type="dxa"/>
            <w:vAlign w:val="bottom"/>
            <w:vMerge w:val="continue"/>
          </w:tcPr>
          <w:p>
            <w:pPr>
              <w:spacing w:after="0"/>
              <w:rPr>
                <w:sz w:val="8"/>
                <w:szCs w:val="8"/>
                <w:color w:val="auto"/>
              </w:rPr>
            </w:pPr>
          </w:p>
        </w:tc>
        <w:tc>
          <w:tcPr>
            <w:tcW w:w="1380" w:type="dxa"/>
            <w:vAlign w:val="bottom"/>
            <w:vMerge w:val="restart"/>
          </w:tcPr>
          <w:p>
            <w:pPr>
              <w:ind w:left="280"/>
              <w:spacing w:after="0"/>
              <w:rPr>
                <w:sz w:val="20"/>
                <w:szCs w:val="20"/>
                <w:color w:val="auto"/>
              </w:rPr>
            </w:pPr>
            <w:r>
              <w:rPr>
                <w:rFonts w:ascii="Arial" w:cs="Arial" w:eastAsia="Arial" w:hAnsi="Arial"/>
                <w:sz w:val="14"/>
                <w:szCs w:val="14"/>
                <w:b w:val="1"/>
                <w:bCs w:val="1"/>
                <w:color w:val="0075C9"/>
              </w:rPr>
              <w:t>Acquisitions</w:t>
            </w:r>
          </w:p>
        </w:tc>
        <w:tc>
          <w:tcPr>
            <w:tcW w:w="1240" w:type="dxa"/>
            <w:vAlign w:val="bottom"/>
            <w:vMerge w:val="restart"/>
          </w:tcPr>
          <w:p>
            <w:pPr>
              <w:ind w:left="300"/>
              <w:spacing w:after="0"/>
              <w:rPr>
                <w:sz w:val="20"/>
                <w:szCs w:val="20"/>
                <w:color w:val="auto"/>
              </w:rPr>
            </w:pPr>
            <w:r>
              <w:rPr>
                <w:rFonts w:ascii="Arial" w:cs="Arial" w:eastAsia="Arial" w:hAnsi="Arial"/>
                <w:sz w:val="14"/>
                <w:szCs w:val="14"/>
                <w:b w:val="1"/>
                <w:bCs w:val="1"/>
                <w:color w:val="0075C9"/>
              </w:rPr>
              <w:t>Marketing</w:t>
            </w: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12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3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-205740</wp:posOffset>
            </wp:positionV>
            <wp:extent cx="230505" cy="1974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30505" cy="197485"/>
                    </a:xfrm>
                    <a:prstGeom prst="rect">
                      <a:avLst/>
                    </a:prstGeom>
                    <a:noFill/>
                  </pic:spPr>
                </pic:pic>
              </a:graphicData>
            </a:graphic>
          </wp:anchor>
        </w:drawing>
        <w:drawing>
          <wp:anchor simplePos="0" relativeHeight="251657728" behindDoc="1" locked="0" layoutInCell="0" allowOverlap="1">
            <wp:simplePos x="0" y="0"/>
            <wp:positionH relativeFrom="column">
              <wp:posOffset>1729105</wp:posOffset>
            </wp:positionH>
            <wp:positionV relativeFrom="paragraph">
              <wp:posOffset>-205740</wp:posOffset>
            </wp:positionV>
            <wp:extent cx="197485" cy="1974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97485" cy="197485"/>
                    </a:xfrm>
                    <a:prstGeom prst="rect">
                      <a:avLst/>
                    </a:prstGeom>
                    <a:noFill/>
                  </pic:spPr>
                </pic:pic>
              </a:graphicData>
            </a:graphic>
          </wp:anchor>
        </w:drawing>
        <w:drawing>
          <wp:anchor simplePos="0" relativeHeight="251657728" behindDoc="1" locked="0" layoutInCell="0" allowOverlap="1">
            <wp:simplePos x="0" y="0"/>
            <wp:positionH relativeFrom="column">
              <wp:posOffset>2469515</wp:posOffset>
            </wp:positionH>
            <wp:positionV relativeFrom="paragraph">
              <wp:posOffset>-205740</wp:posOffset>
            </wp:positionV>
            <wp:extent cx="197485" cy="1974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97485" cy="197485"/>
                    </a:xfrm>
                    <a:prstGeom prst="rect">
                      <a:avLst/>
                    </a:prstGeom>
                    <a:noFill/>
                  </pic:spPr>
                </pic:pic>
              </a:graphicData>
            </a:graphic>
          </wp:anchor>
        </w:drawing>
        <w:drawing>
          <wp:anchor simplePos="0" relativeHeight="251657728" behindDoc="1" locked="0" layoutInCell="0" allowOverlap="1">
            <wp:simplePos x="0" y="0"/>
            <wp:positionH relativeFrom="column">
              <wp:posOffset>3217545</wp:posOffset>
            </wp:positionH>
            <wp:positionV relativeFrom="paragraph">
              <wp:posOffset>-205740</wp:posOffset>
            </wp:positionV>
            <wp:extent cx="197485" cy="1974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97485" cy="19748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-205740</wp:posOffset>
            </wp:positionV>
            <wp:extent cx="189230" cy="1974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89230" cy="19748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-205740</wp:posOffset>
            </wp:positionV>
            <wp:extent cx="197485" cy="1974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97485" cy="197485"/>
                    </a:xfrm>
                    <a:prstGeom prst="rect">
                      <a:avLst/>
                    </a:prstGeom>
                    <a:noFill/>
                  </pic:spPr>
                </pic:pic>
              </a:graphicData>
            </a:graphic>
          </wp:anchor>
        </w:drawing>
        <w:drawing>
          <wp:anchor simplePos="0" relativeHeight="251657728" behindDoc="1" locked="0" layoutInCell="0" allowOverlap="1">
            <wp:simplePos x="0" y="0"/>
            <wp:positionH relativeFrom="column">
              <wp:posOffset>5684520</wp:posOffset>
            </wp:positionH>
            <wp:positionV relativeFrom="paragraph">
              <wp:posOffset>-205740</wp:posOffset>
            </wp:positionV>
            <wp:extent cx="238760" cy="1974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38760" cy="19748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-94615</wp:posOffset>
            </wp:positionV>
            <wp:extent cx="485140" cy="984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45" w:right="1439" w:bottom="1440" w:gutter="0" w:footer="0" w:header="0"/>
          <w:type w:val="continuous"/>
        </w:sectPr>
      </w:pPr>
    </w:p>
    <w:bookmarkStart w:id="34" w:name="page35"/>
    <w:bookmarkEnd w:id="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0075C9"/>
                <w:w w:val="89"/>
              </w:rPr>
              <w:t>1</w:t>
            </w:r>
          </w:p>
        </w:tc>
        <w:tc>
          <w:tcPr>
            <w:tcW w:w="1220" w:type="dxa"/>
            <w:vAlign w:val="bottom"/>
            <w:vMerge w:val="restart"/>
          </w:tcPr>
          <w:p>
            <w:pPr>
              <w:ind w:left="80"/>
              <w:spacing w:after="0"/>
              <w:rPr>
                <w:sz w:val="20"/>
                <w:szCs w:val="20"/>
                <w:color w:val="auto"/>
              </w:rPr>
            </w:pPr>
            <w:r>
              <w:rPr>
                <w:rFonts w:ascii="Arial" w:cs="Arial" w:eastAsia="Arial" w:hAnsi="Arial"/>
                <w:sz w:val="12"/>
                <w:szCs w:val="12"/>
                <w:color w:val="0075C9"/>
                <w:w w:val="98"/>
              </w:rPr>
              <w:t>GOVERNANCE AND</w:t>
            </w:r>
          </w:p>
        </w:tc>
        <w:tc>
          <w:tcPr>
            <w:tcW w:w="720" w:type="dxa"/>
            <w:vAlign w:val="bottom"/>
          </w:tcPr>
          <w:p>
            <w:pPr>
              <w:jc w:val="right"/>
              <w:spacing w:after="0"/>
              <w:rPr>
                <w:sz w:val="20"/>
                <w:szCs w:val="20"/>
                <w:color w:val="auto"/>
              </w:rPr>
            </w:pPr>
            <w:r>
              <w:rPr>
                <w:rFonts w:ascii="Arial" w:cs="Arial" w:eastAsia="Arial" w:hAnsi="Arial"/>
                <w:sz w:val="36"/>
                <w:szCs w:val="36"/>
                <w:color w:val="auto"/>
              </w:rPr>
              <w:t>2</w:t>
            </w:r>
          </w:p>
        </w:tc>
        <w:tc>
          <w:tcPr>
            <w:tcW w:w="1540" w:type="dxa"/>
            <w:vAlign w:val="bottom"/>
            <w:vMerge w:val="restart"/>
          </w:tcPr>
          <w:p>
            <w:pPr>
              <w:ind w:left="80"/>
              <w:spacing w:after="0"/>
              <w:rPr>
                <w:sz w:val="20"/>
                <w:szCs w:val="20"/>
                <w:color w:val="auto"/>
              </w:rPr>
            </w:pPr>
            <w:r>
              <w:rPr>
                <w:rFonts w:ascii="Arial" w:cs="Arial" w:eastAsia="Arial" w:hAnsi="Arial"/>
                <w:sz w:val="12"/>
                <w:szCs w:val="12"/>
                <w:color w:val="auto"/>
              </w:rPr>
              <w:t>NAMED</w:t>
            </w:r>
          </w:p>
        </w:tc>
        <w:tc>
          <w:tcPr>
            <w:tcW w:w="500" w:type="dxa"/>
            <w:vAlign w:val="bottom"/>
          </w:tcPr>
          <w:p>
            <w:pPr>
              <w:jc w:val="right"/>
              <w:spacing w:after="0"/>
              <w:rPr>
                <w:sz w:val="20"/>
                <w:szCs w:val="20"/>
                <w:color w:val="auto"/>
              </w:rPr>
            </w:pPr>
            <w:r>
              <w:rPr>
                <w:rFonts w:ascii="Arial" w:cs="Arial" w:eastAsia="Arial" w:hAnsi="Arial"/>
                <w:sz w:val="36"/>
                <w:szCs w:val="36"/>
                <w:color w:val="auto"/>
              </w:rPr>
              <w:t>3</w:t>
            </w:r>
          </w:p>
        </w:tc>
        <w:tc>
          <w:tcPr>
            <w:tcW w:w="980" w:type="dxa"/>
            <w:vAlign w:val="bottom"/>
            <w:vMerge w:val="restart"/>
          </w:tcPr>
          <w:p>
            <w:pPr>
              <w:ind w:left="80"/>
              <w:spacing w:after="0"/>
              <w:rPr>
                <w:sz w:val="20"/>
                <w:szCs w:val="20"/>
                <w:color w:val="auto"/>
              </w:rPr>
            </w:pPr>
            <w:r>
              <w:rPr>
                <w:rFonts w:ascii="Arial" w:cs="Arial" w:eastAsia="Arial" w:hAnsi="Arial"/>
                <w:sz w:val="12"/>
                <w:szCs w:val="12"/>
                <w:color w:val="auto"/>
              </w:rPr>
              <w:t>AUDIT</w:t>
            </w:r>
          </w:p>
        </w:tc>
        <w:tc>
          <w:tcPr>
            <w:tcW w:w="460" w:type="dxa"/>
            <w:vAlign w:val="bottom"/>
          </w:tcPr>
          <w:p>
            <w:pPr>
              <w:jc w:val="right"/>
              <w:spacing w:after="0"/>
              <w:rPr>
                <w:sz w:val="20"/>
                <w:szCs w:val="20"/>
                <w:color w:val="auto"/>
              </w:rPr>
            </w:pPr>
            <w:r>
              <w:rPr>
                <w:rFonts w:ascii="Arial" w:cs="Arial" w:eastAsia="Arial" w:hAnsi="Arial"/>
                <w:sz w:val="36"/>
                <w:szCs w:val="36"/>
                <w:color w:val="auto"/>
              </w:rPr>
              <w:t>4</w:t>
            </w:r>
          </w:p>
        </w:tc>
        <w:tc>
          <w:tcPr>
            <w:tcW w:w="1580" w:type="dxa"/>
            <w:vAlign w:val="bottom"/>
            <w:vMerge w:val="restart"/>
          </w:tcPr>
          <w:p>
            <w:pPr>
              <w:ind w:left="80"/>
              <w:spacing w:after="0"/>
              <w:rPr>
                <w:sz w:val="20"/>
                <w:szCs w:val="20"/>
                <w:color w:val="auto"/>
              </w:rPr>
            </w:pPr>
            <w:r>
              <w:rPr>
                <w:rFonts w:ascii="Arial" w:cs="Arial" w:eastAsia="Arial" w:hAnsi="Arial"/>
                <w:sz w:val="12"/>
                <w:szCs w:val="12"/>
                <w:color w:val="auto"/>
              </w:rPr>
              <w:t>PROPOSALS TO</w:t>
            </w:r>
          </w:p>
        </w:tc>
        <w:tc>
          <w:tcPr>
            <w:tcW w:w="440" w:type="dxa"/>
            <w:vAlign w:val="bottom"/>
          </w:tcPr>
          <w:p>
            <w:pPr>
              <w:jc w:val="right"/>
              <w:spacing w:after="0"/>
              <w:rPr>
                <w:sz w:val="20"/>
                <w:szCs w:val="20"/>
                <w:color w:val="auto"/>
              </w:rPr>
            </w:pPr>
            <w:r>
              <w:rPr>
                <w:rFonts w:ascii="Arial" w:cs="Arial" w:eastAsia="Arial" w:hAnsi="Arial"/>
                <w:sz w:val="36"/>
                <w:szCs w:val="36"/>
                <w:color w:val="auto"/>
              </w:rPr>
              <w:t>5</w:t>
            </w:r>
          </w:p>
        </w:tc>
        <w:tc>
          <w:tcPr>
            <w:tcW w:w="900" w:type="dxa"/>
            <w:vAlign w:val="bottom"/>
            <w:vMerge w:val="restart"/>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220" w:type="dxa"/>
            <w:vAlign w:val="bottom"/>
          </w:tcPr>
          <w:p>
            <w:pPr>
              <w:ind w:left="80"/>
              <w:spacing w:after="0" w:line="130" w:lineRule="exact"/>
              <w:rPr>
                <w:sz w:val="20"/>
                <w:szCs w:val="20"/>
                <w:color w:val="auto"/>
              </w:rPr>
            </w:pPr>
            <w:r>
              <w:rPr>
                <w:rFonts w:ascii="Arial" w:cs="Arial" w:eastAsia="Arial" w:hAnsi="Arial"/>
                <w:sz w:val="12"/>
                <w:szCs w:val="12"/>
                <w:color w:val="0075C9"/>
              </w:rPr>
              <w:t>OUR BOARD OF</w:t>
            </w:r>
          </w:p>
        </w:tc>
        <w:tc>
          <w:tcPr>
            <w:tcW w:w="720" w:type="dxa"/>
            <w:vAlign w:val="bottom"/>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460" w:type="dxa"/>
            <w:vAlign w:val="bottom"/>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40" w:type="dxa"/>
            <w:vAlign w:val="bottom"/>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0075C9"/>
              </w:rPr>
              <w:t>DIRECTORS</w:t>
            </w:r>
          </w:p>
        </w:tc>
        <w:tc>
          <w:tcPr>
            <w:tcW w:w="720" w:type="dxa"/>
            <w:vAlign w:val="bottom"/>
          </w:tcPr>
          <w:p>
            <w:pPr>
              <w:spacing w:after="0"/>
              <w:rPr>
                <w:sz w:val="12"/>
                <w:szCs w:val="12"/>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tcPr>
          <w:p>
            <w:pPr>
              <w:spacing w:after="0"/>
              <w:rPr>
                <w:sz w:val="12"/>
                <w:szCs w:val="12"/>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460" w:type="dxa"/>
            <w:vAlign w:val="bottom"/>
          </w:tcPr>
          <w:p>
            <w:pPr>
              <w:spacing w:after="0"/>
              <w:rPr>
                <w:sz w:val="12"/>
                <w:szCs w:val="12"/>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40" w:type="dxa"/>
            <w:vAlign w:val="bottom"/>
          </w:tcPr>
          <w:p>
            <w:pPr>
              <w:spacing w:after="0"/>
              <w:rPr>
                <w:sz w:val="12"/>
                <w:szCs w:val="12"/>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shd w:val="clear" w:color="auto" w:fill="0075C9"/>
          </w:tcPr>
          <w:p>
            <w:pPr>
              <w:spacing w:after="0"/>
              <w:rPr>
                <w:sz w:val="9"/>
                <w:szCs w:val="9"/>
                <w:color w:val="auto"/>
              </w:rPr>
            </w:pPr>
          </w:p>
        </w:tc>
        <w:tc>
          <w:tcPr>
            <w:tcW w:w="1220" w:type="dxa"/>
            <w:vAlign w:val="bottom"/>
            <w:shd w:val="clear" w:color="auto" w:fill="0075C9"/>
          </w:tcPr>
          <w:p>
            <w:pPr>
              <w:spacing w:after="0"/>
              <w:rPr>
                <w:sz w:val="9"/>
                <w:szCs w:val="9"/>
                <w:color w:val="auto"/>
              </w:rPr>
            </w:pPr>
          </w:p>
        </w:tc>
        <w:tc>
          <w:tcPr>
            <w:tcW w:w="7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189230</wp:posOffset>
            </wp:positionV>
            <wp:extent cx="5748020" cy="28124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748020" cy="281241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2880"/>
        <w:spacing w:after="0"/>
        <w:rPr>
          <w:sz w:val="20"/>
          <w:szCs w:val="20"/>
          <w:color w:val="auto"/>
        </w:rPr>
      </w:pPr>
      <w:r>
        <w:rPr>
          <w:rFonts w:ascii="Arial" w:cs="Arial" w:eastAsia="Arial" w:hAnsi="Arial"/>
          <w:sz w:val="45"/>
          <w:szCs w:val="45"/>
          <w:color w:val="595959"/>
        </w:rPr>
        <w:t>Emma N. Walmsley</w:t>
      </w:r>
    </w:p>
    <w:p>
      <w:pPr>
        <w:ind w:left="288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52 |</w:t>
      </w:r>
      <w:r>
        <w:rPr>
          <w:rFonts w:ascii="Arial" w:cs="Arial" w:eastAsia="Arial" w:hAnsi="Arial"/>
          <w:sz w:val="17"/>
          <w:szCs w:val="17"/>
          <w:b w:val="1"/>
          <w:bCs w:val="1"/>
          <w:color w:val="auto"/>
        </w:rPr>
        <w:t xml:space="preserve"> Director Since: </w:t>
      </w:r>
      <w:r>
        <w:rPr>
          <w:rFonts w:ascii="Arial" w:cs="Arial" w:eastAsia="Arial" w:hAnsi="Arial"/>
          <w:sz w:val="17"/>
          <w:szCs w:val="17"/>
          <w:color w:val="auto"/>
        </w:rPr>
        <w:t>2019 |</w:t>
      </w:r>
      <w:r>
        <w:rPr>
          <w:rFonts w:ascii="Arial" w:cs="Arial" w:eastAsia="Arial" w:hAnsi="Arial"/>
          <w:sz w:val="17"/>
          <w:szCs w:val="17"/>
          <w:b w:val="1"/>
          <w:bCs w:val="1"/>
          <w:color w:val="auto"/>
        </w:rPr>
        <w:t xml:space="preserve"> Birthplace: </w:t>
      </w:r>
      <w:r>
        <w:rPr>
          <w:rFonts w:ascii="Arial" w:cs="Arial" w:eastAsia="Arial" w:hAnsi="Arial"/>
          <w:sz w:val="17"/>
          <w:szCs w:val="17"/>
          <w:color w:val="auto"/>
        </w:rPr>
        <w:t>United Kingdom |</w:t>
      </w:r>
      <w:r>
        <w:rPr>
          <w:rFonts w:ascii="Arial" w:cs="Arial" w:eastAsia="Arial" w:hAnsi="Arial"/>
          <w:sz w:val="17"/>
          <w:szCs w:val="17"/>
          <w:b w:val="1"/>
          <w:bCs w:val="1"/>
          <w:color w:val="auto"/>
        </w:rPr>
        <w:t xml:space="preserve"> </w:t>
      </w:r>
      <w:r>
        <w:rPr>
          <w:rFonts w:ascii="Arial" w:cs="Arial" w:eastAsia="Arial" w:hAnsi="Arial"/>
          <w:sz w:val="17"/>
          <w:szCs w:val="17"/>
          <w:color w:val="0075C9"/>
        </w:rPr>
        <w:t>Independent</w:t>
      </w:r>
    </w:p>
    <w:p>
      <w:pPr>
        <w:sectPr>
          <w:pgSz w:w="11900" w:h="16838" w:orient="portrait"/>
          <w:cols w:equalWidth="0" w:num="1">
            <w:col w:w="10280"/>
          </w:cols>
          <w:pgMar w:left="320" w:top="445"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auto"/>
        </w:rPr>
        <w:t>Experience:</w:t>
      </w:r>
    </w:p>
    <w:p>
      <w:pPr>
        <w:spacing w:after="0" w:line="13"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0075C9"/>
        </w:rPr>
        <w:t>GlaxoSmithKline plc (2010-present)</w:t>
      </w:r>
    </w:p>
    <w:p>
      <w:pPr>
        <w:ind w:left="1660"/>
        <w:spacing w:after="0" w:line="236" w:lineRule="auto"/>
        <w:rPr>
          <w:sz w:val="20"/>
          <w:szCs w:val="20"/>
          <w:color w:val="auto"/>
        </w:rPr>
      </w:pPr>
      <w:r>
        <w:rPr>
          <w:rFonts w:ascii="Arial" w:cs="Arial" w:eastAsia="Arial" w:hAnsi="Arial"/>
          <w:sz w:val="16"/>
          <w:szCs w:val="16"/>
          <w:color w:val="0075C9"/>
        </w:rPr>
        <w:t>(healthcare company)</w:t>
      </w:r>
    </w:p>
    <w:p>
      <w:pPr>
        <w:ind w:left="1820" w:hanging="161"/>
        <w:spacing w:after="0" w:line="237" w:lineRule="auto"/>
        <w:tabs>
          <w:tab w:leader="none" w:pos="18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Chief Executive Officer (2017-present)</w:t>
      </w:r>
    </w:p>
    <w:p>
      <w:pPr>
        <w:ind w:left="1820" w:right="80" w:hanging="161"/>
        <w:spacing w:after="0" w:line="236" w:lineRule="auto"/>
        <w:tabs>
          <w:tab w:leader="none" w:pos="1828" w:val="left"/>
        </w:tabs>
        <w:numPr>
          <w:ilvl w:val="0"/>
          <w:numId w:val="56"/>
        </w:numPr>
        <w:rPr>
          <w:rFonts w:ascii="Arial" w:cs="Arial" w:eastAsia="Arial" w:hAnsi="Arial"/>
          <w:sz w:val="16"/>
          <w:szCs w:val="16"/>
          <w:color w:val="auto"/>
        </w:rPr>
      </w:pPr>
      <w:r>
        <w:rPr>
          <w:rFonts w:ascii="Arial" w:cs="Arial" w:eastAsia="Arial" w:hAnsi="Arial"/>
          <w:sz w:val="16"/>
          <w:szCs w:val="16"/>
          <w:color w:val="auto"/>
        </w:rPr>
        <w:t>Chief Executive Officer, Consumer Healthcare (2015-2016)</w:t>
      </w:r>
    </w:p>
    <w:p>
      <w:pPr>
        <w:ind w:left="1820" w:hanging="161"/>
        <w:spacing w:after="0" w:line="236" w:lineRule="auto"/>
        <w:tabs>
          <w:tab w:leader="none" w:pos="18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President, Consumer Healthcare (2012-2015)</w:t>
      </w:r>
    </w:p>
    <w:p>
      <w:pPr>
        <w:ind w:left="1820" w:hanging="161"/>
        <w:spacing w:after="0"/>
        <w:tabs>
          <w:tab w:leader="none" w:pos="18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President, Consumer Healthcare Europe (2010-2012)</w:t>
      </w:r>
    </w:p>
    <w:p>
      <w:pPr>
        <w:spacing w:after="0" w:line="20" w:lineRule="exact"/>
        <w:rPr>
          <w:rFonts w:ascii="Arial" w:cs="Arial" w:eastAsia="Arial" w:hAnsi="Arial"/>
          <w:sz w:val="14"/>
          <w:szCs w:val="14"/>
          <w:color w:val="auto"/>
        </w:rPr>
      </w:pPr>
    </w:p>
    <w:p>
      <w:pPr>
        <w:ind w:left="1660"/>
        <w:spacing w:after="0" w:line="236" w:lineRule="auto"/>
        <w:rPr>
          <w:rFonts w:ascii="Arial" w:cs="Arial" w:eastAsia="Arial" w:hAnsi="Arial"/>
          <w:sz w:val="14"/>
          <w:szCs w:val="14"/>
          <w:color w:val="auto"/>
        </w:rPr>
      </w:pPr>
      <w:r>
        <w:rPr>
          <w:rFonts w:ascii="Arial" w:cs="Arial" w:eastAsia="Arial" w:hAnsi="Arial"/>
          <w:sz w:val="16"/>
          <w:szCs w:val="16"/>
          <w:b w:val="1"/>
          <w:bCs w:val="1"/>
          <w:color w:val="0075C9"/>
        </w:rPr>
        <w:t>L’Oreal, S.A. (1994-2010)</w:t>
      </w:r>
    </w:p>
    <w:p>
      <w:pPr>
        <w:ind w:left="1820" w:right="580" w:hanging="161"/>
        <w:spacing w:after="0" w:line="236" w:lineRule="auto"/>
        <w:tabs>
          <w:tab w:leader="none" w:pos="1828" w:val="left"/>
        </w:tabs>
        <w:numPr>
          <w:ilvl w:val="0"/>
          <w:numId w:val="56"/>
        </w:numPr>
        <w:rPr>
          <w:rFonts w:ascii="Arial" w:cs="Arial" w:eastAsia="Arial" w:hAnsi="Arial"/>
          <w:sz w:val="16"/>
          <w:szCs w:val="16"/>
          <w:color w:val="auto"/>
        </w:rPr>
      </w:pPr>
      <w:r>
        <w:rPr>
          <w:rFonts w:ascii="Arial" w:cs="Arial" w:eastAsia="Arial" w:hAnsi="Arial"/>
          <w:sz w:val="16"/>
          <w:szCs w:val="16"/>
          <w:color w:val="auto"/>
        </w:rPr>
        <w:t>General Manager, Consumer Products, China (2007-2010)</w:t>
      </w:r>
    </w:p>
    <w:p>
      <w:pPr>
        <w:ind w:left="1820" w:hanging="161"/>
        <w:spacing w:after="0" w:line="236" w:lineRule="auto"/>
        <w:tabs>
          <w:tab w:leader="none" w:pos="18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Global Brand Head, Maybelline, USA (2002-2007)</w:t>
      </w:r>
    </w:p>
    <w:p>
      <w:pPr>
        <w:ind w:left="1820" w:hanging="161"/>
        <w:spacing w:after="0"/>
        <w:tabs>
          <w:tab w:leader="none" w:pos="18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UK General Manager, Garnier/Maybelline (1999-2002)</w:t>
      </w:r>
    </w:p>
    <w:p>
      <w:pPr>
        <w:spacing w:after="0" w:line="20" w:lineRule="exact"/>
        <w:rPr>
          <w:rFonts w:ascii="Arial" w:cs="Arial" w:eastAsia="Arial" w:hAnsi="Arial"/>
          <w:sz w:val="14"/>
          <w:szCs w:val="14"/>
          <w:color w:val="auto"/>
        </w:rPr>
      </w:pPr>
    </w:p>
    <w:p>
      <w:pPr>
        <w:ind w:left="1820" w:hanging="161"/>
        <w:spacing w:after="0"/>
        <w:tabs>
          <w:tab w:leader="none" w:pos="18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Various positions of increasing authority (1994-1999)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406400</wp:posOffset>
            </wp:positionV>
            <wp:extent cx="5748020" cy="35032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748020" cy="35032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Microsoft Committees:</w:t>
      </w:r>
    </w:p>
    <w:p>
      <w:pPr>
        <w:spacing w:after="0" w:line="13" w:lineRule="exact"/>
        <w:rPr>
          <w:sz w:val="20"/>
          <w:szCs w:val="20"/>
          <w:color w:val="auto"/>
        </w:rPr>
      </w:pPr>
    </w:p>
    <w:p>
      <w:pPr>
        <w:ind w:left="160" w:hanging="155"/>
        <w:spacing w:after="0"/>
        <w:tabs>
          <w:tab w:leader="none" w:pos="1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Compensation</w:t>
      </w:r>
    </w:p>
    <w:p>
      <w:pPr>
        <w:ind w:left="160" w:hanging="155"/>
        <w:spacing w:after="0"/>
        <w:tabs>
          <w:tab w:leader="none" w:pos="1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Regulatory and Public Policy</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Public Company Directorships: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  GlaxoSmithKline plc</w:t>
      </w:r>
    </w:p>
    <w:p>
      <w:pPr>
        <w:spacing w:after="0" w:line="174" w:lineRule="exact"/>
        <w:rPr>
          <w:sz w:val="20"/>
          <w:szCs w:val="20"/>
          <w:color w:val="auto"/>
        </w:rPr>
      </w:pPr>
    </w:p>
    <w:p>
      <w:pPr>
        <w:ind w:right="1280"/>
        <w:spacing w:after="0" w:line="283" w:lineRule="auto"/>
        <w:rPr>
          <w:sz w:val="20"/>
          <w:szCs w:val="20"/>
          <w:color w:val="auto"/>
        </w:rPr>
      </w:pPr>
      <w:r>
        <w:rPr>
          <w:rFonts w:ascii="Arial" w:cs="Arial" w:eastAsia="Arial" w:hAnsi="Arial"/>
          <w:sz w:val="14"/>
          <w:szCs w:val="14"/>
          <w:b w:val="1"/>
          <w:bCs w:val="1"/>
          <w:color w:val="auto"/>
        </w:rPr>
        <w:t>Former Public Company Directorships Held in the Past Five Years: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None</w:t>
      </w:r>
    </w:p>
    <w:p>
      <w:pPr>
        <w:spacing w:after="0" w:line="876" w:lineRule="exact"/>
        <w:rPr>
          <w:sz w:val="20"/>
          <w:szCs w:val="20"/>
          <w:color w:val="auto"/>
        </w:rPr>
      </w:pPr>
    </w:p>
    <w:p>
      <w:pPr>
        <w:sectPr>
          <w:pgSz w:w="11900" w:h="16838" w:orient="portrait"/>
          <w:cols w:equalWidth="0" w:num="2">
            <w:col w:w="5560" w:space="600"/>
            <w:col w:w="4120"/>
          </w:cols>
          <w:pgMar w:left="320" w:top="445" w:right="1299" w:bottom="144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920"/>
        <w:spacing w:after="0"/>
        <w:rPr>
          <w:sz w:val="20"/>
          <w:szCs w:val="20"/>
          <w:color w:val="auto"/>
        </w:rPr>
      </w:pPr>
      <w:r>
        <w:rPr>
          <w:rFonts w:ascii="Arial" w:cs="Arial" w:eastAsia="Arial" w:hAnsi="Arial"/>
          <w:sz w:val="45"/>
          <w:szCs w:val="45"/>
          <w:color w:val="595959"/>
        </w:rPr>
        <w:t>Padmasree Warrior</w:t>
      </w:r>
    </w:p>
    <w:p>
      <w:pPr>
        <w:ind w:left="292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60 |</w:t>
      </w:r>
      <w:r>
        <w:rPr>
          <w:rFonts w:ascii="Arial" w:cs="Arial" w:eastAsia="Arial" w:hAnsi="Arial"/>
          <w:sz w:val="17"/>
          <w:szCs w:val="17"/>
          <w:b w:val="1"/>
          <w:bCs w:val="1"/>
          <w:color w:val="auto"/>
        </w:rPr>
        <w:t xml:space="preserve"> Director Since: </w:t>
      </w:r>
      <w:r>
        <w:rPr>
          <w:rFonts w:ascii="Arial" w:cs="Arial" w:eastAsia="Arial" w:hAnsi="Arial"/>
          <w:sz w:val="17"/>
          <w:szCs w:val="17"/>
          <w:color w:val="auto"/>
        </w:rPr>
        <w:t>2015 |</w:t>
      </w:r>
      <w:r>
        <w:rPr>
          <w:rFonts w:ascii="Arial" w:cs="Arial" w:eastAsia="Arial" w:hAnsi="Arial"/>
          <w:sz w:val="17"/>
          <w:szCs w:val="17"/>
          <w:b w:val="1"/>
          <w:bCs w:val="1"/>
          <w:color w:val="auto"/>
        </w:rPr>
        <w:t xml:space="preserve"> Birthplace: </w:t>
      </w:r>
      <w:r>
        <w:rPr>
          <w:rFonts w:ascii="Arial" w:cs="Arial" w:eastAsia="Arial" w:hAnsi="Arial"/>
          <w:sz w:val="17"/>
          <w:szCs w:val="17"/>
          <w:color w:val="auto"/>
        </w:rPr>
        <w:t>India |</w:t>
      </w:r>
      <w:r>
        <w:rPr>
          <w:rFonts w:ascii="Arial" w:cs="Arial" w:eastAsia="Arial" w:hAnsi="Arial"/>
          <w:sz w:val="17"/>
          <w:szCs w:val="17"/>
          <w:b w:val="1"/>
          <w:bCs w:val="1"/>
          <w:color w:val="auto"/>
        </w:rPr>
        <w:t xml:space="preserve"> </w:t>
      </w:r>
      <w:r>
        <w:rPr>
          <w:rFonts w:ascii="Arial" w:cs="Arial" w:eastAsia="Arial" w:hAnsi="Arial"/>
          <w:sz w:val="17"/>
          <w:szCs w:val="17"/>
          <w:color w:val="0075C9"/>
        </w:rPr>
        <w:t>Independent</w:t>
      </w:r>
    </w:p>
    <w:p>
      <w:pPr>
        <w:sectPr>
          <w:pgSz w:w="11900" w:h="16838" w:orient="portrait"/>
          <w:cols w:equalWidth="0" w:num="1">
            <w:col w:w="10280"/>
          </w:cols>
          <w:pgMar w:left="320" w:top="445" w:right="1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auto"/>
        </w:rPr>
        <w:t>Experience:</w:t>
      </w:r>
    </w:p>
    <w:p>
      <w:pPr>
        <w:spacing w:after="0" w:line="13"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0075C9"/>
        </w:rPr>
        <w:t>Fable Group, Inc. (2019-present)</w:t>
      </w:r>
    </w:p>
    <w:p>
      <w:pPr>
        <w:ind w:left="1660"/>
        <w:spacing w:after="0" w:line="236" w:lineRule="auto"/>
        <w:rPr>
          <w:sz w:val="20"/>
          <w:szCs w:val="20"/>
          <w:color w:val="auto"/>
        </w:rPr>
      </w:pPr>
      <w:r>
        <w:rPr>
          <w:rFonts w:ascii="Arial" w:cs="Arial" w:eastAsia="Arial" w:hAnsi="Arial"/>
          <w:sz w:val="16"/>
          <w:szCs w:val="16"/>
          <w:color w:val="0075C9"/>
        </w:rPr>
        <w:t>(curated fiction and non-fiction for mobile devices)</w:t>
      </w:r>
    </w:p>
    <w:p>
      <w:pPr>
        <w:ind w:left="1820" w:right="480" w:hanging="161"/>
        <w:spacing w:after="0" w:line="236" w:lineRule="auto"/>
        <w:tabs>
          <w:tab w:leader="none" w:pos="1828" w:val="left"/>
        </w:tabs>
        <w:numPr>
          <w:ilvl w:val="0"/>
          <w:numId w:val="58"/>
        </w:numPr>
        <w:rPr>
          <w:rFonts w:ascii="Arial" w:cs="Arial" w:eastAsia="Arial" w:hAnsi="Arial"/>
          <w:sz w:val="16"/>
          <w:szCs w:val="16"/>
          <w:color w:val="auto"/>
        </w:rPr>
      </w:pPr>
      <w:r>
        <w:rPr>
          <w:rFonts w:ascii="Arial" w:cs="Arial" w:eastAsia="Arial" w:hAnsi="Arial"/>
          <w:sz w:val="16"/>
          <w:szCs w:val="16"/>
          <w:color w:val="auto"/>
        </w:rPr>
        <w:t>Founder, President, and Chief Executive Officer (2019-present)</w:t>
      </w:r>
    </w:p>
    <w:p>
      <w:pPr>
        <w:ind w:left="1660"/>
        <w:spacing w:after="0" w:line="237" w:lineRule="auto"/>
        <w:rPr>
          <w:sz w:val="20"/>
          <w:szCs w:val="20"/>
          <w:color w:val="auto"/>
        </w:rPr>
      </w:pPr>
      <w:r>
        <w:rPr>
          <w:rFonts w:ascii="Arial" w:cs="Arial" w:eastAsia="Arial" w:hAnsi="Arial"/>
          <w:sz w:val="16"/>
          <w:szCs w:val="16"/>
          <w:b w:val="1"/>
          <w:bCs w:val="1"/>
          <w:color w:val="0075C9"/>
        </w:rPr>
        <w:t>NIO Inc. (2015-2018)</w:t>
      </w:r>
    </w:p>
    <w:p>
      <w:pPr>
        <w:ind w:left="1820" w:hanging="161"/>
        <w:spacing w:after="0" w:line="237" w:lineRule="auto"/>
        <w:tabs>
          <w:tab w:leader="none" w:pos="18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Chief Development Officer (2015-2018)</w:t>
      </w:r>
    </w:p>
    <w:p>
      <w:pPr>
        <w:ind w:left="1820" w:hanging="161"/>
        <w:spacing w:after="0" w:line="236" w:lineRule="auto"/>
        <w:tabs>
          <w:tab w:leader="none" w:pos="18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Board member (2015-2018)</w:t>
      </w:r>
    </w:p>
    <w:p>
      <w:pPr>
        <w:ind w:left="1660"/>
        <w:spacing w:after="0" w:line="237" w:lineRule="auto"/>
        <w:rPr>
          <w:sz w:val="20"/>
          <w:szCs w:val="20"/>
          <w:color w:val="auto"/>
        </w:rPr>
      </w:pPr>
      <w:r>
        <w:rPr>
          <w:rFonts w:ascii="Arial" w:cs="Arial" w:eastAsia="Arial" w:hAnsi="Arial"/>
          <w:sz w:val="16"/>
          <w:szCs w:val="16"/>
          <w:b w:val="1"/>
          <w:bCs w:val="1"/>
          <w:color w:val="0075C9"/>
        </w:rPr>
        <w:t>NIO USA, Inc. (2015-2018)</w:t>
      </w:r>
    </w:p>
    <w:p>
      <w:pPr>
        <w:ind w:left="1820" w:hanging="161"/>
        <w:spacing w:after="0" w:line="236" w:lineRule="auto"/>
        <w:tabs>
          <w:tab w:leader="none" w:pos="18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Chief Executive Officer and Director (2015-2018)</w:t>
      </w:r>
    </w:p>
    <w:p>
      <w:pPr>
        <w:ind w:left="1660"/>
        <w:spacing w:after="0" w:line="236" w:lineRule="auto"/>
        <w:rPr>
          <w:rFonts w:ascii="Arial" w:cs="Arial" w:eastAsia="Arial" w:hAnsi="Arial"/>
          <w:sz w:val="16"/>
          <w:szCs w:val="16"/>
          <w:color w:val="auto"/>
        </w:rPr>
      </w:pPr>
      <w:r>
        <w:rPr>
          <w:rFonts w:ascii="Arial" w:cs="Arial" w:eastAsia="Arial" w:hAnsi="Arial"/>
          <w:sz w:val="16"/>
          <w:szCs w:val="16"/>
          <w:b w:val="1"/>
          <w:bCs w:val="1"/>
          <w:color w:val="0075C9"/>
        </w:rPr>
        <w:t>Cisco Systems, Inc. (2008-2015)</w:t>
      </w:r>
    </w:p>
    <w:p>
      <w:pPr>
        <w:ind w:left="1820" w:hanging="161"/>
        <w:spacing w:after="0" w:line="236" w:lineRule="auto"/>
        <w:tabs>
          <w:tab w:leader="none" w:pos="18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Strategic Advisor (2015)</w:t>
      </w:r>
    </w:p>
    <w:p>
      <w:pPr>
        <w:ind w:left="1820" w:hanging="161"/>
        <w:spacing w:after="0" w:line="236" w:lineRule="auto"/>
        <w:tabs>
          <w:tab w:leader="none" w:pos="18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Chief Technology and Strategy Officer (2012-2015)</w:t>
      </w:r>
    </w:p>
    <w:p>
      <w:pPr>
        <w:ind w:left="1820" w:right="140" w:hanging="161"/>
        <w:spacing w:after="0" w:line="236" w:lineRule="auto"/>
        <w:tabs>
          <w:tab w:leader="none" w:pos="1828" w:val="left"/>
        </w:tabs>
        <w:numPr>
          <w:ilvl w:val="0"/>
          <w:numId w:val="60"/>
        </w:numPr>
        <w:rPr>
          <w:rFonts w:ascii="Arial" w:cs="Arial" w:eastAsia="Arial" w:hAnsi="Arial"/>
          <w:sz w:val="16"/>
          <w:szCs w:val="16"/>
          <w:color w:val="auto"/>
        </w:rPr>
      </w:pPr>
      <w:r>
        <w:rPr>
          <w:rFonts w:ascii="Arial" w:cs="Arial" w:eastAsia="Arial" w:hAnsi="Arial"/>
          <w:sz w:val="16"/>
          <w:szCs w:val="16"/>
          <w:color w:val="auto"/>
        </w:rPr>
        <w:t>Chief Technology Officer, Senior Vice President, Engineering and General Manager Global Enterprise segment (2010-2012)</w:t>
      </w:r>
    </w:p>
    <w:p>
      <w:pPr>
        <w:spacing w:after="0" w:line="1" w:lineRule="exact"/>
        <w:rPr>
          <w:rFonts w:ascii="Arial" w:cs="Arial" w:eastAsia="Arial" w:hAnsi="Arial"/>
          <w:sz w:val="16"/>
          <w:szCs w:val="16"/>
          <w:color w:val="auto"/>
        </w:rPr>
      </w:pPr>
    </w:p>
    <w:p>
      <w:pPr>
        <w:ind w:left="1820" w:hanging="161"/>
        <w:spacing w:after="0" w:line="236" w:lineRule="auto"/>
        <w:tabs>
          <w:tab w:leader="none" w:pos="18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Chief Technology Officer (2008-2010)</w:t>
      </w:r>
    </w:p>
    <w:p>
      <w:pPr>
        <w:ind w:left="1660"/>
        <w:spacing w:after="0" w:line="237" w:lineRule="auto"/>
        <w:rPr>
          <w:sz w:val="20"/>
          <w:szCs w:val="20"/>
          <w:color w:val="auto"/>
        </w:rPr>
      </w:pPr>
      <w:r>
        <w:rPr>
          <w:rFonts w:ascii="Arial" w:cs="Arial" w:eastAsia="Arial" w:hAnsi="Arial"/>
          <w:sz w:val="16"/>
          <w:szCs w:val="16"/>
          <w:b w:val="1"/>
          <w:bCs w:val="1"/>
          <w:color w:val="0075C9"/>
        </w:rPr>
        <w:t>Motorola, Inc. (1999-2007)</w:t>
      </w:r>
    </w:p>
    <w:p>
      <w:pPr>
        <w:ind w:left="1820" w:hanging="161"/>
        <w:spacing w:after="0" w:line="239" w:lineRule="auto"/>
        <w:tabs>
          <w:tab w:leader="none" w:pos="1828" w:val="left"/>
        </w:tabs>
        <w:numPr>
          <w:ilvl w:val="0"/>
          <w:numId w:val="61"/>
        </w:numPr>
        <w:rPr>
          <w:rFonts w:ascii="Arial" w:cs="Arial" w:eastAsia="Arial" w:hAnsi="Arial"/>
          <w:sz w:val="16"/>
          <w:szCs w:val="16"/>
          <w:color w:val="auto"/>
        </w:rPr>
      </w:pPr>
      <w:r>
        <w:rPr>
          <w:rFonts w:ascii="Arial" w:cs="Arial" w:eastAsia="Arial" w:hAnsi="Arial"/>
          <w:sz w:val="16"/>
          <w:szCs w:val="16"/>
          <w:color w:val="auto"/>
        </w:rPr>
        <w:t>Executive Vice President and Chief Technology Officer (1999-2007)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Microsoft Committees: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  Compensation</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Public Company Directorships: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  Spotify Technology S.A.</w:t>
      </w:r>
    </w:p>
    <w:p>
      <w:pPr>
        <w:spacing w:after="0" w:line="174" w:lineRule="exact"/>
        <w:rPr>
          <w:sz w:val="20"/>
          <w:szCs w:val="20"/>
          <w:color w:val="auto"/>
        </w:rPr>
      </w:pPr>
    </w:p>
    <w:p>
      <w:pPr>
        <w:ind w:right="1280"/>
        <w:spacing w:after="0" w:line="283" w:lineRule="auto"/>
        <w:rPr>
          <w:sz w:val="20"/>
          <w:szCs w:val="20"/>
          <w:color w:val="auto"/>
        </w:rPr>
      </w:pPr>
      <w:r>
        <w:rPr>
          <w:rFonts w:ascii="Arial" w:cs="Arial" w:eastAsia="Arial" w:hAnsi="Arial"/>
          <w:sz w:val="14"/>
          <w:szCs w:val="14"/>
          <w:b w:val="1"/>
          <w:bCs w:val="1"/>
          <w:color w:val="auto"/>
        </w:rPr>
        <w:t>Former Public Company Directorships Held in the Past Five Years: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None</w:t>
      </w:r>
    </w:p>
    <w:p>
      <w:pPr>
        <w:spacing w:after="0" w:line="2169" w:lineRule="exact"/>
        <w:rPr>
          <w:sz w:val="20"/>
          <w:szCs w:val="20"/>
          <w:color w:val="auto"/>
        </w:rPr>
      </w:pPr>
    </w:p>
    <w:p>
      <w:pPr>
        <w:sectPr>
          <w:pgSz w:w="11900" w:h="16838" w:orient="portrait"/>
          <w:cols w:equalWidth="0" w:num="2">
            <w:col w:w="5580" w:space="580"/>
            <w:col w:w="4120"/>
          </w:cols>
          <w:pgMar w:left="320" w:top="445" w:right="1299" w:bottom="144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ind w:left="8240"/>
        <w:spacing w:after="0"/>
        <w:tabs>
          <w:tab w:leader="none" w:pos="10120" w:val="left"/>
        </w:tabs>
        <w:rPr>
          <w:sz w:val="20"/>
          <w:szCs w:val="20"/>
          <w:color w:val="auto"/>
        </w:rPr>
      </w:pPr>
      <w:r>
        <w:rPr>
          <w:rFonts w:ascii="Arial" w:cs="Arial" w:eastAsia="Arial" w:hAnsi="Arial"/>
          <w:sz w:val="14"/>
          <w:szCs w:val="14"/>
          <w:color w:val="auto"/>
        </w:rPr>
        <w:t>2021 PROXY STATEMENT</w:t>
      </w:r>
      <w:r>
        <w:rPr>
          <w:sz w:val="20"/>
          <w:szCs w:val="20"/>
          <w:color w:val="auto"/>
        </w:rPr>
        <w:tab/>
      </w:r>
      <w:r>
        <w:rPr>
          <w:rFonts w:ascii="Arial" w:cs="Arial" w:eastAsia="Arial" w:hAnsi="Arial"/>
          <w:sz w:val="12"/>
          <w:szCs w:val="12"/>
          <w:b w:val="1"/>
          <w:bCs w:val="1"/>
          <w:color w:val="0075C9"/>
        </w:rPr>
        <w:t>27</w:t>
      </w:r>
    </w:p>
    <w:p>
      <w:pPr>
        <w:sectPr>
          <w:pgSz w:w="11900" w:h="16838" w:orient="portrait"/>
          <w:cols w:equalWidth="0" w:num="1">
            <w:col w:w="10280"/>
          </w:cols>
          <w:pgMar w:left="320" w:top="445" w:right="1299" w:bottom="1440" w:gutter="0" w:footer="0" w:header="0"/>
          <w:type w:val="continuous"/>
        </w:sectPr>
      </w:pPr>
    </w:p>
    <w:bookmarkStart w:id="35" w:name="page36"/>
    <w:bookmarkEnd w:id="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0075C9"/>
                <w:w w:val="89"/>
              </w:rPr>
              <w:t>1</w:t>
            </w:r>
          </w:p>
        </w:tc>
        <w:tc>
          <w:tcPr>
            <w:tcW w:w="1220" w:type="dxa"/>
            <w:vAlign w:val="bottom"/>
            <w:vMerge w:val="restart"/>
          </w:tcPr>
          <w:p>
            <w:pPr>
              <w:ind w:left="80"/>
              <w:spacing w:after="0"/>
              <w:rPr>
                <w:sz w:val="20"/>
                <w:szCs w:val="20"/>
                <w:color w:val="auto"/>
              </w:rPr>
            </w:pPr>
            <w:r>
              <w:rPr>
                <w:rFonts w:ascii="Arial" w:cs="Arial" w:eastAsia="Arial" w:hAnsi="Arial"/>
                <w:sz w:val="12"/>
                <w:szCs w:val="12"/>
                <w:color w:val="0075C9"/>
                <w:w w:val="98"/>
              </w:rPr>
              <w:t>GOVERNANCE AND</w:t>
            </w:r>
          </w:p>
        </w:tc>
        <w:tc>
          <w:tcPr>
            <w:tcW w:w="720" w:type="dxa"/>
            <w:vAlign w:val="bottom"/>
          </w:tcPr>
          <w:p>
            <w:pPr>
              <w:jc w:val="right"/>
              <w:spacing w:after="0"/>
              <w:rPr>
                <w:sz w:val="20"/>
                <w:szCs w:val="20"/>
                <w:color w:val="auto"/>
              </w:rPr>
            </w:pPr>
            <w:r>
              <w:rPr>
                <w:rFonts w:ascii="Arial" w:cs="Arial" w:eastAsia="Arial" w:hAnsi="Arial"/>
                <w:sz w:val="36"/>
                <w:szCs w:val="36"/>
                <w:color w:val="auto"/>
              </w:rPr>
              <w:t>2</w:t>
            </w:r>
          </w:p>
        </w:tc>
        <w:tc>
          <w:tcPr>
            <w:tcW w:w="1540" w:type="dxa"/>
            <w:vAlign w:val="bottom"/>
            <w:vMerge w:val="restart"/>
          </w:tcPr>
          <w:p>
            <w:pPr>
              <w:ind w:left="80"/>
              <w:spacing w:after="0"/>
              <w:rPr>
                <w:sz w:val="20"/>
                <w:szCs w:val="20"/>
                <w:color w:val="auto"/>
              </w:rPr>
            </w:pPr>
            <w:r>
              <w:rPr>
                <w:rFonts w:ascii="Arial" w:cs="Arial" w:eastAsia="Arial" w:hAnsi="Arial"/>
                <w:sz w:val="12"/>
                <w:szCs w:val="12"/>
                <w:color w:val="auto"/>
              </w:rPr>
              <w:t>NAMED</w:t>
            </w:r>
          </w:p>
        </w:tc>
        <w:tc>
          <w:tcPr>
            <w:tcW w:w="500" w:type="dxa"/>
            <w:vAlign w:val="bottom"/>
          </w:tcPr>
          <w:p>
            <w:pPr>
              <w:jc w:val="right"/>
              <w:spacing w:after="0"/>
              <w:rPr>
                <w:sz w:val="20"/>
                <w:szCs w:val="20"/>
                <w:color w:val="auto"/>
              </w:rPr>
            </w:pPr>
            <w:r>
              <w:rPr>
                <w:rFonts w:ascii="Arial" w:cs="Arial" w:eastAsia="Arial" w:hAnsi="Arial"/>
                <w:sz w:val="36"/>
                <w:szCs w:val="36"/>
                <w:color w:val="auto"/>
              </w:rPr>
              <w:t>3</w:t>
            </w:r>
          </w:p>
        </w:tc>
        <w:tc>
          <w:tcPr>
            <w:tcW w:w="980" w:type="dxa"/>
            <w:vAlign w:val="bottom"/>
            <w:vMerge w:val="restart"/>
          </w:tcPr>
          <w:p>
            <w:pPr>
              <w:ind w:left="80"/>
              <w:spacing w:after="0"/>
              <w:rPr>
                <w:sz w:val="20"/>
                <w:szCs w:val="20"/>
                <w:color w:val="auto"/>
              </w:rPr>
            </w:pPr>
            <w:r>
              <w:rPr>
                <w:rFonts w:ascii="Arial" w:cs="Arial" w:eastAsia="Arial" w:hAnsi="Arial"/>
                <w:sz w:val="12"/>
                <w:szCs w:val="12"/>
                <w:color w:val="auto"/>
              </w:rPr>
              <w:t>AUDIT</w:t>
            </w:r>
          </w:p>
        </w:tc>
        <w:tc>
          <w:tcPr>
            <w:tcW w:w="460" w:type="dxa"/>
            <w:vAlign w:val="bottom"/>
          </w:tcPr>
          <w:p>
            <w:pPr>
              <w:jc w:val="right"/>
              <w:spacing w:after="0"/>
              <w:rPr>
                <w:sz w:val="20"/>
                <w:szCs w:val="20"/>
                <w:color w:val="auto"/>
              </w:rPr>
            </w:pPr>
            <w:r>
              <w:rPr>
                <w:rFonts w:ascii="Arial" w:cs="Arial" w:eastAsia="Arial" w:hAnsi="Arial"/>
                <w:sz w:val="36"/>
                <w:szCs w:val="36"/>
                <w:color w:val="auto"/>
              </w:rPr>
              <w:t>4</w:t>
            </w:r>
          </w:p>
        </w:tc>
        <w:tc>
          <w:tcPr>
            <w:tcW w:w="1580" w:type="dxa"/>
            <w:vAlign w:val="bottom"/>
            <w:vMerge w:val="restart"/>
          </w:tcPr>
          <w:p>
            <w:pPr>
              <w:ind w:left="80"/>
              <w:spacing w:after="0"/>
              <w:rPr>
                <w:sz w:val="20"/>
                <w:szCs w:val="20"/>
                <w:color w:val="auto"/>
              </w:rPr>
            </w:pPr>
            <w:r>
              <w:rPr>
                <w:rFonts w:ascii="Arial" w:cs="Arial" w:eastAsia="Arial" w:hAnsi="Arial"/>
                <w:sz w:val="12"/>
                <w:szCs w:val="12"/>
                <w:color w:val="auto"/>
              </w:rPr>
              <w:t>PROPOSALS TO</w:t>
            </w:r>
          </w:p>
        </w:tc>
        <w:tc>
          <w:tcPr>
            <w:tcW w:w="440" w:type="dxa"/>
            <w:vAlign w:val="bottom"/>
          </w:tcPr>
          <w:p>
            <w:pPr>
              <w:jc w:val="right"/>
              <w:spacing w:after="0"/>
              <w:rPr>
                <w:sz w:val="20"/>
                <w:szCs w:val="20"/>
                <w:color w:val="auto"/>
              </w:rPr>
            </w:pPr>
            <w:r>
              <w:rPr>
                <w:rFonts w:ascii="Arial" w:cs="Arial" w:eastAsia="Arial" w:hAnsi="Arial"/>
                <w:sz w:val="36"/>
                <w:szCs w:val="36"/>
                <w:color w:val="auto"/>
              </w:rPr>
              <w:t>5</w:t>
            </w:r>
          </w:p>
        </w:tc>
        <w:tc>
          <w:tcPr>
            <w:tcW w:w="900" w:type="dxa"/>
            <w:vAlign w:val="bottom"/>
            <w:vMerge w:val="restart"/>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220" w:type="dxa"/>
            <w:vAlign w:val="bottom"/>
          </w:tcPr>
          <w:p>
            <w:pPr>
              <w:ind w:left="80"/>
              <w:spacing w:after="0" w:line="130" w:lineRule="exact"/>
              <w:rPr>
                <w:sz w:val="20"/>
                <w:szCs w:val="20"/>
                <w:color w:val="auto"/>
              </w:rPr>
            </w:pPr>
            <w:r>
              <w:rPr>
                <w:rFonts w:ascii="Arial" w:cs="Arial" w:eastAsia="Arial" w:hAnsi="Arial"/>
                <w:sz w:val="12"/>
                <w:szCs w:val="12"/>
                <w:color w:val="0075C9"/>
              </w:rPr>
              <w:t>OUR BOARD OF</w:t>
            </w:r>
          </w:p>
        </w:tc>
        <w:tc>
          <w:tcPr>
            <w:tcW w:w="720" w:type="dxa"/>
            <w:vAlign w:val="bottom"/>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460" w:type="dxa"/>
            <w:vAlign w:val="bottom"/>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40" w:type="dxa"/>
            <w:vAlign w:val="bottom"/>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0075C9"/>
              </w:rPr>
              <w:t>DIRECTORS</w:t>
            </w:r>
          </w:p>
        </w:tc>
        <w:tc>
          <w:tcPr>
            <w:tcW w:w="720" w:type="dxa"/>
            <w:vAlign w:val="bottom"/>
          </w:tcPr>
          <w:p>
            <w:pPr>
              <w:spacing w:after="0"/>
              <w:rPr>
                <w:sz w:val="12"/>
                <w:szCs w:val="12"/>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tcPr>
          <w:p>
            <w:pPr>
              <w:spacing w:after="0"/>
              <w:rPr>
                <w:sz w:val="12"/>
                <w:szCs w:val="12"/>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460" w:type="dxa"/>
            <w:vAlign w:val="bottom"/>
          </w:tcPr>
          <w:p>
            <w:pPr>
              <w:spacing w:after="0"/>
              <w:rPr>
                <w:sz w:val="12"/>
                <w:szCs w:val="12"/>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40" w:type="dxa"/>
            <w:vAlign w:val="bottom"/>
          </w:tcPr>
          <w:p>
            <w:pPr>
              <w:spacing w:after="0"/>
              <w:rPr>
                <w:sz w:val="12"/>
                <w:szCs w:val="12"/>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shd w:val="clear" w:color="auto" w:fill="0075C9"/>
          </w:tcPr>
          <w:p>
            <w:pPr>
              <w:spacing w:after="0"/>
              <w:rPr>
                <w:sz w:val="9"/>
                <w:szCs w:val="9"/>
                <w:color w:val="auto"/>
              </w:rPr>
            </w:pPr>
          </w:p>
        </w:tc>
        <w:tc>
          <w:tcPr>
            <w:tcW w:w="1220" w:type="dxa"/>
            <w:vAlign w:val="bottom"/>
            <w:shd w:val="clear" w:color="auto" w:fill="0075C9"/>
          </w:tcPr>
          <w:p>
            <w:pPr>
              <w:spacing w:after="0"/>
              <w:rPr>
                <w:sz w:val="9"/>
                <w:szCs w:val="9"/>
                <w:color w:val="auto"/>
              </w:rPr>
            </w:pPr>
          </w:p>
        </w:tc>
        <w:tc>
          <w:tcPr>
            <w:tcW w:w="7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How to Communicate with our Board</w:t>
      </w:r>
    </w:p>
    <w:p>
      <w:pPr>
        <w:spacing w:after="0" w:line="129" w:lineRule="exact"/>
        <w:rPr>
          <w:sz w:val="20"/>
          <w:szCs w:val="20"/>
          <w:color w:val="auto"/>
        </w:rPr>
      </w:pPr>
    </w:p>
    <w:p>
      <w:pPr>
        <w:ind w:left="1100" w:right="140"/>
        <w:spacing w:after="0" w:line="238" w:lineRule="auto"/>
        <w:rPr>
          <w:sz w:val="20"/>
          <w:szCs w:val="20"/>
          <w:color w:val="auto"/>
        </w:rPr>
      </w:pPr>
      <w:r>
        <w:rPr>
          <w:rFonts w:ascii="Arial" w:cs="Arial" w:eastAsia="Arial" w:hAnsi="Arial"/>
          <w:sz w:val="16"/>
          <w:szCs w:val="16"/>
          <w:color w:val="auto"/>
        </w:rPr>
        <w:t>We will transmit shareholder communications related to corporate governance and other Board matters to the Board, a committee of the Board, or a director as designated in your message. Communications relating to other topics, including those that are primarily commercial in nature, will not be forwarded.</w:t>
      </w:r>
    </w:p>
    <w:p>
      <w:pPr>
        <w:spacing w:after="0" w:line="190" w:lineRule="exact"/>
        <w:rPr>
          <w:sz w:val="20"/>
          <w:szCs w:val="20"/>
          <w:color w:val="auto"/>
        </w:rPr>
      </w:pPr>
    </w:p>
    <w:tbl>
      <w:tblPr>
        <w:tblLayout w:type="fixed"/>
        <w:tblInd w:w="1100" w:type="dxa"/>
        <w:tblCellMar>
          <w:top w:w="0" w:type="dxa"/>
          <w:left w:w="0" w:type="dxa"/>
          <w:bottom w:w="0" w:type="dxa"/>
          <w:right w:w="0" w:type="dxa"/>
        </w:tblCellMar>
      </w:tblPr>
      <w:tr>
        <w:trPr>
          <w:trHeight w:val="221"/>
        </w:trPr>
        <w:tc>
          <w:tcPr>
            <w:tcW w:w="520" w:type="dxa"/>
            <w:vAlign w:val="bottom"/>
            <w:vMerge w:val="restart"/>
          </w:tcPr>
          <w:p>
            <w:pPr>
              <w:jc w:val="right"/>
              <w:spacing w:after="0"/>
              <w:rPr>
                <w:sz w:val="20"/>
                <w:szCs w:val="20"/>
                <w:color w:val="auto"/>
              </w:rPr>
            </w:pPr>
            <w:r>
              <w:rPr>
                <w:rFonts w:ascii="Arial" w:cs="Arial" w:eastAsia="Arial" w:hAnsi="Arial"/>
                <w:sz w:val="35"/>
                <w:szCs w:val="35"/>
                <w:color w:val="auto"/>
                <w:w w:val="95"/>
              </w:rPr>
              <w:t>@</w:t>
            </w:r>
          </w:p>
        </w:tc>
        <w:tc>
          <w:tcPr>
            <w:tcW w:w="1760" w:type="dxa"/>
            <w:vAlign w:val="bottom"/>
            <w:vMerge w:val="restart"/>
          </w:tcPr>
          <w:p>
            <w:pPr>
              <w:spacing w:after="0"/>
              <w:rPr>
                <w:sz w:val="20"/>
                <w:szCs w:val="20"/>
                <w:color w:val="auto"/>
              </w:rPr>
            </w:pPr>
            <w:r>
              <w:rPr>
                <w:rFonts w:ascii="Arial" w:cs="Arial" w:eastAsia="Arial" w:hAnsi="Arial"/>
                <w:sz w:val="16"/>
                <w:szCs w:val="16"/>
                <w:color w:val="auto"/>
                <w:w w:val="95"/>
              </w:rPr>
              <w:t>askboard@microsoft.com</w:t>
            </w:r>
          </w:p>
        </w:tc>
        <w:tc>
          <w:tcPr>
            <w:tcW w:w="5120" w:type="dxa"/>
            <w:vAlign w:val="bottom"/>
          </w:tcPr>
          <w:p>
            <w:pPr>
              <w:ind w:left="2840"/>
              <w:spacing w:after="0"/>
              <w:rPr>
                <w:sz w:val="20"/>
                <w:szCs w:val="20"/>
                <w:color w:val="auto"/>
              </w:rPr>
            </w:pPr>
            <w:r>
              <w:rPr>
                <w:rFonts w:ascii="Arial" w:cs="Arial" w:eastAsia="Arial" w:hAnsi="Arial"/>
                <w:sz w:val="16"/>
                <w:szCs w:val="16"/>
                <w:color w:val="auto"/>
              </w:rPr>
              <w:t>MSC 123/9999</w:t>
            </w:r>
          </w:p>
        </w:tc>
        <w:tc>
          <w:tcPr>
            <w:tcW w:w="0" w:type="dxa"/>
            <w:vAlign w:val="bottom"/>
          </w:tcPr>
          <w:p>
            <w:pPr>
              <w:spacing w:after="0"/>
              <w:rPr>
                <w:sz w:val="1"/>
                <w:szCs w:val="1"/>
                <w:color w:val="auto"/>
              </w:rPr>
            </w:pPr>
          </w:p>
        </w:tc>
      </w:tr>
      <w:tr>
        <w:trPr>
          <w:trHeight w:val="55"/>
        </w:trPr>
        <w:tc>
          <w:tcPr>
            <w:tcW w:w="520" w:type="dxa"/>
            <w:vAlign w:val="bottom"/>
            <w:vMerge w:val="continue"/>
          </w:tcPr>
          <w:p>
            <w:pPr>
              <w:spacing w:after="0"/>
              <w:rPr>
                <w:sz w:val="4"/>
                <w:szCs w:val="4"/>
                <w:color w:val="auto"/>
              </w:rPr>
            </w:pPr>
          </w:p>
        </w:tc>
        <w:tc>
          <w:tcPr>
            <w:tcW w:w="1760" w:type="dxa"/>
            <w:vAlign w:val="bottom"/>
            <w:tcBorders>
              <w:bottom w:val="single" w:sz="8" w:color="auto"/>
            </w:tcBorders>
            <w:vMerge w:val="continue"/>
          </w:tcPr>
          <w:p>
            <w:pPr>
              <w:spacing w:after="0"/>
              <w:rPr>
                <w:sz w:val="4"/>
                <w:szCs w:val="4"/>
                <w:color w:val="auto"/>
              </w:rPr>
            </w:pPr>
          </w:p>
        </w:tc>
        <w:tc>
          <w:tcPr>
            <w:tcW w:w="5120" w:type="dxa"/>
            <w:vAlign w:val="bottom"/>
            <w:vMerge w:val="restart"/>
          </w:tcPr>
          <w:p>
            <w:pPr>
              <w:ind w:left="2840"/>
              <w:spacing w:after="0" w:line="181" w:lineRule="exact"/>
              <w:rPr>
                <w:sz w:val="20"/>
                <w:szCs w:val="20"/>
                <w:color w:val="auto"/>
              </w:rPr>
            </w:pPr>
            <w:r>
              <w:rPr>
                <w:rFonts w:ascii="Arial" w:cs="Arial" w:eastAsia="Arial" w:hAnsi="Arial"/>
                <w:sz w:val="16"/>
                <w:szCs w:val="16"/>
                <w:color w:val="auto"/>
                <w:w w:val="96"/>
              </w:rPr>
              <w:t>Office of the Corporate Secretary</w:t>
            </w:r>
          </w:p>
        </w:tc>
        <w:tc>
          <w:tcPr>
            <w:tcW w:w="0" w:type="dxa"/>
            <w:vAlign w:val="bottom"/>
          </w:tcPr>
          <w:p>
            <w:pPr>
              <w:spacing w:after="0"/>
              <w:rPr>
                <w:sz w:val="1"/>
                <w:szCs w:val="1"/>
                <w:color w:val="auto"/>
              </w:rPr>
            </w:pPr>
          </w:p>
        </w:tc>
      </w:tr>
      <w:tr>
        <w:trPr>
          <w:trHeight w:val="111"/>
        </w:trPr>
        <w:tc>
          <w:tcPr>
            <w:tcW w:w="520" w:type="dxa"/>
            <w:vAlign w:val="bottom"/>
            <w:vMerge w:val="continue"/>
          </w:tcPr>
          <w:p>
            <w:pPr>
              <w:spacing w:after="0"/>
              <w:rPr>
                <w:sz w:val="9"/>
                <w:szCs w:val="9"/>
                <w:color w:val="auto"/>
              </w:rPr>
            </w:pPr>
          </w:p>
        </w:tc>
        <w:tc>
          <w:tcPr>
            <w:tcW w:w="1760" w:type="dxa"/>
            <w:vAlign w:val="bottom"/>
          </w:tcPr>
          <w:p>
            <w:pPr>
              <w:spacing w:after="0"/>
              <w:rPr>
                <w:sz w:val="9"/>
                <w:szCs w:val="9"/>
                <w:color w:val="auto"/>
              </w:rPr>
            </w:pPr>
          </w:p>
        </w:tc>
        <w:tc>
          <w:tcPr>
            <w:tcW w:w="5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5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5120" w:type="dxa"/>
            <w:vAlign w:val="bottom"/>
          </w:tcPr>
          <w:p>
            <w:pPr>
              <w:ind w:left="2840"/>
              <w:spacing w:after="0" w:line="181" w:lineRule="exact"/>
              <w:rPr>
                <w:sz w:val="20"/>
                <w:szCs w:val="20"/>
                <w:color w:val="auto"/>
              </w:rPr>
            </w:pPr>
            <w:r>
              <w:rPr>
                <w:rFonts w:ascii="Arial" w:cs="Arial" w:eastAsia="Arial" w:hAnsi="Arial"/>
                <w:sz w:val="16"/>
                <w:szCs w:val="16"/>
                <w:color w:val="auto"/>
              </w:rPr>
              <w:t>Microsoft Corporation</w:t>
            </w:r>
          </w:p>
        </w:tc>
        <w:tc>
          <w:tcPr>
            <w:tcW w:w="0" w:type="dxa"/>
            <w:vAlign w:val="bottom"/>
          </w:tcPr>
          <w:p>
            <w:pPr>
              <w:spacing w:after="0"/>
              <w:rPr>
                <w:sz w:val="1"/>
                <w:szCs w:val="1"/>
                <w:color w:val="auto"/>
              </w:rPr>
            </w:pPr>
          </w:p>
        </w:tc>
      </w:tr>
      <w:tr>
        <w:trPr>
          <w:trHeight w:val="181"/>
        </w:trPr>
        <w:tc>
          <w:tcPr>
            <w:tcW w:w="5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5120" w:type="dxa"/>
            <w:vAlign w:val="bottom"/>
          </w:tcPr>
          <w:p>
            <w:pPr>
              <w:ind w:left="2840"/>
              <w:spacing w:after="0" w:line="181" w:lineRule="exact"/>
              <w:rPr>
                <w:sz w:val="20"/>
                <w:szCs w:val="20"/>
                <w:color w:val="auto"/>
              </w:rPr>
            </w:pPr>
            <w:r>
              <w:rPr>
                <w:rFonts w:ascii="Arial" w:cs="Arial" w:eastAsia="Arial" w:hAnsi="Arial"/>
                <w:sz w:val="16"/>
                <w:szCs w:val="16"/>
                <w:color w:val="auto"/>
              </w:rPr>
              <w:t>One Microsoft Way</w:t>
            </w:r>
          </w:p>
        </w:tc>
        <w:tc>
          <w:tcPr>
            <w:tcW w:w="0" w:type="dxa"/>
            <w:vAlign w:val="bottom"/>
          </w:tcPr>
          <w:p>
            <w:pPr>
              <w:spacing w:after="0"/>
              <w:rPr>
                <w:sz w:val="1"/>
                <w:szCs w:val="1"/>
                <w:color w:val="auto"/>
              </w:rPr>
            </w:pPr>
          </w:p>
        </w:tc>
      </w:tr>
      <w:tr>
        <w:trPr>
          <w:trHeight w:val="187"/>
        </w:trPr>
        <w:tc>
          <w:tcPr>
            <w:tcW w:w="5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5120" w:type="dxa"/>
            <w:vAlign w:val="bottom"/>
          </w:tcPr>
          <w:p>
            <w:pPr>
              <w:ind w:left="2840"/>
              <w:spacing w:after="0"/>
              <w:rPr>
                <w:sz w:val="20"/>
                <w:szCs w:val="20"/>
                <w:color w:val="auto"/>
              </w:rPr>
            </w:pPr>
            <w:r>
              <w:rPr>
                <w:rFonts w:ascii="Arial" w:cs="Arial" w:eastAsia="Arial" w:hAnsi="Arial"/>
                <w:sz w:val="16"/>
                <w:szCs w:val="16"/>
                <w:color w:val="auto"/>
              </w:rPr>
              <w:t>Redmond, WA 98052-6399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3587750</wp:posOffset>
            </wp:positionH>
            <wp:positionV relativeFrom="paragraph">
              <wp:posOffset>-579755</wp:posOffset>
            </wp:positionV>
            <wp:extent cx="197485" cy="1231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97485" cy="123190"/>
                    </a:xfrm>
                    <a:prstGeom prst="rect">
                      <a:avLst/>
                    </a:prstGeom>
                    <a:noFill/>
                  </pic:spPr>
                </pic:pic>
              </a:graphicData>
            </a:graphic>
          </wp:anchor>
        </w:drawing>
      </w:r>
    </w:p>
    <w:p>
      <w:pPr>
        <w:spacing w:after="0" w:line="195" w:lineRule="exact"/>
        <w:rPr>
          <w:sz w:val="20"/>
          <w:szCs w:val="20"/>
          <w:color w:val="auto"/>
        </w:rPr>
      </w:pPr>
    </w:p>
    <w:p>
      <w:pPr>
        <w:ind w:left="1100" w:right="40"/>
        <w:spacing w:after="0" w:line="238" w:lineRule="auto"/>
        <w:rPr>
          <w:sz w:val="20"/>
          <w:szCs w:val="20"/>
          <w:color w:val="auto"/>
        </w:rPr>
      </w:pPr>
      <w:r>
        <w:rPr>
          <w:rFonts w:ascii="Arial" w:cs="Arial" w:eastAsia="Arial" w:hAnsi="Arial"/>
          <w:sz w:val="16"/>
          <w:szCs w:val="16"/>
          <w:color w:val="auto"/>
        </w:rPr>
        <w:t xml:space="preserve">Concerns about accounting or auditing matters or possible violations of our Standards of Business Conduct should be reported under the procedures outlined in the Microsoft Standards of Business Conduct, which is available on our Microsoft integrity website at </w:t>
      </w:r>
      <w:r>
        <w:rPr>
          <w:rFonts w:ascii="Arial" w:cs="Arial" w:eastAsia="Arial" w:hAnsi="Arial"/>
          <w:sz w:val="16"/>
          <w:szCs w:val="16"/>
          <w:u w:val="single" w:color="auto"/>
          <w:color w:val="auto"/>
        </w:rPr>
        <w:t>microsoft.com/legal/compliance/integrity</w:t>
      </w:r>
      <w:r>
        <w:rPr>
          <w:rFonts w:ascii="Arial" w:cs="Arial" w:eastAsia="Arial" w:hAnsi="Arial"/>
          <w:sz w:val="16"/>
          <w:szCs w:val="16"/>
          <w:color w:val="auto"/>
        </w:rPr>
        <w:t>.</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Director Independence Guidelines</w:t>
      </w:r>
    </w:p>
    <w:p>
      <w:pPr>
        <w:spacing w:after="0" w:line="129" w:lineRule="exact"/>
        <w:rPr>
          <w:sz w:val="20"/>
          <w:szCs w:val="20"/>
          <w:color w:val="auto"/>
        </w:rPr>
      </w:pPr>
    </w:p>
    <w:p>
      <w:pPr>
        <w:ind w:left="1100" w:right="120"/>
        <w:spacing w:after="0" w:line="237" w:lineRule="auto"/>
        <w:rPr>
          <w:sz w:val="20"/>
          <w:szCs w:val="20"/>
          <w:color w:val="auto"/>
        </w:rPr>
      </w:pPr>
      <w:r>
        <w:rPr>
          <w:rFonts w:ascii="Arial" w:cs="Arial" w:eastAsia="Arial" w:hAnsi="Arial"/>
          <w:sz w:val="16"/>
          <w:szCs w:val="16"/>
          <w:color w:val="auto"/>
        </w:rPr>
        <w:t xml:space="preserve">Our Board has adopted director independence guidelines to assist in determining each director’s independence. These guidelines are available on our website at </w:t>
      </w:r>
      <w:r>
        <w:rPr>
          <w:rFonts w:ascii="Arial" w:cs="Arial" w:eastAsia="Arial" w:hAnsi="Arial"/>
          <w:sz w:val="16"/>
          <w:szCs w:val="16"/>
          <w:u w:val="single" w:color="auto"/>
          <w:color w:val="auto"/>
        </w:rPr>
        <w:t>aka.ms/policiesandguidelines</w:t>
      </w:r>
      <w:r>
        <w:rPr>
          <w:rFonts w:ascii="Arial" w:cs="Arial" w:eastAsia="Arial" w:hAnsi="Arial"/>
          <w:sz w:val="16"/>
          <w:szCs w:val="16"/>
          <w:color w:val="auto"/>
        </w:rPr>
        <w:t>. The guidelines either meet or are more restrictive than the definition of “independent director” in the listing requirements of Nasdaq and applicable laws and regulations. The guidelines identify categories of relationships the Board has determined would not affect a director’s independence and therefore are not considered by the Board in determining director independence.</w:t>
      </w:r>
    </w:p>
    <w:p>
      <w:pPr>
        <w:spacing w:after="0" w:line="102" w:lineRule="exact"/>
        <w:rPr>
          <w:sz w:val="20"/>
          <w:szCs w:val="20"/>
          <w:color w:val="auto"/>
        </w:rPr>
      </w:pPr>
    </w:p>
    <w:p>
      <w:pPr>
        <w:ind w:left="1100"/>
        <w:spacing w:after="0" w:line="274" w:lineRule="auto"/>
        <w:rPr>
          <w:sz w:val="20"/>
          <w:szCs w:val="20"/>
          <w:color w:val="auto"/>
        </w:rPr>
      </w:pPr>
      <w:r>
        <w:rPr>
          <w:rFonts w:ascii="Arial" w:cs="Arial" w:eastAsia="Arial" w:hAnsi="Arial"/>
          <w:sz w:val="14"/>
          <w:szCs w:val="14"/>
          <w:color w:val="auto"/>
        </w:rPr>
        <w:t>Following the director independence guidelines, each year and before a new director is appointed, the Board must affirmatively determine a director has no relationship that would interfere with the exercise of independent judgment in carrying out his or her responsibilities as a director. Annually, each director completes a detailed questionnaire that provides information about relationships that might affect the determination of independence. Management provides the Governance and Nominating Committee and Board with relevant known facts and circumstances of any relationship bearing on the independence of a director or nominee that is outside the categories permitted under the director independence guidelines. The Committee then completes an assessment of each director considering all known relevant facts and circumstances concerning any relationship bearing on the independence of a director or nominee. This process includes evaluating whether any identified relationship otherwise adversely affects a director’s independence and affirmatively determining that the director has no material relationship with Microsoft, another director, or as a partner, shareholder, or officer of an organization that has a relationship with our Company.</w:t>
      </w:r>
    </w:p>
    <w:p>
      <w:pPr>
        <w:spacing w:after="0" w:line="262" w:lineRule="exact"/>
        <w:rPr>
          <w:sz w:val="20"/>
          <w:szCs w:val="20"/>
          <w:color w:val="auto"/>
        </w:rPr>
      </w:pPr>
    </w:p>
    <w:p>
      <w:pPr>
        <w:ind w:left="1100" w:right="40"/>
        <w:spacing w:after="0" w:line="238" w:lineRule="auto"/>
        <w:rPr>
          <w:sz w:val="20"/>
          <w:szCs w:val="20"/>
          <w:color w:val="auto"/>
        </w:rPr>
      </w:pPr>
      <w:r>
        <w:rPr>
          <w:rFonts w:ascii="Arial" w:cs="Arial" w:eastAsia="Arial" w:hAnsi="Arial"/>
          <w:sz w:val="16"/>
          <w:szCs w:val="16"/>
          <w:color w:val="auto"/>
        </w:rPr>
        <w:t>The Governance and Nominating Committee also considers the tenure of a director, and for longer serving directors, whether the duration of service impacts the director’s independence from management, as demonstrated by the director’s relationship with management and the director’s participation in Board and committee deliberations. The Board seeks to maintain an average tenure of 10 years or less for its independent directors as a group.</w:t>
      </w:r>
    </w:p>
    <w:p>
      <w:pPr>
        <w:spacing w:after="0" w:line="99"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Based on the review and recommendation by the Governance and Nominating Committee, the Board analyzed the independence</w:t>
      </w:r>
    </w:p>
    <w:p>
      <w:pPr>
        <w:spacing w:after="0" w:line="18"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of each director and nominee. The Board determined that Mses. List, Peterson, Pritzker, Walmsley, and Warrior, and Messrs.</w:t>
      </w:r>
    </w:p>
    <w:p>
      <w:pPr>
        <w:ind w:left="1100"/>
        <w:spacing w:after="0" w:line="236" w:lineRule="auto"/>
        <w:rPr>
          <w:sz w:val="20"/>
          <w:szCs w:val="20"/>
          <w:color w:val="auto"/>
        </w:rPr>
      </w:pPr>
      <w:r>
        <w:rPr>
          <w:rFonts w:ascii="Arial" w:cs="Arial" w:eastAsia="Arial" w:hAnsi="Arial"/>
          <w:sz w:val="16"/>
          <w:szCs w:val="16"/>
          <w:color w:val="auto"/>
        </w:rPr>
        <w:t>Hoffman, Johnston, Rodriguez, Scharf, Stanton, and Thompson meet the standards of independence under our Corporate</w:t>
      </w:r>
    </w:p>
    <w:p>
      <w:pPr>
        <w:ind w:left="1100"/>
        <w:spacing w:after="0" w:line="237" w:lineRule="auto"/>
        <w:rPr>
          <w:sz w:val="20"/>
          <w:szCs w:val="20"/>
          <w:color w:val="auto"/>
        </w:rPr>
      </w:pPr>
      <w:r>
        <w:rPr>
          <w:rFonts w:ascii="Arial" w:cs="Arial" w:eastAsia="Arial" w:hAnsi="Arial"/>
          <w:sz w:val="16"/>
          <w:szCs w:val="16"/>
          <w:color w:val="auto"/>
        </w:rPr>
        <w:t>Governance Guidelines, the director independence guidelines, and applicable NASDAQ listing standards, including that each</w:t>
      </w:r>
    </w:p>
    <w:p>
      <w:pPr>
        <w:ind w:left="1100"/>
        <w:spacing w:after="0"/>
        <w:rPr>
          <w:sz w:val="20"/>
          <w:szCs w:val="20"/>
          <w:color w:val="auto"/>
        </w:rPr>
      </w:pPr>
      <w:r>
        <w:rPr>
          <w:rFonts w:ascii="Arial" w:cs="Arial" w:eastAsia="Arial" w:hAnsi="Arial"/>
          <w:sz w:val="14"/>
          <w:szCs w:val="14"/>
          <w:color w:val="auto"/>
        </w:rPr>
        <w:t>member is free of any relationship that would interfere with his or her individual exercise of independent judgment. Arne Sorenson,</w:t>
      </w:r>
    </w:p>
    <w:p>
      <w:pPr>
        <w:spacing w:after="0" w:line="20"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who passed away in February 2021, was independent throughout his Board service. In making its independence determination, the</w:t>
      </w:r>
    </w:p>
    <w:p>
      <w:pPr>
        <w:spacing w:after="0" w:line="18"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Committee and Board considered ordinary course transactions between Microsoft and certain related entities, for instance the</w:t>
      </w:r>
    </w:p>
    <w:p>
      <w:pPr>
        <w:ind w:left="1100"/>
        <w:spacing w:after="0"/>
        <w:rPr>
          <w:sz w:val="20"/>
          <w:szCs w:val="20"/>
          <w:color w:val="auto"/>
        </w:rPr>
      </w:pPr>
      <w:r>
        <w:rPr>
          <w:rFonts w:ascii="Arial" w:cs="Arial" w:eastAsia="Arial" w:hAnsi="Arial"/>
          <w:sz w:val="14"/>
          <w:szCs w:val="14"/>
          <w:color w:val="auto"/>
        </w:rPr>
        <w:t>purchase of software licenses by companies of which a director is an executive officer, and purchases by Microsoft of goods and</w:t>
      </w:r>
    </w:p>
    <w:p>
      <w:pPr>
        <w:spacing w:after="0" w:line="18"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services from such companies. In reaching that conclusion with respect to Ms. Pritzker, the Committee and Board considered</w:t>
      </w:r>
    </w:p>
    <w:p>
      <w:pPr>
        <w:ind w:left="1100"/>
        <w:spacing w:after="0"/>
        <w:rPr>
          <w:sz w:val="20"/>
          <w:szCs w:val="20"/>
          <w:color w:val="auto"/>
        </w:rPr>
      </w:pPr>
      <w:r>
        <w:rPr>
          <w:rFonts w:ascii="Arial" w:cs="Arial" w:eastAsia="Arial" w:hAnsi="Arial"/>
          <w:sz w:val="14"/>
          <w:szCs w:val="14"/>
          <w:color w:val="auto"/>
        </w:rPr>
        <w:t>transactions between LinkedIn, a subsidiary of Microsoft, and 3Q Digital, Inc., a digital marketing company (“3Q”), which accounted</w:t>
      </w:r>
    </w:p>
    <w:p>
      <w:pPr>
        <w:spacing w:after="0" w:line="20"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for more than 5% of 3Q’s annual revenue for its last completed fiscal year. 3Q has provided digital marketing services for LinkedIn</w:t>
      </w:r>
    </w:p>
    <w:p>
      <w:pPr>
        <w:spacing w:after="0" w:line="20"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since 2015. In 2019, trusts for the benefit of Ms. Pritzker and her family acquired an indirect majority interest in 3Q. In making its</w:t>
      </w:r>
    </w:p>
    <w:p>
      <w:pPr>
        <w:spacing w:after="0" w:line="18"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determination regarding Ms. Pritzker’s independence, the Committee and Board noted that Ms. Pritzker is not a director or</w:t>
      </w:r>
    </w:p>
    <w:p>
      <w:pPr>
        <w:ind w:left="1100"/>
        <w:spacing w:after="0"/>
        <w:rPr>
          <w:sz w:val="20"/>
          <w:szCs w:val="20"/>
          <w:color w:val="auto"/>
        </w:rPr>
      </w:pPr>
      <w:r>
        <w:rPr>
          <w:rFonts w:ascii="Arial" w:cs="Arial" w:eastAsia="Arial" w:hAnsi="Arial"/>
          <w:sz w:val="14"/>
          <w:szCs w:val="14"/>
          <w:color w:val="auto"/>
        </w:rPr>
        <w:t>officer of, and holds no direct equity ownership interest in, 3Q or any of its parent organizations. The Committee and Board further</w:t>
      </w:r>
    </w:p>
    <w:p>
      <w:pPr>
        <w:spacing w:after="0" w:line="20"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noted that Ms. Pritzker has recused herself from participation in any decisions related to 3Q or the Trusts’ investment therein and</w:t>
      </w:r>
    </w:p>
    <w:p>
      <w:pPr>
        <w:spacing w:after="0" w:line="18"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does not otherwise have the ability to control the Trusts’ investment or other decisions regarding 3Q. Ms. Pritzker was not</w:t>
      </w:r>
    </w:p>
    <w:p>
      <w:pPr>
        <w:ind w:left="1100"/>
        <w:spacing w:after="0" w:line="236" w:lineRule="auto"/>
        <w:rPr>
          <w:sz w:val="20"/>
          <w:szCs w:val="20"/>
          <w:color w:val="auto"/>
        </w:rPr>
      </w:pPr>
      <w:r>
        <w:rPr>
          <w:rFonts w:ascii="Arial" w:cs="Arial" w:eastAsia="Arial" w:hAnsi="Arial"/>
          <w:sz w:val="16"/>
          <w:szCs w:val="16"/>
          <w:color w:val="auto"/>
        </w:rPr>
        <w:t>involved in the negotiation of the commercial agreements between 3Q and LinkedIn. In May 2021, the commercial relationship</w:t>
      </w:r>
    </w:p>
    <w:p>
      <w:pPr>
        <w:ind w:left="1100"/>
        <w:spacing w:after="0"/>
        <w:rPr>
          <w:sz w:val="20"/>
          <w:szCs w:val="20"/>
          <w:color w:val="auto"/>
        </w:rPr>
      </w:pPr>
      <w:r>
        <w:rPr>
          <w:rFonts w:ascii="Arial" w:cs="Arial" w:eastAsia="Arial" w:hAnsi="Arial"/>
          <w:sz w:val="16"/>
          <w:szCs w:val="16"/>
          <w:color w:val="auto"/>
        </w:rPr>
        <w:t>between LinkedIn and 3Q was terminated.</w:t>
      </w:r>
    </w:p>
    <w:p>
      <w:pPr>
        <w:spacing w:after="0" w:line="200" w:lineRule="exact"/>
        <w:rPr>
          <w:sz w:val="20"/>
          <w:szCs w:val="20"/>
          <w:color w:val="auto"/>
        </w:rPr>
      </w:pPr>
    </w:p>
    <w:p>
      <w:pPr>
        <w:spacing w:after="0" w:line="302"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-94615</wp:posOffset>
            </wp:positionV>
            <wp:extent cx="485140" cy="984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45" w:right="143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0075C9"/>
                <w:w w:val="89"/>
              </w:rPr>
              <w:t>1</w:t>
            </w:r>
          </w:p>
        </w:tc>
        <w:tc>
          <w:tcPr>
            <w:tcW w:w="1220" w:type="dxa"/>
            <w:vAlign w:val="bottom"/>
            <w:vMerge w:val="restart"/>
          </w:tcPr>
          <w:p>
            <w:pPr>
              <w:ind w:left="80"/>
              <w:spacing w:after="0"/>
              <w:rPr>
                <w:sz w:val="20"/>
                <w:szCs w:val="20"/>
                <w:color w:val="auto"/>
              </w:rPr>
            </w:pPr>
            <w:r>
              <w:rPr>
                <w:rFonts w:ascii="Arial" w:cs="Arial" w:eastAsia="Arial" w:hAnsi="Arial"/>
                <w:sz w:val="12"/>
                <w:szCs w:val="12"/>
                <w:color w:val="0075C9"/>
                <w:w w:val="98"/>
              </w:rPr>
              <w:t>GOVERNANCE AND</w:t>
            </w:r>
          </w:p>
        </w:tc>
        <w:tc>
          <w:tcPr>
            <w:tcW w:w="720" w:type="dxa"/>
            <w:vAlign w:val="bottom"/>
          </w:tcPr>
          <w:p>
            <w:pPr>
              <w:jc w:val="right"/>
              <w:spacing w:after="0"/>
              <w:rPr>
                <w:sz w:val="20"/>
                <w:szCs w:val="20"/>
                <w:color w:val="auto"/>
              </w:rPr>
            </w:pPr>
            <w:r>
              <w:rPr>
                <w:rFonts w:ascii="Arial" w:cs="Arial" w:eastAsia="Arial" w:hAnsi="Arial"/>
                <w:sz w:val="36"/>
                <w:szCs w:val="36"/>
                <w:color w:val="auto"/>
              </w:rPr>
              <w:t>2</w:t>
            </w:r>
          </w:p>
        </w:tc>
        <w:tc>
          <w:tcPr>
            <w:tcW w:w="1540" w:type="dxa"/>
            <w:vAlign w:val="bottom"/>
            <w:vMerge w:val="restart"/>
          </w:tcPr>
          <w:p>
            <w:pPr>
              <w:ind w:left="80"/>
              <w:spacing w:after="0"/>
              <w:rPr>
                <w:sz w:val="20"/>
                <w:szCs w:val="20"/>
                <w:color w:val="auto"/>
              </w:rPr>
            </w:pPr>
            <w:r>
              <w:rPr>
                <w:rFonts w:ascii="Arial" w:cs="Arial" w:eastAsia="Arial" w:hAnsi="Arial"/>
                <w:sz w:val="12"/>
                <w:szCs w:val="12"/>
                <w:color w:val="auto"/>
              </w:rPr>
              <w:t>NAMED</w:t>
            </w:r>
          </w:p>
        </w:tc>
        <w:tc>
          <w:tcPr>
            <w:tcW w:w="500" w:type="dxa"/>
            <w:vAlign w:val="bottom"/>
          </w:tcPr>
          <w:p>
            <w:pPr>
              <w:jc w:val="right"/>
              <w:spacing w:after="0"/>
              <w:rPr>
                <w:sz w:val="20"/>
                <w:szCs w:val="20"/>
                <w:color w:val="auto"/>
              </w:rPr>
            </w:pPr>
            <w:r>
              <w:rPr>
                <w:rFonts w:ascii="Arial" w:cs="Arial" w:eastAsia="Arial" w:hAnsi="Arial"/>
                <w:sz w:val="36"/>
                <w:szCs w:val="36"/>
                <w:color w:val="auto"/>
              </w:rPr>
              <w:t>3</w:t>
            </w:r>
          </w:p>
        </w:tc>
        <w:tc>
          <w:tcPr>
            <w:tcW w:w="980" w:type="dxa"/>
            <w:vAlign w:val="bottom"/>
            <w:vMerge w:val="restart"/>
          </w:tcPr>
          <w:p>
            <w:pPr>
              <w:ind w:left="80"/>
              <w:spacing w:after="0"/>
              <w:rPr>
                <w:sz w:val="20"/>
                <w:szCs w:val="20"/>
                <w:color w:val="auto"/>
              </w:rPr>
            </w:pPr>
            <w:r>
              <w:rPr>
                <w:rFonts w:ascii="Arial" w:cs="Arial" w:eastAsia="Arial" w:hAnsi="Arial"/>
                <w:sz w:val="12"/>
                <w:szCs w:val="12"/>
                <w:color w:val="auto"/>
              </w:rPr>
              <w:t>AUDIT</w:t>
            </w:r>
          </w:p>
        </w:tc>
        <w:tc>
          <w:tcPr>
            <w:tcW w:w="460" w:type="dxa"/>
            <w:vAlign w:val="bottom"/>
          </w:tcPr>
          <w:p>
            <w:pPr>
              <w:jc w:val="right"/>
              <w:spacing w:after="0"/>
              <w:rPr>
                <w:sz w:val="20"/>
                <w:szCs w:val="20"/>
                <w:color w:val="auto"/>
              </w:rPr>
            </w:pPr>
            <w:r>
              <w:rPr>
                <w:rFonts w:ascii="Arial" w:cs="Arial" w:eastAsia="Arial" w:hAnsi="Arial"/>
                <w:sz w:val="36"/>
                <w:szCs w:val="36"/>
                <w:color w:val="auto"/>
              </w:rPr>
              <w:t>4</w:t>
            </w:r>
          </w:p>
        </w:tc>
        <w:tc>
          <w:tcPr>
            <w:tcW w:w="1580" w:type="dxa"/>
            <w:vAlign w:val="bottom"/>
            <w:vMerge w:val="restart"/>
          </w:tcPr>
          <w:p>
            <w:pPr>
              <w:ind w:left="80"/>
              <w:spacing w:after="0"/>
              <w:rPr>
                <w:sz w:val="20"/>
                <w:szCs w:val="20"/>
                <w:color w:val="auto"/>
              </w:rPr>
            </w:pPr>
            <w:r>
              <w:rPr>
                <w:rFonts w:ascii="Arial" w:cs="Arial" w:eastAsia="Arial" w:hAnsi="Arial"/>
                <w:sz w:val="12"/>
                <w:szCs w:val="12"/>
                <w:color w:val="auto"/>
              </w:rPr>
              <w:t>PROPOSALS TO</w:t>
            </w:r>
          </w:p>
        </w:tc>
        <w:tc>
          <w:tcPr>
            <w:tcW w:w="440" w:type="dxa"/>
            <w:vAlign w:val="bottom"/>
          </w:tcPr>
          <w:p>
            <w:pPr>
              <w:jc w:val="right"/>
              <w:spacing w:after="0"/>
              <w:rPr>
                <w:sz w:val="20"/>
                <w:szCs w:val="20"/>
                <w:color w:val="auto"/>
              </w:rPr>
            </w:pPr>
            <w:r>
              <w:rPr>
                <w:rFonts w:ascii="Arial" w:cs="Arial" w:eastAsia="Arial" w:hAnsi="Arial"/>
                <w:sz w:val="36"/>
                <w:szCs w:val="36"/>
                <w:color w:val="auto"/>
              </w:rPr>
              <w:t>5</w:t>
            </w:r>
          </w:p>
        </w:tc>
        <w:tc>
          <w:tcPr>
            <w:tcW w:w="900" w:type="dxa"/>
            <w:vAlign w:val="bottom"/>
            <w:vMerge w:val="restart"/>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220" w:type="dxa"/>
            <w:vAlign w:val="bottom"/>
          </w:tcPr>
          <w:p>
            <w:pPr>
              <w:ind w:left="80"/>
              <w:spacing w:after="0" w:line="130" w:lineRule="exact"/>
              <w:rPr>
                <w:sz w:val="20"/>
                <w:szCs w:val="20"/>
                <w:color w:val="auto"/>
              </w:rPr>
            </w:pPr>
            <w:r>
              <w:rPr>
                <w:rFonts w:ascii="Arial" w:cs="Arial" w:eastAsia="Arial" w:hAnsi="Arial"/>
                <w:sz w:val="12"/>
                <w:szCs w:val="12"/>
                <w:color w:val="0075C9"/>
              </w:rPr>
              <w:t>OUR BOARD OF</w:t>
            </w:r>
          </w:p>
        </w:tc>
        <w:tc>
          <w:tcPr>
            <w:tcW w:w="720" w:type="dxa"/>
            <w:vAlign w:val="bottom"/>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460" w:type="dxa"/>
            <w:vAlign w:val="bottom"/>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40" w:type="dxa"/>
            <w:vAlign w:val="bottom"/>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0075C9"/>
              </w:rPr>
              <w:t>DIRECTORS</w:t>
            </w:r>
          </w:p>
        </w:tc>
        <w:tc>
          <w:tcPr>
            <w:tcW w:w="720" w:type="dxa"/>
            <w:vAlign w:val="bottom"/>
          </w:tcPr>
          <w:p>
            <w:pPr>
              <w:spacing w:after="0"/>
              <w:rPr>
                <w:sz w:val="12"/>
                <w:szCs w:val="12"/>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tcPr>
          <w:p>
            <w:pPr>
              <w:spacing w:after="0"/>
              <w:rPr>
                <w:sz w:val="12"/>
                <w:szCs w:val="12"/>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460" w:type="dxa"/>
            <w:vAlign w:val="bottom"/>
          </w:tcPr>
          <w:p>
            <w:pPr>
              <w:spacing w:after="0"/>
              <w:rPr>
                <w:sz w:val="12"/>
                <w:szCs w:val="12"/>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40" w:type="dxa"/>
            <w:vAlign w:val="bottom"/>
          </w:tcPr>
          <w:p>
            <w:pPr>
              <w:spacing w:after="0"/>
              <w:rPr>
                <w:sz w:val="12"/>
                <w:szCs w:val="12"/>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shd w:val="clear" w:color="auto" w:fill="0075C9"/>
          </w:tcPr>
          <w:p>
            <w:pPr>
              <w:spacing w:after="0"/>
              <w:rPr>
                <w:sz w:val="9"/>
                <w:szCs w:val="9"/>
                <w:color w:val="auto"/>
              </w:rPr>
            </w:pPr>
          </w:p>
        </w:tc>
        <w:tc>
          <w:tcPr>
            <w:tcW w:w="1220" w:type="dxa"/>
            <w:vAlign w:val="bottom"/>
            <w:shd w:val="clear" w:color="auto" w:fill="0075C9"/>
          </w:tcPr>
          <w:p>
            <w:pPr>
              <w:spacing w:after="0"/>
              <w:rPr>
                <w:sz w:val="9"/>
                <w:szCs w:val="9"/>
                <w:color w:val="auto"/>
              </w:rPr>
            </w:pPr>
          </w:p>
        </w:tc>
        <w:tc>
          <w:tcPr>
            <w:tcW w:w="7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Certain Relationships and Related Transactions</w:t>
      </w:r>
    </w:p>
    <w:p>
      <w:pPr>
        <w:spacing w:after="0" w:line="129" w:lineRule="exact"/>
        <w:rPr>
          <w:sz w:val="20"/>
          <w:szCs w:val="20"/>
          <w:color w:val="auto"/>
        </w:rPr>
      </w:pPr>
    </w:p>
    <w:p>
      <w:pPr>
        <w:ind w:left="1100" w:right="180"/>
        <w:spacing w:after="0" w:line="237" w:lineRule="auto"/>
        <w:rPr>
          <w:sz w:val="20"/>
          <w:szCs w:val="20"/>
          <w:color w:val="auto"/>
        </w:rPr>
      </w:pPr>
      <w:r>
        <w:rPr>
          <w:rFonts w:ascii="Arial" w:cs="Arial" w:eastAsia="Arial" w:hAnsi="Arial"/>
          <w:sz w:val="16"/>
          <w:szCs w:val="16"/>
          <w:color w:val="auto"/>
        </w:rPr>
        <w:t>We are a global company with extensive operations in the U.S. and many foreign countries. Every year, we spend billions of dollars for goods and services purchased from third parties. The authority of our employees to purchase goods and services is widely dispersed. Because of these wide-ranging activities, there may be transactions, business arrangements or relationships with businesses and other organizations in which one of our directors, executive officers, nominees for director, or an owner of 5% or more of our stock (“5% shareholders”) or their immediate families, may also be a director, executive officer, or investor, or have some other direct or indirect material interest (“related entities”). We will refer to these transactions with related entities as related-party transactions where the amount involved exceeds $120,000 and a director, executive officer, nominee for director or 5% shareholders, or immediate family member has a direct or indirect material interest.</w:t>
      </w:r>
    </w:p>
    <w:p>
      <w:pPr>
        <w:spacing w:after="0" w:line="101" w:lineRule="exact"/>
        <w:rPr>
          <w:sz w:val="20"/>
          <w:szCs w:val="20"/>
          <w:color w:val="auto"/>
        </w:rPr>
      </w:pPr>
    </w:p>
    <w:p>
      <w:pPr>
        <w:ind w:left="1100" w:right="220"/>
        <w:spacing w:after="0" w:line="237" w:lineRule="auto"/>
        <w:rPr>
          <w:sz w:val="20"/>
          <w:szCs w:val="20"/>
          <w:color w:val="auto"/>
        </w:rPr>
      </w:pPr>
      <w:r>
        <w:rPr>
          <w:rFonts w:ascii="Arial" w:cs="Arial" w:eastAsia="Arial" w:hAnsi="Arial"/>
          <w:sz w:val="16"/>
          <w:szCs w:val="16"/>
          <w:color w:val="auto"/>
        </w:rPr>
        <w:t>Related-party transactions have the potential to create actual or perceived conflicts of interest between Microsoft and its directors, executive officers, nominees for director or 5% shareholders, or their immediate family members. The Audit Committee has established a written policy and procedures for review and approval of related-party transactions. If a related-party transaction subject to review involves directly or indirectly a member of the Audit Committee (or an immediate family member or domestic partner), the remaining Committee members will conduct the review. In evaluating a related-party transaction, the Audit Committee considers, among other factors:</w:t>
      </w:r>
    </w:p>
    <w:p>
      <w:pPr>
        <w:spacing w:after="0" w:line="114" w:lineRule="exact"/>
        <w:rPr>
          <w:sz w:val="20"/>
          <w:szCs w:val="20"/>
          <w:color w:val="auto"/>
        </w:rPr>
      </w:pPr>
    </w:p>
    <w:p>
      <w:pPr>
        <w:ind w:left="1260" w:hanging="158"/>
        <w:spacing w:after="0"/>
        <w:tabs>
          <w:tab w:leader="none" w:pos="12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goods or services provided by or to the related party</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nature of the transaction and the costs to be incurred by Microsoft or payments to Microsoft</w:t>
      </w:r>
    </w:p>
    <w:p>
      <w:pPr>
        <w:spacing w:after="0" w:line="113" w:lineRule="exact"/>
        <w:rPr>
          <w:rFonts w:ascii="Arial" w:cs="Arial" w:eastAsia="Arial" w:hAnsi="Arial"/>
          <w:sz w:val="16"/>
          <w:szCs w:val="16"/>
          <w:color w:val="auto"/>
        </w:rPr>
      </w:pPr>
    </w:p>
    <w:p>
      <w:pPr>
        <w:ind w:left="1260" w:right="280" w:hanging="158"/>
        <w:spacing w:after="0" w:line="239" w:lineRule="auto"/>
        <w:tabs>
          <w:tab w:leader="none" w:pos="12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benefits associated with the transaction and whether comparable or alternative goods or services are available to Microsoft from unrelated parties</w:t>
      </w:r>
    </w:p>
    <w:p>
      <w:pPr>
        <w:spacing w:after="0" w:line="112" w:lineRule="exact"/>
        <w:rPr>
          <w:rFonts w:ascii="Arial" w:cs="Arial" w:eastAsia="Arial" w:hAnsi="Arial"/>
          <w:sz w:val="16"/>
          <w:szCs w:val="16"/>
          <w:color w:val="auto"/>
        </w:rPr>
      </w:pPr>
    </w:p>
    <w:p>
      <w:pPr>
        <w:ind w:left="1260" w:hanging="158"/>
        <w:spacing w:after="0"/>
        <w:tabs>
          <w:tab w:leader="none" w:pos="12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business advantage Microsoft would gain by engaging in the transaction</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significance of the transaction to Microsoft and to the related party</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Management’s determination that the transaction is in the best interests of Microsoft</w:t>
      </w:r>
    </w:p>
    <w:p>
      <w:pPr>
        <w:spacing w:after="0" w:line="205" w:lineRule="exact"/>
        <w:rPr>
          <w:sz w:val="20"/>
          <w:szCs w:val="20"/>
          <w:color w:val="auto"/>
        </w:rPr>
      </w:pPr>
    </w:p>
    <w:p>
      <w:pPr>
        <w:ind w:left="1100" w:right="180"/>
        <w:spacing w:after="0" w:line="238" w:lineRule="auto"/>
        <w:rPr>
          <w:sz w:val="20"/>
          <w:szCs w:val="20"/>
          <w:color w:val="auto"/>
        </w:rPr>
      </w:pPr>
      <w:r>
        <w:rPr>
          <w:rFonts w:ascii="Arial" w:cs="Arial" w:eastAsia="Arial" w:hAnsi="Arial"/>
          <w:sz w:val="16"/>
          <w:szCs w:val="16"/>
          <w:color w:val="auto"/>
        </w:rPr>
        <w:t>To receive Audit Committee approval, a related-party transaction must have a Microsoft business purpose and be on terms that are fair and reasonable to Microsoft and be as favorable to Microsoft as would be available from non-related entities in comparable transactions. The Audit Committee also requires that the transaction meet the same Microsoft standards that apply to comparable transactions with unaffiliated entities.</w:t>
      </w:r>
    </w:p>
    <w:p>
      <w:pPr>
        <w:spacing w:after="0" w:line="99" w:lineRule="exact"/>
        <w:rPr>
          <w:sz w:val="20"/>
          <w:szCs w:val="20"/>
          <w:color w:val="auto"/>
        </w:rPr>
      </w:pPr>
    </w:p>
    <w:p>
      <w:pPr>
        <w:jc w:val="both"/>
        <w:ind w:left="1100" w:right="400"/>
        <w:spacing w:after="0" w:line="238" w:lineRule="auto"/>
        <w:rPr>
          <w:sz w:val="20"/>
          <w:szCs w:val="20"/>
          <w:color w:val="auto"/>
        </w:rPr>
      </w:pPr>
      <w:r>
        <w:rPr>
          <w:rFonts w:ascii="Arial" w:cs="Arial" w:eastAsia="Arial" w:hAnsi="Arial"/>
          <w:sz w:val="16"/>
          <w:szCs w:val="16"/>
          <w:color w:val="auto"/>
        </w:rPr>
        <w:t>During fiscal year 2021, there were ordinary course transactions between Microsoft and certain related entities, for instance the purchase of software licenses by companies of which a director is an executive officer and purchases by Microsoft of goods and services from such companies. None of these transactions constituted a related-party transaction that required approval by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308610</wp:posOffset>
            </wp:positionV>
            <wp:extent cx="573976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Director Compensation</w:t>
      </w:r>
    </w:p>
    <w:p>
      <w:pPr>
        <w:spacing w:after="0" w:line="143" w:lineRule="exact"/>
        <w:rPr>
          <w:sz w:val="20"/>
          <w:szCs w:val="20"/>
          <w:color w:val="auto"/>
        </w:rPr>
      </w:pPr>
    </w:p>
    <w:p>
      <w:pPr>
        <w:ind w:left="1100" w:right="220"/>
        <w:spacing w:after="0" w:line="238" w:lineRule="auto"/>
        <w:rPr>
          <w:sz w:val="20"/>
          <w:szCs w:val="20"/>
          <w:color w:val="auto"/>
        </w:rPr>
      </w:pPr>
      <w:r>
        <w:rPr>
          <w:rFonts w:ascii="Arial" w:cs="Arial" w:eastAsia="Arial" w:hAnsi="Arial"/>
          <w:sz w:val="16"/>
          <w:szCs w:val="16"/>
          <w:color w:val="auto"/>
        </w:rPr>
        <w:t>The Compensation Committee periodically reviews the regular annual retainer paid to non-employee directors and makes recommendations for adjustments, as appropriate, to the Board. We have not increased director pay since fiscal year 2015. As our CEO, Mr. Nadella does not receive additional pay for serving as a director or as Board Chairman. The independent Board Chair retainer reflects the compensation for Mr. Thompson’s fiscal year 2021 service.</w:t>
      </w:r>
    </w:p>
    <w:p>
      <w:pPr>
        <w:spacing w:after="0" w:line="204"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Fiscal Year 2021 Compensation Structure for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30480</wp:posOffset>
            </wp:positionV>
            <wp:extent cx="573976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76" w:lineRule="exact"/>
        <w:rPr>
          <w:sz w:val="20"/>
          <w:szCs w:val="20"/>
          <w:color w:val="auto"/>
        </w:rPr>
      </w:pPr>
    </w:p>
    <w:p>
      <w:pPr>
        <w:ind w:left="1180"/>
        <w:spacing w:after="0"/>
        <w:rPr>
          <w:sz w:val="20"/>
          <w:szCs w:val="20"/>
          <w:color w:val="auto"/>
        </w:rPr>
      </w:pPr>
      <w:r>
        <w:rPr>
          <w:rFonts w:ascii="Arial" w:cs="Arial" w:eastAsia="Arial" w:hAnsi="Arial"/>
          <w:sz w:val="16"/>
          <w:szCs w:val="16"/>
          <w:b w:val="1"/>
          <w:bCs w:val="1"/>
          <w:color w:val="0075C9"/>
        </w:rPr>
        <w:t>Regular Retainers (all directors except Messrs. Nadella and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33020</wp:posOffset>
            </wp:positionV>
            <wp:extent cx="573976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99" w:lineRule="exact"/>
        <w:rPr>
          <w:sz w:val="20"/>
          <w:szCs w:val="20"/>
          <w:color w:val="auto"/>
        </w:rPr>
      </w:pPr>
    </w:p>
    <w:tbl>
      <w:tblPr>
        <w:tblLayout w:type="fixed"/>
        <w:tblInd w:w="1100" w:type="dxa"/>
        <w:tblCellMar>
          <w:top w:w="0" w:type="dxa"/>
          <w:left w:w="0" w:type="dxa"/>
          <w:bottom w:w="0" w:type="dxa"/>
          <w:right w:w="0" w:type="dxa"/>
        </w:tblCellMar>
      </w:tblPr>
      <w:tr>
        <w:trPr>
          <w:trHeight w:val="198"/>
        </w:trPr>
        <w:tc>
          <w:tcPr>
            <w:tcW w:w="6640" w:type="dxa"/>
            <w:vAlign w:val="bottom"/>
            <w:tcBorders>
              <w:bottom w:val="single" w:sz="8" w:color="595959"/>
            </w:tcBorders>
          </w:tcPr>
          <w:p>
            <w:pPr>
              <w:ind w:left="80"/>
              <w:spacing w:after="0"/>
              <w:rPr>
                <w:sz w:val="20"/>
                <w:szCs w:val="20"/>
                <w:color w:val="auto"/>
              </w:rPr>
            </w:pPr>
            <w:r>
              <w:rPr>
                <w:rFonts w:ascii="Arial" w:cs="Arial" w:eastAsia="Arial" w:hAnsi="Arial"/>
                <w:sz w:val="16"/>
                <w:szCs w:val="16"/>
                <w:color w:val="auto"/>
              </w:rPr>
              <w:t>Annual Base Retainer (TOTAL)</w:t>
            </w:r>
          </w:p>
        </w:tc>
        <w:tc>
          <w:tcPr>
            <w:tcW w:w="2400" w:type="dxa"/>
            <w:vAlign w:val="bottom"/>
            <w:tcBorders>
              <w:bottom w:val="single" w:sz="8" w:color="595959"/>
            </w:tcBorders>
          </w:tcPr>
          <w:p>
            <w:pPr>
              <w:jc w:val="right"/>
              <w:spacing w:after="0"/>
              <w:rPr>
                <w:sz w:val="20"/>
                <w:szCs w:val="20"/>
                <w:color w:val="auto"/>
              </w:rPr>
            </w:pPr>
            <w:r>
              <w:rPr>
                <w:rFonts w:ascii="Arial" w:cs="Arial" w:eastAsia="Arial" w:hAnsi="Arial"/>
                <w:sz w:val="16"/>
                <w:szCs w:val="16"/>
                <w:color w:val="auto"/>
              </w:rPr>
              <w:t>$325,000</w:t>
            </w:r>
          </w:p>
        </w:tc>
      </w:tr>
      <w:tr>
        <w:trPr>
          <w:trHeight w:val="252"/>
        </w:trPr>
        <w:tc>
          <w:tcPr>
            <w:tcW w:w="6640" w:type="dxa"/>
            <w:vAlign w:val="bottom"/>
            <w:tcBorders>
              <w:bottom w:val="single" w:sz="8" w:color="595959"/>
            </w:tcBorders>
          </w:tcPr>
          <w:p>
            <w:pPr>
              <w:ind w:left="220"/>
              <w:spacing w:after="0"/>
              <w:rPr>
                <w:sz w:val="20"/>
                <w:szCs w:val="20"/>
                <w:color w:val="auto"/>
              </w:rPr>
            </w:pPr>
            <w:r>
              <w:rPr>
                <w:rFonts w:ascii="Arial" w:cs="Arial" w:eastAsia="Arial" w:hAnsi="Arial"/>
                <w:sz w:val="16"/>
                <w:szCs w:val="16"/>
                <w:color w:val="auto"/>
              </w:rPr>
              <w:t>Cash</w:t>
            </w:r>
          </w:p>
        </w:tc>
        <w:tc>
          <w:tcPr>
            <w:tcW w:w="2400" w:type="dxa"/>
            <w:vAlign w:val="bottom"/>
            <w:tcBorders>
              <w:bottom w:val="single" w:sz="8" w:color="595959"/>
            </w:tcBorders>
          </w:tcPr>
          <w:p>
            <w:pPr>
              <w:jc w:val="right"/>
              <w:spacing w:after="0"/>
              <w:rPr>
                <w:sz w:val="20"/>
                <w:szCs w:val="20"/>
                <w:color w:val="auto"/>
              </w:rPr>
            </w:pPr>
            <w:r>
              <w:rPr>
                <w:rFonts w:ascii="Arial" w:cs="Arial" w:eastAsia="Arial" w:hAnsi="Arial"/>
                <w:sz w:val="16"/>
                <w:szCs w:val="16"/>
                <w:color w:val="auto"/>
              </w:rPr>
              <w:t>$125,000</w:t>
            </w:r>
          </w:p>
        </w:tc>
      </w:tr>
      <w:tr>
        <w:trPr>
          <w:trHeight w:val="252"/>
        </w:trPr>
        <w:tc>
          <w:tcPr>
            <w:tcW w:w="6640" w:type="dxa"/>
            <w:vAlign w:val="bottom"/>
            <w:tcBorders>
              <w:bottom w:val="single" w:sz="8" w:color="595959"/>
            </w:tcBorders>
          </w:tcPr>
          <w:p>
            <w:pPr>
              <w:ind w:left="220"/>
              <w:spacing w:after="0"/>
              <w:rPr>
                <w:sz w:val="20"/>
                <w:szCs w:val="20"/>
                <w:color w:val="auto"/>
              </w:rPr>
            </w:pPr>
            <w:r>
              <w:rPr>
                <w:rFonts w:ascii="Arial" w:cs="Arial" w:eastAsia="Arial" w:hAnsi="Arial"/>
                <w:sz w:val="16"/>
                <w:szCs w:val="16"/>
                <w:color w:val="auto"/>
              </w:rPr>
              <w:t>Stock Award</w:t>
            </w:r>
          </w:p>
        </w:tc>
        <w:tc>
          <w:tcPr>
            <w:tcW w:w="2400" w:type="dxa"/>
            <w:vAlign w:val="bottom"/>
            <w:tcBorders>
              <w:bottom w:val="single" w:sz="8" w:color="595959"/>
            </w:tcBorders>
          </w:tcPr>
          <w:p>
            <w:pPr>
              <w:jc w:val="right"/>
              <w:spacing w:after="0"/>
              <w:rPr>
                <w:sz w:val="20"/>
                <w:szCs w:val="20"/>
                <w:color w:val="auto"/>
              </w:rPr>
            </w:pPr>
            <w:r>
              <w:rPr>
                <w:rFonts w:ascii="Arial" w:cs="Arial" w:eastAsia="Arial" w:hAnsi="Arial"/>
                <w:sz w:val="16"/>
                <w:szCs w:val="16"/>
                <w:color w:val="auto"/>
              </w:rPr>
              <w:t>$200,000</w:t>
            </w:r>
          </w:p>
        </w:tc>
      </w:tr>
      <w:tr>
        <w:trPr>
          <w:trHeight w:val="252"/>
        </w:trPr>
        <w:tc>
          <w:tcPr>
            <w:tcW w:w="6640" w:type="dxa"/>
            <w:vAlign w:val="bottom"/>
            <w:tcBorders>
              <w:bottom w:val="single" w:sz="8" w:color="595959"/>
            </w:tcBorders>
          </w:tcPr>
          <w:p>
            <w:pPr>
              <w:ind w:left="80"/>
              <w:spacing w:after="0"/>
              <w:rPr>
                <w:sz w:val="20"/>
                <w:szCs w:val="20"/>
                <w:color w:val="auto"/>
              </w:rPr>
            </w:pPr>
            <w:r>
              <w:rPr>
                <w:rFonts w:ascii="Arial" w:cs="Arial" w:eastAsia="Arial" w:hAnsi="Arial"/>
                <w:sz w:val="16"/>
                <w:szCs w:val="16"/>
                <w:color w:val="auto"/>
              </w:rPr>
              <w:t>Annual Committee Chair Retainer</w:t>
            </w:r>
          </w:p>
        </w:tc>
        <w:tc>
          <w:tcPr>
            <w:tcW w:w="2400" w:type="dxa"/>
            <w:vAlign w:val="bottom"/>
            <w:tcBorders>
              <w:bottom w:val="single" w:sz="8" w:color="595959"/>
            </w:tcBorders>
          </w:tcPr>
          <w:p>
            <w:pPr>
              <w:jc w:val="right"/>
              <w:spacing w:after="0"/>
              <w:rPr>
                <w:sz w:val="20"/>
                <w:szCs w:val="20"/>
                <w:color w:val="auto"/>
              </w:rPr>
            </w:pPr>
            <w:r>
              <w:rPr>
                <w:rFonts w:ascii="Arial" w:cs="Arial" w:eastAsia="Arial" w:hAnsi="Arial"/>
                <w:sz w:val="16"/>
                <w:szCs w:val="16"/>
                <w:color w:val="auto"/>
              </w:rPr>
              <w:t>$15,000</w:t>
            </w:r>
          </w:p>
        </w:tc>
      </w:tr>
      <w:tr>
        <w:trPr>
          <w:trHeight w:val="252"/>
        </w:trPr>
        <w:tc>
          <w:tcPr>
            <w:tcW w:w="6640" w:type="dxa"/>
            <w:vAlign w:val="bottom"/>
            <w:tcBorders>
              <w:bottom w:val="single" w:sz="8" w:color="595959"/>
            </w:tcBorders>
          </w:tcPr>
          <w:p>
            <w:pPr>
              <w:ind w:left="80"/>
              <w:spacing w:after="0"/>
              <w:rPr>
                <w:sz w:val="20"/>
                <w:szCs w:val="20"/>
                <w:color w:val="auto"/>
              </w:rPr>
            </w:pPr>
            <w:r>
              <w:rPr>
                <w:rFonts w:ascii="Arial" w:cs="Arial" w:eastAsia="Arial" w:hAnsi="Arial"/>
                <w:sz w:val="16"/>
                <w:szCs w:val="16"/>
                <w:color w:val="auto"/>
              </w:rPr>
              <w:t>Annual Audit Committee Chair Retainer</w:t>
            </w:r>
          </w:p>
        </w:tc>
        <w:tc>
          <w:tcPr>
            <w:tcW w:w="2400" w:type="dxa"/>
            <w:vAlign w:val="bottom"/>
            <w:tcBorders>
              <w:bottom w:val="single" w:sz="8" w:color="595959"/>
            </w:tcBorders>
          </w:tcPr>
          <w:p>
            <w:pPr>
              <w:jc w:val="right"/>
              <w:spacing w:after="0"/>
              <w:rPr>
                <w:sz w:val="20"/>
                <w:szCs w:val="20"/>
                <w:color w:val="auto"/>
              </w:rPr>
            </w:pPr>
            <w:r>
              <w:rPr>
                <w:rFonts w:ascii="Arial" w:cs="Arial" w:eastAsia="Arial" w:hAnsi="Arial"/>
                <w:sz w:val="16"/>
                <w:szCs w:val="16"/>
                <w:color w:val="auto"/>
              </w:rPr>
              <w:t>$45,000</w:t>
            </w:r>
          </w:p>
        </w:tc>
      </w:tr>
      <w:tr>
        <w:trPr>
          <w:trHeight w:val="252"/>
        </w:trPr>
        <w:tc>
          <w:tcPr>
            <w:tcW w:w="664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auto"/>
              </w:rPr>
              <w:t>Annual Audit Committee Non-Chair Member Retainer</w:t>
            </w:r>
          </w:p>
        </w:tc>
        <w:tc>
          <w:tcPr>
            <w:tcW w:w="240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$15,000</w:t>
            </w:r>
          </w:p>
        </w:tc>
      </w:tr>
      <w:tr>
        <w:trPr>
          <w:trHeight w:val="240"/>
        </w:trPr>
        <w:tc>
          <w:tcPr>
            <w:tcW w:w="6640" w:type="dxa"/>
            <w:vAlign w:val="bottom"/>
          </w:tcPr>
          <w:p>
            <w:pPr>
              <w:ind w:left="80"/>
              <w:spacing w:after="0"/>
              <w:rPr>
                <w:sz w:val="20"/>
                <w:szCs w:val="20"/>
                <w:color w:val="auto"/>
              </w:rPr>
            </w:pPr>
            <w:r>
              <w:rPr>
                <w:rFonts w:ascii="Arial" w:cs="Arial" w:eastAsia="Arial" w:hAnsi="Arial"/>
                <w:sz w:val="16"/>
                <w:szCs w:val="16"/>
                <w:b w:val="1"/>
                <w:bCs w:val="1"/>
                <w:color w:val="0075C9"/>
              </w:rPr>
              <w:t>Independent Board Chair Retainer (Mr. Thompson)</w:t>
            </w:r>
          </w:p>
        </w:tc>
        <w:tc>
          <w:tcPr>
            <w:tcW w:w="2400" w:type="dxa"/>
            <w:vAlign w:val="bottom"/>
          </w:tcPr>
          <w:p>
            <w:pPr>
              <w:spacing w:after="0"/>
              <w:rPr>
                <w:sz w:val="20"/>
                <w:szCs w:val="20"/>
                <w:color w:val="auto"/>
              </w:rPr>
            </w:pPr>
          </w:p>
        </w:tc>
      </w:tr>
      <w:tr>
        <w:trPr>
          <w:trHeight w:val="32"/>
        </w:trPr>
        <w:tc>
          <w:tcPr>
            <w:tcW w:w="6640" w:type="dxa"/>
            <w:vAlign w:val="bottom"/>
            <w:tcBorders>
              <w:bottom w:val="single" w:sz="8" w:color="0075C9"/>
            </w:tcBorders>
          </w:tcPr>
          <w:p>
            <w:pPr>
              <w:spacing w:after="0"/>
              <w:rPr>
                <w:sz w:val="2"/>
                <w:szCs w:val="2"/>
                <w:color w:val="auto"/>
              </w:rPr>
            </w:pPr>
          </w:p>
        </w:tc>
        <w:tc>
          <w:tcPr>
            <w:tcW w:w="2400" w:type="dxa"/>
            <w:vAlign w:val="bottom"/>
            <w:tcBorders>
              <w:bottom w:val="single" w:sz="8" w:color="0075C9"/>
            </w:tcBorders>
          </w:tcPr>
          <w:p>
            <w:pPr>
              <w:spacing w:after="0"/>
              <w:rPr>
                <w:sz w:val="2"/>
                <w:szCs w:val="2"/>
                <w:color w:val="auto"/>
              </w:rPr>
            </w:pPr>
          </w:p>
        </w:tc>
      </w:tr>
      <w:tr>
        <w:trPr>
          <w:trHeight w:val="245"/>
        </w:trPr>
        <w:tc>
          <w:tcPr>
            <w:tcW w:w="6640" w:type="dxa"/>
            <w:vAlign w:val="bottom"/>
            <w:tcBorders>
              <w:bottom w:val="single" w:sz="8" w:color="595959"/>
            </w:tcBorders>
          </w:tcPr>
          <w:p>
            <w:pPr>
              <w:ind w:left="80"/>
              <w:spacing w:after="0"/>
              <w:rPr>
                <w:sz w:val="20"/>
                <w:szCs w:val="20"/>
                <w:color w:val="auto"/>
              </w:rPr>
            </w:pPr>
            <w:r>
              <w:rPr>
                <w:rFonts w:ascii="Arial" w:cs="Arial" w:eastAsia="Arial" w:hAnsi="Arial"/>
                <w:sz w:val="16"/>
                <w:szCs w:val="16"/>
                <w:color w:val="auto"/>
              </w:rPr>
              <w:t>Annual Independent Chair Retainer (TOTAL – in lieu of other retainers)</w:t>
            </w:r>
          </w:p>
        </w:tc>
        <w:tc>
          <w:tcPr>
            <w:tcW w:w="2400" w:type="dxa"/>
            <w:vAlign w:val="bottom"/>
            <w:tcBorders>
              <w:bottom w:val="single" w:sz="8" w:color="595959"/>
            </w:tcBorders>
          </w:tcPr>
          <w:p>
            <w:pPr>
              <w:jc w:val="right"/>
              <w:spacing w:after="0"/>
              <w:rPr>
                <w:sz w:val="20"/>
                <w:szCs w:val="20"/>
                <w:color w:val="auto"/>
              </w:rPr>
            </w:pPr>
            <w:r>
              <w:rPr>
                <w:rFonts w:ascii="Arial" w:cs="Arial" w:eastAsia="Arial" w:hAnsi="Arial"/>
                <w:sz w:val="16"/>
                <w:szCs w:val="16"/>
                <w:color w:val="auto"/>
              </w:rPr>
              <w:t>$485,000</w:t>
            </w:r>
          </w:p>
        </w:tc>
      </w:tr>
      <w:tr>
        <w:trPr>
          <w:trHeight w:val="252"/>
        </w:trPr>
        <w:tc>
          <w:tcPr>
            <w:tcW w:w="6640" w:type="dxa"/>
            <w:vAlign w:val="bottom"/>
            <w:tcBorders>
              <w:bottom w:val="single" w:sz="8" w:color="595959"/>
            </w:tcBorders>
          </w:tcPr>
          <w:p>
            <w:pPr>
              <w:ind w:left="220"/>
              <w:spacing w:after="0"/>
              <w:rPr>
                <w:sz w:val="20"/>
                <w:szCs w:val="20"/>
                <w:color w:val="auto"/>
              </w:rPr>
            </w:pPr>
            <w:r>
              <w:rPr>
                <w:rFonts w:ascii="Arial" w:cs="Arial" w:eastAsia="Arial" w:hAnsi="Arial"/>
                <w:sz w:val="16"/>
                <w:szCs w:val="16"/>
                <w:color w:val="auto"/>
              </w:rPr>
              <w:t>Cash</w:t>
            </w:r>
          </w:p>
        </w:tc>
        <w:tc>
          <w:tcPr>
            <w:tcW w:w="2400" w:type="dxa"/>
            <w:vAlign w:val="bottom"/>
            <w:tcBorders>
              <w:bottom w:val="single" w:sz="8" w:color="595959"/>
            </w:tcBorders>
          </w:tcPr>
          <w:p>
            <w:pPr>
              <w:jc w:val="right"/>
              <w:spacing w:after="0"/>
              <w:rPr>
                <w:sz w:val="20"/>
                <w:szCs w:val="20"/>
                <w:color w:val="auto"/>
              </w:rPr>
            </w:pPr>
            <w:r>
              <w:rPr>
                <w:rFonts w:ascii="Arial" w:cs="Arial" w:eastAsia="Arial" w:hAnsi="Arial"/>
                <w:sz w:val="16"/>
                <w:szCs w:val="16"/>
                <w:color w:val="auto"/>
              </w:rPr>
              <w:t>$125,000</w:t>
            </w:r>
          </w:p>
        </w:tc>
      </w:tr>
      <w:tr>
        <w:trPr>
          <w:trHeight w:val="252"/>
        </w:trPr>
        <w:tc>
          <w:tcPr>
            <w:tcW w:w="6640" w:type="dxa"/>
            <w:vAlign w:val="bottom"/>
            <w:tcBorders>
              <w:bottom w:val="single" w:sz="8" w:color="0075C9"/>
            </w:tcBorders>
          </w:tcPr>
          <w:p>
            <w:pPr>
              <w:ind w:left="220"/>
              <w:spacing w:after="0"/>
              <w:rPr>
                <w:sz w:val="20"/>
                <w:szCs w:val="20"/>
                <w:color w:val="auto"/>
              </w:rPr>
            </w:pPr>
            <w:r>
              <w:rPr>
                <w:rFonts w:ascii="Arial" w:cs="Arial" w:eastAsia="Arial" w:hAnsi="Arial"/>
                <w:sz w:val="16"/>
                <w:szCs w:val="16"/>
                <w:color w:val="auto"/>
              </w:rPr>
              <w:t>Stock Award</w:t>
            </w:r>
          </w:p>
        </w:tc>
        <w:tc>
          <w:tcPr>
            <w:tcW w:w="240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$360,000</w:t>
            </w:r>
          </w:p>
        </w:tc>
      </w:tr>
    </w:tbl>
    <w:p>
      <w:pPr>
        <w:spacing w:after="0" w:line="200" w:lineRule="exact"/>
        <w:rPr>
          <w:sz w:val="20"/>
          <w:szCs w:val="20"/>
          <w:color w:val="auto"/>
        </w:rPr>
      </w:pPr>
    </w:p>
    <w:p>
      <w:pPr>
        <w:sectPr>
          <w:pgSz w:w="11900" w:h="16838" w:orient="portrait"/>
          <w:cols w:equalWidth="0" w:num="1">
            <w:col w:w="10280"/>
          </w:cols>
          <w:pgMar w:left="320" w:top="445" w:right="1299" w:bottom="1440" w:gutter="0" w:footer="0" w:header="0"/>
        </w:sectPr>
      </w:pPr>
    </w:p>
    <w:p>
      <w:pPr>
        <w:spacing w:after="0" w:line="307" w:lineRule="exact"/>
        <w:rPr>
          <w:sz w:val="20"/>
          <w:szCs w:val="20"/>
          <w:color w:val="auto"/>
        </w:rPr>
      </w:pPr>
    </w:p>
    <w:p>
      <w:pPr>
        <w:ind w:left="8240"/>
        <w:spacing w:after="0"/>
        <w:tabs>
          <w:tab w:leader="none" w:pos="10120" w:val="left"/>
        </w:tabs>
        <w:rPr>
          <w:sz w:val="20"/>
          <w:szCs w:val="20"/>
          <w:color w:val="auto"/>
        </w:rPr>
      </w:pPr>
      <w:r>
        <w:rPr>
          <w:rFonts w:ascii="Arial" w:cs="Arial" w:eastAsia="Arial" w:hAnsi="Arial"/>
          <w:sz w:val="14"/>
          <w:szCs w:val="14"/>
          <w:color w:val="auto"/>
        </w:rPr>
        <w:t>2021 PROXY STATEMENT</w:t>
      </w:r>
      <w:r>
        <w:rPr>
          <w:sz w:val="20"/>
          <w:szCs w:val="20"/>
          <w:color w:val="auto"/>
        </w:rPr>
        <w:tab/>
      </w:r>
      <w:r>
        <w:rPr>
          <w:rFonts w:ascii="Arial" w:cs="Arial" w:eastAsia="Arial" w:hAnsi="Arial"/>
          <w:sz w:val="12"/>
          <w:szCs w:val="12"/>
          <w:b w:val="1"/>
          <w:bCs w:val="1"/>
          <w:color w:val="0075C9"/>
        </w:rPr>
        <w:t>29</w:t>
      </w:r>
    </w:p>
    <w:p>
      <w:pPr>
        <w:sectPr>
          <w:pgSz w:w="11900" w:h="16838" w:orient="portrait"/>
          <w:cols w:equalWidth="0" w:num="1">
            <w:col w:w="10280"/>
          </w:cols>
          <w:pgMar w:left="320" w:top="445" w:right="1299" w:bottom="1440" w:gutter="0" w:footer="0" w:header="0"/>
          <w:type w:val="continuous"/>
        </w:sectPr>
      </w:pPr>
    </w:p>
    <w:bookmarkStart w:id="37" w:name="page38"/>
    <w:bookmarkEnd w:id="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0075C9"/>
                <w:w w:val="89"/>
              </w:rPr>
              <w:t>1</w:t>
            </w:r>
          </w:p>
        </w:tc>
        <w:tc>
          <w:tcPr>
            <w:tcW w:w="1220" w:type="dxa"/>
            <w:vAlign w:val="bottom"/>
            <w:vMerge w:val="restart"/>
          </w:tcPr>
          <w:p>
            <w:pPr>
              <w:ind w:left="80"/>
              <w:spacing w:after="0"/>
              <w:rPr>
                <w:sz w:val="20"/>
                <w:szCs w:val="20"/>
                <w:color w:val="auto"/>
              </w:rPr>
            </w:pPr>
            <w:r>
              <w:rPr>
                <w:rFonts w:ascii="Arial" w:cs="Arial" w:eastAsia="Arial" w:hAnsi="Arial"/>
                <w:sz w:val="12"/>
                <w:szCs w:val="12"/>
                <w:color w:val="0075C9"/>
                <w:w w:val="98"/>
              </w:rPr>
              <w:t>GOVERNANCE AND</w:t>
            </w:r>
          </w:p>
        </w:tc>
        <w:tc>
          <w:tcPr>
            <w:tcW w:w="720" w:type="dxa"/>
            <w:vAlign w:val="bottom"/>
          </w:tcPr>
          <w:p>
            <w:pPr>
              <w:jc w:val="right"/>
              <w:spacing w:after="0"/>
              <w:rPr>
                <w:sz w:val="20"/>
                <w:szCs w:val="20"/>
                <w:color w:val="auto"/>
              </w:rPr>
            </w:pPr>
            <w:r>
              <w:rPr>
                <w:rFonts w:ascii="Arial" w:cs="Arial" w:eastAsia="Arial" w:hAnsi="Arial"/>
                <w:sz w:val="36"/>
                <w:szCs w:val="36"/>
                <w:color w:val="auto"/>
              </w:rPr>
              <w:t>2</w:t>
            </w:r>
          </w:p>
        </w:tc>
        <w:tc>
          <w:tcPr>
            <w:tcW w:w="1540" w:type="dxa"/>
            <w:vAlign w:val="bottom"/>
            <w:vMerge w:val="restart"/>
          </w:tcPr>
          <w:p>
            <w:pPr>
              <w:ind w:left="80"/>
              <w:spacing w:after="0"/>
              <w:rPr>
                <w:sz w:val="20"/>
                <w:szCs w:val="20"/>
                <w:color w:val="auto"/>
              </w:rPr>
            </w:pPr>
            <w:r>
              <w:rPr>
                <w:rFonts w:ascii="Arial" w:cs="Arial" w:eastAsia="Arial" w:hAnsi="Arial"/>
                <w:sz w:val="12"/>
                <w:szCs w:val="12"/>
                <w:color w:val="auto"/>
              </w:rPr>
              <w:t>NAMED</w:t>
            </w:r>
          </w:p>
        </w:tc>
        <w:tc>
          <w:tcPr>
            <w:tcW w:w="500" w:type="dxa"/>
            <w:vAlign w:val="bottom"/>
          </w:tcPr>
          <w:p>
            <w:pPr>
              <w:jc w:val="right"/>
              <w:spacing w:after="0"/>
              <w:rPr>
                <w:sz w:val="20"/>
                <w:szCs w:val="20"/>
                <w:color w:val="auto"/>
              </w:rPr>
            </w:pPr>
            <w:r>
              <w:rPr>
                <w:rFonts w:ascii="Arial" w:cs="Arial" w:eastAsia="Arial" w:hAnsi="Arial"/>
                <w:sz w:val="36"/>
                <w:szCs w:val="36"/>
                <w:color w:val="auto"/>
              </w:rPr>
              <w:t>3</w:t>
            </w:r>
          </w:p>
        </w:tc>
        <w:tc>
          <w:tcPr>
            <w:tcW w:w="980" w:type="dxa"/>
            <w:vAlign w:val="bottom"/>
            <w:vMerge w:val="restart"/>
          </w:tcPr>
          <w:p>
            <w:pPr>
              <w:ind w:left="80"/>
              <w:spacing w:after="0"/>
              <w:rPr>
                <w:sz w:val="20"/>
                <w:szCs w:val="20"/>
                <w:color w:val="auto"/>
              </w:rPr>
            </w:pPr>
            <w:r>
              <w:rPr>
                <w:rFonts w:ascii="Arial" w:cs="Arial" w:eastAsia="Arial" w:hAnsi="Arial"/>
                <w:sz w:val="12"/>
                <w:szCs w:val="12"/>
                <w:color w:val="auto"/>
              </w:rPr>
              <w:t>AUDIT</w:t>
            </w:r>
          </w:p>
        </w:tc>
        <w:tc>
          <w:tcPr>
            <w:tcW w:w="460" w:type="dxa"/>
            <w:vAlign w:val="bottom"/>
          </w:tcPr>
          <w:p>
            <w:pPr>
              <w:jc w:val="right"/>
              <w:spacing w:after="0"/>
              <w:rPr>
                <w:sz w:val="20"/>
                <w:szCs w:val="20"/>
                <w:color w:val="auto"/>
              </w:rPr>
            </w:pPr>
            <w:r>
              <w:rPr>
                <w:rFonts w:ascii="Arial" w:cs="Arial" w:eastAsia="Arial" w:hAnsi="Arial"/>
                <w:sz w:val="36"/>
                <w:szCs w:val="36"/>
                <w:color w:val="auto"/>
              </w:rPr>
              <w:t>4</w:t>
            </w:r>
          </w:p>
        </w:tc>
        <w:tc>
          <w:tcPr>
            <w:tcW w:w="1580" w:type="dxa"/>
            <w:vAlign w:val="bottom"/>
            <w:vMerge w:val="restart"/>
          </w:tcPr>
          <w:p>
            <w:pPr>
              <w:ind w:left="80"/>
              <w:spacing w:after="0"/>
              <w:rPr>
                <w:sz w:val="20"/>
                <w:szCs w:val="20"/>
                <w:color w:val="auto"/>
              </w:rPr>
            </w:pPr>
            <w:r>
              <w:rPr>
                <w:rFonts w:ascii="Arial" w:cs="Arial" w:eastAsia="Arial" w:hAnsi="Arial"/>
                <w:sz w:val="12"/>
                <w:szCs w:val="12"/>
                <w:color w:val="auto"/>
              </w:rPr>
              <w:t>PROPOSALS TO</w:t>
            </w:r>
          </w:p>
        </w:tc>
        <w:tc>
          <w:tcPr>
            <w:tcW w:w="440" w:type="dxa"/>
            <w:vAlign w:val="bottom"/>
          </w:tcPr>
          <w:p>
            <w:pPr>
              <w:jc w:val="right"/>
              <w:spacing w:after="0"/>
              <w:rPr>
                <w:sz w:val="20"/>
                <w:szCs w:val="20"/>
                <w:color w:val="auto"/>
              </w:rPr>
            </w:pPr>
            <w:r>
              <w:rPr>
                <w:rFonts w:ascii="Arial" w:cs="Arial" w:eastAsia="Arial" w:hAnsi="Arial"/>
                <w:sz w:val="36"/>
                <w:szCs w:val="36"/>
                <w:color w:val="auto"/>
              </w:rPr>
              <w:t>5</w:t>
            </w:r>
          </w:p>
        </w:tc>
        <w:tc>
          <w:tcPr>
            <w:tcW w:w="900" w:type="dxa"/>
            <w:vAlign w:val="bottom"/>
            <w:vMerge w:val="restart"/>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220" w:type="dxa"/>
            <w:vAlign w:val="bottom"/>
          </w:tcPr>
          <w:p>
            <w:pPr>
              <w:ind w:left="80"/>
              <w:spacing w:after="0" w:line="130" w:lineRule="exact"/>
              <w:rPr>
                <w:sz w:val="20"/>
                <w:szCs w:val="20"/>
                <w:color w:val="auto"/>
              </w:rPr>
            </w:pPr>
            <w:r>
              <w:rPr>
                <w:rFonts w:ascii="Arial" w:cs="Arial" w:eastAsia="Arial" w:hAnsi="Arial"/>
                <w:sz w:val="12"/>
                <w:szCs w:val="12"/>
                <w:color w:val="0075C9"/>
              </w:rPr>
              <w:t>OUR BOARD OF</w:t>
            </w:r>
          </w:p>
        </w:tc>
        <w:tc>
          <w:tcPr>
            <w:tcW w:w="720" w:type="dxa"/>
            <w:vAlign w:val="bottom"/>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460" w:type="dxa"/>
            <w:vAlign w:val="bottom"/>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40" w:type="dxa"/>
            <w:vAlign w:val="bottom"/>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0075C9"/>
              </w:rPr>
              <w:t>DIRECTORS</w:t>
            </w:r>
          </w:p>
        </w:tc>
        <w:tc>
          <w:tcPr>
            <w:tcW w:w="720" w:type="dxa"/>
            <w:vAlign w:val="bottom"/>
          </w:tcPr>
          <w:p>
            <w:pPr>
              <w:spacing w:after="0"/>
              <w:rPr>
                <w:sz w:val="12"/>
                <w:szCs w:val="12"/>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tcPr>
          <w:p>
            <w:pPr>
              <w:spacing w:after="0"/>
              <w:rPr>
                <w:sz w:val="12"/>
                <w:szCs w:val="12"/>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460" w:type="dxa"/>
            <w:vAlign w:val="bottom"/>
          </w:tcPr>
          <w:p>
            <w:pPr>
              <w:spacing w:after="0"/>
              <w:rPr>
                <w:sz w:val="12"/>
                <w:szCs w:val="12"/>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40" w:type="dxa"/>
            <w:vAlign w:val="bottom"/>
          </w:tcPr>
          <w:p>
            <w:pPr>
              <w:spacing w:after="0"/>
              <w:rPr>
                <w:sz w:val="12"/>
                <w:szCs w:val="12"/>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shd w:val="clear" w:color="auto" w:fill="0075C9"/>
          </w:tcPr>
          <w:p>
            <w:pPr>
              <w:spacing w:after="0"/>
              <w:rPr>
                <w:sz w:val="9"/>
                <w:szCs w:val="9"/>
                <w:color w:val="auto"/>
              </w:rPr>
            </w:pPr>
          </w:p>
        </w:tc>
        <w:tc>
          <w:tcPr>
            <w:tcW w:w="1220" w:type="dxa"/>
            <w:vAlign w:val="bottom"/>
            <w:shd w:val="clear" w:color="auto" w:fill="0075C9"/>
          </w:tcPr>
          <w:p>
            <w:pPr>
              <w:spacing w:after="0"/>
              <w:rPr>
                <w:sz w:val="9"/>
                <w:szCs w:val="9"/>
                <w:color w:val="auto"/>
              </w:rPr>
            </w:pPr>
          </w:p>
        </w:tc>
        <w:tc>
          <w:tcPr>
            <w:tcW w:w="7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00" w:lineRule="exact"/>
        <w:rPr>
          <w:sz w:val="20"/>
          <w:szCs w:val="20"/>
          <w:color w:val="auto"/>
        </w:rPr>
      </w:pPr>
    </w:p>
    <w:p>
      <w:pPr>
        <w:ind w:left="1100" w:right="340"/>
        <w:spacing w:after="0" w:line="239" w:lineRule="auto"/>
        <w:rPr>
          <w:sz w:val="20"/>
          <w:szCs w:val="20"/>
          <w:color w:val="auto"/>
        </w:rPr>
      </w:pPr>
      <w:r>
        <w:rPr>
          <w:rFonts w:ascii="Arial" w:cs="Arial" w:eastAsia="Arial" w:hAnsi="Arial"/>
          <w:sz w:val="16"/>
          <w:szCs w:val="16"/>
          <w:color w:val="auto"/>
        </w:rPr>
        <w:t>The Company reimburses reasonable expenses incurred for Board-related activities. Directors may participate in our corporate matching gift program for charitable donations.</w:t>
      </w:r>
    </w:p>
    <w:p>
      <w:pPr>
        <w:spacing w:after="0" w:line="100" w:lineRule="exact"/>
        <w:rPr>
          <w:sz w:val="20"/>
          <w:szCs w:val="20"/>
          <w:color w:val="auto"/>
        </w:rPr>
      </w:pPr>
    </w:p>
    <w:p>
      <w:pPr>
        <w:ind w:left="1100" w:right="20"/>
        <w:spacing w:after="0" w:line="237" w:lineRule="auto"/>
        <w:rPr>
          <w:sz w:val="20"/>
          <w:szCs w:val="20"/>
          <w:color w:val="auto"/>
        </w:rPr>
      </w:pPr>
      <w:r>
        <w:rPr>
          <w:rFonts w:ascii="Arial" w:cs="Arial" w:eastAsia="Arial" w:hAnsi="Arial"/>
          <w:sz w:val="16"/>
          <w:szCs w:val="16"/>
          <w:color w:val="auto"/>
        </w:rPr>
        <w:t>Director retainers are paid quarterly in arrears. Quarterly periods are measured beginning with the annual shareholders meeting. At the end of each quarterly period, we pay 25% of the total annual retainer to each director. The number of shares awarded each quarterly period is determined by dividing the dollar value of the stock award by the market price of our common stock as of the last business day of the period. Retainers are pro-rated for directors who join or leave the Board or have a change in Board role during a quarterly period.</w:t>
      </w:r>
    </w:p>
    <w:p>
      <w:pPr>
        <w:spacing w:after="0" w:line="102" w:lineRule="exact"/>
        <w:rPr>
          <w:sz w:val="20"/>
          <w:szCs w:val="20"/>
          <w:color w:val="auto"/>
        </w:rPr>
      </w:pPr>
    </w:p>
    <w:p>
      <w:pPr>
        <w:ind w:left="1100" w:right="20"/>
        <w:spacing w:after="0" w:line="237" w:lineRule="auto"/>
        <w:rPr>
          <w:sz w:val="20"/>
          <w:szCs w:val="20"/>
          <w:color w:val="auto"/>
        </w:rPr>
      </w:pPr>
      <w:r>
        <w:rPr>
          <w:rFonts w:ascii="Arial" w:cs="Arial" w:eastAsia="Arial" w:hAnsi="Arial"/>
          <w:sz w:val="16"/>
          <w:szCs w:val="16"/>
          <w:color w:val="auto"/>
        </w:rPr>
        <w:t>Directors may elect to defer and convert to deferred stock awards all or part of their annual cash retainer, and to defer receipt of all or part of their annual stock awards retainer under the Deferred Compensation Plan for Non-Employee Directors. Amounts deferred are maintained in bookkeeping accounts that are deemed invested in Microsoft common stock, and dividends paid on deemed investments are also deemed to be invested in our common stock. We calculate the number of shares credited by dividing the amount deferred by the closing market price of our common stock on the originally scheduled payment date. Accounts in the plan are distributed in shares of Microsoft common stock, with payments either in installments beginning on separation from Board service or in a lump sum paid no later than the fifth anniversary after separation from Board service.</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Director Compensation</w:t>
      </w:r>
    </w:p>
    <w:p>
      <w:pPr>
        <w:spacing w:after="0" w:line="129" w:lineRule="exact"/>
        <w:rPr>
          <w:sz w:val="20"/>
          <w:szCs w:val="20"/>
          <w:color w:val="auto"/>
        </w:rPr>
      </w:pPr>
    </w:p>
    <w:p>
      <w:pPr>
        <w:jc w:val="both"/>
        <w:ind w:left="1100" w:right="260"/>
        <w:spacing w:after="0" w:line="238" w:lineRule="auto"/>
        <w:rPr>
          <w:sz w:val="20"/>
          <w:szCs w:val="20"/>
          <w:color w:val="auto"/>
        </w:rPr>
      </w:pPr>
      <w:r>
        <w:rPr>
          <w:rFonts w:ascii="Arial" w:cs="Arial" w:eastAsia="Arial" w:hAnsi="Arial"/>
          <w:sz w:val="16"/>
          <w:szCs w:val="16"/>
          <w:color w:val="auto"/>
        </w:rPr>
        <w:t>This table describes the cash and stock award portions of the annual retainer paid to each non-employee director who served in fiscal year 2021. Mr. Nadella received no compensation as a director or Board Chair. He is excluded from the table because we fully describe his compensation in Part 2 – Named Executive Officer Compensation.</w:t>
      </w:r>
    </w:p>
    <w:p>
      <w:pPr>
        <w:spacing w:after="0" w:line="204" w:lineRule="exact"/>
        <w:rPr>
          <w:sz w:val="20"/>
          <w:szCs w:val="20"/>
          <w:color w:val="auto"/>
        </w:rPr>
      </w:pPr>
    </w:p>
    <w:tbl>
      <w:tblPr>
        <w:tblLayout w:type="fixed"/>
        <w:tblInd w:w="1100" w:type="dxa"/>
        <w:tblCellMar>
          <w:top w:w="0" w:type="dxa"/>
          <w:left w:w="0" w:type="dxa"/>
          <w:bottom w:w="0" w:type="dxa"/>
          <w:right w:w="0" w:type="dxa"/>
        </w:tblCellMar>
      </w:tblPr>
      <w:tr>
        <w:trPr>
          <w:trHeight w:val="195"/>
        </w:trPr>
        <w:tc>
          <w:tcPr>
            <w:tcW w:w="2400" w:type="dxa"/>
            <w:vAlign w:val="bottom"/>
          </w:tcPr>
          <w:p>
            <w:pPr>
              <w:spacing w:after="0"/>
              <w:rPr>
                <w:sz w:val="16"/>
                <w:szCs w:val="16"/>
                <w:color w:val="auto"/>
              </w:rPr>
            </w:pPr>
          </w:p>
        </w:tc>
        <w:tc>
          <w:tcPr>
            <w:tcW w:w="2100" w:type="dxa"/>
            <w:vAlign w:val="bottom"/>
          </w:tcPr>
          <w:p>
            <w:pPr>
              <w:jc w:val="right"/>
              <w:ind w:right="194"/>
              <w:spacing w:after="0"/>
              <w:rPr>
                <w:sz w:val="20"/>
                <w:szCs w:val="20"/>
                <w:color w:val="auto"/>
              </w:rPr>
            </w:pPr>
            <w:r>
              <w:rPr>
                <w:rFonts w:ascii="Arial" w:cs="Arial" w:eastAsia="Arial" w:hAnsi="Arial"/>
                <w:sz w:val="17"/>
                <w:szCs w:val="17"/>
                <w:b w:val="1"/>
                <w:bCs w:val="1"/>
                <w:color w:val="auto"/>
              </w:rPr>
              <w:t>Fees Earned or</w:t>
            </w:r>
          </w:p>
        </w:tc>
        <w:tc>
          <w:tcPr>
            <w:tcW w:w="1740" w:type="dxa"/>
            <w:vAlign w:val="bottom"/>
          </w:tcPr>
          <w:p>
            <w:pPr>
              <w:spacing w:after="0"/>
              <w:rPr>
                <w:sz w:val="16"/>
                <w:szCs w:val="16"/>
                <w:color w:val="auto"/>
              </w:rPr>
            </w:pPr>
          </w:p>
        </w:tc>
        <w:tc>
          <w:tcPr>
            <w:tcW w:w="1800" w:type="dxa"/>
            <w:vAlign w:val="bottom"/>
          </w:tcPr>
          <w:p>
            <w:pPr>
              <w:jc w:val="right"/>
              <w:ind w:right="174"/>
              <w:spacing w:after="0"/>
              <w:rPr>
                <w:sz w:val="20"/>
                <w:szCs w:val="20"/>
                <w:color w:val="auto"/>
              </w:rPr>
            </w:pPr>
            <w:r>
              <w:rPr>
                <w:rFonts w:ascii="Arial" w:cs="Arial" w:eastAsia="Arial" w:hAnsi="Arial"/>
                <w:sz w:val="17"/>
                <w:szCs w:val="17"/>
                <w:b w:val="1"/>
                <w:bCs w:val="1"/>
                <w:color w:val="auto"/>
              </w:rPr>
              <w:t>All Other</w:t>
            </w:r>
          </w:p>
        </w:tc>
        <w:tc>
          <w:tcPr>
            <w:tcW w:w="1000" w:type="dxa"/>
            <w:vAlign w:val="bottom"/>
          </w:tcPr>
          <w:p>
            <w:pPr>
              <w:spacing w:after="0"/>
              <w:rPr>
                <w:sz w:val="16"/>
                <w:szCs w:val="16"/>
                <w:color w:val="auto"/>
              </w:rPr>
            </w:pPr>
          </w:p>
        </w:tc>
      </w:tr>
      <w:tr>
        <w:trPr>
          <w:trHeight w:val="194"/>
        </w:trPr>
        <w:tc>
          <w:tcPr>
            <w:tcW w:w="2400" w:type="dxa"/>
            <w:vAlign w:val="bottom"/>
          </w:tcPr>
          <w:p>
            <w:pPr>
              <w:spacing w:after="0"/>
              <w:rPr>
                <w:sz w:val="16"/>
                <w:szCs w:val="16"/>
                <w:color w:val="auto"/>
              </w:rPr>
            </w:pPr>
          </w:p>
        </w:tc>
        <w:tc>
          <w:tcPr>
            <w:tcW w:w="2100" w:type="dxa"/>
            <w:vAlign w:val="bottom"/>
          </w:tcPr>
          <w:p>
            <w:pPr>
              <w:jc w:val="right"/>
              <w:ind w:right="194"/>
              <w:spacing w:after="0" w:line="194" w:lineRule="exact"/>
              <w:rPr>
                <w:sz w:val="20"/>
                <w:szCs w:val="20"/>
                <w:color w:val="auto"/>
              </w:rPr>
            </w:pPr>
            <w:r>
              <w:rPr>
                <w:rFonts w:ascii="Arial" w:cs="Arial" w:eastAsia="Arial" w:hAnsi="Arial"/>
                <w:sz w:val="17"/>
                <w:szCs w:val="17"/>
                <w:b w:val="1"/>
                <w:bCs w:val="1"/>
                <w:color w:val="auto"/>
              </w:rPr>
              <w:t>Paid in Cash¹</w:t>
            </w:r>
          </w:p>
        </w:tc>
        <w:tc>
          <w:tcPr>
            <w:tcW w:w="1740" w:type="dxa"/>
            <w:vAlign w:val="bottom"/>
          </w:tcPr>
          <w:p>
            <w:pPr>
              <w:jc w:val="right"/>
              <w:ind w:right="194"/>
              <w:spacing w:after="0" w:line="194" w:lineRule="exact"/>
              <w:rPr>
                <w:sz w:val="20"/>
                <w:szCs w:val="20"/>
                <w:color w:val="auto"/>
              </w:rPr>
            </w:pPr>
            <w:r>
              <w:rPr>
                <w:rFonts w:ascii="Arial" w:cs="Arial" w:eastAsia="Arial" w:hAnsi="Arial"/>
                <w:sz w:val="17"/>
                <w:szCs w:val="17"/>
                <w:b w:val="1"/>
                <w:bCs w:val="1"/>
                <w:color w:val="auto"/>
              </w:rPr>
              <w:t>Stock Awards²</w:t>
            </w:r>
          </w:p>
        </w:tc>
        <w:tc>
          <w:tcPr>
            <w:tcW w:w="1800" w:type="dxa"/>
            <w:vAlign w:val="bottom"/>
          </w:tcPr>
          <w:p>
            <w:pPr>
              <w:jc w:val="right"/>
              <w:ind w:right="174"/>
              <w:spacing w:after="0" w:line="194" w:lineRule="exact"/>
              <w:rPr>
                <w:sz w:val="20"/>
                <w:szCs w:val="20"/>
                <w:color w:val="auto"/>
              </w:rPr>
            </w:pPr>
            <w:r>
              <w:rPr>
                <w:rFonts w:ascii="Arial" w:cs="Arial" w:eastAsia="Arial" w:hAnsi="Arial"/>
                <w:sz w:val="17"/>
                <w:szCs w:val="17"/>
                <w:b w:val="1"/>
                <w:bCs w:val="1"/>
                <w:color w:val="auto"/>
              </w:rPr>
              <w:t>Compensation</w:t>
            </w:r>
            <w:r>
              <w:rPr>
                <w:rFonts w:ascii="Arial" w:cs="Arial" w:eastAsia="Arial" w:hAnsi="Arial"/>
                <w:sz w:val="14"/>
                <w:szCs w:val="14"/>
                <w:b w:val="1"/>
                <w:bCs w:val="1"/>
                <w:color w:val="auto"/>
              </w:rPr>
              <w:t>3</w:t>
            </w:r>
          </w:p>
        </w:tc>
        <w:tc>
          <w:tcPr>
            <w:tcW w:w="1000" w:type="dxa"/>
            <w:vAlign w:val="bottom"/>
          </w:tcPr>
          <w:p>
            <w:pPr>
              <w:jc w:val="right"/>
              <w:ind w:right="34"/>
              <w:spacing w:after="0" w:line="194" w:lineRule="exact"/>
              <w:rPr>
                <w:sz w:val="20"/>
                <w:szCs w:val="20"/>
                <w:color w:val="auto"/>
              </w:rPr>
            </w:pPr>
            <w:r>
              <w:rPr>
                <w:rFonts w:ascii="Arial" w:cs="Arial" w:eastAsia="Arial" w:hAnsi="Arial"/>
                <w:sz w:val="17"/>
                <w:szCs w:val="17"/>
                <w:b w:val="1"/>
                <w:bCs w:val="1"/>
                <w:color w:val="auto"/>
              </w:rPr>
              <w:t>Total</w:t>
            </w:r>
          </w:p>
        </w:tc>
      </w:tr>
      <w:tr>
        <w:trPr>
          <w:trHeight w:val="250"/>
        </w:trPr>
        <w:tc>
          <w:tcPr>
            <w:tcW w:w="2400" w:type="dxa"/>
            <w:vAlign w:val="bottom"/>
            <w:tcBorders>
              <w:bottom w:val="single" w:sz="8" w:color="auto"/>
            </w:tcBorders>
          </w:tcPr>
          <w:p>
            <w:pPr>
              <w:ind w:left="80"/>
              <w:spacing w:after="0"/>
              <w:rPr>
                <w:sz w:val="20"/>
                <w:szCs w:val="20"/>
                <w:color w:val="auto"/>
              </w:rPr>
            </w:pPr>
            <w:r>
              <w:rPr>
                <w:rFonts w:ascii="Arial" w:cs="Arial" w:eastAsia="Arial" w:hAnsi="Arial"/>
                <w:sz w:val="17"/>
                <w:szCs w:val="17"/>
                <w:b w:val="1"/>
                <w:bCs w:val="1"/>
                <w:color w:val="auto"/>
              </w:rPr>
              <w:t>Name</w:t>
            </w:r>
          </w:p>
        </w:tc>
        <w:tc>
          <w:tcPr>
            <w:tcW w:w="210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rPr>
              <w:t>($)</w:t>
            </w:r>
          </w:p>
        </w:tc>
        <w:tc>
          <w:tcPr>
            <w:tcW w:w="174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rPr>
              <w:t>($)</w:t>
            </w:r>
          </w:p>
        </w:tc>
        <w:tc>
          <w:tcPr>
            <w:tcW w:w="180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w:t>
            </w:r>
          </w:p>
        </w:tc>
      </w:tr>
      <w:tr>
        <w:trPr>
          <w:trHeight w:val="265"/>
        </w:trPr>
        <w:tc>
          <w:tcPr>
            <w:tcW w:w="2400" w:type="dxa"/>
            <w:vAlign w:val="bottom"/>
            <w:tcBorders>
              <w:bottom w:val="single" w:sz="8" w:color="0075C9"/>
            </w:tcBorders>
          </w:tcPr>
          <w:p>
            <w:pPr>
              <w:ind w:left="80"/>
              <w:spacing w:after="0"/>
              <w:rPr>
                <w:sz w:val="20"/>
                <w:szCs w:val="20"/>
                <w:color w:val="auto"/>
              </w:rPr>
            </w:pPr>
            <w:r>
              <w:rPr>
                <w:rFonts w:ascii="Arial" w:cs="Arial" w:eastAsia="Arial" w:hAnsi="Arial"/>
                <w:sz w:val="17"/>
                <w:szCs w:val="17"/>
                <w:b w:val="1"/>
                <w:bCs w:val="1"/>
                <w:color w:val="0075C9"/>
              </w:rPr>
              <w:t>Reid G. Hoffman</w:t>
            </w:r>
            <w:r>
              <w:rPr>
                <w:rFonts w:ascii="Arial" w:cs="Arial" w:eastAsia="Arial" w:hAnsi="Arial"/>
                <w:sz w:val="14"/>
                <w:szCs w:val="14"/>
                <w:b w:val="1"/>
                <w:bCs w:val="1"/>
                <w:color w:val="0075C9"/>
              </w:rPr>
              <w:t>4</w:t>
            </w:r>
          </w:p>
        </w:tc>
        <w:tc>
          <w:tcPr>
            <w:tcW w:w="2100" w:type="dxa"/>
            <w:vAlign w:val="bottom"/>
            <w:tcBorders>
              <w:bottom w:val="single" w:sz="8" w:color="0075C9"/>
            </w:tcBorders>
          </w:tcPr>
          <w:p>
            <w:pPr>
              <w:jc w:val="right"/>
              <w:ind w:right="194"/>
              <w:spacing w:after="0"/>
              <w:rPr>
                <w:sz w:val="20"/>
                <w:szCs w:val="20"/>
                <w:color w:val="auto"/>
              </w:rPr>
            </w:pPr>
            <w:r>
              <w:rPr>
                <w:rFonts w:ascii="Arial" w:cs="Arial" w:eastAsia="Arial" w:hAnsi="Arial"/>
                <w:sz w:val="17"/>
                <w:szCs w:val="17"/>
                <w:color w:val="auto"/>
              </w:rPr>
              <w:t>125,000</w:t>
            </w:r>
          </w:p>
        </w:tc>
        <w:tc>
          <w:tcPr>
            <w:tcW w:w="1740" w:type="dxa"/>
            <w:vAlign w:val="bottom"/>
            <w:tcBorders>
              <w:bottom w:val="single" w:sz="8" w:color="0075C9"/>
            </w:tcBorders>
          </w:tcPr>
          <w:p>
            <w:pPr>
              <w:jc w:val="right"/>
              <w:ind w:right="194"/>
              <w:spacing w:after="0"/>
              <w:rPr>
                <w:sz w:val="20"/>
                <w:szCs w:val="20"/>
                <w:color w:val="auto"/>
              </w:rPr>
            </w:pPr>
            <w:r>
              <w:rPr>
                <w:rFonts w:ascii="Arial" w:cs="Arial" w:eastAsia="Arial" w:hAnsi="Arial"/>
                <w:sz w:val="17"/>
                <w:szCs w:val="17"/>
                <w:color w:val="auto"/>
              </w:rPr>
              <w:t>200,000</w:t>
            </w:r>
          </w:p>
        </w:tc>
        <w:tc>
          <w:tcPr>
            <w:tcW w:w="1800" w:type="dxa"/>
            <w:vAlign w:val="bottom"/>
            <w:tcBorders>
              <w:bottom w:val="single" w:sz="8" w:color="0075C9"/>
            </w:tcBorders>
          </w:tcPr>
          <w:p>
            <w:pPr>
              <w:jc w:val="right"/>
              <w:ind w:right="174"/>
              <w:spacing w:after="0"/>
              <w:rPr>
                <w:sz w:val="20"/>
                <w:szCs w:val="20"/>
                <w:color w:val="auto"/>
              </w:rPr>
            </w:pPr>
            <w:r>
              <w:rPr>
                <w:rFonts w:ascii="Arial" w:cs="Arial" w:eastAsia="Arial" w:hAnsi="Arial"/>
                <w:sz w:val="17"/>
                <w:szCs w:val="17"/>
                <w:color w:val="auto"/>
              </w:rPr>
              <w:t>0</w:t>
            </w:r>
          </w:p>
        </w:tc>
        <w:tc>
          <w:tcPr>
            <w:tcW w:w="1000" w:type="dxa"/>
            <w:vAlign w:val="bottom"/>
            <w:tcBorders>
              <w:bottom w:val="single" w:sz="8" w:color="0075C9"/>
            </w:tcBorders>
          </w:tcPr>
          <w:p>
            <w:pPr>
              <w:jc w:val="right"/>
              <w:ind w:right="34"/>
              <w:spacing w:after="0"/>
              <w:rPr>
                <w:sz w:val="20"/>
                <w:szCs w:val="20"/>
                <w:color w:val="auto"/>
              </w:rPr>
            </w:pPr>
            <w:r>
              <w:rPr>
                <w:rFonts w:ascii="Arial" w:cs="Arial" w:eastAsia="Arial" w:hAnsi="Arial"/>
                <w:sz w:val="17"/>
                <w:szCs w:val="17"/>
                <w:color w:val="auto"/>
              </w:rPr>
              <w:t>325,000</w:t>
            </w:r>
          </w:p>
        </w:tc>
      </w:tr>
      <w:tr>
        <w:trPr>
          <w:trHeight w:val="265"/>
        </w:trPr>
        <w:tc>
          <w:tcPr>
            <w:tcW w:w="2400" w:type="dxa"/>
            <w:vAlign w:val="bottom"/>
            <w:tcBorders>
              <w:bottom w:val="single" w:sz="8" w:color="0075C9"/>
            </w:tcBorders>
          </w:tcPr>
          <w:p>
            <w:pPr>
              <w:ind w:left="80"/>
              <w:spacing w:after="0"/>
              <w:rPr>
                <w:sz w:val="20"/>
                <w:szCs w:val="20"/>
                <w:color w:val="auto"/>
              </w:rPr>
            </w:pPr>
            <w:r>
              <w:rPr>
                <w:rFonts w:ascii="Arial" w:cs="Arial" w:eastAsia="Arial" w:hAnsi="Arial"/>
                <w:sz w:val="17"/>
                <w:szCs w:val="17"/>
                <w:b w:val="1"/>
                <w:bCs w:val="1"/>
                <w:color w:val="0075C9"/>
              </w:rPr>
              <w:t>Hugh F. Johnston</w:t>
            </w:r>
          </w:p>
        </w:tc>
        <w:tc>
          <w:tcPr>
            <w:tcW w:w="2100" w:type="dxa"/>
            <w:vAlign w:val="bottom"/>
            <w:tcBorders>
              <w:bottom w:val="single" w:sz="8" w:color="0075C9"/>
            </w:tcBorders>
          </w:tcPr>
          <w:p>
            <w:pPr>
              <w:jc w:val="right"/>
              <w:ind w:right="194"/>
              <w:spacing w:after="0"/>
              <w:rPr>
                <w:sz w:val="20"/>
                <w:szCs w:val="20"/>
                <w:color w:val="auto"/>
              </w:rPr>
            </w:pPr>
            <w:r>
              <w:rPr>
                <w:rFonts w:ascii="Arial" w:cs="Arial" w:eastAsia="Arial" w:hAnsi="Arial"/>
                <w:sz w:val="17"/>
                <w:szCs w:val="17"/>
                <w:color w:val="auto"/>
              </w:rPr>
              <w:t>170,000</w:t>
            </w:r>
          </w:p>
        </w:tc>
        <w:tc>
          <w:tcPr>
            <w:tcW w:w="1740" w:type="dxa"/>
            <w:vAlign w:val="bottom"/>
            <w:tcBorders>
              <w:bottom w:val="single" w:sz="8" w:color="0075C9"/>
            </w:tcBorders>
          </w:tcPr>
          <w:p>
            <w:pPr>
              <w:jc w:val="right"/>
              <w:ind w:right="194"/>
              <w:spacing w:after="0"/>
              <w:rPr>
                <w:sz w:val="20"/>
                <w:szCs w:val="20"/>
                <w:color w:val="auto"/>
              </w:rPr>
            </w:pPr>
            <w:r>
              <w:rPr>
                <w:rFonts w:ascii="Arial" w:cs="Arial" w:eastAsia="Arial" w:hAnsi="Arial"/>
                <w:sz w:val="17"/>
                <w:szCs w:val="17"/>
                <w:color w:val="auto"/>
              </w:rPr>
              <w:t>200,000</w:t>
            </w:r>
          </w:p>
        </w:tc>
        <w:tc>
          <w:tcPr>
            <w:tcW w:w="1800" w:type="dxa"/>
            <w:vAlign w:val="bottom"/>
            <w:tcBorders>
              <w:bottom w:val="single" w:sz="8" w:color="0075C9"/>
            </w:tcBorders>
          </w:tcPr>
          <w:p>
            <w:pPr>
              <w:jc w:val="right"/>
              <w:ind w:right="174"/>
              <w:spacing w:after="0"/>
              <w:rPr>
                <w:sz w:val="20"/>
                <w:szCs w:val="20"/>
                <w:color w:val="auto"/>
              </w:rPr>
            </w:pPr>
            <w:r>
              <w:rPr>
                <w:rFonts w:ascii="Arial" w:cs="Arial" w:eastAsia="Arial" w:hAnsi="Arial"/>
                <w:sz w:val="17"/>
                <w:szCs w:val="17"/>
                <w:color w:val="auto"/>
              </w:rPr>
              <w:t>5,000</w:t>
            </w:r>
          </w:p>
        </w:tc>
        <w:tc>
          <w:tcPr>
            <w:tcW w:w="1000" w:type="dxa"/>
            <w:vAlign w:val="bottom"/>
            <w:tcBorders>
              <w:bottom w:val="single" w:sz="8" w:color="0075C9"/>
            </w:tcBorders>
          </w:tcPr>
          <w:p>
            <w:pPr>
              <w:jc w:val="right"/>
              <w:ind w:right="34"/>
              <w:spacing w:after="0"/>
              <w:rPr>
                <w:sz w:val="20"/>
                <w:szCs w:val="20"/>
                <w:color w:val="auto"/>
              </w:rPr>
            </w:pPr>
            <w:r>
              <w:rPr>
                <w:rFonts w:ascii="Arial" w:cs="Arial" w:eastAsia="Arial" w:hAnsi="Arial"/>
                <w:sz w:val="17"/>
                <w:szCs w:val="17"/>
                <w:color w:val="auto"/>
              </w:rPr>
              <w:t>375,000</w:t>
            </w:r>
          </w:p>
        </w:tc>
      </w:tr>
      <w:tr>
        <w:trPr>
          <w:trHeight w:val="265"/>
        </w:trPr>
        <w:tc>
          <w:tcPr>
            <w:tcW w:w="2400" w:type="dxa"/>
            <w:vAlign w:val="bottom"/>
            <w:tcBorders>
              <w:bottom w:val="single" w:sz="8" w:color="0075C9"/>
            </w:tcBorders>
          </w:tcPr>
          <w:p>
            <w:pPr>
              <w:ind w:left="80"/>
              <w:spacing w:after="0"/>
              <w:rPr>
                <w:sz w:val="20"/>
                <w:szCs w:val="20"/>
                <w:color w:val="auto"/>
              </w:rPr>
            </w:pPr>
            <w:r>
              <w:rPr>
                <w:rFonts w:ascii="Arial" w:cs="Arial" w:eastAsia="Arial" w:hAnsi="Arial"/>
                <w:sz w:val="17"/>
                <w:szCs w:val="17"/>
                <w:b w:val="1"/>
                <w:bCs w:val="1"/>
                <w:color w:val="0075C9"/>
              </w:rPr>
              <w:t>Teri L. List</w:t>
            </w:r>
            <w:r>
              <w:rPr>
                <w:rFonts w:ascii="Arial" w:cs="Arial" w:eastAsia="Arial" w:hAnsi="Arial"/>
                <w:sz w:val="14"/>
                <w:szCs w:val="14"/>
                <w:b w:val="1"/>
                <w:bCs w:val="1"/>
                <w:color w:val="0075C9"/>
              </w:rPr>
              <w:t>5</w:t>
            </w:r>
          </w:p>
        </w:tc>
        <w:tc>
          <w:tcPr>
            <w:tcW w:w="2100" w:type="dxa"/>
            <w:vAlign w:val="bottom"/>
            <w:tcBorders>
              <w:bottom w:val="single" w:sz="8" w:color="0075C9"/>
            </w:tcBorders>
          </w:tcPr>
          <w:p>
            <w:pPr>
              <w:jc w:val="right"/>
              <w:ind w:right="194"/>
              <w:spacing w:after="0"/>
              <w:rPr>
                <w:sz w:val="20"/>
                <w:szCs w:val="20"/>
                <w:color w:val="auto"/>
              </w:rPr>
            </w:pPr>
            <w:r>
              <w:rPr>
                <w:rFonts w:ascii="Arial" w:cs="Arial" w:eastAsia="Arial" w:hAnsi="Arial"/>
                <w:sz w:val="17"/>
                <w:szCs w:val="17"/>
                <w:color w:val="auto"/>
              </w:rPr>
              <w:t>140,000</w:t>
            </w:r>
          </w:p>
        </w:tc>
        <w:tc>
          <w:tcPr>
            <w:tcW w:w="1740" w:type="dxa"/>
            <w:vAlign w:val="bottom"/>
            <w:tcBorders>
              <w:bottom w:val="single" w:sz="8" w:color="0075C9"/>
            </w:tcBorders>
          </w:tcPr>
          <w:p>
            <w:pPr>
              <w:jc w:val="right"/>
              <w:ind w:right="194"/>
              <w:spacing w:after="0"/>
              <w:rPr>
                <w:sz w:val="20"/>
                <w:szCs w:val="20"/>
                <w:color w:val="auto"/>
              </w:rPr>
            </w:pPr>
            <w:r>
              <w:rPr>
                <w:rFonts w:ascii="Arial" w:cs="Arial" w:eastAsia="Arial" w:hAnsi="Arial"/>
                <w:sz w:val="17"/>
                <w:szCs w:val="17"/>
                <w:color w:val="auto"/>
              </w:rPr>
              <w:t>200,000</w:t>
            </w:r>
          </w:p>
        </w:tc>
        <w:tc>
          <w:tcPr>
            <w:tcW w:w="1800" w:type="dxa"/>
            <w:vAlign w:val="bottom"/>
            <w:tcBorders>
              <w:bottom w:val="single" w:sz="8" w:color="0075C9"/>
            </w:tcBorders>
          </w:tcPr>
          <w:p>
            <w:pPr>
              <w:jc w:val="right"/>
              <w:ind w:right="174"/>
              <w:spacing w:after="0"/>
              <w:rPr>
                <w:sz w:val="20"/>
                <w:szCs w:val="20"/>
                <w:color w:val="auto"/>
              </w:rPr>
            </w:pPr>
            <w:r>
              <w:rPr>
                <w:rFonts w:ascii="Arial" w:cs="Arial" w:eastAsia="Arial" w:hAnsi="Arial"/>
                <w:sz w:val="17"/>
                <w:szCs w:val="17"/>
                <w:color w:val="auto"/>
              </w:rPr>
              <w:t>15,000</w:t>
            </w:r>
          </w:p>
        </w:tc>
        <w:tc>
          <w:tcPr>
            <w:tcW w:w="1000" w:type="dxa"/>
            <w:vAlign w:val="bottom"/>
            <w:tcBorders>
              <w:bottom w:val="single" w:sz="8" w:color="0075C9"/>
            </w:tcBorders>
          </w:tcPr>
          <w:p>
            <w:pPr>
              <w:jc w:val="right"/>
              <w:ind w:right="34"/>
              <w:spacing w:after="0"/>
              <w:rPr>
                <w:sz w:val="20"/>
                <w:szCs w:val="20"/>
                <w:color w:val="auto"/>
              </w:rPr>
            </w:pPr>
            <w:r>
              <w:rPr>
                <w:rFonts w:ascii="Arial" w:cs="Arial" w:eastAsia="Arial" w:hAnsi="Arial"/>
                <w:sz w:val="17"/>
                <w:szCs w:val="17"/>
                <w:color w:val="auto"/>
              </w:rPr>
              <w:t>355,000</w:t>
            </w:r>
          </w:p>
        </w:tc>
      </w:tr>
      <w:tr>
        <w:trPr>
          <w:trHeight w:val="265"/>
        </w:trPr>
        <w:tc>
          <w:tcPr>
            <w:tcW w:w="2400" w:type="dxa"/>
            <w:vAlign w:val="bottom"/>
            <w:tcBorders>
              <w:bottom w:val="single" w:sz="8" w:color="0075C9"/>
            </w:tcBorders>
          </w:tcPr>
          <w:p>
            <w:pPr>
              <w:ind w:left="80"/>
              <w:spacing w:after="0"/>
              <w:rPr>
                <w:sz w:val="20"/>
                <w:szCs w:val="20"/>
                <w:color w:val="auto"/>
              </w:rPr>
            </w:pPr>
            <w:r>
              <w:rPr>
                <w:rFonts w:ascii="Arial" w:cs="Arial" w:eastAsia="Arial" w:hAnsi="Arial"/>
                <w:sz w:val="17"/>
                <w:szCs w:val="17"/>
                <w:b w:val="1"/>
                <w:bCs w:val="1"/>
                <w:color w:val="0075C9"/>
              </w:rPr>
              <w:t>Sandra E. Peterson</w:t>
            </w:r>
            <w:r>
              <w:rPr>
                <w:rFonts w:ascii="Arial" w:cs="Arial" w:eastAsia="Arial" w:hAnsi="Arial"/>
                <w:sz w:val="14"/>
                <w:szCs w:val="14"/>
                <w:b w:val="1"/>
                <w:bCs w:val="1"/>
                <w:color w:val="0075C9"/>
              </w:rPr>
              <w:t>6</w:t>
            </w:r>
          </w:p>
        </w:tc>
        <w:tc>
          <w:tcPr>
            <w:tcW w:w="2100" w:type="dxa"/>
            <w:vAlign w:val="bottom"/>
            <w:tcBorders>
              <w:bottom w:val="single" w:sz="8" w:color="0075C9"/>
            </w:tcBorders>
          </w:tcPr>
          <w:p>
            <w:pPr>
              <w:jc w:val="right"/>
              <w:ind w:right="194"/>
              <w:spacing w:after="0"/>
              <w:rPr>
                <w:sz w:val="20"/>
                <w:szCs w:val="20"/>
                <w:color w:val="auto"/>
              </w:rPr>
            </w:pPr>
            <w:r>
              <w:rPr>
                <w:rFonts w:ascii="Arial" w:cs="Arial" w:eastAsia="Arial" w:hAnsi="Arial"/>
                <w:sz w:val="17"/>
                <w:szCs w:val="17"/>
                <w:color w:val="auto"/>
              </w:rPr>
              <w:t>140,000</w:t>
            </w:r>
          </w:p>
        </w:tc>
        <w:tc>
          <w:tcPr>
            <w:tcW w:w="1740" w:type="dxa"/>
            <w:vAlign w:val="bottom"/>
            <w:tcBorders>
              <w:bottom w:val="single" w:sz="8" w:color="0075C9"/>
            </w:tcBorders>
          </w:tcPr>
          <w:p>
            <w:pPr>
              <w:jc w:val="right"/>
              <w:ind w:right="194"/>
              <w:spacing w:after="0"/>
              <w:rPr>
                <w:sz w:val="20"/>
                <w:szCs w:val="20"/>
                <w:color w:val="auto"/>
              </w:rPr>
            </w:pPr>
            <w:r>
              <w:rPr>
                <w:rFonts w:ascii="Arial" w:cs="Arial" w:eastAsia="Arial" w:hAnsi="Arial"/>
                <w:sz w:val="17"/>
                <w:szCs w:val="17"/>
                <w:color w:val="auto"/>
              </w:rPr>
              <w:t>200,000</w:t>
            </w:r>
          </w:p>
        </w:tc>
        <w:tc>
          <w:tcPr>
            <w:tcW w:w="1800" w:type="dxa"/>
            <w:vAlign w:val="bottom"/>
            <w:tcBorders>
              <w:bottom w:val="single" w:sz="8" w:color="0075C9"/>
            </w:tcBorders>
          </w:tcPr>
          <w:p>
            <w:pPr>
              <w:jc w:val="right"/>
              <w:ind w:right="174"/>
              <w:spacing w:after="0"/>
              <w:rPr>
                <w:sz w:val="20"/>
                <w:szCs w:val="20"/>
                <w:color w:val="auto"/>
              </w:rPr>
            </w:pPr>
            <w:r>
              <w:rPr>
                <w:rFonts w:ascii="Arial" w:cs="Arial" w:eastAsia="Arial" w:hAnsi="Arial"/>
                <w:sz w:val="17"/>
                <w:szCs w:val="17"/>
                <w:color w:val="auto"/>
              </w:rPr>
              <w:t>15,000</w:t>
            </w:r>
          </w:p>
        </w:tc>
        <w:tc>
          <w:tcPr>
            <w:tcW w:w="1000" w:type="dxa"/>
            <w:vAlign w:val="bottom"/>
            <w:tcBorders>
              <w:bottom w:val="single" w:sz="8" w:color="0075C9"/>
            </w:tcBorders>
          </w:tcPr>
          <w:p>
            <w:pPr>
              <w:jc w:val="right"/>
              <w:ind w:right="34"/>
              <w:spacing w:after="0"/>
              <w:rPr>
                <w:sz w:val="20"/>
                <w:szCs w:val="20"/>
                <w:color w:val="auto"/>
              </w:rPr>
            </w:pPr>
            <w:r>
              <w:rPr>
                <w:rFonts w:ascii="Arial" w:cs="Arial" w:eastAsia="Arial" w:hAnsi="Arial"/>
                <w:sz w:val="17"/>
                <w:szCs w:val="17"/>
                <w:color w:val="auto"/>
              </w:rPr>
              <w:t>355,000</w:t>
            </w:r>
          </w:p>
        </w:tc>
      </w:tr>
      <w:tr>
        <w:trPr>
          <w:trHeight w:val="265"/>
        </w:trPr>
        <w:tc>
          <w:tcPr>
            <w:tcW w:w="2400" w:type="dxa"/>
            <w:vAlign w:val="bottom"/>
            <w:tcBorders>
              <w:bottom w:val="single" w:sz="8" w:color="0075C9"/>
            </w:tcBorders>
          </w:tcPr>
          <w:p>
            <w:pPr>
              <w:ind w:left="80"/>
              <w:spacing w:after="0"/>
              <w:rPr>
                <w:sz w:val="20"/>
                <w:szCs w:val="20"/>
                <w:color w:val="auto"/>
              </w:rPr>
            </w:pPr>
            <w:r>
              <w:rPr>
                <w:rFonts w:ascii="Arial" w:cs="Arial" w:eastAsia="Arial" w:hAnsi="Arial"/>
                <w:sz w:val="17"/>
                <w:szCs w:val="17"/>
                <w:b w:val="1"/>
                <w:bCs w:val="1"/>
                <w:color w:val="0075C9"/>
              </w:rPr>
              <w:t>Penny S. Pritzker</w:t>
            </w:r>
            <w:r>
              <w:rPr>
                <w:rFonts w:ascii="Arial" w:cs="Arial" w:eastAsia="Arial" w:hAnsi="Arial"/>
                <w:sz w:val="14"/>
                <w:szCs w:val="14"/>
                <w:b w:val="1"/>
                <w:bCs w:val="1"/>
                <w:color w:val="0075C9"/>
              </w:rPr>
              <w:t>7</w:t>
            </w:r>
          </w:p>
        </w:tc>
        <w:tc>
          <w:tcPr>
            <w:tcW w:w="2100" w:type="dxa"/>
            <w:vAlign w:val="bottom"/>
            <w:tcBorders>
              <w:bottom w:val="single" w:sz="8" w:color="0075C9"/>
            </w:tcBorders>
          </w:tcPr>
          <w:p>
            <w:pPr>
              <w:jc w:val="right"/>
              <w:ind w:right="194"/>
              <w:spacing w:after="0"/>
              <w:rPr>
                <w:sz w:val="20"/>
                <w:szCs w:val="20"/>
                <w:color w:val="auto"/>
              </w:rPr>
            </w:pPr>
            <w:r>
              <w:rPr>
                <w:rFonts w:ascii="Arial" w:cs="Arial" w:eastAsia="Arial" w:hAnsi="Arial"/>
                <w:sz w:val="17"/>
                <w:szCs w:val="17"/>
                <w:color w:val="auto"/>
              </w:rPr>
              <w:t>140,000</w:t>
            </w:r>
          </w:p>
        </w:tc>
        <w:tc>
          <w:tcPr>
            <w:tcW w:w="1740" w:type="dxa"/>
            <w:vAlign w:val="bottom"/>
            <w:tcBorders>
              <w:bottom w:val="single" w:sz="8" w:color="0075C9"/>
            </w:tcBorders>
          </w:tcPr>
          <w:p>
            <w:pPr>
              <w:jc w:val="right"/>
              <w:ind w:right="194"/>
              <w:spacing w:after="0"/>
              <w:rPr>
                <w:sz w:val="20"/>
                <w:szCs w:val="20"/>
                <w:color w:val="auto"/>
              </w:rPr>
            </w:pPr>
            <w:r>
              <w:rPr>
                <w:rFonts w:ascii="Arial" w:cs="Arial" w:eastAsia="Arial" w:hAnsi="Arial"/>
                <w:sz w:val="17"/>
                <w:szCs w:val="17"/>
                <w:color w:val="auto"/>
              </w:rPr>
              <w:t>200,000</w:t>
            </w:r>
          </w:p>
        </w:tc>
        <w:tc>
          <w:tcPr>
            <w:tcW w:w="1800" w:type="dxa"/>
            <w:vAlign w:val="bottom"/>
            <w:tcBorders>
              <w:bottom w:val="single" w:sz="8" w:color="0075C9"/>
            </w:tcBorders>
          </w:tcPr>
          <w:p>
            <w:pPr>
              <w:jc w:val="right"/>
              <w:ind w:right="174"/>
              <w:spacing w:after="0"/>
              <w:rPr>
                <w:sz w:val="20"/>
                <w:szCs w:val="20"/>
                <w:color w:val="auto"/>
              </w:rPr>
            </w:pPr>
            <w:r>
              <w:rPr>
                <w:rFonts w:ascii="Arial" w:cs="Arial" w:eastAsia="Arial" w:hAnsi="Arial"/>
                <w:sz w:val="17"/>
                <w:szCs w:val="17"/>
                <w:color w:val="auto"/>
              </w:rPr>
              <w:t>0</w:t>
            </w:r>
          </w:p>
        </w:tc>
        <w:tc>
          <w:tcPr>
            <w:tcW w:w="1000" w:type="dxa"/>
            <w:vAlign w:val="bottom"/>
            <w:tcBorders>
              <w:bottom w:val="single" w:sz="8" w:color="0075C9"/>
            </w:tcBorders>
          </w:tcPr>
          <w:p>
            <w:pPr>
              <w:jc w:val="right"/>
              <w:ind w:right="34"/>
              <w:spacing w:after="0"/>
              <w:rPr>
                <w:sz w:val="20"/>
                <w:szCs w:val="20"/>
                <w:color w:val="auto"/>
              </w:rPr>
            </w:pPr>
            <w:r>
              <w:rPr>
                <w:rFonts w:ascii="Arial" w:cs="Arial" w:eastAsia="Arial" w:hAnsi="Arial"/>
                <w:sz w:val="17"/>
                <w:szCs w:val="17"/>
                <w:color w:val="auto"/>
              </w:rPr>
              <w:t>340,000</w:t>
            </w:r>
          </w:p>
        </w:tc>
      </w:tr>
      <w:tr>
        <w:trPr>
          <w:trHeight w:val="265"/>
        </w:trPr>
        <w:tc>
          <w:tcPr>
            <w:tcW w:w="2400" w:type="dxa"/>
            <w:vAlign w:val="bottom"/>
            <w:tcBorders>
              <w:bottom w:val="single" w:sz="8" w:color="0075C9"/>
            </w:tcBorders>
          </w:tcPr>
          <w:p>
            <w:pPr>
              <w:ind w:left="80"/>
              <w:spacing w:after="0"/>
              <w:rPr>
                <w:sz w:val="20"/>
                <w:szCs w:val="20"/>
                <w:color w:val="auto"/>
              </w:rPr>
            </w:pPr>
            <w:r>
              <w:rPr>
                <w:rFonts w:ascii="Arial" w:cs="Arial" w:eastAsia="Arial" w:hAnsi="Arial"/>
                <w:sz w:val="17"/>
                <w:szCs w:val="17"/>
                <w:b w:val="1"/>
                <w:bCs w:val="1"/>
                <w:color w:val="0075C9"/>
              </w:rPr>
              <w:t>Charles W. Scharf</w:t>
            </w:r>
          </w:p>
        </w:tc>
        <w:tc>
          <w:tcPr>
            <w:tcW w:w="2100" w:type="dxa"/>
            <w:vAlign w:val="bottom"/>
            <w:tcBorders>
              <w:bottom w:val="single" w:sz="8" w:color="0075C9"/>
            </w:tcBorders>
          </w:tcPr>
          <w:p>
            <w:pPr>
              <w:jc w:val="right"/>
              <w:ind w:right="194"/>
              <w:spacing w:after="0"/>
              <w:rPr>
                <w:sz w:val="20"/>
                <w:szCs w:val="20"/>
                <w:color w:val="auto"/>
              </w:rPr>
            </w:pPr>
            <w:r>
              <w:rPr>
                <w:rFonts w:ascii="Arial" w:cs="Arial" w:eastAsia="Arial" w:hAnsi="Arial"/>
                <w:sz w:val="17"/>
                <w:szCs w:val="17"/>
                <w:color w:val="auto"/>
              </w:rPr>
              <w:t>125,000</w:t>
            </w:r>
          </w:p>
        </w:tc>
        <w:tc>
          <w:tcPr>
            <w:tcW w:w="1740" w:type="dxa"/>
            <w:vAlign w:val="bottom"/>
            <w:tcBorders>
              <w:bottom w:val="single" w:sz="8" w:color="0075C9"/>
            </w:tcBorders>
          </w:tcPr>
          <w:p>
            <w:pPr>
              <w:jc w:val="right"/>
              <w:ind w:right="194"/>
              <w:spacing w:after="0"/>
              <w:rPr>
                <w:sz w:val="20"/>
                <w:szCs w:val="20"/>
                <w:color w:val="auto"/>
              </w:rPr>
            </w:pPr>
            <w:r>
              <w:rPr>
                <w:rFonts w:ascii="Arial" w:cs="Arial" w:eastAsia="Arial" w:hAnsi="Arial"/>
                <w:sz w:val="17"/>
                <w:szCs w:val="17"/>
                <w:color w:val="auto"/>
              </w:rPr>
              <w:t>200,000</w:t>
            </w:r>
          </w:p>
        </w:tc>
        <w:tc>
          <w:tcPr>
            <w:tcW w:w="1800" w:type="dxa"/>
            <w:vAlign w:val="bottom"/>
            <w:tcBorders>
              <w:bottom w:val="single" w:sz="8" w:color="0075C9"/>
            </w:tcBorders>
          </w:tcPr>
          <w:p>
            <w:pPr>
              <w:jc w:val="right"/>
              <w:ind w:right="174"/>
              <w:spacing w:after="0"/>
              <w:rPr>
                <w:sz w:val="20"/>
                <w:szCs w:val="20"/>
                <w:color w:val="auto"/>
              </w:rPr>
            </w:pPr>
            <w:r>
              <w:rPr>
                <w:rFonts w:ascii="Arial" w:cs="Arial" w:eastAsia="Arial" w:hAnsi="Arial"/>
                <w:sz w:val="17"/>
                <w:szCs w:val="17"/>
                <w:color w:val="auto"/>
              </w:rPr>
              <w:t>0</w:t>
            </w:r>
          </w:p>
        </w:tc>
        <w:tc>
          <w:tcPr>
            <w:tcW w:w="1000" w:type="dxa"/>
            <w:vAlign w:val="bottom"/>
            <w:tcBorders>
              <w:bottom w:val="single" w:sz="8" w:color="0075C9"/>
            </w:tcBorders>
          </w:tcPr>
          <w:p>
            <w:pPr>
              <w:jc w:val="right"/>
              <w:ind w:right="34"/>
              <w:spacing w:after="0"/>
              <w:rPr>
                <w:sz w:val="20"/>
                <w:szCs w:val="20"/>
                <w:color w:val="auto"/>
              </w:rPr>
            </w:pPr>
            <w:r>
              <w:rPr>
                <w:rFonts w:ascii="Arial" w:cs="Arial" w:eastAsia="Arial" w:hAnsi="Arial"/>
                <w:sz w:val="17"/>
                <w:szCs w:val="17"/>
                <w:color w:val="auto"/>
              </w:rPr>
              <w:t>325,000</w:t>
            </w:r>
          </w:p>
        </w:tc>
      </w:tr>
      <w:tr>
        <w:trPr>
          <w:trHeight w:val="265"/>
        </w:trPr>
        <w:tc>
          <w:tcPr>
            <w:tcW w:w="2400" w:type="dxa"/>
            <w:vAlign w:val="bottom"/>
            <w:tcBorders>
              <w:bottom w:val="single" w:sz="8" w:color="0075C9"/>
            </w:tcBorders>
          </w:tcPr>
          <w:p>
            <w:pPr>
              <w:ind w:left="80"/>
              <w:spacing w:after="0"/>
              <w:rPr>
                <w:sz w:val="20"/>
                <w:szCs w:val="20"/>
                <w:color w:val="auto"/>
              </w:rPr>
            </w:pPr>
            <w:r>
              <w:rPr>
                <w:rFonts w:ascii="Arial" w:cs="Arial" w:eastAsia="Arial" w:hAnsi="Arial"/>
                <w:sz w:val="17"/>
                <w:szCs w:val="17"/>
                <w:b w:val="1"/>
                <w:bCs w:val="1"/>
                <w:color w:val="0075C9"/>
              </w:rPr>
              <w:t>Arne M. Sorenson</w:t>
            </w:r>
            <w:r>
              <w:rPr>
                <w:rFonts w:ascii="Arial" w:cs="Arial" w:eastAsia="Arial" w:hAnsi="Arial"/>
                <w:sz w:val="14"/>
                <w:szCs w:val="14"/>
                <w:b w:val="1"/>
                <w:bCs w:val="1"/>
                <w:color w:val="0075C9"/>
              </w:rPr>
              <w:t>8</w:t>
            </w:r>
          </w:p>
        </w:tc>
        <w:tc>
          <w:tcPr>
            <w:tcW w:w="2100" w:type="dxa"/>
            <w:vAlign w:val="bottom"/>
            <w:tcBorders>
              <w:bottom w:val="single" w:sz="8" w:color="0075C9"/>
            </w:tcBorders>
          </w:tcPr>
          <w:p>
            <w:pPr>
              <w:jc w:val="right"/>
              <w:ind w:right="194"/>
              <w:spacing w:after="0"/>
              <w:rPr>
                <w:sz w:val="20"/>
                <w:szCs w:val="20"/>
                <w:color w:val="auto"/>
              </w:rPr>
            </w:pPr>
            <w:r>
              <w:rPr>
                <w:rFonts w:ascii="Arial" w:cs="Arial" w:eastAsia="Arial" w:hAnsi="Arial"/>
                <w:sz w:val="17"/>
                <w:szCs w:val="17"/>
                <w:color w:val="auto"/>
              </w:rPr>
              <w:t>116,653</w:t>
            </w:r>
          </w:p>
        </w:tc>
        <w:tc>
          <w:tcPr>
            <w:tcW w:w="1740" w:type="dxa"/>
            <w:vAlign w:val="bottom"/>
            <w:tcBorders>
              <w:bottom w:val="single" w:sz="8" w:color="0075C9"/>
            </w:tcBorders>
          </w:tcPr>
          <w:p>
            <w:pPr>
              <w:jc w:val="right"/>
              <w:ind w:right="194"/>
              <w:spacing w:after="0"/>
              <w:rPr>
                <w:sz w:val="20"/>
                <w:szCs w:val="20"/>
                <w:color w:val="auto"/>
              </w:rPr>
            </w:pPr>
            <w:r>
              <w:rPr>
                <w:rFonts w:ascii="Arial" w:cs="Arial" w:eastAsia="Arial" w:hAnsi="Arial"/>
                <w:sz w:val="17"/>
                <w:szCs w:val="17"/>
                <w:color w:val="auto"/>
              </w:rPr>
              <w:t>150,000</w:t>
            </w:r>
          </w:p>
        </w:tc>
        <w:tc>
          <w:tcPr>
            <w:tcW w:w="1800" w:type="dxa"/>
            <w:vAlign w:val="bottom"/>
            <w:tcBorders>
              <w:bottom w:val="single" w:sz="8" w:color="0075C9"/>
            </w:tcBorders>
          </w:tcPr>
          <w:p>
            <w:pPr>
              <w:jc w:val="right"/>
              <w:ind w:right="174"/>
              <w:spacing w:after="0"/>
              <w:rPr>
                <w:sz w:val="20"/>
                <w:szCs w:val="20"/>
                <w:color w:val="auto"/>
              </w:rPr>
            </w:pPr>
            <w:r>
              <w:rPr>
                <w:rFonts w:ascii="Arial" w:cs="Arial" w:eastAsia="Arial" w:hAnsi="Arial"/>
                <w:sz w:val="17"/>
                <w:szCs w:val="17"/>
                <w:color w:val="auto"/>
              </w:rPr>
              <w:t>0</w:t>
            </w:r>
          </w:p>
        </w:tc>
        <w:tc>
          <w:tcPr>
            <w:tcW w:w="1000" w:type="dxa"/>
            <w:vAlign w:val="bottom"/>
            <w:tcBorders>
              <w:bottom w:val="single" w:sz="8" w:color="0075C9"/>
            </w:tcBorders>
          </w:tcPr>
          <w:p>
            <w:pPr>
              <w:jc w:val="right"/>
              <w:ind w:right="34"/>
              <w:spacing w:after="0"/>
              <w:rPr>
                <w:sz w:val="20"/>
                <w:szCs w:val="20"/>
                <w:color w:val="auto"/>
              </w:rPr>
            </w:pPr>
            <w:r>
              <w:rPr>
                <w:rFonts w:ascii="Arial" w:cs="Arial" w:eastAsia="Arial" w:hAnsi="Arial"/>
                <w:sz w:val="17"/>
                <w:szCs w:val="17"/>
                <w:color w:val="auto"/>
              </w:rPr>
              <w:t>266,653</w:t>
            </w:r>
          </w:p>
        </w:tc>
      </w:tr>
      <w:tr>
        <w:trPr>
          <w:trHeight w:val="265"/>
        </w:trPr>
        <w:tc>
          <w:tcPr>
            <w:tcW w:w="2400" w:type="dxa"/>
            <w:vAlign w:val="bottom"/>
            <w:tcBorders>
              <w:bottom w:val="single" w:sz="8" w:color="0075C9"/>
            </w:tcBorders>
          </w:tcPr>
          <w:p>
            <w:pPr>
              <w:ind w:left="80"/>
              <w:spacing w:after="0"/>
              <w:rPr>
                <w:sz w:val="20"/>
                <w:szCs w:val="20"/>
                <w:color w:val="auto"/>
              </w:rPr>
            </w:pPr>
            <w:r>
              <w:rPr>
                <w:rFonts w:ascii="Arial" w:cs="Arial" w:eastAsia="Arial" w:hAnsi="Arial"/>
                <w:sz w:val="17"/>
                <w:szCs w:val="17"/>
                <w:b w:val="1"/>
                <w:bCs w:val="1"/>
                <w:color w:val="0075C9"/>
              </w:rPr>
              <w:t>John W. Stanton</w:t>
            </w:r>
          </w:p>
        </w:tc>
        <w:tc>
          <w:tcPr>
            <w:tcW w:w="2100" w:type="dxa"/>
            <w:vAlign w:val="bottom"/>
            <w:tcBorders>
              <w:bottom w:val="single" w:sz="8" w:color="0075C9"/>
            </w:tcBorders>
          </w:tcPr>
          <w:p>
            <w:pPr>
              <w:jc w:val="right"/>
              <w:ind w:right="194"/>
              <w:spacing w:after="0"/>
              <w:rPr>
                <w:sz w:val="20"/>
                <w:szCs w:val="20"/>
                <w:color w:val="auto"/>
              </w:rPr>
            </w:pPr>
            <w:r>
              <w:rPr>
                <w:rFonts w:ascii="Arial" w:cs="Arial" w:eastAsia="Arial" w:hAnsi="Arial"/>
                <w:sz w:val="17"/>
                <w:szCs w:val="17"/>
                <w:color w:val="auto"/>
              </w:rPr>
              <w:t>140,000</w:t>
            </w:r>
          </w:p>
        </w:tc>
        <w:tc>
          <w:tcPr>
            <w:tcW w:w="1740" w:type="dxa"/>
            <w:vAlign w:val="bottom"/>
            <w:tcBorders>
              <w:bottom w:val="single" w:sz="8" w:color="0075C9"/>
            </w:tcBorders>
          </w:tcPr>
          <w:p>
            <w:pPr>
              <w:jc w:val="right"/>
              <w:ind w:right="194"/>
              <w:spacing w:after="0"/>
              <w:rPr>
                <w:sz w:val="20"/>
                <w:szCs w:val="20"/>
                <w:color w:val="auto"/>
              </w:rPr>
            </w:pPr>
            <w:r>
              <w:rPr>
                <w:rFonts w:ascii="Arial" w:cs="Arial" w:eastAsia="Arial" w:hAnsi="Arial"/>
                <w:sz w:val="17"/>
                <w:szCs w:val="17"/>
                <w:color w:val="auto"/>
              </w:rPr>
              <w:t>200,000</w:t>
            </w:r>
          </w:p>
        </w:tc>
        <w:tc>
          <w:tcPr>
            <w:tcW w:w="1800" w:type="dxa"/>
            <w:vAlign w:val="bottom"/>
            <w:tcBorders>
              <w:bottom w:val="single" w:sz="8" w:color="0075C9"/>
            </w:tcBorders>
          </w:tcPr>
          <w:p>
            <w:pPr>
              <w:jc w:val="right"/>
              <w:ind w:right="174"/>
              <w:spacing w:after="0"/>
              <w:rPr>
                <w:sz w:val="20"/>
                <w:szCs w:val="20"/>
                <w:color w:val="auto"/>
              </w:rPr>
            </w:pPr>
            <w:r>
              <w:rPr>
                <w:rFonts w:ascii="Arial" w:cs="Arial" w:eastAsia="Arial" w:hAnsi="Arial"/>
                <w:sz w:val="17"/>
                <w:szCs w:val="17"/>
                <w:color w:val="auto"/>
              </w:rPr>
              <w:t>15,000</w:t>
            </w:r>
          </w:p>
        </w:tc>
        <w:tc>
          <w:tcPr>
            <w:tcW w:w="1000" w:type="dxa"/>
            <w:vAlign w:val="bottom"/>
            <w:tcBorders>
              <w:bottom w:val="single" w:sz="8" w:color="0075C9"/>
            </w:tcBorders>
          </w:tcPr>
          <w:p>
            <w:pPr>
              <w:jc w:val="right"/>
              <w:ind w:right="34"/>
              <w:spacing w:after="0"/>
              <w:rPr>
                <w:sz w:val="20"/>
                <w:szCs w:val="20"/>
                <w:color w:val="auto"/>
              </w:rPr>
            </w:pPr>
            <w:r>
              <w:rPr>
                <w:rFonts w:ascii="Arial" w:cs="Arial" w:eastAsia="Arial" w:hAnsi="Arial"/>
                <w:sz w:val="17"/>
                <w:szCs w:val="17"/>
                <w:color w:val="auto"/>
              </w:rPr>
              <w:t>355,000</w:t>
            </w:r>
          </w:p>
        </w:tc>
      </w:tr>
      <w:tr>
        <w:trPr>
          <w:trHeight w:val="265"/>
        </w:trPr>
        <w:tc>
          <w:tcPr>
            <w:tcW w:w="2400" w:type="dxa"/>
            <w:vAlign w:val="bottom"/>
            <w:tcBorders>
              <w:bottom w:val="single" w:sz="8" w:color="0075C9"/>
            </w:tcBorders>
          </w:tcPr>
          <w:p>
            <w:pPr>
              <w:ind w:left="80"/>
              <w:spacing w:after="0"/>
              <w:rPr>
                <w:sz w:val="20"/>
                <w:szCs w:val="20"/>
                <w:color w:val="auto"/>
              </w:rPr>
            </w:pPr>
            <w:r>
              <w:rPr>
                <w:rFonts w:ascii="Arial" w:cs="Arial" w:eastAsia="Arial" w:hAnsi="Arial"/>
                <w:sz w:val="17"/>
                <w:szCs w:val="17"/>
                <w:b w:val="1"/>
                <w:bCs w:val="1"/>
                <w:color w:val="0075C9"/>
              </w:rPr>
              <w:t>John W. Thompson</w:t>
            </w:r>
            <w:r>
              <w:rPr>
                <w:rFonts w:ascii="Arial" w:cs="Arial" w:eastAsia="Arial" w:hAnsi="Arial"/>
                <w:sz w:val="14"/>
                <w:szCs w:val="14"/>
                <w:b w:val="1"/>
                <w:bCs w:val="1"/>
                <w:color w:val="0075C9"/>
              </w:rPr>
              <w:t>9</w:t>
            </w:r>
          </w:p>
        </w:tc>
        <w:tc>
          <w:tcPr>
            <w:tcW w:w="2100" w:type="dxa"/>
            <w:vAlign w:val="bottom"/>
            <w:tcBorders>
              <w:bottom w:val="single" w:sz="8" w:color="0075C9"/>
            </w:tcBorders>
          </w:tcPr>
          <w:p>
            <w:pPr>
              <w:jc w:val="right"/>
              <w:ind w:right="194"/>
              <w:spacing w:after="0"/>
              <w:rPr>
                <w:sz w:val="20"/>
                <w:szCs w:val="20"/>
                <w:color w:val="auto"/>
              </w:rPr>
            </w:pPr>
            <w:r>
              <w:rPr>
                <w:rFonts w:ascii="Arial" w:cs="Arial" w:eastAsia="Arial" w:hAnsi="Arial"/>
                <w:sz w:val="17"/>
                <w:szCs w:val="17"/>
                <w:color w:val="auto"/>
              </w:rPr>
              <w:t>125,000</w:t>
            </w:r>
          </w:p>
        </w:tc>
        <w:tc>
          <w:tcPr>
            <w:tcW w:w="1740" w:type="dxa"/>
            <w:vAlign w:val="bottom"/>
            <w:tcBorders>
              <w:bottom w:val="single" w:sz="8" w:color="0075C9"/>
            </w:tcBorders>
          </w:tcPr>
          <w:p>
            <w:pPr>
              <w:jc w:val="right"/>
              <w:ind w:right="194"/>
              <w:spacing w:after="0"/>
              <w:rPr>
                <w:sz w:val="20"/>
                <w:szCs w:val="20"/>
                <w:color w:val="auto"/>
              </w:rPr>
            </w:pPr>
            <w:r>
              <w:rPr>
                <w:rFonts w:ascii="Arial" w:cs="Arial" w:eastAsia="Arial" w:hAnsi="Arial"/>
                <w:sz w:val="17"/>
                <w:szCs w:val="17"/>
                <w:color w:val="auto"/>
              </w:rPr>
              <w:t>360,000</w:t>
            </w:r>
          </w:p>
        </w:tc>
        <w:tc>
          <w:tcPr>
            <w:tcW w:w="1800" w:type="dxa"/>
            <w:vAlign w:val="bottom"/>
            <w:tcBorders>
              <w:bottom w:val="single" w:sz="8" w:color="0075C9"/>
            </w:tcBorders>
          </w:tcPr>
          <w:p>
            <w:pPr>
              <w:jc w:val="right"/>
              <w:ind w:right="174"/>
              <w:spacing w:after="0"/>
              <w:rPr>
                <w:sz w:val="20"/>
                <w:szCs w:val="20"/>
                <w:color w:val="auto"/>
              </w:rPr>
            </w:pPr>
            <w:r>
              <w:rPr>
                <w:rFonts w:ascii="Arial" w:cs="Arial" w:eastAsia="Arial" w:hAnsi="Arial"/>
                <w:sz w:val="17"/>
                <w:szCs w:val="17"/>
                <w:color w:val="auto"/>
              </w:rPr>
              <w:t>15,000</w:t>
            </w:r>
          </w:p>
        </w:tc>
        <w:tc>
          <w:tcPr>
            <w:tcW w:w="1000" w:type="dxa"/>
            <w:vAlign w:val="bottom"/>
            <w:tcBorders>
              <w:bottom w:val="single" w:sz="8" w:color="0075C9"/>
            </w:tcBorders>
          </w:tcPr>
          <w:p>
            <w:pPr>
              <w:jc w:val="right"/>
              <w:ind w:right="34"/>
              <w:spacing w:after="0"/>
              <w:rPr>
                <w:sz w:val="20"/>
                <w:szCs w:val="20"/>
                <w:color w:val="auto"/>
              </w:rPr>
            </w:pPr>
            <w:r>
              <w:rPr>
                <w:rFonts w:ascii="Arial" w:cs="Arial" w:eastAsia="Arial" w:hAnsi="Arial"/>
                <w:sz w:val="17"/>
                <w:szCs w:val="17"/>
                <w:color w:val="auto"/>
              </w:rPr>
              <w:t>500,000</w:t>
            </w:r>
          </w:p>
        </w:tc>
      </w:tr>
      <w:tr>
        <w:trPr>
          <w:trHeight w:val="265"/>
        </w:trPr>
        <w:tc>
          <w:tcPr>
            <w:tcW w:w="2400" w:type="dxa"/>
            <w:vAlign w:val="bottom"/>
            <w:tcBorders>
              <w:bottom w:val="single" w:sz="8" w:color="0075C9"/>
            </w:tcBorders>
          </w:tcPr>
          <w:p>
            <w:pPr>
              <w:ind w:left="80"/>
              <w:spacing w:after="0"/>
              <w:rPr>
                <w:sz w:val="20"/>
                <w:szCs w:val="20"/>
                <w:color w:val="auto"/>
              </w:rPr>
            </w:pPr>
            <w:r>
              <w:rPr>
                <w:rFonts w:ascii="Arial" w:cs="Arial" w:eastAsia="Arial" w:hAnsi="Arial"/>
                <w:sz w:val="17"/>
                <w:szCs w:val="17"/>
                <w:b w:val="1"/>
                <w:bCs w:val="1"/>
                <w:color w:val="0075C9"/>
              </w:rPr>
              <w:t>Emma N. Walmsley</w:t>
            </w:r>
          </w:p>
        </w:tc>
        <w:tc>
          <w:tcPr>
            <w:tcW w:w="2100" w:type="dxa"/>
            <w:vAlign w:val="bottom"/>
            <w:tcBorders>
              <w:bottom w:val="single" w:sz="8" w:color="0075C9"/>
            </w:tcBorders>
          </w:tcPr>
          <w:p>
            <w:pPr>
              <w:jc w:val="right"/>
              <w:ind w:right="194"/>
              <w:spacing w:after="0"/>
              <w:rPr>
                <w:sz w:val="20"/>
                <w:szCs w:val="20"/>
                <w:color w:val="auto"/>
              </w:rPr>
            </w:pPr>
            <w:r>
              <w:rPr>
                <w:rFonts w:ascii="Arial" w:cs="Arial" w:eastAsia="Arial" w:hAnsi="Arial"/>
                <w:sz w:val="17"/>
                <w:szCs w:val="17"/>
                <w:color w:val="auto"/>
              </w:rPr>
              <w:t>125,000</w:t>
            </w:r>
          </w:p>
        </w:tc>
        <w:tc>
          <w:tcPr>
            <w:tcW w:w="1740" w:type="dxa"/>
            <w:vAlign w:val="bottom"/>
            <w:tcBorders>
              <w:bottom w:val="single" w:sz="8" w:color="0075C9"/>
            </w:tcBorders>
          </w:tcPr>
          <w:p>
            <w:pPr>
              <w:jc w:val="right"/>
              <w:ind w:right="194"/>
              <w:spacing w:after="0"/>
              <w:rPr>
                <w:sz w:val="20"/>
                <w:szCs w:val="20"/>
                <w:color w:val="auto"/>
              </w:rPr>
            </w:pPr>
            <w:r>
              <w:rPr>
                <w:rFonts w:ascii="Arial" w:cs="Arial" w:eastAsia="Arial" w:hAnsi="Arial"/>
                <w:sz w:val="17"/>
                <w:szCs w:val="17"/>
                <w:color w:val="auto"/>
              </w:rPr>
              <w:t>200,000</w:t>
            </w:r>
          </w:p>
        </w:tc>
        <w:tc>
          <w:tcPr>
            <w:tcW w:w="1800" w:type="dxa"/>
            <w:vAlign w:val="bottom"/>
            <w:tcBorders>
              <w:bottom w:val="single" w:sz="8" w:color="0075C9"/>
            </w:tcBorders>
          </w:tcPr>
          <w:p>
            <w:pPr>
              <w:jc w:val="right"/>
              <w:ind w:right="174"/>
              <w:spacing w:after="0"/>
              <w:rPr>
                <w:sz w:val="20"/>
                <w:szCs w:val="20"/>
                <w:color w:val="auto"/>
              </w:rPr>
            </w:pPr>
            <w:r>
              <w:rPr>
                <w:rFonts w:ascii="Arial" w:cs="Arial" w:eastAsia="Arial" w:hAnsi="Arial"/>
                <w:sz w:val="17"/>
                <w:szCs w:val="17"/>
                <w:color w:val="auto"/>
              </w:rPr>
              <w:t>13,422</w:t>
            </w:r>
          </w:p>
        </w:tc>
        <w:tc>
          <w:tcPr>
            <w:tcW w:w="1000" w:type="dxa"/>
            <w:vAlign w:val="bottom"/>
            <w:tcBorders>
              <w:bottom w:val="single" w:sz="8" w:color="0075C9"/>
            </w:tcBorders>
          </w:tcPr>
          <w:p>
            <w:pPr>
              <w:jc w:val="right"/>
              <w:ind w:right="34"/>
              <w:spacing w:after="0"/>
              <w:rPr>
                <w:sz w:val="20"/>
                <w:szCs w:val="20"/>
                <w:color w:val="auto"/>
              </w:rPr>
            </w:pPr>
            <w:r>
              <w:rPr>
                <w:rFonts w:ascii="Arial" w:cs="Arial" w:eastAsia="Arial" w:hAnsi="Arial"/>
                <w:sz w:val="17"/>
                <w:szCs w:val="17"/>
                <w:color w:val="auto"/>
              </w:rPr>
              <w:t>338,422</w:t>
            </w:r>
          </w:p>
        </w:tc>
      </w:tr>
      <w:tr>
        <w:trPr>
          <w:trHeight w:val="265"/>
        </w:trPr>
        <w:tc>
          <w:tcPr>
            <w:tcW w:w="2400" w:type="dxa"/>
            <w:vAlign w:val="bottom"/>
            <w:tcBorders>
              <w:bottom w:val="single" w:sz="8" w:color="0075C9"/>
            </w:tcBorders>
          </w:tcPr>
          <w:p>
            <w:pPr>
              <w:ind w:left="80"/>
              <w:spacing w:after="0"/>
              <w:rPr>
                <w:sz w:val="20"/>
                <w:szCs w:val="20"/>
                <w:color w:val="auto"/>
              </w:rPr>
            </w:pPr>
            <w:r>
              <w:rPr>
                <w:rFonts w:ascii="Arial" w:cs="Arial" w:eastAsia="Arial" w:hAnsi="Arial"/>
                <w:sz w:val="17"/>
                <w:szCs w:val="17"/>
                <w:b w:val="1"/>
                <w:bCs w:val="1"/>
                <w:color w:val="0075C9"/>
              </w:rPr>
              <w:t>Padmasree Warrior</w:t>
            </w:r>
            <w:r>
              <w:rPr>
                <w:rFonts w:ascii="Arial" w:cs="Arial" w:eastAsia="Arial" w:hAnsi="Arial"/>
                <w:sz w:val="14"/>
                <w:szCs w:val="14"/>
                <w:b w:val="1"/>
                <w:bCs w:val="1"/>
                <w:color w:val="0075C9"/>
              </w:rPr>
              <w:t>10</w:t>
            </w:r>
          </w:p>
        </w:tc>
        <w:tc>
          <w:tcPr>
            <w:tcW w:w="2100" w:type="dxa"/>
            <w:vAlign w:val="bottom"/>
            <w:tcBorders>
              <w:bottom w:val="single" w:sz="8" w:color="0075C9"/>
            </w:tcBorders>
          </w:tcPr>
          <w:p>
            <w:pPr>
              <w:jc w:val="right"/>
              <w:ind w:right="194"/>
              <w:spacing w:after="0"/>
              <w:rPr>
                <w:sz w:val="20"/>
                <w:szCs w:val="20"/>
                <w:color w:val="auto"/>
              </w:rPr>
            </w:pPr>
            <w:r>
              <w:rPr>
                <w:rFonts w:ascii="Arial" w:cs="Arial" w:eastAsia="Arial" w:hAnsi="Arial"/>
                <w:sz w:val="17"/>
                <w:szCs w:val="17"/>
                <w:color w:val="auto"/>
              </w:rPr>
              <w:t>125,000</w:t>
            </w:r>
          </w:p>
        </w:tc>
        <w:tc>
          <w:tcPr>
            <w:tcW w:w="1740" w:type="dxa"/>
            <w:vAlign w:val="bottom"/>
            <w:tcBorders>
              <w:bottom w:val="single" w:sz="8" w:color="0075C9"/>
            </w:tcBorders>
          </w:tcPr>
          <w:p>
            <w:pPr>
              <w:jc w:val="right"/>
              <w:ind w:right="194"/>
              <w:spacing w:after="0"/>
              <w:rPr>
                <w:sz w:val="20"/>
                <w:szCs w:val="20"/>
                <w:color w:val="auto"/>
              </w:rPr>
            </w:pPr>
            <w:r>
              <w:rPr>
                <w:rFonts w:ascii="Arial" w:cs="Arial" w:eastAsia="Arial" w:hAnsi="Arial"/>
                <w:sz w:val="17"/>
                <w:szCs w:val="17"/>
                <w:color w:val="auto"/>
              </w:rPr>
              <w:t>200,000</w:t>
            </w:r>
          </w:p>
        </w:tc>
        <w:tc>
          <w:tcPr>
            <w:tcW w:w="1800" w:type="dxa"/>
            <w:vAlign w:val="bottom"/>
            <w:tcBorders>
              <w:bottom w:val="single" w:sz="8" w:color="0075C9"/>
            </w:tcBorders>
          </w:tcPr>
          <w:p>
            <w:pPr>
              <w:jc w:val="right"/>
              <w:ind w:right="174"/>
              <w:spacing w:after="0"/>
              <w:rPr>
                <w:sz w:val="20"/>
                <w:szCs w:val="20"/>
                <w:color w:val="auto"/>
              </w:rPr>
            </w:pPr>
            <w:r>
              <w:rPr>
                <w:rFonts w:ascii="Arial" w:cs="Arial" w:eastAsia="Arial" w:hAnsi="Arial"/>
                <w:sz w:val="17"/>
                <w:szCs w:val="17"/>
                <w:color w:val="auto"/>
              </w:rPr>
              <w:t>0</w:t>
            </w:r>
          </w:p>
        </w:tc>
        <w:tc>
          <w:tcPr>
            <w:tcW w:w="1000" w:type="dxa"/>
            <w:vAlign w:val="bottom"/>
            <w:tcBorders>
              <w:bottom w:val="single" w:sz="8" w:color="0075C9"/>
            </w:tcBorders>
          </w:tcPr>
          <w:p>
            <w:pPr>
              <w:jc w:val="right"/>
              <w:ind w:right="34"/>
              <w:spacing w:after="0"/>
              <w:rPr>
                <w:sz w:val="20"/>
                <w:szCs w:val="20"/>
                <w:color w:val="auto"/>
              </w:rPr>
            </w:pPr>
            <w:r>
              <w:rPr>
                <w:rFonts w:ascii="Arial" w:cs="Arial" w:eastAsia="Arial" w:hAnsi="Arial"/>
                <w:sz w:val="17"/>
                <w:szCs w:val="17"/>
                <w:color w:val="auto"/>
              </w:rPr>
              <w:t>325,000</w:t>
            </w:r>
          </w:p>
        </w:tc>
      </w:tr>
    </w:tbl>
    <w:p>
      <w:pPr>
        <w:spacing w:after="0" w:line="72" w:lineRule="exact"/>
        <w:rPr>
          <w:sz w:val="20"/>
          <w:szCs w:val="20"/>
          <w:color w:val="auto"/>
        </w:rPr>
      </w:pPr>
    </w:p>
    <w:p>
      <w:pPr>
        <w:ind w:left="1360" w:hanging="258"/>
        <w:spacing w:after="0"/>
        <w:tabs>
          <w:tab w:leader="none" w:pos="1360" w:val="left"/>
        </w:tabs>
        <w:numPr>
          <w:ilvl w:val="0"/>
          <w:numId w:val="63"/>
        </w:numPr>
        <w:rPr>
          <w:rFonts w:ascii="Arial" w:cs="Arial" w:eastAsia="Arial" w:hAnsi="Arial"/>
          <w:sz w:val="12"/>
          <w:szCs w:val="12"/>
          <w:color w:val="auto"/>
        </w:rPr>
      </w:pPr>
      <w:r>
        <w:rPr>
          <w:rFonts w:ascii="Arial" w:cs="Arial" w:eastAsia="Arial" w:hAnsi="Arial"/>
          <w:sz w:val="12"/>
          <w:szCs w:val="12"/>
          <w:color w:val="auto"/>
        </w:rPr>
        <w:t>The value of fractional shares under stock awards that are paid in cash are reported in the Stock Awards column.</w:t>
      </w:r>
    </w:p>
    <w:p>
      <w:pPr>
        <w:spacing w:after="0" w:line="69" w:lineRule="exact"/>
        <w:rPr>
          <w:rFonts w:ascii="Arial" w:cs="Arial" w:eastAsia="Arial" w:hAnsi="Arial"/>
          <w:sz w:val="12"/>
          <w:szCs w:val="12"/>
          <w:color w:val="auto"/>
        </w:rPr>
      </w:pPr>
    </w:p>
    <w:p>
      <w:pPr>
        <w:jc w:val="both"/>
        <w:ind w:left="1360" w:right="280" w:hanging="258"/>
        <w:spacing w:after="0" w:line="234" w:lineRule="auto"/>
        <w:tabs>
          <w:tab w:leader="none" w:pos="1360" w:val="left"/>
        </w:tabs>
        <w:numPr>
          <w:ilvl w:val="0"/>
          <w:numId w:val="63"/>
        </w:numPr>
        <w:rPr>
          <w:rFonts w:ascii="Arial" w:cs="Arial" w:eastAsia="Arial" w:hAnsi="Arial"/>
          <w:sz w:val="12"/>
          <w:szCs w:val="12"/>
          <w:color w:val="auto"/>
        </w:rPr>
      </w:pPr>
      <w:r>
        <w:rPr>
          <w:rFonts w:ascii="Arial" w:cs="Arial" w:eastAsia="Arial" w:hAnsi="Arial"/>
          <w:sz w:val="12"/>
          <w:szCs w:val="12"/>
          <w:color w:val="auto"/>
        </w:rPr>
        <w:t>The aggregate award value in the “Stock Awards” column for each director represents four quarterly awards, each with a grant date fair value under FASB ASC Topic 718 of $50,000, with exceptions as follows: Mr. Thompson received four quarterly awards, each with a grant date fair value under FASB ASC Topic 718 of $90,000; Mr. Sorenson received three quarterly awards, each with a grant date fair value under FASB ASC Topic 718 of $50,000.</w:t>
      </w:r>
    </w:p>
    <w:p>
      <w:pPr>
        <w:spacing w:after="0" w:line="62" w:lineRule="exact"/>
        <w:rPr>
          <w:rFonts w:ascii="Arial" w:cs="Arial" w:eastAsia="Arial" w:hAnsi="Arial"/>
          <w:sz w:val="12"/>
          <w:szCs w:val="12"/>
          <w:color w:val="auto"/>
        </w:rPr>
      </w:pPr>
    </w:p>
    <w:p>
      <w:pPr>
        <w:ind w:left="1360" w:right="400" w:hanging="258"/>
        <w:spacing w:after="0" w:line="239" w:lineRule="auto"/>
        <w:tabs>
          <w:tab w:leader="none" w:pos="1360" w:val="left"/>
        </w:tabs>
        <w:numPr>
          <w:ilvl w:val="0"/>
          <w:numId w:val="63"/>
        </w:numPr>
        <w:rPr>
          <w:rFonts w:ascii="Arial" w:cs="Arial" w:eastAsia="Arial" w:hAnsi="Arial"/>
          <w:sz w:val="12"/>
          <w:szCs w:val="12"/>
          <w:color w:val="auto"/>
        </w:rPr>
      </w:pPr>
      <w:r>
        <w:rPr>
          <w:rFonts w:ascii="Arial" w:cs="Arial" w:eastAsia="Arial" w:hAnsi="Arial"/>
          <w:sz w:val="12"/>
          <w:szCs w:val="12"/>
          <w:color w:val="auto"/>
        </w:rPr>
        <w:t>Amounts in this column represent matching charitable contributions under our corporate giving program in fiscal year 2021, which matches director gifts up to $15,000 per calendar year.</w:t>
      </w:r>
    </w:p>
    <w:p>
      <w:pPr>
        <w:spacing w:after="0" w:line="61" w:lineRule="exact"/>
        <w:rPr>
          <w:rFonts w:ascii="Arial" w:cs="Arial" w:eastAsia="Arial" w:hAnsi="Arial"/>
          <w:sz w:val="12"/>
          <w:szCs w:val="12"/>
          <w:color w:val="auto"/>
        </w:rPr>
      </w:pPr>
    </w:p>
    <w:p>
      <w:pPr>
        <w:ind w:left="1360" w:hanging="258"/>
        <w:spacing w:after="0"/>
        <w:tabs>
          <w:tab w:leader="none" w:pos="1360" w:val="left"/>
        </w:tabs>
        <w:numPr>
          <w:ilvl w:val="0"/>
          <w:numId w:val="63"/>
        </w:numPr>
        <w:rPr>
          <w:rFonts w:ascii="Arial" w:cs="Arial" w:eastAsia="Arial" w:hAnsi="Arial"/>
          <w:sz w:val="12"/>
          <w:szCs w:val="12"/>
          <w:color w:val="auto"/>
        </w:rPr>
      </w:pPr>
      <w:r>
        <w:rPr>
          <w:rFonts w:ascii="Arial" w:cs="Arial" w:eastAsia="Arial" w:hAnsi="Arial"/>
          <w:sz w:val="12"/>
          <w:szCs w:val="12"/>
          <w:color w:val="auto"/>
        </w:rPr>
        <w:t>Mr. Hoffman elected to defer his cash and stock compensation. The compensation deferred converted into 1,432 shares of our common stock.</w:t>
      </w:r>
    </w:p>
    <w:p>
      <w:pPr>
        <w:spacing w:after="0" w:line="69" w:lineRule="exact"/>
        <w:rPr>
          <w:rFonts w:ascii="Arial" w:cs="Arial" w:eastAsia="Arial" w:hAnsi="Arial"/>
          <w:sz w:val="12"/>
          <w:szCs w:val="12"/>
          <w:color w:val="auto"/>
        </w:rPr>
      </w:pPr>
    </w:p>
    <w:p>
      <w:pPr>
        <w:ind w:left="1360" w:hanging="258"/>
        <w:spacing w:after="0"/>
        <w:tabs>
          <w:tab w:leader="none" w:pos="1360" w:val="left"/>
        </w:tabs>
        <w:numPr>
          <w:ilvl w:val="0"/>
          <w:numId w:val="63"/>
        </w:numPr>
        <w:rPr>
          <w:rFonts w:ascii="Arial" w:cs="Arial" w:eastAsia="Arial" w:hAnsi="Arial"/>
          <w:sz w:val="12"/>
          <w:szCs w:val="12"/>
          <w:color w:val="auto"/>
        </w:rPr>
      </w:pPr>
      <w:r>
        <w:rPr>
          <w:rFonts w:ascii="Arial" w:cs="Arial" w:eastAsia="Arial" w:hAnsi="Arial"/>
          <w:sz w:val="12"/>
          <w:szCs w:val="12"/>
          <w:color w:val="auto"/>
        </w:rPr>
        <w:t>Ms. List elected to defer her cash and stock compensation. The compensation deferred converted into 1,498 shares of our common stock.</w:t>
      </w:r>
    </w:p>
    <w:p>
      <w:pPr>
        <w:spacing w:after="0" w:line="69" w:lineRule="exact"/>
        <w:rPr>
          <w:rFonts w:ascii="Arial" w:cs="Arial" w:eastAsia="Arial" w:hAnsi="Arial"/>
          <w:sz w:val="12"/>
          <w:szCs w:val="12"/>
          <w:color w:val="auto"/>
        </w:rPr>
      </w:pPr>
    </w:p>
    <w:p>
      <w:pPr>
        <w:ind w:left="1360" w:hanging="258"/>
        <w:spacing w:after="0"/>
        <w:tabs>
          <w:tab w:leader="none" w:pos="1360" w:val="left"/>
        </w:tabs>
        <w:numPr>
          <w:ilvl w:val="0"/>
          <w:numId w:val="63"/>
        </w:numPr>
        <w:rPr>
          <w:rFonts w:ascii="Arial" w:cs="Arial" w:eastAsia="Arial" w:hAnsi="Arial"/>
          <w:sz w:val="12"/>
          <w:szCs w:val="12"/>
          <w:color w:val="auto"/>
        </w:rPr>
      </w:pPr>
      <w:r>
        <w:rPr>
          <w:rFonts w:ascii="Arial" w:cs="Arial" w:eastAsia="Arial" w:hAnsi="Arial"/>
          <w:sz w:val="12"/>
          <w:szCs w:val="12"/>
          <w:color w:val="auto"/>
        </w:rPr>
        <w:t>Ms. Peterson elected to defer her cash and stock compensation. The compensation deferred converted into 1,498 shares of our common stock.</w:t>
      </w:r>
    </w:p>
    <w:p>
      <w:pPr>
        <w:spacing w:after="0" w:line="69" w:lineRule="exact"/>
        <w:rPr>
          <w:rFonts w:ascii="Arial" w:cs="Arial" w:eastAsia="Arial" w:hAnsi="Arial"/>
          <w:sz w:val="12"/>
          <w:szCs w:val="12"/>
          <w:color w:val="auto"/>
        </w:rPr>
      </w:pPr>
    </w:p>
    <w:p>
      <w:pPr>
        <w:ind w:left="1360" w:hanging="258"/>
        <w:spacing w:after="0"/>
        <w:tabs>
          <w:tab w:leader="none" w:pos="1360" w:val="left"/>
        </w:tabs>
        <w:numPr>
          <w:ilvl w:val="0"/>
          <w:numId w:val="63"/>
        </w:numPr>
        <w:rPr>
          <w:rFonts w:ascii="Arial" w:cs="Arial" w:eastAsia="Arial" w:hAnsi="Arial"/>
          <w:sz w:val="12"/>
          <w:szCs w:val="12"/>
          <w:color w:val="auto"/>
        </w:rPr>
      </w:pPr>
      <w:r>
        <w:rPr>
          <w:rFonts w:ascii="Arial" w:cs="Arial" w:eastAsia="Arial" w:hAnsi="Arial"/>
          <w:sz w:val="12"/>
          <w:szCs w:val="12"/>
          <w:color w:val="auto"/>
        </w:rPr>
        <w:t>Ms. Pritzker elected to defer her cash and stock compensation. The compensation deferred converted into 1,498 shares of our common stock.</w:t>
      </w:r>
    </w:p>
    <w:p>
      <w:pPr>
        <w:spacing w:after="0" w:line="69" w:lineRule="exact"/>
        <w:rPr>
          <w:rFonts w:ascii="Arial" w:cs="Arial" w:eastAsia="Arial" w:hAnsi="Arial"/>
          <w:sz w:val="12"/>
          <w:szCs w:val="12"/>
          <w:color w:val="auto"/>
        </w:rPr>
      </w:pPr>
    </w:p>
    <w:p>
      <w:pPr>
        <w:ind w:left="1360" w:right="80" w:hanging="258"/>
        <w:spacing w:after="0" w:line="239" w:lineRule="auto"/>
        <w:tabs>
          <w:tab w:leader="none" w:pos="1360" w:val="left"/>
        </w:tabs>
        <w:numPr>
          <w:ilvl w:val="0"/>
          <w:numId w:val="63"/>
        </w:numPr>
        <w:rPr>
          <w:rFonts w:ascii="Arial" w:cs="Arial" w:eastAsia="Arial" w:hAnsi="Arial"/>
          <w:sz w:val="12"/>
          <w:szCs w:val="12"/>
          <w:color w:val="auto"/>
        </w:rPr>
      </w:pPr>
      <w:r>
        <w:rPr>
          <w:rFonts w:ascii="Arial" w:cs="Arial" w:eastAsia="Arial" w:hAnsi="Arial"/>
          <w:sz w:val="12"/>
          <w:szCs w:val="12"/>
          <w:color w:val="auto"/>
        </w:rPr>
        <w:t>As Mr. Sorenson passed away in February 2021, his final prorated stock and cash retainers of $11,653 were paid out in cash and are reflected in the “Fees Earned or Paid in Cash” column</w:t>
      </w:r>
    </w:p>
    <w:p>
      <w:pPr>
        <w:spacing w:after="0" w:line="61" w:lineRule="exact"/>
        <w:rPr>
          <w:rFonts w:ascii="Arial" w:cs="Arial" w:eastAsia="Arial" w:hAnsi="Arial"/>
          <w:sz w:val="12"/>
          <w:szCs w:val="12"/>
          <w:color w:val="auto"/>
        </w:rPr>
      </w:pPr>
    </w:p>
    <w:p>
      <w:pPr>
        <w:ind w:left="1360" w:right="680" w:hanging="258"/>
        <w:spacing w:after="0" w:line="239" w:lineRule="auto"/>
        <w:tabs>
          <w:tab w:leader="none" w:pos="1360" w:val="left"/>
        </w:tabs>
        <w:numPr>
          <w:ilvl w:val="0"/>
          <w:numId w:val="63"/>
        </w:numPr>
        <w:rPr>
          <w:rFonts w:ascii="Arial" w:cs="Arial" w:eastAsia="Arial" w:hAnsi="Arial"/>
          <w:sz w:val="12"/>
          <w:szCs w:val="12"/>
          <w:color w:val="auto"/>
        </w:rPr>
      </w:pPr>
      <w:r>
        <w:rPr>
          <w:rFonts w:ascii="Arial" w:cs="Arial" w:eastAsia="Arial" w:hAnsi="Arial"/>
          <w:sz w:val="12"/>
          <w:szCs w:val="12"/>
          <w:color w:val="auto"/>
        </w:rPr>
        <w:t>Mr. Thompson’s Independent Board Chair compensation continued through June 30, 2021. Mr. Thompson elected to defer his stock compensation. The compensation deferred converted into 1,586 shares of our common stock.</w:t>
      </w:r>
    </w:p>
    <w:p>
      <w:pPr>
        <w:spacing w:after="0" w:line="61" w:lineRule="exact"/>
        <w:rPr>
          <w:rFonts w:ascii="Arial" w:cs="Arial" w:eastAsia="Arial" w:hAnsi="Arial"/>
          <w:sz w:val="12"/>
          <w:szCs w:val="12"/>
          <w:color w:val="auto"/>
        </w:rPr>
      </w:pPr>
    </w:p>
    <w:p>
      <w:pPr>
        <w:ind w:left="1360" w:hanging="258"/>
        <w:spacing w:after="0"/>
        <w:tabs>
          <w:tab w:leader="none" w:pos="1360" w:val="left"/>
        </w:tabs>
        <w:numPr>
          <w:ilvl w:val="0"/>
          <w:numId w:val="63"/>
        </w:numPr>
        <w:rPr>
          <w:rFonts w:ascii="Arial" w:cs="Arial" w:eastAsia="Arial" w:hAnsi="Arial"/>
          <w:sz w:val="12"/>
          <w:szCs w:val="12"/>
          <w:color w:val="auto"/>
        </w:rPr>
      </w:pPr>
      <w:r>
        <w:rPr>
          <w:rFonts w:ascii="Arial" w:cs="Arial" w:eastAsia="Arial" w:hAnsi="Arial"/>
          <w:sz w:val="12"/>
          <w:szCs w:val="12"/>
          <w:color w:val="auto"/>
        </w:rPr>
        <w:t>Ms. Warrior elected to defer a portion of her cash compensation. The compensation deferred converted into 274 shares of our common stock.</w:t>
      </w:r>
    </w:p>
    <w:p>
      <w:pPr>
        <w:spacing w:after="0" w:line="200" w:lineRule="exact"/>
        <w:rPr>
          <w:sz w:val="20"/>
          <w:szCs w:val="20"/>
          <w:color w:val="auto"/>
        </w:rPr>
      </w:pPr>
    </w:p>
    <w:p>
      <w:pPr>
        <w:spacing w:after="0" w:line="30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-94615</wp:posOffset>
            </wp:positionV>
            <wp:extent cx="485140" cy="984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45" w:right="143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0075C9"/>
                <w:w w:val="89"/>
              </w:rPr>
              <w:t>1</w:t>
            </w:r>
          </w:p>
        </w:tc>
        <w:tc>
          <w:tcPr>
            <w:tcW w:w="1220" w:type="dxa"/>
            <w:vAlign w:val="bottom"/>
            <w:vMerge w:val="restart"/>
          </w:tcPr>
          <w:p>
            <w:pPr>
              <w:ind w:left="80"/>
              <w:spacing w:after="0"/>
              <w:rPr>
                <w:sz w:val="20"/>
                <w:szCs w:val="20"/>
                <w:color w:val="auto"/>
              </w:rPr>
            </w:pPr>
            <w:r>
              <w:rPr>
                <w:rFonts w:ascii="Arial" w:cs="Arial" w:eastAsia="Arial" w:hAnsi="Arial"/>
                <w:sz w:val="12"/>
                <w:szCs w:val="12"/>
                <w:color w:val="0075C9"/>
                <w:w w:val="98"/>
              </w:rPr>
              <w:t>GOVERNANCE AND</w:t>
            </w:r>
          </w:p>
        </w:tc>
        <w:tc>
          <w:tcPr>
            <w:tcW w:w="720" w:type="dxa"/>
            <w:vAlign w:val="bottom"/>
          </w:tcPr>
          <w:p>
            <w:pPr>
              <w:jc w:val="right"/>
              <w:spacing w:after="0"/>
              <w:rPr>
                <w:sz w:val="20"/>
                <w:szCs w:val="20"/>
                <w:color w:val="auto"/>
              </w:rPr>
            </w:pPr>
            <w:r>
              <w:rPr>
                <w:rFonts w:ascii="Arial" w:cs="Arial" w:eastAsia="Arial" w:hAnsi="Arial"/>
                <w:sz w:val="36"/>
                <w:szCs w:val="36"/>
                <w:color w:val="auto"/>
              </w:rPr>
              <w:t>2</w:t>
            </w:r>
          </w:p>
        </w:tc>
        <w:tc>
          <w:tcPr>
            <w:tcW w:w="1540" w:type="dxa"/>
            <w:vAlign w:val="bottom"/>
            <w:vMerge w:val="restart"/>
          </w:tcPr>
          <w:p>
            <w:pPr>
              <w:ind w:left="80"/>
              <w:spacing w:after="0"/>
              <w:rPr>
                <w:sz w:val="20"/>
                <w:szCs w:val="20"/>
                <w:color w:val="auto"/>
              </w:rPr>
            </w:pPr>
            <w:r>
              <w:rPr>
                <w:rFonts w:ascii="Arial" w:cs="Arial" w:eastAsia="Arial" w:hAnsi="Arial"/>
                <w:sz w:val="12"/>
                <w:szCs w:val="12"/>
                <w:color w:val="auto"/>
              </w:rPr>
              <w:t>NAMED</w:t>
            </w:r>
          </w:p>
        </w:tc>
        <w:tc>
          <w:tcPr>
            <w:tcW w:w="500" w:type="dxa"/>
            <w:vAlign w:val="bottom"/>
          </w:tcPr>
          <w:p>
            <w:pPr>
              <w:jc w:val="right"/>
              <w:spacing w:after="0"/>
              <w:rPr>
                <w:sz w:val="20"/>
                <w:szCs w:val="20"/>
                <w:color w:val="auto"/>
              </w:rPr>
            </w:pPr>
            <w:r>
              <w:rPr>
                <w:rFonts w:ascii="Arial" w:cs="Arial" w:eastAsia="Arial" w:hAnsi="Arial"/>
                <w:sz w:val="36"/>
                <w:szCs w:val="36"/>
                <w:color w:val="auto"/>
              </w:rPr>
              <w:t>3</w:t>
            </w:r>
          </w:p>
        </w:tc>
        <w:tc>
          <w:tcPr>
            <w:tcW w:w="980" w:type="dxa"/>
            <w:vAlign w:val="bottom"/>
            <w:vMerge w:val="restart"/>
          </w:tcPr>
          <w:p>
            <w:pPr>
              <w:ind w:left="80"/>
              <w:spacing w:after="0"/>
              <w:rPr>
                <w:sz w:val="20"/>
                <w:szCs w:val="20"/>
                <w:color w:val="auto"/>
              </w:rPr>
            </w:pPr>
            <w:r>
              <w:rPr>
                <w:rFonts w:ascii="Arial" w:cs="Arial" w:eastAsia="Arial" w:hAnsi="Arial"/>
                <w:sz w:val="12"/>
                <w:szCs w:val="12"/>
                <w:color w:val="auto"/>
              </w:rPr>
              <w:t>AUDIT</w:t>
            </w:r>
          </w:p>
        </w:tc>
        <w:tc>
          <w:tcPr>
            <w:tcW w:w="460" w:type="dxa"/>
            <w:vAlign w:val="bottom"/>
          </w:tcPr>
          <w:p>
            <w:pPr>
              <w:jc w:val="right"/>
              <w:spacing w:after="0"/>
              <w:rPr>
                <w:sz w:val="20"/>
                <w:szCs w:val="20"/>
                <w:color w:val="auto"/>
              </w:rPr>
            </w:pPr>
            <w:r>
              <w:rPr>
                <w:rFonts w:ascii="Arial" w:cs="Arial" w:eastAsia="Arial" w:hAnsi="Arial"/>
                <w:sz w:val="36"/>
                <w:szCs w:val="36"/>
                <w:color w:val="auto"/>
              </w:rPr>
              <w:t>4</w:t>
            </w:r>
          </w:p>
        </w:tc>
        <w:tc>
          <w:tcPr>
            <w:tcW w:w="1580" w:type="dxa"/>
            <w:vAlign w:val="bottom"/>
            <w:vMerge w:val="restart"/>
          </w:tcPr>
          <w:p>
            <w:pPr>
              <w:ind w:left="80"/>
              <w:spacing w:after="0"/>
              <w:rPr>
                <w:sz w:val="20"/>
                <w:szCs w:val="20"/>
                <w:color w:val="auto"/>
              </w:rPr>
            </w:pPr>
            <w:r>
              <w:rPr>
                <w:rFonts w:ascii="Arial" w:cs="Arial" w:eastAsia="Arial" w:hAnsi="Arial"/>
                <w:sz w:val="12"/>
                <w:szCs w:val="12"/>
                <w:color w:val="auto"/>
              </w:rPr>
              <w:t>PROPOSALS TO</w:t>
            </w:r>
          </w:p>
        </w:tc>
        <w:tc>
          <w:tcPr>
            <w:tcW w:w="440" w:type="dxa"/>
            <w:vAlign w:val="bottom"/>
          </w:tcPr>
          <w:p>
            <w:pPr>
              <w:jc w:val="right"/>
              <w:spacing w:after="0"/>
              <w:rPr>
                <w:sz w:val="20"/>
                <w:szCs w:val="20"/>
                <w:color w:val="auto"/>
              </w:rPr>
            </w:pPr>
            <w:r>
              <w:rPr>
                <w:rFonts w:ascii="Arial" w:cs="Arial" w:eastAsia="Arial" w:hAnsi="Arial"/>
                <w:sz w:val="36"/>
                <w:szCs w:val="36"/>
                <w:color w:val="auto"/>
              </w:rPr>
              <w:t>5</w:t>
            </w:r>
          </w:p>
        </w:tc>
        <w:tc>
          <w:tcPr>
            <w:tcW w:w="900" w:type="dxa"/>
            <w:vAlign w:val="bottom"/>
            <w:vMerge w:val="restart"/>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220" w:type="dxa"/>
            <w:vAlign w:val="bottom"/>
          </w:tcPr>
          <w:p>
            <w:pPr>
              <w:ind w:left="80"/>
              <w:spacing w:after="0" w:line="130" w:lineRule="exact"/>
              <w:rPr>
                <w:sz w:val="20"/>
                <w:szCs w:val="20"/>
                <w:color w:val="auto"/>
              </w:rPr>
            </w:pPr>
            <w:r>
              <w:rPr>
                <w:rFonts w:ascii="Arial" w:cs="Arial" w:eastAsia="Arial" w:hAnsi="Arial"/>
                <w:sz w:val="12"/>
                <w:szCs w:val="12"/>
                <w:color w:val="0075C9"/>
              </w:rPr>
              <w:t>OUR BOARD OF</w:t>
            </w:r>
          </w:p>
        </w:tc>
        <w:tc>
          <w:tcPr>
            <w:tcW w:w="720" w:type="dxa"/>
            <w:vAlign w:val="bottom"/>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460" w:type="dxa"/>
            <w:vAlign w:val="bottom"/>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40" w:type="dxa"/>
            <w:vAlign w:val="bottom"/>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0075C9"/>
              </w:rPr>
              <w:t>DIRECTORS</w:t>
            </w:r>
          </w:p>
        </w:tc>
        <w:tc>
          <w:tcPr>
            <w:tcW w:w="720" w:type="dxa"/>
            <w:vAlign w:val="bottom"/>
          </w:tcPr>
          <w:p>
            <w:pPr>
              <w:spacing w:after="0"/>
              <w:rPr>
                <w:sz w:val="12"/>
                <w:szCs w:val="12"/>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tcPr>
          <w:p>
            <w:pPr>
              <w:spacing w:after="0"/>
              <w:rPr>
                <w:sz w:val="12"/>
                <w:szCs w:val="12"/>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460" w:type="dxa"/>
            <w:vAlign w:val="bottom"/>
          </w:tcPr>
          <w:p>
            <w:pPr>
              <w:spacing w:after="0"/>
              <w:rPr>
                <w:sz w:val="12"/>
                <w:szCs w:val="12"/>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40" w:type="dxa"/>
            <w:vAlign w:val="bottom"/>
          </w:tcPr>
          <w:p>
            <w:pPr>
              <w:spacing w:after="0"/>
              <w:rPr>
                <w:sz w:val="12"/>
                <w:szCs w:val="12"/>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shd w:val="clear" w:color="auto" w:fill="0075C9"/>
          </w:tcPr>
          <w:p>
            <w:pPr>
              <w:spacing w:after="0"/>
              <w:rPr>
                <w:sz w:val="9"/>
                <w:szCs w:val="9"/>
                <w:color w:val="auto"/>
              </w:rPr>
            </w:pPr>
          </w:p>
        </w:tc>
        <w:tc>
          <w:tcPr>
            <w:tcW w:w="1220" w:type="dxa"/>
            <w:vAlign w:val="bottom"/>
            <w:shd w:val="clear" w:color="auto" w:fill="0075C9"/>
          </w:tcPr>
          <w:p>
            <w:pPr>
              <w:spacing w:after="0"/>
              <w:rPr>
                <w:sz w:val="9"/>
                <w:szCs w:val="9"/>
                <w:color w:val="auto"/>
              </w:rPr>
            </w:pPr>
          </w:p>
        </w:tc>
        <w:tc>
          <w:tcPr>
            <w:tcW w:w="7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Independent Board Chair Compensation</w:t>
      </w:r>
    </w:p>
    <w:p>
      <w:pPr>
        <w:spacing w:after="0" w:line="129" w:lineRule="exact"/>
        <w:rPr>
          <w:sz w:val="20"/>
          <w:szCs w:val="20"/>
          <w:color w:val="auto"/>
        </w:rPr>
      </w:pPr>
    </w:p>
    <w:p>
      <w:pPr>
        <w:ind w:left="1100" w:right="160"/>
        <w:spacing w:after="0" w:line="237" w:lineRule="auto"/>
        <w:rPr>
          <w:sz w:val="20"/>
          <w:szCs w:val="20"/>
          <w:color w:val="auto"/>
        </w:rPr>
      </w:pPr>
      <w:r>
        <w:rPr>
          <w:rFonts w:ascii="Arial" w:cs="Arial" w:eastAsia="Arial" w:hAnsi="Arial"/>
          <w:sz w:val="16"/>
          <w:szCs w:val="16"/>
          <w:color w:val="auto"/>
        </w:rPr>
        <w:t>Mr. Thompson served as Board Chair during fiscal year 2021, until June 16, 2021 when the Board’s independent directors unanimously elected him to assume the role of Lead Independent Director. Mr. Thompson’s pay reflects the additional time commitment for the Board Chair role compared to other independent directors, which includes: (i) calling meetings of the Board and independent directors, (ii) setting the agenda for Board meetings in consultation with other directors, the CEO, and the Corporate Secretary, (iii) chairing executive sessions and coordinating activities of the independent directors, (iv) leading the Board’s annual CEO performance evaluation, and (v) when requested, representing the Board with internal and external audiences including shareholders. Pay to Mr. Thompson continued at the same level through June 30, 2021.</w:t>
      </w:r>
    </w:p>
    <w:p>
      <w:pPr>
        <w:spacing w:after="0" w:line="200" w:lineRule="exact"/>
        <w:rPr>
          <w:sz w:val="20"/>
          <w:szCs w:val="20"/>
          <w:color w:val="auto"/>
        </w:rPr>
      </w:pPr>
    </w:p>
    <w:p>
      <w:pPr>
        <w:spacing w:after="0" w:line="302"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2021 PROXY STATEMENT</w:t>
      </w:r>
      <w:r>
        <w:rPr>
          <w:sz w:val="20"/>
          <w:szCs w:val="20"/>
          <w:color w:val="auto"/>
        </w:rPr>
        <w:tab/>
      </w:r>
      <w:r>
        <w:rPr>
          <w:rFonts w:ascii="Arial" w:cs="Arial" w:eastAsia="Arial" w:hAnsi="Arial"/>
          <w:sz w:val="12"/>
          <w:szCs w:val="12"/>
          <w:b w:val="1"/>
          <w:bCs w:val="1"/>
          <w:color w:val="0075C9"/>
        </w:rPr>
        <w:t>31</w:t>
      </w:r>
    </w:p>
    <w:p>
      <w:pPr>
        <w:sectPr>
          <w:pgSz w:w="11900" w:h="16838" w:orient="portrait"/>
          <w:cols w:equalWidth="0" w:num="1">
            <w:col w:w="10280"/>
          </w:cols>
          <w:pgMar w:left="320" w:top="445" w:right="129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auto"/>
                <w:w w:val="89"/>
              </w:rPr>
              <w:t>1</w:t>
            </w:r>
          </w:p>
        </w:tc>
        <w:tc>
          <w:tcPr>
            <w:tcW w:w="1380" w:type="dxa"/>
            <w:vAlign w:val="bottom"/>
            <w:vMerge w:val="restart"/>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gridSpan w:val="2"/>
          </w:tcPr>
          <w:p>
            <w:pPr>
              <w:jc w:val="right"/>
              <w:ind w:right="80"/>
              <w:spacing w:after="0"/>
              <w:rPr>
                <w:sz w:val="20"/>
                <w:szCs w:val="20"/>
                <w:color w:val="auto"/>
              </w:rPr>
            </w:pPr>
            <w:r>
              <w:rPr>
                <w:rFonts w:ascii="Arial" w:cs="Arial" w:eastAsia="Arial" w:hAnsi="Arial"/>
                <w:sz w:val="36"/>
                <w:szCs w:val="36"/>
                <w:color w:val="0075C9"/>
              </w:rPr>
              <w:t>2</w:t>
            </w:r>
          </w:p>
        </w:tc>
        <w:tc>
          <w:tcPr>
            <w:tcW w:w="1320" w:type="dxa"/>
            <w:vAlign w:val="bottom"/>
            <w:vMerge w:val="restart"/>
          </w:tcPr>
          <w:p>
            <w:pPr>
              <w:ind w:left="60"/>
              <w:spacing w:after="0"/>
              <w:rPr>
                <w:sz w:val="20"/>
                <w:szCs w:val="20"/>
                <w:color w:val="auto"/>
              </w:rPr>
            </w:pPr>
            <w:r>
              <w:rPr>
                <w:rFonts w:ascii="Arial" w:cs="Arial" w:eastAsia="Arial" w:hAnsi="Arial"/>
                <w:sz w:val="12"/>
                <w:szCs w:val="12"/>
                <w:color w:val="0075C9"/>
              </w:rPr>
              <w:t>NAMED</w:t>
            </w:r>
          </w:p>
        </w:tc>
        <w:tc>
          <w:tcPr>
            <w:tcW w:w="740" w:type="dxa"/>
            <w:vAlign w:val="bottom"/>
          </w:tcPr>
          <w:p>
            <w:pPr>
              <w:jc w:val="right"/>
              <w:spacing w:after="0"/>
              <w:rPr>
                <w:sz w:val="20"/>
                <w:szCs w:val="20"/>
                <w:color w:val="auto"/>
              </w:rPr>
            </w:pPr>
            <w:r>
              <w:rPr>
                <w:rFonts w:ascii="Arial" w:cs="Arial" w:eastAsia="Arial" w:hAnsi="Arial"/>
                <w:sz w:val="36"/>
                <w:szCs w:val="36"/>
                <w:color w:val="auto"/>
              </w:rPr>
              <w:t>3</w:t>
            </w:r>
          </w:p>
        </w:tc>
        <w:tc>
          <w:tcPr>
            <w:tcW w:w="1020" w:type="dxa"/>
            <w:vAlign w:val="bottom"/>
            <w:vMerge w:val="restart"/>
          </w:tcPr>
          <w:p>
            <w:pPr>
              <w:ind w:left="60"/>
              <w:spacing w:after="0"/>
              <w:rPr>
                <w:sz w:val="20"/>
                <w:szCs w:val="20"/>
                <w:color w:val="auto"/>
              </w:rPr>
            </w:pPr>
            <w:r>
              <w:rPr>
                <w:rFonts w:ascii="Arial" w:cs="Arial" w:eastAsia="Arial" w:hAnsi="Arial"/>
                <w:sz w:val="12"/>
                <w:szCs w:val="12"/>
                <w:color w:val="auto"/>
              </w:rPr>
              <w:t>AUDIT</w:t>
            </w:r>
          </w:p>
        </w:tc>
        <w:tc>
          <w:tcPr>
            <w:tcW w:w="500" w:type="dxa"/>
            <w:vAlign w:val="bottom"/>
          </w:tcPr>
          <w:p>
            <w:pPr>
              <w:jc w:val="right"/>
              <w:spacing w:after="0"/>
              <w:rPr>
                <w:sz w:val="20"/>
                <w:szCs w:val="20"/>
                <w:color w:val="auto"/>
              </w:rPr>
            </w:pPr>
            <w:r>
              <w:rPr>
                <w:rFonts w:ascii="Arial" w:cs="Arial" w:eastAsia="Arial" w:hAnsi="Arial"/>
                <w:sz w:val="36"/>
                <w:szCs w:val="36"/>
                <w:color w:val="auto"/>
              </w:rPr>
              <w:t>4</w:t>
            </w:r>
          </w:p>
        </w:tc>
        <w:tc>
          <w:tcPr>
            <w:tcW w:w="1580" w:type="dxa"/>
            <w:vAlign w:val="bottom"/>
            <w:vMerge w:val="restart"/>
          </w:tcPr>
          <w:p>
            <w:pPr>
              <w:ind w:left="80"/>
              <w:spacing w:after="0"/>
              <w:rPr>
                <w:sz w:val="20"/>
                <w:szCs w:val="20"/>
                <w:color w:val="auto"/>
              </w:rPr>
            </w:pPr>
            <w:r>
              <w:rPr>
                <w:rFonts w:ascii="Arial" w:cs="Arial" w:eastAsia="Arial" w:hAnsi="Arial"/>
                <w:sz w:val="12"/>
                <w:szCs w:val="12"/>
                <w:color w:val="auto"/>
              </w:rPr>
              <w:t>PROPOSALS TO</w:t>
            </w:r>
          </w:p>
        </w:tc>
        <w:tc>
          <w:tcPr>
            <w:tcW w:w="420" w:type="dxa"/>
            <w:vAlign w:val="bottom"/>
          </w:tcPr>
          <w:p>
            <w:pPr>
              <w:jc w:val="right"/>
              <w:spacing w:after="0"/>
              <w:rPr>
                <w:sz w:val="20"/>
                <w:szCs w:val="20"/>
                <w:color w:val="auto"/>
              </w:rPr>
            </w:pPr>
            <w:r>
              <w:rPr>
                <w:rFonts w:ascii="Arial" w:cs="Arial" w:eastAsia="Arial" w:hAnsi="Arial"/>
                <w:sz w:val="36"/>
                <w:szCs w:val="36"/>
                <w:color w:val="auto"/>
              </w:rPr>
              <w:t>5</w:t>
            </w:r>
          </w:p>
        </w:tc>
        <w:tc>
          <w:tcPr>
            <w:tcW w:w="920" w:type="dxa"/>
            <w:vAlign w:val="bottom"/>
            <w:vMerge w:val="restart"/>
          </w:tcPr>
          <w:p>
            <w:pPr>
              <w:ind w:left="8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38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tcPr>
          <w:p>
            <w:pPr>
              <w:ind w:left="60"/>
              <w:spacing w:after="0" w:line="130" w:lineRule="exact"/>
              <w:rPr>
                <w:sz w:val="20"/>
                <w:szCs w:val="20"/>
                <w:color w:val="auto"/>
              </w:rPr>
            </w:pPr>
            <w:r>
              <w:rPr>
                <w:rFonts w:ascii="Arial" w:cs="Arial" w:eastAsia="Arial" w:hAnsi="Arial"/>
                <w:sz w:val="12"/>
                <w:szCs w:val="12"/>
                <w:color w:val="0075C9"/>
                <w:w w:val="99"/>
              </w:rPr>
              <w:t>EXECUTIVE OFFICER</w:t>
            </w:r>
          </w:p>
        </w:tc>
        <w:tc>
          <w:tcPr>
            <w:tcW w:w="740" w:type="dxa"/>
            <w:vAlign w:val="bottom"/>
          </w:tcPr>
          <w:p>
            <w:pPr>
              <w:spacing w:after="0"/>
              <w:rPr>
                <w:sz w:val="11"/>
                <w:szCs w:val="11"/>
                <w:color w:val="auto"/>
              </w:rPr>
            </w:pPr>
          </w:p>
        </w:tc>
        <w:tc>
          <w:tcPr>
            <w:tcW w:w="1020" w:type="dxa"/>
            <w:vAlign w:val="bottom"/>
          </w:tcPr>
          <w:p>
            <w:pPr>
              <w:ind w:left="60"/>
              <w:spacing w:after="0" w:line="130" w:lineRule="exact"/>
              <w:rPr>
                <w:sz w:val="20"/>
                <w:szCs w:val="20"/>
                <w:color w:val="auto"/>
              </w:rPr>
            </w:pPr>
            <w:r>
              <w:rPr>
                <w:rFonts w:ascii="Arial" w:cs="Arial" w:eastAsia="Arial" w:hAnsi="Arial"/>
                <w:sz w:val="12"/>
                <w:szCs w:val="12"/>
                <w:color w:val="auto"/>
              </w:rPr>
              <w:t>COMMITTEE</w:t>
            </w:r>
          </w:p>
        </w:tc>
        <w:tc>
          <w:tcPr>
            <w:tcW w:w="500" w:type="dxa"/>
            <w:vAlign w:val="bottom"/>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20" w:type="dxa"/>
            <w:vAlign w:val="bottom"/>
          </w:tcPr>
          <w:p>
            <w:pPr>
              <w:spacing w:after="0"/>
              <w:rPr>
                <w:sz w:val="11"/>
                <w:szCs w:val="11"/>
                <w:color w:val="auto"/>
              </w:rPr>
            </w:pPr>
          </w:p>
        </w:tc>
        <w:tc>
          <w:tcPr>
            <w:tcW w:w="92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380" w:type="dxa"/>
            <w:vAlign w:val="bottom"/>
          </w:tcPr>
          <w:p>
            <w:pPr>
              <w:ind w:left="80"/>
              <w:spacing w:after="0"/>
              <w:rPr>
                <w:sz w:val="20"/>
                <w:szCs w:val="20"/>
                <w:color w:val="auto"/>
              </w:rPr>
            </w:pPr>
            <w:r>
              <w:rPr>
                <w:rFonts w:ascii="Arial" w:cs="Arial" w:eastAsia="Arial" w:hAnsi="Arial"/>
                <w:sz w:val="12"/>
                <w:szCs w:val="12"/>
                <w:color w:val="auto"/>
              </w:rPr>
              <w:t>DIRECTORS</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0075C9"/>
              </w:rPr>
              <w:t>COMPENSATION</w:t>
            </w:r>
          </w:p>
        </w:tc>
        <w:tc>
          <w:tcPr>
            <w:tcW w:w="740" w:type="dxa"/>
            <w:vAlign w:val="bottom"/>
          </w:tcPr>
          <w:p>
            <w:pPr>
              <w:spacing w:after="0"/>
              <w:rPr>
                <w:sz w:val="12"/>
                <w:szCs w:val="12"/>
                <w:color w:val="auto"/>
              </w:rPr>
            </w:pPr>
          </w:p>
        </w:tc>
        <w:tc>
          <w:tcPr>
            <w:tcW w:w="1020" w:type="dxa"/>
            <w:vAlign w:val="bottom"/>
          </w:tcPr>
          <w:p>
            <w:pPr>
              <w:ind w:left="60"/>
              <w:spacing w:after="0"/>
              <w:rPr>
                <w:sz w:val="20"/>
                <w:szCs w:val="20"/>
                <w:color w:val="auto"/>
              </w:rPr>
            </w:pPr>
            <w:r>
              <w:rPr>
                <w:rFonts w:ascii="Arial" w:cs="Arial" w:eastAsia="Arial" w:hAnsi="Arial"/>
                <w:sz w:val="12"/>
                <w:szCs w:val="12"/>
                <w:color w:val="auto"/>
              </w:rPr>
              <w:t>MATTERS</w:t>
            </w:r>
          </w:p>
        </w:tc>
        <w:tc>
          <w:tcPr>
            <w:tcW w:w="500" w:type="dxa"/>
            <w:vAlign w:val="bottom"/>
          </w:tcPr>
          <w:p>
            <w:pPr>
              <w:spacing w:after="0"/>
              <w:rPr>
                <w:sz w:val="12"/>
                <w:szCs w:val="12"/>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20" w:type="dxa"/>
            <w:vAlign w:val="bottom"/>
          </w:tcPr>
          <w:p>
            <w:pPr>
              <w:spacing w:after="0"/>
              <w:rPr>
                <w:sz w:val="12"/>
                <w:szCs w:val="12"/>
                <w:color w:val="auto"/>
              </w:rPr>
            </w:pPr>
          </w:p>
        </w:tc>
        <w:tc>
          <w:tcPr>
            <w:tcW w:w="92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1100"/>
        <w:spacing w:after="0"/>
        <w:rPr>
          <w:sz w:val="20"/>
          <w:szCs w:val="20"/>
          <w:color w:val="auto"/>
        </w:rPr>
      </w:pPr>
      <w:r>
        <w:rPr>
          <w:rFonts w:ascii="Arial" w:cs="Arial" w:eastAsia="Arial" w:hAnsi="Arial"/>
          <w:sz w:val="43"/>
          <w:szCs w:val="43"/>
          <w:b w:val="1"/>
          <w:bCs w:val="1"/>
          <w:color w:val="auto"/>
        </w:rPr>
        <w:t>2.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346710</wp:posOffset>
            </wp:positionV>
            <wp:extent cx="573976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A Letter from the Compensation Committee</w:t>
      </w:r>
    </w:p>
    <w:p>
      <w:pPr>
        <w:spacing w:after="0" w:line="143"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Dear Shareholder,</w:t>
      </w:r>
    </w:p>
    <w:p>
      <w:pPr>
        <w:spacing w:after="0" w:line="101" w:lineRule="exact"/>
        <w:rPr>
          <w:sz w:val="20"/>
          <w:szCs w:val="20"/>
          <w:color w:val="auto"/>
        </w:rPr>
      </w:pPr>
    </w:p>
    <w:p>
      <w:pPr>
        <w:ind w:left="1100" w:right="99"/>
        <w:spacing w:after="0" w:line="289" w:lineRule="auto"/>
        <w:rPr>
          <w:sz w:val="20"/>
          <w:szCs w:val="20"/>
          <w:color w:val="auto"/>
        </w:rPr>
      </w:pPr>
      <w:r>
        <w:rPr>
          <w:rFonts w:ascii="Arial" w:cs="Arial" w:eastAsia="Arial" w:hAnsi="Arial"/>
          <w:sz w:val="14"/>
          <w:szCs w:val="14"/>
          <w:color w:val="auto"/>
        </w:rPr>
        <w:t>COVID-19 continues to disrupt our communities and workplaces, and despite those challenges, we are proud of the Company’s efforts to deliver another year of historic financial performance. Microsoft’s diverse product portfolio, durable business models, and integrated, modern technology stack uniquely positioned the Company for continued progress during the past year.</w:t>
      </w:r>
    </w:p>
    <w:p>
      <w:pPr>
        <w:spacing w:after="0" w:line="66" w:lineRule="exact"/>
        <w:rPr>
          <w:sz w:val="20"/>
          <w:szCs w:val="20"/>
          <w:color w:val="auto"/>
        </w:rPr>
      </w:pPr>
    </w:p>
    <w:p>
      <w:pPr>
        <w:ind w:left="1100" w:right="279"/>
        <w:spacing w:after="0" w:line="238" w:lineRule="auto"/>
        <w:rPr>
          <w:sz w:val="20"/>
          <w:szCs w:val="20"/>
          <w:color w:val="auto"/>
        </w:rPr>
      </w:pPr>
      <w:r>
        <w:rPr>
          <w:rFonts w:ascii="Arial" w:cs="Arial" w:eastAsia="Arial" w:hAnsi="Arial"/>
          <w:sz w:val="16"/>
          <w:szCs w:val="16"/>
          <w:color w:val="auto"/>
        </w:rPr>
        <w:t>Our executive compensation program is designed to achieve strong alignment between our long-term strategic goals and our shareholders’ interests, while providing a competitive total pay opportunity to attract and retain the key executives who drive our business and develop the next generation of leaders. We are committed to continually reviewing our compensation program to ensure it is grounded in our pay-for-performance philosophy.</w:t>
      </w:r>
    </w:p>
    <w:p>
      <w:pPr>
        <w:spacing w:after="0" w:line="99" w:lineRule="exact"/>
        <w:rPr>
          <w:sz w:val="20"/>
          <w:szCs w:val="20"/>
          <w:color w:val="auto"/>
        </w:rPr>
      </w:pPr>
    </w:p>
    <w:p>
      <w:pPr>
        <w:ind w:left="1100" w:right="79"/>
        <w:spacing w:after="0" w:line="238" w:lineRule="auto"/>
        <w:rPr>
          <w:sz w:val="20"/>
          <w:szCs w:val="20"/>
          <w:color w:val="auto"/>
        </w:rPr>
      </w:pPr>
      <w:r>
        <w:rPr>
          <w:rFonts w:ascii="Arial" w:cs="Arial" w:eastAsia="Arial" w:hAnsi="Arial"/>
          <w:sz w:val="16"/>
          <w:szCs w:val="16"/>
          <w:color w:val="auto"/>
        </w:rPr>
        <w:t>Our Company continued with its active shareholder engagement program during fiscal year 2021, engaging investors representing approximately 50% of our shares outstanding. This included calls led by the Compensation Committee Chair and Independent Board Chair focused on soliciting our shareholders’ perspectives on our compensation structure and disclosure. We carefully considered shareholder feedback as we made changes to our fiscal year 2021 compensation program.</w:t>
      </w:r>
    </w:p>
    <w:p>
      <w:pPr>
        <w:spacing w:after="0" w:line="99"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For fiscal year 2021, we increased pay-for-performance alignment with shareholder interests in response to shareholder feedback.</w:t>
      </w:r>
    </w:p>
    <w:p>
      <w:pPr>
        <w:spacing w:after="0" w:line="20"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Our changes included the following:</w:t>
      </w:r>
    </w:p>
    <w:p>
      <w:pPr>
        <w:spacing w:after="0" w:line="114" w:lineRule="exact"/>
        <w:rPr>
          <w:sz w:val="20"/>
          <w:szCs w:val="20"/>
          <w:color w:val="auto"/>
        </w:rPr>
      </w:pPr>
    </w:p>
    <w:p>
      <w:pPr>
        <w:ind w:left="1260" w:hanging="158"/>
        <w:spacing w:after="0"/>
        <w:tabs>
          <w:tab w:leader="none" w:pos="12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Increased the weighting of the financial metrics portion of the CEO’s annual cash incentive from 50% to 70%</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Increased the portion of our CEO’s equity awards tied to performance metrics from 50% to 70%</w:t>
      </w:r>
    </w:p>
    <w:p>
      <w:pPr>
        <w:spacing w:after="0" w:line="113" w:lineRule="exact"/>
        <w:rPr>
          <w:rFonts w:ascii="Arial" w:cs="Arial" w:eastAsia="Arial" w:hAnsi="Arial"/>
          <w:sz w:val="16"/>
          <w:szCs w:val="16"/>
          <w:color w:val="auto"/>
        </w:rPr>
      </w:pPr>
    </w:p>
    <w:p>
      <w:pPr>
        <w:ind w:left="1260" w:right="259" w:hanging="158"/>
        <w:spacing w:after="0" w:line="308" w:lineRule="auto"/>
        <w:tabs>
          <w:tab w:leader="none" w:pos="1260" w:val="left"/>
        </w:tabs>
        <w:numPr>
          <w:ilvl w:val="0"/>
          <w:numId w:val="64"/>
        </w:numPr>
        <w:rPr>
          <w:rFonts w:ascii="Arial" w:cs="Arial" w:eastAsia="Arial" w:hAnsi="Arial"/>
          <w:sz w:val="14"/>
          <w:szCs w:val="14"/>
          <w:color w:val="auto"/>
        </w:rPr>
      </w:pPr>
      <w:r>
        <w:rPr>
          <w:rFonts w:ascii="Arial" w:cs="Arial" w:eastAsia="Arial" w:hAnsi="Arial"/>
          <w:sz w:val="14"/>
          <w:szCs w:val="14"/>
          <w:color w:val="auto"/>
        </w:rPr>
        <w:t>Revised the TSR modifier to our performance stock awards (“PSAs”) for all named executive officers (“Named Executives”) to provide for a reduction in payout for all PSA recipients, if relative TSR falls below the 40th percentile of the S&amp;P 500</w:t>
      </w:r>
    </w:p>
    <w:p>
      <w:pPr>
        <w:spacing w:after="0" w:line="53" w:lineRule="exact"/>
        <w:rPr>
          <w:sz w:val="20"/>
          <w:szCs w:val="20"/>
          <w:color w:val="auto"/>
        </w:rPr>
      </w:pPr>
    </w:p>
    <w:p>
      <w:pPr>
        <w:ind w:left="1100" w:right="39"/>
        <w:spacing w:after="0" w:line="238" w:lineRule="auto"/>
        <w:rPr>
          <w:sz w:val="20"/>
          <w:szCs w:val="20"/>
          <w:color w:val="auto"/>
        </w:rPr>
      </w:pPr>
      <w:r>
        <w:rPr>
          <w:rFonts w:ascii="Arial" w:cs="Arial" w:eastAsia="Arial" w:hAnsi="Arial"/>
          <w:sz w:val="16"/>
          <w:szCs w:val="16"/>
          <w:color w:val="auto"/>
        </w:rPr>
        <w:t>As a result of COVID-19 disruptions to markets, during fiscal year 2021 we made a one-time decision to use semi-annual goals for the financial metrics used in both our cash incentive and performance stock award portions of our Executive Incentive Plan. This change was consistent with the goal-setting process used for our Company’s broad-based sales incentive programs and was made to mitigate some of the uncertainty in the marketplace.</w:t>
      </w:r>
    </w:p>
    <w:p>
      <w:pPr>
        <w:spacing w:after="0" w:line="99" w:lineRule="exact"/>
        <w:rPr>
          <w:sz w:val="20"/>
          <w:szCs w:val="20"/>
          <w:color w:val="auto"/>
        </w:rPr>
      </w:pPr>
    </w:p>
    <w:p>
      <w:pPr>
        <w:ind w:left="1100" w:right="39"/>
        <w:spacing w:after="0" w:line="275" w:lineRule="auto"/>
        <w:rPr>
          <w:sz w:val="20"/>
          <w:szCs w:val="20"/>
          <w:color w:val="auto"/>
        </w:rPr>
      </w:pPr>
      <w:r>
        <w:rPr>
          <w:rFonts w:ascii="Arial" w:cs="Arial" w:eastAsia="Arial" w:hAnsi="Arial"/>
          <w:sz w:val="14"/>
          <w:szCs w:val="14"/>
          <w:color w:val="auto"/>
        </w:rPr>
        <w:t>We also continue to look carefully at emerging investor expectations and best practices for addressing ESG commitments in our executive compensation programs. We have been early leaders in this practice, including an assessment of CEO and senior leadership team progress on culture and diversity and inclusion since 2016 as part of the culture and organizational leadership category of the operational assessment component of the annual cash incentive under our Executive Incentive Plan. With senior management’s focus on achieving Microsoft’s ambitious carbon reduction commitments, CEO and senior leadership team progress on sustainability is assessed as part of the customers and stakeholders category of the operational assessment component of the cash incentive. We continue to seek feedback from investors and compensation experts as we thoughtfully consider further future enhancements that connect executive compensation to Microsoft’s environmental and social commitments.</w:t>
      </w:r>
    </w:p>
    <w:p>
      <w:pPr>
        <w:spacing w:after="0" w:line="78" w:lineRule="exact"/>
        <w:rPr>
          <w:sz w:val="20"/>
          <w:szCs w:val="20"/>
          <w:color w:val="auto"/>
        </w:rPr>
      </w:pPr>
    </w:p>
    <w:p>
      <w:pPr>
        <w:ind w:left="1100" w:right="299"/>
        <w:spacing w:after="0" w:line="238" w:lineRule="auto"/>
        <w:rPr>
          <w:sz w:val="20"/>
          <w:szCs w:val="20"/>
          <w:color w:val="auto"/>
        </w:rPr>
      </w:pPr>
      <w:r>
        <w:rPr>
          <w:rFonts w:ascii="Arial" w:cs="Arial" w:eastAsia="Arial" w:hAnsi="Arial"/>
          <w:sz w:val="16"/>
          <w:szCs w:val="16"/>
          <w:color w:val="auto"/>
        </w:rPr>
        <w:t>We believe that these enhancements build on our efforts to thoughtfully align the interests of our shareholders and incentivize growth in the long-term. We appreciate your support and welcome your feedback on our compensation program reflected in the following pages and look forward to continued dialogue in the future.</w:t>
      </w:r>
    </w:p>
    <w:p>
      <w:pPr>
        <w:spacing w:after="0" w:line="100"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Sincerely,</w:t>
      </w:r>
    </w:p>
    <w:p>
      <w:pPr>
        <w:spacing w:after="0" w:line="83"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The Compensation Committee</w:t>
      </w:r>
    </w:p>
    <w:p>
      <w:pPr>
        <w:spacing w:after="0" w:line="13"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Sandra E. Peterson (Chair)</w:t>
      </w:r>
    </w:p>
    <w:p>
      <w:pPr>
        <w:ind w:left="1100"/>
        <w:spacing w:after="0" w:line="236" w:lineRule="auto"/>
        <w:rPr>
          <w:sz w:val="20"/>
          <w:szCs w:val="20"/>
          <w:color w:val="auto"/>
        </w:rPr>
      </w:pPr>
      <w:r>
        <w:rPr>
          <w:rFonts w:ascii="Arial" w:cs="Arial" w:eastAsia="Arial" w:hAnsi="Arial"/>
          <w:sz w:val="16"/>
          <w:szCs w:val="16"/>
          <w:color w:val="auto"/>
        </w:rPr>
        <w:t>Charles W. Scharf</w:t>
      </w:r>
    </w:p>
    <w:p>
      <w:pPr>
        <w:ind w:left="1100"/>
        <w:spacing w:after="0" w:line="237" w:lineRule="auto"/>
        <w:rPr>
          <w:sz w:val="20"/>
          <w:szCs w:val="20"/>
          <w:color w:val="auto"/>
        </w:rPr>
      </w:pPr>
      <w:r>
        <w:rPr>
          <w:rFonts w:ascii="Arial" w:cs="Arial" w:eastAsia="Arial" w:hAnsi="Arial"/>
          <w:sz w:val="16"/>
          <w:szCs w:val="16"/>
          <w:color w:val="auto"/>
        </w:rPr>
        <w:t>Emma N. Walmsley</w:t>
      </w:r>
    </w:p>
    <w:p>
      <w:pPr>
        <w:ind w:left="1100"/>
        <w:spacing w:after="0"/>
        <w:rPr>
          <w:sz w:val="20"/>
          <w:szCs w:val="20"/>
          <w:color w:val="auto"/>
        </w:rPr>
      </w:pPr>
      <w:r>
        <w:rPr>
          <w:rFonts w:ascii="Arial" w:cs="Arial" w:eastAsia="Arial" w:hAnsi="Arial"/>
          <w:sz w:val="16"/>
          <w:szCs w:val="16"/>
          <w:color w:val="auto"/>
        </w:rPr>
        <w:t>Padmasree Warrior</w:t>
      </w:r>
    </w:p>
    <w:p>
      <w:pPr>
        <w:spacing w:after="0" w:line="200" w:lineRule="exact"/>
        <w:rPr>
          <w:sz w:val="20"/>
          <w:szCs w:val="20"/>
          <w:color w:val="auto"/>
        </w:rPr>
      </w:pPr>
    </w:p>
    <w:p>
      <w:pPr>
        <w:spacing w:after="0" w:line="302"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-94615</wp:posOffset>
            </wp:positionV>
            <wp:extent cx="485140" cy="9842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39"/>
          </w:cols>
          <w:pgMar w:left="320" w:top="445" w:right="1440"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auto"/>
                <w:w w:val="89"/>
              </w:rPr>
              <w:t>1</w:t>
            </w:r>
          </w:p>
        </w:tc>
        <w:tc>
          <w:tcPr>
            <w:tcW w:w="1380" w:type="dxa"/>
            <w:vAlign w:val="bottom"/>
            <w:vMerge w:val="restart"/>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gridSpan w:val="2"/>
          </w:tcPr>
          <w:p>
            <w:pPr>
              <w:jc w:val="right"/>
              <w:ind w:right="80"/>
              <w:spacing w:after="0"/>
              <w:rPr>
                <w:sz w:val="20"/>
                <w:szCs w:val="20"/>
                <w:color w:val="auto"/>
              </w:rPr>
            </w:pPr>
            <w:r>
              <w:rPr>
                <w:rFonts w:ascii="Arial" w:cs="Arial" w:eastAsia="Arial" w:hAnsi="Arial"/>
                <w:sz w:val="36"/>
                <w:szCs w:val="36"/>
                <w:color w:val="0075C9"/>
              </w:rPr>
              <w:t>2</w:t>
            </w:r>
          </w:p>
        </w:tc>
        <w:tc>
          <w:tcPr>
            <w:tcW w:w="1320" w:type="dxa"/>
            <w:vAlign w:val="bottom"/>
            <w:vMerge w:val="restart"/>
          </w:tcPr>
          <w:p>
            <w:pPr>
              <w:ind w:left="60"/>
              <w:spacing w:after="0"/>
              <w:rPr>
                <w:sz w:val="20"/>
                <w:szCs w:val="20"/>
                <w:color w:val="auto"/>
              </w:rPr>
            </w:pPr>
            <w:r>
              <w:rPr>
                <w:rFonts w:ascii="Arial" w:cs="Arial" w:eastAsia="Arial" w:hAnsi="Arial"/>
                <w:sz w:val="12"/>
                <w:szCs w:val="12"/>
                <w:color w:val="0075C9"/>
              </w:rPr>
              <w:t>NAMED</w:t>
            </w:r>
          </w:p>
        </w:tc>
        <w:tc>
          <w:tcPr>
            <w:tcW w:w="740" w:type="dxa"/>
            <w:vAlign w:val="bottom"/>
          </w:tcPr>
          <w:p>
            <w:pPr>
              <w:jc w:val="right"/>
              <w:spacing w:after="0"/>
              <w:rPr>
                <w:sz w:val="20"/>
                <w:szCs w:val="20"/>
                <w:color w:val="auto"/>
              </w:rPr>
            </w:pPr>
            <w:r>
              <w:rPr>
                <w:rFonts w:ascii="Arial" w:cs="Arial" w:eastAsia="Arial" w:hAnsi="Arial"/>
                <w:sz w:val="36"/>
                <w:szCs w:val="36"/>
                <w:color w:val="auto"/>
              </w:rPr>
              <w:t>3</w:t>
            </w:r>
          </w:p>
        </w:tc>
        <w:tc>
          <w:tcPr>
            <w:tcW w:w="1020" w:type="dxa"/>
            <w:vAlign w:val="bottom"/>
            <w:vMerge w:val="restart"/>
          </w:tcPr>
          <w:p>
            <w:pPr>
              <w:ind w:left="60"/>
              <w:spacing w:after="0"/>
              <w:rPr>
                <w:sz w:val="20"/>
                <w:szCs w:val="20"/>
                <w:color w:val="auto"/>
              </w:rPr>
            </w:pPr>
            <w:r>
              <w:rPr>
                <w:rFonts w:ascii="Arial" w:cs="Arial" w:eastAsia="Arial" w:hAnsi="Arial"/>
                <w:sz w:val="12"/>
                <w:szCs w:val="12"/>
                <w:color w:val="auto"/>
              </w:rPr>
              <w:t>AUDIT</w:t>
            </w:r>
          </w:p>
        </w:tc>
        <w:tc>
          <w:tcPr>
            <w:tcW w:w="500" w:type="dxa"/>
            <w:vAlign w:val="bottom"/>
          </w:tcPr>
          <w:p>
            <w:pPr>
              <w:jc w:val="right"/>
              <w:spacing w:after="0"/>
              <w:rPr>
                <w:sz w:val="20"/>
                <w:szCs w:val="20"/>
                <w:color w:val="auto"/>
              </w:rPr>
            </w:pPr>
            <w:r>
              <w:rPr>
                <w:rFonts w:ascii="Arial" w:cs="Arial" w:eastAsia="Arial" w:hAnsi="Arial"/>
                <w:sz w:val="36"/>
                <w:szCs w:val="36"/>
                <w:color w:val="auto"/>
              </w:rPr>
              <w:t>4</w:t>
            </w:r>
          </w:p>
        </w:tc>
        <w:tc>
          <w:tcPr>
            <w:tcW w:w="1580" w:type="dxa"/>
            <w:vAlign w:val="bottom"/>
            <w:vMerge w:val="restart"/>
          </w:tcPr>
          <w:p>
            <w:pPr>
              <w:ind w:left="80"/>
              <w:spacing w:after="0"/>
              <w:rPr>
                <w:sz w:val="20"/>
                <w:szCs w:val="20"/>
                <w:color w:val="auto"/>
              </w:rPr>
            </w:pPr>
            <w:r>
              <w:rPr>
                <w:rFonts w:ascii="Arial" w:cs="Arial" w:eastAsia="Arial" w:hAnsi="Arial"/>
                <w:sz w:val="12"/>
                <w:szCs w:val="12"/>
                <w:color w:val="auto"/>
              </w:rPr>
              <w:t>PROPOSALS TO</w:t>
            </w:r>
          </w:p>
        </w:tc>
        <w:tc>
          <w:tcPr>
            <w:tcW w:w="420" w:type="dxa"/>
            <w:vAlign w:val="bottom"/>
          </w:tcPr>
          <w:p>
            <w:pPr>
              <w:jc w:val="right"/>
              <w:spacing w:after="0"/>
              <w:rPr>
                <w:sz w:val="20"/>
                <w:szCs w:val="20"/>
                <w:color w:val="auto"/>
              </w:rPr>
            </w:pPr>
            <w:r>
              <w:rPr>
                <w:rFonts w:ascii="Arial" w:cs="Arial" w:eastAsia="Arial" w:hAnsi="Arial"/>
                <w:sz w:val="36"/>
                <w:szCs w:val="36"/>
                <w:color w:val="auto"/>
              </w:rPr>
              <w:t>5</w:t>
            </w:r>
          </w:p>
        </w:tc>
        <w:tc>
          <w:tcPr>
            <w:tcW w:w="1360" w:type="dxa"/>
            <w:vAlign w:val="bottom"/>
            <w:vMerge w:val="restart"/>
          </w:tcPr>
          <w:p>
            <w:pPr>
              <w:ind w:left="80"/>
              <w:spacing w:after="0"/>
              <w:rPr>
                <w:sz w:val="20"/>
                <w:szCs w:val="20"/>
                <w:color w:val="auto"/>
              </w:rPr>
            </w:pPr>
            <w:r>
              <w:rPr>
                <w:rFonts w:ascii="Arial" w:cs="Arial" w:eastAsia="Arial" w:hAnsi="Arial"/>
                <w:sz w:val="12"/>
                <w:szCs w:val="12"/>
                <w:color w:val="auto"/>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38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tcPr>
          <w:p>
            <w:pPr>
              <w:ind w:left="60"/>
              <w:spacing w:after="0" w:line="130" w:lineRule="exact"/>
              <w:rPr>
                <w:sz w:val="20"/>
                <w:szCs w:val="20"/>
                <w:color w:val="auto"/>
              </w:rPr>
            </w:pPr>
            <w:r>
              <w:rPr>
                <w:rFonts w:ascii="Arial" w:cs="Arial" w:eastAsia="Arial" w:hAnsi="Arial"/>
                <w:sz w:val="12"/>
                <w:szCs w:val="12"/>
                <w:color w:val="0075C9"/>
                <w:w w:val="99"/>
              </w:rPr>
              <w:t>EXECUTIVE OFFICER</w:t>
            </w:r>
          </w:p>
        </w:tc>
        <w:tc>
          <w:tcPr>
            <w:tcW w:w="740" w:type="dxa"/>
            <w:vAlign w:val="bottom"/>
          </w:tcPr>
          <w:p>
            <w:pPr>
              <w:spacing w:after="0"/>
              <w:rPr>
                <w:sz w:val="11"/>
                <w:szCs w:val="11"/>
                <w:color w:val="auto"/>
              </w:rPr>
            </w:pPr>
          </w:p>
        </w:tc>
        <w:tc>
          <w:tcPr>
            <w:tcW w:w="1020" w:type="dxa"/>
            <w:vAlign w:val="bottom"/>
          </w:tcPr>
          <w:p>
            <w:pPr>
              <w:ind w:left="60"/>
              <w:spacing w:after="0" w:line="130" w:lineRule="exact"/>
              <w:rPr>
                <w:sz w:val="20"/>
                <w:szCs w:val="20"/>
                <w:color w:val="auto"/>
              </w:rPr>
            </w:pPr>
            <w:r>
              <w:rPr>
                <w:rFonts w:ascii="Arial" w:cs="Arial" w:eastAsia="Arial" w:hAnsi="Arial"/>
                <w:sz w:val="12"/>
                <w:szCs w:val="12"/>
                <w:color w:val="auto"/>
              </w:rPr>
              <w:t>COMMITTEE</w:t>
            </w:r>
          </w:p>
        </w:tc>
        <w:tc>
          <w:tcPr>
            <w:tcW w:w="500" w:type="dxa"/>
            <w:vAlign w:val="bottom"/>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20" w:type="dxa"/>
            <w:vAlign w:val="bottom"/>
          </w:tcPr>
          <w:p>
            <w:pPr>
              <w:spacing w:after="0"/>
              <w:rPr>
                <w:sz w:val="11"/>
                <w:szCs w:val="11"/>
                <w:color w:val="auto"/>
              </w:rPr>
            </w:pPr>
          </w:p>
        </w:tc>
        <w:tc>
          <w:tcPr>
            <w:tcW w:w="136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380" w:type="dxa"/>
            <w:vAlign w:val="bottom"/>
          </w:tcPr>
          <w:p>
            <w:pPr>
              <w:ind w:left="80"/>
              <w:spacing w:after="0"/>
              <w:rPr>
                <w:sz w:val="20"/>
                <w:szCs w:val="20"/>
                <w:color w:val="auto"/>
              </w:rPr>
            </w:pPr>
            <w:r>
              <w:rPr>
                <w:rFonts w:ascii="Arial" w:cs="Arial" w:eastAsia="Arial" w:hAnsi="Arial"/>
                <w:sz w:val="12"/>
                <w:szCs w:val="12"/>
                <w:color w:val="auto"/>
              </w:rPr>
              <w:t>DIRECTORS</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0075C9"/>
              </w:rPr>
              <w:t>COMPENSATION</w:t>
            </w:r>
          </w:p>
        </w:tc>
        <w:tc>
          <w:tcPr>
            <w:tcW w:w="740" w:type="dxa"/>
            <w:vAlign w:val="bottom"/>
          </w:tcPr>
          <w:p>
            <w:pPr>
              <w:spacing w:after="0"/>
              <w:rPr>
                <w:sz w:val="12"/>
                <w:szCs w:val="12"/>
                <w:color w:val="auto"/>
              </w:rPr>
            </w:pPr>
          </w:p>
        </w:tc>
        <w:tc>
          <w:tcPr>
            <w:tcW w:w="1020" w:type="dxa"/>
            <w:vAlign w:val="bottom"/>
          </w:tcPr>
          <w:p>
            <w:pPr>
              <w:ind w:left="60"/>
              <w:spacing w:after="0"/>
              <w:rPr>
                <w:sz w:val="20"/>
                <w:szCs w:val="20"/>
                <w:color w:val="auto"/>
              </w:rPr>
            </w:pPr>
            <w:r>
              <w:rPr>
                <w:rFonts w:ascii="Arial" w:cs="Arial" w:eastAsia="Arial" w:hAnsi="Arial"/>
                <w:sz w:val="12"/>
                <w:szCs w:val="12"/>
                <w:color w:val="auto"/>
              </w:rPr>
              <w:t>MATTERS</w:t>
            </w:r>
          </w:p>
        </w:tc>
        <w:tc>
          <w:tcPr>
            <w:tcW w:w="500" w:type="dxa"/>
            <w:vAlign w:val="bottom"/>
          </w:tcPr>
          <w:p>
            <w:pPr>
              <w:spacing w:after="0"/>
              <w:rPr>
                <w:sz w:val="12"/>
                <w:szCs w:val="12"/>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20" w:type="dxa"/>
            <w:vAlign w:val="bottom"/>
          </w:tcPr>
          <w:p>
            <w:pPr>
              <w:spacing w:after="0"/>
              <w:rPr>
                <w:sz w:val="12"/>
                <w:szCs w:val="12"/>
                <w:color w:val="auto"/>
              </w:rPr>
            </w:pPr>
          </w:p>
        </w:tc>
        <w:tc>
          <w:tcPr>
            <w:tcW w:w="136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280" w:type="dxa"/>
            <w:vAlign w:val="bottom"/>
            <w:tcBorders>
              <w:bottom w:val="single" w:sz="8" w:color="0075C9"/>
            </w:tcBorders>
          </w:tcPr>
          <w:p>
            <w:pPr>
              <w:spacing w:after="0"/>
              <w:rPr>
                <w:sz w:val="24"/>
                <w:szCs w:val="24"/>
                <w:color w:val="auto"/>
              </w:rPr>
            </w:pPr>
          </w:p>
        </w:tc>
        <w:tc>
          <w:tcPr>
            <w:tcW w:w="1380" w:type="dxa"/>
            <w:vAlign w:val="bottom"/>
            <w:tcBorders>
              <w:bottom w:val="single" w:sz="8" w:color="0075C9"/>
            </w:tcBorders>
          </w:tcPr>
          <w:p>
            <w:pPr>
              <w:spacing w:after="0"/>
              <w:rPr>
                <w:sz w:val="24"/>
                <w:szCs w:val="24"/>
                <w:color w:val="auto"/>
              </w:rPr>
            </w:pPr>
          </w:p>
        </w:tc>
        <w:tc>
          <w:tcPr>
            <w:tcW w:w="160" w:type="dxa"/>
            <w:vAlign w:val="bottom"/>
            <w:tcBorders>
              <w:bottom w:val="single" w:sz="8" w:color="0075C9"/>
            </w:tcBorders>
          </w:tcPr>
          <w:p>
            <w:pPr>
              <w:spacing w:after="0"/>
              <w:rPr>
                <w:sz w:val="24"/>
                <w:szCs w:val="24"/>
                <w:color w:val="auto"/>
              </w:rPr>
            </w:pPr>
          </w:p>
        </w:tc>
        <w:tc>
          <w:tcPr>
            <w:tcW w:w="280" w:type="dxa"/>
            <w:vAlign w:val="bottom"/>
            <w:tcBorders>
              <w:bottom w:val="single" w:sz="8" w:color="0075C9"/>
            </w:tcBorders>
          </w:tcPr>
          <w:p>
            <w:pPr>
              <w:spacing w:after="0"/>
              <w:rPr>
                <w:sz w:val="24"/>
                <w:szCs w:val="24"/>
                <w:color w:val="auto"/>
              </w:rPr>
            </w:pPr>
          </w:p>
        </w:tc>
        <w:tc>
          <w:tcPr>
            <w:tcW w:w="1320" w:type="dxa"/>
            <w:vAlign w:val="bottom"/>
            <w:tcBorders>
              <w:bottom w:val="single" w:sz="8" w:color="0075C9"/>
            </w:tcBorders>
          </w:tcPr>
          <w:p>
            <w:pPr>
              <w:spacing w:after="0"/>
              <w:rPr>
                <w:sz w:val="24"/>
                <w:szCs w:val="24"/>
                <w:color w:val="auto"/>
              </w:rPr>
            </w:pPr>
          </w:p>
        </w:tc>
        <w:tc>
          <w:tcPr>
            <w:tcW w:w="740" w:type="dxa"/>
            <w:vAlign w:val="bottom"/>
            <w:tcBorders>
              <w:bottom w:val="single" w:sz="8" w:color="0075C9"/>
            </w:tcBorders>
          </w:tcPr>
          <w:p>
            <w:pPr>
              <w:spacing w:after="0"/>
              <w:rPr>
                <w:sz w:val="24"/>
                <w:szCs w:val="24"/>
                <w:color w:val="auto"/>
              </w:rPr>
            </w:pPr>
          </w:p>
        </w:tc>
        <w:tc>
          <w:tcPr>
            <w:tcW w:w="1020" w:type="dxa"/>
            <w:vAlign w:val="bottom"/>
            <w:tcBorders>
              <w:bottom w:val="single" w:sz="8" w:color="0075C9"/>
            </w:tcBorders>
          </w:tcPr>
          <w:p>
            <w:pPr>
              <w:spacing w:after="0"/>
              <w:rPr>
                <w:sz w:val="24"/>
                <w:szCs w:val="24"/>
                <w:color w:val="auto"/>
              </w:rPr>
            </w:pPr>
          </w:p>
        </w:tc>
        <w:tc>
          <w:tcPr>
            <w:tcW w:w="500" w:type="dxa"/>
            <w:vAlign w:val="bottom"/>
            <w:tcBorders>
              <w:bottom w:val="single" w:sz="8" w:color="0075C9"/>
            </w:tcBorders>
          </w:tcPr>
          <w:p>
            <w:pPr>
              <w:spacing w:after="0"/>
              <w:rPr>
                <w:sz w:val="24"/>
                <w:szCs w:val="24"/>
                <w:color w:val="auto"/>
              </w:rPr>
            </w:pPr>
          </w:p>
        </w:tc>
        <w:tc>
          <w:tcPr>
            <w:tcW w:w="1580" w:type="dxa"/>
            <w:vAlign w:val="bottom"/>
            <w:tcBorders>
              <w:bottom w:val="single" w:sz="8" w:color="0075C9"/>
            </w:tcBorders>
          </w:tcPr>
          <w:p>
            <w:pPr>
              <w:spacing w:after="0"/>
              <w:rPr>
                <w:sz w:val="24"/>
                <w:szCs w:val="24"/>
                <w:color w:val="auto"/>
              </w:rPr>
            </w:pPr>
          </w:p>
        </w:tc>
        <w:tc>
          <w:tcPr>
            <w:tcW w:w="420" w:type="dxa"/>
            <w:vAlign w:val="bottom"/>
            <w:tcBorders>
              <w:bottom w:val="single" w:sz="8" w:color="0075C9"/>
            </w:tcBorders>
          </w:tcPr>
          <w:p>
            <w:pPr>
              <w:spacing w:after="0"/>
              <w:rPr>
                <w:sz w:val="24"/>
                <w:szCs w:val="24"/>
                <w:color w:val="auto"/>
              </w:rPr>
            </w:pPr>
          </w:p>
        </w:tc>
        <w:tc>
          <w:tcPr>
            <w:tcW w:w="1360" w:type="dxa"/>
            <w:vAlign w:val="bottom"/>
            <w:tcBorders>
              <w:bottom w:val="single" w:sz="8" w:color="0075C9"/>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Compensation Discussion and Analysis</w:t>
      </w:r>
    </w:p>
    <w:p>
      <w:pPr>
        <w:spacing w:after="0" w:line="143" w:lineRule="exact"/>
        <w:rPr>
          <w:sz w:val="20"/>
          <w:szCs w:val="20"/>
          <w:color w:val="auto"/>
        </w:rPr>
      </w:pPr>
    </w:p>
    <w:p>
      <w:pPr>
        <w:ind w:left="1100" w:right="320"/>
        <w:spacing w:after="0" w:line="308" w:lineRule="auto"/>
        <w:rPr>
          <w:sz w:val="20"/>
          <w:szCs w:val="20"/>
          <w:color w:val="auto"/>
        </w:rPr>
      </w:pPr>
      <w:r>
        <w:rPr>
          <w:rFonts w:ascii="Arial" w:cs="Arial" w:eastAsia="Arial" w:hAnsi="Arial"/>
          <w:sz w:val="14"/>
          <w:szCs w:val="14"/>
          <w:color w:val="auto"/>
        </w:rPr>
        <w:t>This Compensation Discussion and Analysis provides information about our fiscal year 2021 compensation program for our fiscal year 2021 Named Executives. The content of this Compensation Discussion and Analysis is organized into six sections:</w:t>
      </w:r>
    </w:p>
    <w:p>
      <w:pPr>
        <w:spacing w:after="0" w:line="252" w:lineRule="exact"/>
        <w:rPr>
          <w:sz w:val="20"/>
          <w:szCs w:val="20"/>
          <w:color w:val="auto"/>
        </w:rPr>
      </w:pPr>
    </w:p>
    <w:p>
      <w:pPr>
        <w:ind w:left="4820"/>
        <w:spacing w:after="0"/>
        <w:rPr>
          <w:sz w:val="20"/>
          <w:szCs w:val="20"/>
          <w:color w:val="auto"/>
        </w:rPr>
      </w:pPr>
      <w:r>
        <w:rPr>
          <w:rFonts w:ascii="Arial" w:cs="Arial" w:eastAsia="Arial" w:hAnsi="Arial"/>
          <w:sz w:val="21"/>
          <w:szCs w:val="21"/>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-50165</wp:posOffset>
            </wp:positionV>
            <wp:extent cx="5748020" cy="18008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748020" cy="1800860"/>
                    </a:xfrm>
                    <a:prstGeom prst="rect">
                      <a:avLst/>
                    </a:prstGeom>
                    <a:noFill/>
                  </pic:spPr>
                </pic:pic>
              </a:graphicData>
            </a:graphic>
          </wp:anchor>
        </w:drawing>
      </w:r>
    </w:p>
    <w:p>
      <w:pPr>
        <w:spacing w:after="0" w:line="161" w:lineRule="exact"/>
        <w:rPr>
          <w:sz w:val="20"/>
          <w:szCs w:val="20"/>
          <w:color w:val="auto"/>
        </w:rPr>
      </w:pPr>
    </w:p>
    <w:tbl>
      <w:tblPr>
        <w:tblLayout w:type="fixed"/>
        <w:tblInd w:w="1600" w:type="dxa"/>
        <w:tblCellMar>
          <w:top w:w="0" w:type="dxa"/>
          <w:left w:w="0" w:type="dxa"/>
          <w:bottom w:w="0" w:type="dxa"/>
          <w:right w:w="0" w:type="dxa"/>
        </w:tblCellMar>
      </w:tblPr>
      <w:tr>
        <w:trPr>
          <w:trHeight w:val="218"/>
        </w:trPr>
        <w:tc>
          <w:tcPr>
            <w:tcW w:w="2920" w:type="dxa"/>
            <w:vAlign w:val="bottom"/>
            <w:tcBorders>
              <w:bottom w:val="single" w:sz="8" w:color="0000EE"/>
            </w:tcBorders>
            <w:gridSpan w:val="4"/>
          </w:tcPr>
          <w:p>
            <w:pPr>
              <w:spacing w:after="0"/>
              <w:rPr>
                <w:rFonts w:ascii="Arial" w:cs="Arial" w:eastAsia="Arial" w:hAnsi="Arial"/>
                <w:sz w:val="19"/>
                <w:szCs w:val="19"/>
                <w:b w:val="1"/>
                <w:bCs w:val="1"/>
                <w:color w:val="0000EE"/>
                <w:w w:val="99"/>
              </w:rPr>
            </w:pPr>
            <w:hyperlink w:anchor="page41">
              <w:r>
                <w:rPr>
                  <w:rFonts w:ascii="Arial" w:cs="Arial" w:eastAsia="Arial" w:hAnsi="Arial"/>
                  <w:sz w:val="19"/>
                  <w:szCs w:val="19"/>
                  <w:b w:val="1"/>
                  <w:bCs w:val="1"/>
                  <w:color w:val="0000EE"/>
                  <w:w w:val="99"/>
                </w:rPr>
                <w:t>Section 1 – Performance Update</w:t>
              </w:r>
            </w:hyperlink>
          </w:p>
        </w:tc>
        <w:tc>
          <w:tcPr>
            <w:tcW w:w="3820" w:type="dxa"/>
            <w:vAlign w:val="bottom"/>
            <w:gridSpan w:val="5"/>
          </w:tcPr>
          <w:p>
            <w:pPr>
              <w:spacing w:after="0"/>
              <w:rPr>
                <w:sz w:val="18"/>
                <w:szCs w:val="18"/>
                <w:color w:val="auto"/>
              </w:rPr>
            </w:pPr>
          </w:p>
        </w:tc>
        <w:tc>
          <w:tcPr>
            <w:tcW w:w="1580" w:type="dxa"/>
            <w:vAlign w:val="bottom"/>
          </w:tcPr>
          <w:p>
            <w:pPr>
              <w:ind w:left="1160"/>
              <w:spacing w:after="0"/>
              <w:rPr>
                <w:sz w:val="20"/>
                <w:szCs w:val="20"/>
                <w:color w:val="auto"/>
              </w:rPr>
            </w:pPr>
            <w:r>
              <w:rPr>
                <w:rFonts w:ascii="Arial" w:cs="Arial" w:eastAsia="Arial" w:hAnsi="Arial"/>
                <w:sz w:val="19"/>
                <w:szCs w:val="19"/>
                <w:b w:val="1"/>
                <w:bCs w:val="1"/>
                <w:color w:val="auto"/>
                <w:w w:val="92"/>
              </w:rPr>
              <w:t>p. 33</w:t>
            </w:r>
          </w:p>
        </w:tc>
      </w:tr>
      <w:tr>
        <w:trPr>
          <w:trHeight w:val="394"/>
        </w:trPr>
        <w:tc>
          <w:tcPr>
            <w:tcW w:w="6740" w:type="dxa"/>
            <w:vAlign w:val="bottom"/>
            <w:gridSpan w:val="9"/>
          </w:tcPr>
          <w:p>
            <w:pPr>
              <w:spacing w:after="0"/>
              <w:rPr>
                <w:rFonts w:ascii="Arial" w:cs="Arial" w:eastAsia="Arial" w:hAnsi="Arial"/>
                <w:sz w:val="19"/>
                <w:szCs w:val="19"/>
                <w:b w:val="1"/>
                <w:bCs w:val="1"/>
                <w:color w:val="0000EE"/>
              </w:rPr>
            </w:pPr>
            <w:hyperlink w:anchor="page44">
              <w:r>
                <w:rPr>
                  <w:rFonts w:ascii="Arial" w:cs="Arial" w:eastAsia="Arial" w:hAnsi="Arial"/>
                  <w:sz w:val="19"/>
                  <w:szCs w:val="19"/>
                  <w:b w:val="1"/>
                  <w:bCs w:val="1"/>
                  <w:color w:val="0000EE"/>
                </w:rPr>
                <w:t>Section 2 – Executive Compensation Program Enhancements</w:t>
              </w:r>
            </w:hyperlink>
          </w:p>
        </w:tc>
        <w:tc>
          <w:tcPr>
            <w:tcW w:w="1580" w:type="dxa"/>
            <w:vAlign w:val="bottom"/>
          </w:tcPr>
          <w:p>
            <w:pPr>
              <w:ind w:left="1160"/>
              <w:spacing w:after="0"/>
              <w:rPr>
                <w:sz w:val="20"/>
                <w:szCs w:val="20"/>
                <w:color w:val="auto"/>
              </w:rPr>
            </w:pPr>
            <w:r>
              <w:rPr>
                <w:rFonts w:ascii="Arial" w:cs="Arial" w:eastAsia="Arial" w:hAnsi="Arial"/>
                <w:sz w:val="19"/>
                <w:szCs w:val="19"/>
                <w:b w:val="1"/>
                <w:bCs w:val="1"/>
                <w:color w:val="auto"/>
                <w:w w:val="92"/>
              </w:rPr>
              <w:t>p. 36</w:t>
            </w:r>
          </w:p>
        </w:tc>
      </w:tr>
      <w:tr>
        <w:trPr>
          <w:trHeight w:val="394"/>
        </w:trPr>
        <w:tc>
          <w:tcPr>
            <w:tcW w:w="2600" w:type="dxa"/>
            <w:vAlign w:val="bottom"/>
            <w:tcBorders>
              <w:top w:val="single" w:sz="8" w:color="0000EE"/>
            </w:tcBorders>
            <w:gridSpan w:val="3"/>
          </w:tcPr>
          <w:p>
            <w:pPr>
              <w:spacing w:after="0"/>
              <w:rPr>
                <w:rFonts w:ascii="Arial" w:cs="Arial" w:eastAsia="Arial" w:hAnsi="Arial"/>
                <w:sz w:val="19"/>
                <w:szCs w:val="19"/>
                <w:b w:val="1"/>
                <w:bCs w:val="1"/>
                <w:color w:val="0000EE"/>
              </w:rPr>
            </w:pPr>
            <w:hyperlink w:anchor="page45">
              <w:r>
                <w:rPr>
                  <w:rFonts w:ascii="Arial" w:cs="Arial" w:eastAsia="Arial" w:hAnsi="Arial"/>
                  <w:sz w:val="19"/>
                  <w:szCs w:val="19"/>
                  <w:b w:val="1"/>
                  <w:bCs w:val="1"/>
                  <w:color w:val="0000EE"/>
                </w:rPr>
                <w:t>Section 3 – Pay Setting</w:t>
              </w:r>
            </w:hyperlink>
          </w:p>
        </w:tc>
        <w:tc>
          <w:tcPr>
            <w:tcW w:w="320" w:type="dxa"/>
            <w:vAlign w:val="bottom"/>
            <w:tcBorders>
              <w:top w:val="single" w:sz="8" w:color="0000EE"/>
            </w:tcBorders>
          </w:tcPr>
          <w:p>
            <w:pPr>
              <w:spacing w:after="0"/>
              <w:rPr>
                <w:sz w:val="24"/>
                <w:szCs w:val="24"/>
                <w:color w:val="auto"/>
              </w:rPr>
            </w:pPr>
          </w:p>
        </w:tc>
        <w:tc>
          <w:tcPr>
            <w:tcW w:w="19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c>
          <w:tcPr>
            <w:tcW w:w="1580" w:type="dxa"/>
            <w:vAlign w:val="bottom"/>
          </w:tcPr>
          <w:p>
            <w:pPr>
              <w:ind w:left="1160"/>
              <w:spacing w:after="0"/>
              <w:rPr>
                <w:sz w:val="20"/>
                <w:szCs w:val="20"/>
                <w:color w:val="auto"/>
              </w:rPr>
            </w:pPr>
            <w:r>
              <w:rPr>
                <w:rFonts w:ascii="Arial" w:cs="Arial" w:eastAsia="Arial" w:hAnsi="Arial"/>
                <w:sz w:val="19"/>
                <w:szCs w:val="19"/>
                <w:b w:val="1"/>
                <w:bCs w:val="1"/>
                <w:color w:val="auto"/>
                <w:w w:val="92"/>
              </w:rPr>
              <w:t>p. 37</w:t>
            </w:r>
          </w:p>
        </w:tc>
      </w:tr>
      <w:tr>
        <w:trPr>
          <w:trHeight w:val="20"/>
        </w:trPr>
        <w:tc>
          <w:tcPr>
            <w:tcW w:w="9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94"/>
        </w:trPr>
        <w:tc>
          <w:tcPr>
            <w:tcW w:w="920" w:type="dxa"/>
            <w:vAlign w:val="bottom"/>
          </w:tcPr>
          <w:p>
            <w:pPr>
              <w:spacing w:after="0"/>
              <w:rPr>
                <w:rFonts w:ascii="Arial" w:cs="Arial" w:eastAsia="Arial" w:hAnsi="Arial"/>
                <w:sz w:val="19"/>
                <w:szCs w:val="19"/>
                <w:b w:val="1"/>
                <w:bCs w:val="1"/>
                <w:color w:val="0000EE"/>
              </w:rPr>
            </w:pPr>
            <w:hyperlink w:anchor="page49">
              <w:r>
                <w:rPr>
                  <w:rFonts w:ascii="Arial" w:cs="Arial" w:eastAsia="Arial" w:hAnsi="Arial"/>
                  <w:sz w:val="19"/>
                  <w:szCs w:val="19"/>
                  <w:b w:val="1"/>
                  <w:bCs w:val="1"/>
                  <w:color w:val="0000EE"/>
                </w:rPr>
                <w:t>Section 4</w:t>
              </w:r>
            </w:hyperlink>
          </w:p>
        </w:tc>
        <w:tc>
          <w:tcPr>
            <w:tcW w:w="1680" w:type="dxa"/>
            <w:vAlign w:val="bottom"/>
            <w:gridSpan w:val="2"/>
          </w:tcPr>
          <w:p>
            <w:pPr>
              <w:ind w:left="40"/>
              <w:spacing w:after="0"/>
              <w:rPr>
                <w:rFonts w:ascii="Arial" w:cs="Arial" w:eastAsia="Arial" w:hAnsi="Arial"/>
                <w:sz w:val="19"/>
                <w:szCs w:val="19"/>
                <w:b w:val="1"/>
                <w:bCs w:val="1"/>
                <w:color w:val="0000EE"/>
                <w:w w:val="98"/>
              </w:rPr>
            </w:pPr>
            <w:hyperlink w:anchor="page49">
              <w:r>
                <w:rPr>
                  <w:rFonts w:ascii="Arial" w:cs="Arial" w:eastAsia="Arial" w:hAnsi="Arial"/>
                  <w:sz w:val="19"/>
                  <w:szCs w:val="19"/>
                  <w:b w:val="1"/>
                  <w:bCs w:val="1"/>
                  <w:color w:val="0000EE"/>
                  <w:w w:val="98"/>
                </w:rPr>
                <w:t>– Fiscal Year 2021</w:t>
              </w:r>
            </w:hyperlink>
          </w:p>
        </w:tc>
        <w:tc>
          <w:tcPr>
            <w:tcW w:w="4140" w:type="dxa"/>
            <w:vAlign w:val="bottom"/>
            <w:gridSpan w:val="6"/>
          </w:tcPr>
          <w:p>
            <w:pPr>
              <w:ind w:left="20"/>
              <w:spacing w:after="0"/>
              <w:rPr>
                <w:rFonts w:ascii="Arial" w:cs="Arial" w:eastAsia="Arial" w:hAnsi="Arial"/>
                <w:sz w:val="19"/>
                <w:szCs w:val="19"/>
                <w:b w:val="1"/>
                <w:bCs w:val="1"/>
                <w:color w:val="0000EE"/>
              </w:rPr>
            </w:pPr>
            <w:hyperlink w:anchor="page49">
              <w:r>
                <w:rPr>
                  <w:rFonts w:ascii="Arial" w:cs="Arial" w:eastAsia="Arial" w:hAnsi="Arial"/>
                  <w:sz w:val="19"/>
                  <w:szCs w:val="19"/>
                  <w:b w:val="1"/>
                  <w:bCs w:val="1"/>
                  <w:color w:val="0000EE"/>
                </w:rPr>
                <w:t>Compensation Program Design</w:t>
              </w:r>
            </w:hyperlink>
          </w:p>
        </w:tc>
        <w:tc>
          <w:tcPr>
            <w:tcW w:w="1580" w:type="dxa"/>
            <w:vAlign w:val="bottom"/>
          </w:tcPr>
          <w:p>
            <w:pPr>
              <w:ind w:left="1160"/>
              <w:spacing w:after="0"/>
              <w:rPr>
                <w:sz w:val="20"/>
                <w:szCs w:val="20"/>
                <w:color w:val="auto"/>
              </w:rPr>
            </w:pPr>
            <w:r>
              <w:rPr>
                <w:rFonts w:ascii="Arial" w:cs="Arial" w:eastAsia="Arial" w:hAnsi="Arial"/>
                <w:sz w:val="19"/>
                <w:szCs w:val="19"/>
                <w:b w:val="1"/>
                <w:bCs w:val="1"/>
                <w:color w:val="auto"/>
                <w:w w:val="92"/>
              </w:rPr>
              <w:t>p. 41</w:t>
            </w:r>
          </w:p>
        </w:tc>
      </w:tr>
      <w:tr>
        <w:trPr>
          <w:trHeight w:val="394"/>
        </w:trPr>
        <w:tc>
          <w:tcPr>
            <w:tcW w:w="920" w:type="dxa"/>
            <w:vAlign w:val="bottom"/>
            <w:tcBorders>
              <w:top w:val="single" w:sz="8" w:color="0000EE"/>
              <w:bottom w:val="single" w:sz="8" w:color="0000EE"/>
            </w:tcBorders>
          </w:tcPr>
          <w:p>
            <w:pPr>
              <w:spacing w:after="0"/>
              <w:rPr>
                <w:rFonts w:ascii="Arial" w:cs="Arial" w:eastAsia="Arial" w:hAnsi="Arial"/>
                <w:sz w:val="19"/>
                <w:szCs w:val="19"/>
                <w:b w:val="1"/>
                <w:bCs w:val="1"/>
                <w:color w:val="0000EE"/>
              </w:rPr>
            </w:pPr>
            <w:hyperlink w:anchor="page53">
              <w:r>
                <w:rPr>
                  <w:rFonts w:ascii="Arial" w:cs="Arial" w:eastAsia="Arial" w:hAnsi="Arial"/>
                  <w:sz w:val="19"/>
                  <w:szCs w:val="19"/>
                  <w:b w:val="1"/>
                  <w:bCs w:val="1"/>
                  <w:color w:val="0000EE"/>
                </w:rPr>
                <w:t>Section 5</w:t>
              </w:r>
            </w:hyperlink>
          </w:p>
        </w:tc>
        <w:tc>
          <w:tcPr>
            <w:tcW w:w="1680" w:type="dxa"/>
            <w:vAlign w:val="bottom"/>
            <w:tcBorders>
              <w:top w:val="single" w:sz="8" w:color="0000EE"/>
              <w:bottom w:val="single" w:sz="8" w:color="0000EE"/>
            </w:tcBorders>
            <w:gridSpan w:val="2"/>
          </w:tcPr>
          <w:p>
            <w:pPr>
              <w:ind w:left="40"/>
              <w:spacing w:after="0"/>
              <w:rPr>
                <w:rFonts w:ascii="Arial" w:cs="Arial" w:eastAsia="Arial" w:hAnsi="Arial"/>
                <w:sz w:val="19"/>
                <w:szCs w:val="19"/>
                <w:b w:val="1"/>
                <w:bCs w:val="1"/>
                <w:color w:val="0000EE"/>
                <w:w w:val="98"/>
              </w:rPr>
            </w:pPr>
            <w:hyperlink w:anchor="page53">
              <w:r>
                <w:rPr>
                  <w:rFonts w:ascii="Arial" w:cs="Arial" w:eastAsia="Arial" w:hAnsi="Arial"/>
                  <w:sz w:val="19"/>
                  <w:szCs w:val="19"/>
                  <w:b w:val="1"/>
                  <w:bCs w:val="1"/>
                  <w:color w:val="0000EE"/>
                  <w:w w:val="98"/>
                </w:rPr>
                <w:t>– Fiscal Year 2021</w:t>
              </w:r>
            </w:hyperlink>
          </w:p>
        </w:tc>
        <w:tc>
          <w:tcPr>
            <w:tcW w:w="2300" w:type="dxa"/>
            <w:vAlign w:val="bottom"/>
            <w:tcBorders>
              <w:top w:val="single" w:sz="8" w:color="0000EE"/>
              <w:bottom w:val="single" w:sz="8" w:color="0000EE"/>
            </w:tcBorders>
            <w:gridSpan w:val="2"/>
          </w:tcPr>
          <w:p>
            <w:pPr>
              <w:ind w:left="20"/>
              <w:spacing w:after="0"/>
              <w:rPr>
                <w:rFonts w:ascii="Arial" w:cs="Arial" w:eastAsia="Arial" w:hAnsi="Arial"/>
                <w:sz w:val="19"/>
                <w:szCs w:val="19"/>
                <w:b w:val="1"/>
                <w:bCs w:val="1"/>
                <w:color w:val="0000EE"/>
                <w:w w:val="99"/>
              </w:rPr>
            </w:pPr>
            <w:hyperlink w:anchor="page53">
              <w:r>
                <w:rPr>
                  <w:rFonts w:ascii="Arial" w:cs="Arial" w:eastAsia="Arial" w:hAnsi="Arial"/>
                  <w:sz w:val="19"/>
                  <w:szCs w:val="19"/>
                  <w:b w:val="1"/>
                  <w:bCs w:val="1"/>
                  <w:color w:val="0000EE"/>
                  <w:w w:val="99"/>
                </w:rPr>
                <w:t>Compensation Decisions</w:t>
              </w:r>
            </w:hyperlink>
          </w:p>
        </w:tc>
        <w:tc>
          <w:tcPr>
            <w:tcW w:w="560" w:type="dxa"/>
            <w:vAlign w:val="bottom"/>
            <w:tcBorders>
              <w:top w:val="single" w:sz="8" w:color="0000EE"/>
            </w:tcBorders>
            <w:gridSpan w:val="2"/>
          </w:tcPr>
          <w:p>
            <w:pPr>
              <w:spacing w:after="0"/>
              <w:rPr>
                <w:sz w:val="24"/>
                <w:szCs w:val="24"/>
                <w:color w:val="auto"/>
              </w:rPr>
            </w:pPr>
          </w:p>
        </w:tc>
        <w:tc>
          <w:tcPr>
            <w:tcW w:w="1280" w:type="dxa"/>
            <w:vAlign w:val="bottom"/>
            <w:gridSpan w:val="2"/>
          </w:tcPr>
          <w:p>
            <w:pPr>
              <w:spacing w:after="0"/>
              <w:rPr>
                <w:sz w:val="24"/>
                <w:szCs w:val="24"/>
                <w:color w:val="auto"/>
              </w:rPr>
            </w:pPr>
          </w:p>
        </w:tc>
        <w:tc>
          <w:tcPr>
            <w:tcW w:w="1580" w:type="dxa"/>
            <w:vAlign w:val="bottom"/>
          </w:tcPr>
          <w:p>
            <w:pPr>
              <w:ind w:left="1160"/>
              <w:spacing w:after="0"/>
              <w:rPr>
                <w:sz w:val="20"/>
                <w:szCs w:val="20"/>
                <w:color w:val="auto"/>
              </w:rPr>
            </w:pPr>
            <w:r>
              <w:rPr>
                <w:rFonts w:ascii="Arial" w:cs="Arial" w:eastAsia="Arial" w:hAnsi="Arial"/>
                <w:sz w:val="19"/>
                <w:szCs w:val="19"/>
                <w:b w:val="1"/>
                <w:bCs w:val="1"/>
                <w:color w:val="auto"/>
                <w:w w:val="92"/>
              </w:rPr>
              <w:t>p. 45</w:t>
            </w:r>
          </w:p>
        </w:tc>
      </w:tr>
      <w:tr>
        <w:trPr>
          <w:trHeight w:val="394"/>
        </w:trPr>
        <w:tc>
          <w:tcPr>
            <w:tcW w:w="920" w:type="dxa"/>
            <w:vAlign w:val="bottom"/>
          </w:tcPr>
          <w:p>
            <w:pPr>
              <w:spacing w:after="0"/>
              <w:rPr>
                <w:rFonts w:ascii="Arial" w:cs="Arial" w:eastAsia="Arial" w:hAnsi="Arial"/>
                <w:sz w:val="19"/>
                <w:szCs w:val="19"/>
                <w:b w:val="1"/>
                <w:bCs w:val="1"/>
                <w:color w:val="0000EE"/>
              </w:rPr>
            </w:pPr>
            <w:hyperlink w:anchor="page60">
              <w:r>
                <w:rPr>
                  <w:rFonts w:ascii="Arial" w:cs="Arial" w:eastAsia="Arial" w:hAnsi="Arial"/>
                  <w:sz w:val="19"/>
                  <w:szCs w:val="19"/>
                  <w:b w:val="1"/>
                  <w:bCs w:val="1"/>
                  <w:color w:val="0000EE"/>
                </w:rPr>
                <w:t>Section 6</w:t>
              </w:r>
            </w:hyperlink>
          </w:p>
        </w:tc>
        <w:tc>
          <w:tcPr>
            <w:tcW w:w="5820" w:type="dxa"/>
            <w:vAlign w:val="bottom"/>
            <w:gridSpan w:val="8"/>
          </w:tcPr>
          <w:p>
            <w:pPr>
              <w:ind w:left="40"/>
              <w:spacing w:after="0"/>
              <w:rPr>
                <w:rFonts w:ascii="Arial" w:cs="Arial" w:eastAsia="Arial" w:hAnsi="Arial"/>
                <w:sz w:val="19"/>
                <w:szCs w:val="19"/>
                <w:b w:val="1"/>
                <w:bCs w:val="1"/>
                <w:color w:val="0000EE"/>
              </w:rPr>
            </w:pPr>
            <w:hyperlink w:anchor="page60">
              <w:r>
                <w:rPr>
                  <w:rFonts w:ascii="Arial" w:cs="Arial" w:eastAsia="Arial" w:hAnsi="Arial"/>
                  <w:sz w:val="19"/>
                  <w:szCs w:val="19"/>
                  <w:b w:val="1"/>
                  <w:bCs w:val="1"/>
                  <w:color w:val="0000EE"/>
                </w:rPr>
                <w:t>– Other Compensation Policies and Information</w:t>
              </w:r>
            </w:hyperlink>
          </w:p>
        </w:tc>
        <w:tc>
          <w:tcPr>
            <w:tcW w:w="1580" w:type="dxa"/>
            <w:vAlign w:val="bottom"/>
          </w:tcPr>
          <w:p>
            <w:pPr>
              <w:ind w:left="1160"/>
              <w:spacing w:after="0"/>
              <w:rPr>
                <w:sz w:val="20"/>
                <w:szCs w:val="20"/>
                <w:color w:val="auto"/>
              </w:rPr>
            </w:pPr>
            <w:r>
              <w:rPr>
                <w:rFonts w:ascii="Arial" w:cs="Arial" w:eastAsia="Arial" w:hAnsi="Arial"/>
                <w:sz w:val="19"/>
                <w:szCs w:val="19"/>
                <w:b w:val="1"/>
                <w:bCs w:val="1"/>
                <w:color w:val="auto"/>
                <w:w w:val="92"/>
              </w:rPr>
              <w:t>p. 52</w:t>
            </w:r>
          </w:p>
        </w:tc>
      </w:tr>
      <w:tr>
        <w:trPr>
          <w:trHeight w:val="20"/>
        </w:trPr>
        <w:tc>
          <w:tcPr>
            <w:tcW w:w="9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377" w:lineRule="exact"/>
        <w:rPr>
          <w:sz w:val="20"/>
          <w:szCs w:val="20"/>
          <w:color w:val="auto"/>
        </w:rPr>
      </w:pPr>
    </w:p>
    <w:p>
      <w:pPr>
        <w:ind w:left="1100" w:right="340"/>
        <w:spacing w:after="0" w:line="238" w:lineRule="auto"/>
        <w:rPr>
          <w:sz w:val="20"/>
          <w:szCs w:val="20"/>
          <w:color w:val="auto"/>
        </w:rPr>
      </w:pPr>
      <w:r>
        <w:rPr>
          <w:rFonts w:ascii="Arial" w:cs="Arial" w:eastAsia="Arial" w:hAnsi="Arial"/>
          <w:sz w:val="16"/>
          <w:szCs w:val="16"/>
          <w:color w:val="auto"/>
        </w:rPr>
        <w:t>Microsoft’s executive compensation program is thoughtfully designed by our Compensation Committee and Board of Directors to closely track Microsoft’s long-term strategy, and over the years we have evolved our executive pay program while maintaining an overarching compensation philosophy aimed at achieving strong alignment between our long-term strategic goals and our shareholders’ interests.</w:t>
      </w:r>
    </w:p>
    <w:p>
      <w:pPr>
        <w:spacing w:after="0" w:line="99" w:lineRule="exact"/>
        <w:rPr>
          <w:sz w:val="20"/>
          <w:szCs w:val="20"/>
          <w:color w:val="auto"/>
        </w:rPr>
      </w:pPr>
    </w:p>
    <w:p>
      <w:pPr>
        <w:ind w:left="1100" w:right="260"/>
        <w:spacing w:after="0" w:line="238" w:lineRule="auto"/>
        <w:rPr>
          <w:sz w:val="20"/>
          <w:szCs w:val="20"/>
          <w:color w:val="auto"/>
        </w:rPr>
      </w:pPr>
      <w:r>
        <w:rPr>
          <w:rFonts w:ascii="Arial" w:cs="Arial" w:eastAsia="Arial" w:hAnsi="Arial"/>
          <w:sz w:val="16"/>
          <w:szCs w:val="16"/>
          <w:color w:val="auto"/>
        </w:rPr>
        <w:t>Our current executive compensation program has been structured to align with the business strategy that has been defined by the Board and Mr. Nadella, and each year the Compensation Committee reviews the existing incentive structure, taking into consideration investor feedback, business performance, and our strategic roadmap, in considering the efficacy of further enhancements.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308610</wp:posOffset>
            </wp:positionV>
            <wp:extent cx="573976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Section 1 – Performance Update</w:t>
      </w:r>
    </w:p>
    <w:p>
      <w:pPr>
        <w:spacing w:after="0" w:line="109"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Innovating Amid Disruption and Uncertainty</w:t>
      </w:r>
    </w:p>
    <w:p>
      <w:pPr>
        <w:spacing w:after="0" w:line="129" w:lineRule="exact"/>
        <w:rPr>
          <w:sz w:val="20"/>
          <w:szCs w:val="20"/>
          <w:color w:val="auto"/>
        </w:rPr>
      </w:pPr>
    </w:p>
    <w:p>
      <w:pPr>
        <w:ind w:left="1100" w:right="220"/>
        <w:spacing w:after="0" w:line="237" w:lineRule="auto"/>
        <w:rPr>
          <w:sz w:val="20"/>
          <w:szCs w:val="20"/>
          <w:color w:val="auto"/>
        </w:rPr>
      </w:pPr>
      <w:r>
        <w:rPr>
          <w:rFonts w:ascii="Arial" w:cs="Arial" w:eastAsia="Arial" w:hAnsi="Arial"/>
          <w:sz w:val="16"/>
          <w:szCs w:val="16"/>
          <w:color w:val="auto"/>
        </w:rPr>
        <w:t>Despite the economic uncertainties and social disruptions that continued through fiscal year 2021, Mr. Nadella and Microsoft’s executive team delivered another year of historic financial performance. They achieved this through relentless focus on introducing technology innovations to make our customers more productive and resilient. In fiscal year 2021 we witnessed a second wave of digital transformation, as companies and industries accelerated their digital initiatives to build resilience and transform their operations. The persistence of the COVID-19 pandemic, as it continues to alter how we do business and live our daily lives, has forced individuals and businesses to continue to adapt, and the cloud has been key to helping the world not only adapt, but build even faster for the future.</w:t>
      </w:r>
    </w:p>
    <w:p>
      <w:pPr>
        <w:spacing w:after="0" w:line="101"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A small sampling of our innovation and business milestones from the year includes:</w:t>
      </w:r>
    </w:p>
    <w:p>
      <w:pPr>
        <w:spacing w:after="0" w:line="114" w:lineRule="exact"/>
        <w:rPr>
          <w:sz w:val="20"/>
          <w:szCs w:val="20"/>
          <w:color w:val="auto"/>
        </w:rPr>
      </w:pPr>
    </w:p>
    <w:p>
      <w:pPr>
        <w:ind w:left="1260" w:right="860" w:hanging="158"/>
        <w:spacing w:after="0" w:line="239" w:lineRule="auto"/>
        <w:tabs>
          <w:tab w:leader="none" w:pos="12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Our next generation analytics service, Azure Synapse, accelerates time to insight by bringing together data integration, enterprise data warehousing, and big data analytics into one unified service</w:t>
      </w:r>
    </w:p>
    <w:p>
      <w:pPr>
        <w:spacing w:after="0" w:line="112" w:lineRule="exact"/>
        <w:rPr>
          <w:rFonts w:ascii="Arial" w:cs="Arial" w:eastAsia="Arial" w:hAnsi="Arial"/>
          <w:sz w:val="16"/>
          <w:szCs w:val="16"/>
          <w:color w:val="auto"/>
        </w:rPr>
      </w:pPr>
    </w:p>
    <w:p>
      <w:pPr>
        <w:ind w:left="1260" w:right="240" w:hanging="158"/>
        <w:spacing w:after="0" w:line="239" w:lineRule="auto"/>
        <w:tabs>
          <w:tab w:leader="none" w:pos="12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Azure Cognitive Services make it easier for organizations to build AI applications that see, hear, speak, search, understand, and accelerate decision making</w:t>
      </w:r>
    </w:p>
    <w:p>
      <w:pPr>
        <w:spacing w:after="0" w:line="112" w:lineRule="exact"/>
        <w:rPr>
          <w:rFonts w:ascii="Arial" w:cs="Arial" w:eastAsia="Arial" w:hAnsi="Arial"/>
          <w:sz w:val="16"/>
          <w:szCs w:val="16"/>
          <w:color w:val="auto"/>
        </w:rPr>
      </w:pPr>
    </w:p>
    <w:p>
      <w:pPr>
        <w:ind w:left="1260" w:right="320" w:hanging="158"/>
        <w:spacing w:after="0" w:line="239" w:lineRule="auto"/>
        <w:tabs>
          <w:tab w:leader="none" w:pos="12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Power Platform – featuring Power BI for business insights in the cloud and Power Apps and Automate for business productivity and process automation – continues to grow adoption and revenue at a rapid pace</w:t>
      </w:r>
    </w:p>
    <w:p>
      <w:pPr>
        <w:spacing w:after="0" w:line="112" w:lineRule="exact"/>
        <w:rPr>
          <w:rFonts w:ascii="Arial" w:cs="Arial" w:eastAsia="Arial" w:hAnsi="Arial"/>
          <w:sz w:val="16"/>
          <w:szCs w:val="16"/>
          <w:color w:val="auto"/>
        </w:rPr>
      </w:pPr>
    </w:p>
    <w:p>
      <w:pPr>
        <w:jc w:val="both"/>
        <w:ind w:left="1260" w:right="540" w:hanging="158"/>
        <w:spacing w:after="0" w:line="238" w:lineRule="auto"/>
        <w:tabs>
          <w:tab w:leader="none" w:pos="12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With cybersecurity more complex and higher stakes than ever, the accelerated demand for integrated, end-to-end solutions spanning identity, security, compliance, and device management, helped our security business surpass $10 billion in annual revenue</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LinkedIn continues to be the preferred professional social network, with annual revenues exceeding $10 billion</w:t>
      </w:r>
    </w:p>
    <w:p>
      <w:pPr>
        <w:sectPr>
          <w:pgSz w:w="11900" w:h="16838" w:orient="portrait"/>
          <w:cols w:equalWidth="0" w:num="1">
            <w:col w:w="10280"/>
          </w:cols>
          <w:pgMar w:left="320" w:top="445" w:right="129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ind w:left="8240"/>
        <w:spacing w:after="0"/>
        <w:tabs>
          <w:tab w:leader="none" w:pos="10120" w:val="left"/>
        </w:tabs>
        <w:rPr>
          <w:sz w:val="20"/>
          <w:szCs w:val="20"/>
          <w:color w:val="auto"/>
        </w:rPr>
      </w:pPr>
      <w:r>
        <w:rPr>
          <w:rFonts w:ascii="Arial" w:cs="Arial" w:eastAsia="Arial" w:hAnsi="Arial"/>
          <w:sz w:val="14"/>
          <w:szCs w:val="14"/>
          <w:color w:val="auto"/>
        </w:rPr>
        <w:t>2021 PROXY STATEMENT</w:t>
      </w:r>
      <w:r>
        <w:rPr>
          <w:sz w:val="20"/>
          <w:szCs w:val="20"/>
          <w:color w:val="auto"/>
        </w:rPr>
        <w:tab/>
      </w:r>
      <w:r>
        <w:rPr>
          <w:rFonts w:ascii="Arial" w:cs="Arial" w:eastAsia="Arial" w:hAnsi="Arial"/>
          <w:sz w:val="12"/>
          <w:szCs w:val="12"/>
          <w:b w:val="1"/>
          <w:bCs w:val="1"/>
          <w:color w:val="0075C9"/>
        </w:rPr>
        <w:t>33</w:t>
      </w:r>
    </w:p>
    <w:p>
      <w:pPr>
        <w:sectPr>
          <w:pgSz w:w="11900" w:h="16838" w:orient="portrait"/>
          <w:cols w:equalWidth="0" w:num="1">
            <w:col w:w="10280"/>
          </w:cols>
          <w:pgMar w:left="320" w:top="445" w:right="1299" w:bottom="1440" w:gutter="0" w:footer="0" w:header="0"/>
          <w:type w:val="continuous"/>
        </w:sectPr>
      </w:pPr>
    </w:p>
    <w:bookmarkStart w:id="41" w:name="page42"/>
    <w:bookmarkEnd w:id="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auto"/>
                <w:w w:val="89"/>
              </w:rPr>
              <w:t>1</w:t>
            </w:r>
          </w:p>
        </w:tc>
        <w:tc>
          <w:tcPr>
            <w:tcW w:w="1380" w:type="dxa"/>
            <w:vAlign w:val="bottom"/>
            <w:vMerge w:val="restart"/>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gridSpan w:val="2"/>
          </w:tcPr>
          <w:p>
            <w:pPr>
              <w:jc w:val="right"/>
              <w:ind w:right="80"/>
              <w:spacing w:after="0"/>
              <w:rPr>
                <w:sz w:val="20"/>
                <w:szCs w:val="20"/>
                <w:color w:val="auto"/>
              </w:rPr>
            </w:pPr>
            <w:r>
              <w:rPr>
                <w:rFonts w:ascii="Arial" w:cs="Arial" w:eastAsia="Arial" w:hAnsi="Arial"/>
                <w:sz w:val="36"/>
                <w:szCs w:val="36"/>
                <w:color w:val="0075C9"/>
              </w:rPr>
              <w:t>2</w:t>
            </w:r>
          </w:p>
        </w:tc>
        <w:tc>
          <w:tcPr>
            <w:tcW w:w="1320" w:type="dxa"/>
            <w:vAlign w:val="bottom"/>
            <w:vMerge w:val="restart"/>
          </w:tcPr>
          <w:p>
            <w:pPr>
              <w:ind w:left="60"/>
              <w:spacing w:after="0"/>
              <w:rPr>
                <w:sz w:val="20"/>
                <w:szCs w:val="20"/>
                <w:color w:val="auto"/>
              </w:rPr>
            </w:pPr>
            <w:r>
              <w:rPr>
                <w:rFonts w:ascii="Arial" w:cs="Arial" w:eastAsia="Arial" w:hAnsi="Arial"/>
                <w:sz w:val="12"/>
                <w:szCs w:val="12"/>
                <w:color w:val="0075C9"/>
              </w:rPr>
              <w:t>NAMED</w:t>
            </w:r>
          </w:p>
        </w:tc>
        <w:tc>
          <w:tcPr>
            <w:tcW w:w="740" w:type="dxa"/>
            <w:vAlign w:val="bottom"/>
          </w:tcPr>
          <w:p>
            <w:pPr>
              <w:jc w:val="right"/>
              <w:spacing w:after="0"/>
              <w:rPr>
                <w:sz w:val="20"/>
                <w:szCs w:val="20"/>
                <w:color w:val="auto"/>
              </w:rPr>
            </w:pPr>
            <w:r>
              <w:rPr>
                <w:rFonts w:ascii="Arial" w:cs="Arial" w:eastAsia="Arial" w:hAnsi="Arial"/>
                <w:sz w:val="36"/>
                <w:szCs w:val="36"/>
                <w:color w:val="auto"/>
              </w:rPr>
              <w:t>3</w:t>
            </w:r>
          </w:p>
        </w:tc>
        <w:tc>
          <w:tcPr>
            <w:tcW w:w="1020" w:type="dxa"/>
            <w:vAlign w:val="bottom"/>
            <w:vMerge w:val="restart"/>
          </w:tcPr>
          <w:p>
            <w:pPr>
              <w:ind w:left="60"/>
              <w:spacing w:after="0"/>
              <w:rPr>
                <w:sz w:val="20"/>
                <w:szCs w:val="20"/>
                <w:color w:val="auto"/>
              </w:rPr>
            </w:pPr>
            <w:r>
              <w:rPr>
                <w:rFonts w:ascii="Arial" w:cs="Arial" w:eastAsia="Arial" w:hAnsi="Arial"/>
                <w:sz w:val="12"/>
                <w:szCs w:val="12"/>
                <w:color w:val="auto"/>
              </w:rPr>
              <w:t>AUDIT</w:t>
            </w:r>
          </w:p>
        </w:tc>
        <w:tc>
          <w:tcPr>
            <w:tcW w:w="500" w:type="dxa"/>
            <w:vAlign w:val="bottom"/>
          </w:tcPr>
          <w:p>
            <w:pPr>
              <w:jc w:val="right"/>
              <w:spacing w:after="0"/>
              <w:rPr>
                <w:sz w:val="20"/>
                <w:szCs w:val="20"/>
                <w:color w:val="auto"/>
              </w:rPr>
            </w:pPr>
            <w:r>
              <w:rPr>
                <w:rFonts w:ascii="Arial" w:cs="Arial" w:eastAsia="Arial" w:hAnsi="Arial"/>
                <w:sz w:val="36"/>
                <w:szCs w:val="36"/>
                <w:color w:val="auto"/>
              </w:rPr>
              <w:t>4</w:t>
            </w:r>
          </w:p>
        </w:tc>
        <w:tc>
          <w:tcPr>
            <w:tcW w:w="1580" w:type="dxa"/>
            <w:vAlign w:val="bottom"/>
            <w:vMerge w:val="restart"/>
          </w:tcPr>
          <w:p>
            <w:pPr>
              <w:ind w:left="80"/>
              <w:spacing w:after="0"/>
              <w:rPr>
                <w:sz w:val="20"/>
                <w:szCs w:val="20"/>
                <w:color w:val="auto"/>
              </w:rPr>
            </w:pPr>
            <w:r>
              <w:rPr>
                <w:rFonts w:ascii="Arial" w:cs="Arial" w:eastAsia="Arial" w:hAnsi="Arial"/>
                <w:sz w:val="12"/>
                <w:szCs w:val="12"/>
                <w:color w:val="auto"/>
              </w:rPr>
              <w:t>PROPOSALS TO</w:t>
            </w:r>
          </w:p>
        </w:tc>
        <w:tc>
          <w:tcPr>
            <w:tcW w:w="420" w:type="dxa"/>
            <w:vAlign w:val="bottom"/>
          </w:tcPr>
          <w:p>
            <w:pPr>
              <w:jc w:val="right"/>
              <w:spacing w:after="0"/>
              <w:rPr>
                <w:sz w:val="20"/>
                <w:szCs w:val="20"/>
                <w:color w:val="auto"/>
              </w:rPr>
            </w:pPr>
            <w:r>
              <w:rPr>
                <w:rFonts w:ascii="Arial" w:cs="Arial" w:eastAsia="Arial" w:hAnsi="Arial"/>
                <w:sz w:val="36"/>
                <w:szCs w:val="36"/>
                <w:color w:val="auto"/>
              </w:rPr>
              <w:t>5</w:t>
            </w:r>
          </w:p>
        </w:tc>
        <w:tc>
          <w:tcPr>
            <w:tcW w:w="920" w:type="dxa"/>
            <w:vAlign w:val="bottom"/>
            <w:vMerge w:val="restart"/>
          </w:tcPr>
          <w:p>
            <w:pPr>
              <w:ind w:left="8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38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tcPr>
          <w:p>
            <w:pPr>
              <w:ind w:left="60"/>
              <w:spacing w:after="0" w:line="130" w:lineRule="exact"/>
              <w:rPr>
                <w:sz w:val="20"/>
                <w:szCs w:val="20"/>
                <w:color w:val="auto"/>
              </w:rPr>
            </w:pPr>
            <w:r>
              <w:rPr>
                <w:rFonts w:ascii="Arial" w:cs="Arial" w:eastAsia="Arial" w:hAnsi="Arial"/>
                <w:sz w:val="12"/>
                <w:szCs w:val="12"/>
                <w:color w:val="0075C9"/>
                <w:w w:val="99"/>
              </w:rPr>
              <w:t>EXECUTIVE OFFICER</w:t>
            </w:r>
          </w:p>
        </w:tc>
        <w:tc>
          <w:tcPr>
            <w:tcW w:w="740" w:type="dxa"/>
            <w:vAlign w:val="bottom"/>
          </w:tcPr>
          <w:p>
            <w:pPr>
              <w:spacing w:after="0"/>
              <w:rPr>
                <w:sz w:val="11"/>
                <w:szCs w:val="11"/>
                <w:color w:val="auto"/>
              </w:rPr>
            </w:pPr>
          </w:p>
        </w:tc>
        <w:tc>
          <w:tcPr>
            <w:tcW w:w="1020" w:type="dxa"/>
            <w:vAlign w:val="bottom"/>
          </w:tcPr>
          <w:p>
            <w:pPr>
              <w:ind w:left="60"/>
              <w:spacing w:after="0" w:line="130" w:lineRule="exact"/>
              <w:rPr>
                <w:sz w:val="20"/>
                <w:szCs w:val="20"/>
                <w:color w:val="auto"/>
              </w:rPr>
            </w:pPr>
            <w:r>
              <w:rPr>
                <w:rFonts w:ascii="Arial" w:cs="Arial" w:eastAsia="Arial" w:hAnsi="Arial"/>
                <w:sz w:val="12"/>
                <w:szCs w:val="12"/>
                <w:color w:val="auto"/>
              </w:rPr>
              <w:t>COMMITTEE</w:t>
            </w:r>
          </w:p>
        </w:tc>
        <w:tc>
          <w:tcPr>
            <w:tcW w:w="500" w:type="dxa"/>
            <w:vAlign w:val="bottom"/>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20" w:type="dxa"/>
            <w:vAlign w:val="bottom"/>
          </w:tcPr>
          <w:p>
            <w:pPr>
              <w:spacing w:after="0"/>
              <w:rPr>
                <w:sz w:val="11"/>
                <w:szCs w:val="11"/>
                <w:color w:val="auto"/>
              </w:rPr>
            </w:pPr>
          </w:p>
        </w:tc>
        <w:tc>
          <w:tcPr>
            <w:tcW w:w="92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380" w:type="dxa"/>
            <w:vAlign w:val="bottom"/>
          </w:tcPr>
          <w:p>
            <w:pPr>
              <w:ind w:left="80"/>
              <w:spacing w:after="0"/>
              <w:rPr>
                <w:sz w:val="20"/>
                <w:szCs w:val="20"/>
                <w:color w:val="auto"/>
              </w:rPr>
            </w:pPr>
            <w:r>
              <w:rPr>
                <w:rFonts w:ascii="Arial" w:cs="Arial" w:eastAsia="Arial" w:hAnsi="Arial"/>
                <w:sz w:val="12"/>
                <w:szCs w:val="12"/>
                <w:color w:val="auto"/>
              </w:rPr>
              <w:t>DIRECTORS</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0075C9"/>
              </w:rPr>
              <w:t>COMPENSATION</w:t>
            </w:r>
          </w:p>
        </w:tc>
        <w:tc>
          <w:tcPr>
            <w:tcW w:w="740" w:type="dxa"/>
            <w:vAlign w:val="bottom"/>
          </w:tcPr>
          <w:p>
            <w:pPr>
              <w:spacing w:after="0"/>
              <w:rPr>
                <w:sz w:val="12"/>
                <w:szCs w:val="12"/>
                <w:color w:val="auto"/>
              </w:rPr>
            </w:pPr>
          </w:p>
        </w:tc>
        <w:tc>
          <w:tcPr>
            <w:tcW w:w="1020" w:type="dxa"/>
            <w:vAlign w:val="bottom"/>
          </w:tcPr>
          <w:p>
            <w:pPr>
              <w:ind w:left="60"/>
              <w:spacing w:after="0"/>
              <w:rPr>
                <w:sz w:val="20"/>
                <w:szCs w:val="20"/>
                <w:color w:val="auto"/>
              </w:rPr>
            </w:pPr>
            <w:r>
              <w:rPr>
                <w:rFonts w:ascii="Arial" w:cs="Arial" w:eastAsia="Arial" w:hAnsi="Arial"/>
                <w:sz w:val="12"/>
                <w:szCs w:val="12"/>
                <w:color w:val="auto"/>
              </w:rPr>
              <w:t>MATTERS</w:t>
            </w:r>
          </w:p>
        </w:tc>
        <w:tc>
          <w:tcPr>
            <w:tcW w:w="500" w:type="dxa"/>
            <w:vAlign w:val="bottom"/>
          </w:tcPr>
          <w:p>
            <w:pPr>
              <w:spacing w:after="0"/>
              <w:rPr>
                <w:sz w:val="12"/>
                <w:szCs w:val="12"/>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20" w:type="dxa"/>
            <w:vAlign w:val="bottom"/>
          </w:tcPr>
          <w:p>
            <w:pPr>
              <w:spacing w:after="0"/>
              <w:rPr>
                <w:sz w:val="12"/>
                <w:szCs w:val="12"/>
                <w:color w:val="auto"/>
              </w:rPr>
            </w:pPr>
          </w:p>
        </w:tc>
        <w:tc>
          <w:tcPr>
            <w:tcW w:w="92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00" w:lineRule="exact"/>
        <w:rPr>
          <w:sz w:val="20"/>
          <w:szCs w:val="20"/>
          <w:color w:val="auto"/>
        </w:rPr>
      </w:pPr>
    </w:p>
    <w:p>
      <w:pPr>
        <w:ind w:left="1260" w:right="339" w:hanging="158"/>
        <w:spacing w:after="0" w:line="239" w:lineRule="auto"/>
        <w:tabs>
          <w:tab w:leader="none" w:pos="12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Dynamics products and cloud services gained momentum throughout the year with four consecutive quarters of accelerating revenue</w:t>
      </w:r>
    </w:p>
    <w:p>
      <w:pPr>
        <w:spacing w:after="0" w:line="112" w:lineRule="exact"/>
        <w:rPr>
          <w:rFonts w:ascii="Arial" w:cs="Arial" w:eastAsia="Arial" w:hAnsi="Arial"/>
          <w:sz w:val="16"/>
          <w:szCs w:val="16"/>
          <w:color w:val="auto"/>
        </w:rPr>
      </w:pPr>
    </w:p>
    <w:p>
      <w:pPr>
        <w:ind w:left="1260" w:hanging="158"/>
        <w:spacing w:after="0"/>
        <w:tabs>
          <w:tab w:leader="none" w:pos="12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72% of the Fortune 50 now use GitHub to build, ship, and maintain software</w:t>
      </w:r>
    </w:p>
    <w:p>
      <w:pPr>
        <w:spacing w:after="0" w:line="113" w:lineRule="exact"/>
        <w:rPr>
          <w:rFonts w:ascii="Arial" w:cs="Arial" w:eastAsia="Arial" w:hAnsi="Arial"/>
          <w:sz w:val="16"/>
          <w:szCs w:val="16"/>
          <w:color w:val="auto"/>
        </w:rPr>
      </w:pPr>
    </w:p>
    <w:p>
      <w:pPr>
        <w:ind w:left="1260" w:right="239" w:hanging="158"/>
        <w:spacing w:after="0" w:line="238" w:lineRule="auto"/>
        <w:tabs>
          <w:tab w:leader="none" w:pos="12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Azure Synapse Analytics, a hyperscale service brings together data integration, enterprise data warehousing, and big data analytics, facilitates machine learning and AI to increase predictive and analytical power, common sense reasoning, alignment with human preferences, and augmentation of human capability</w:t>
      </w:r>
    </w:p>
    <w:p>
      <w:pPr>
        <w:spacing w:after="0" w:line="113" w:lineRule="exact"/>
        <w:rPr>
          <w:rFonts w:ascii="Arial" w:cs="Arial" w:eastAsia="Arial" w:hAnsi="Arial"/>
          <w:sz w:val="16"/>
          <w:szCs w:val="16"/>
          <w:color w:val="auto"/>
        </w:rPr>
      </w:pPr>
    </w:p>
    <w:p>
      <w:pPr>
        <w:ind w:left="1260" w:right="439" w:hanging="158"/>
        <w:spacing w:after="0" w:line="239" w:lineRule="auto"/>
        <w:tabs>
          <w:tab w:leader="none" w:pos="12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Teams continues to power hybrid work, with nearly 250 million monthly active users benefiting from enhanced collaboration features, extensibility, and deeper integration with Dynamics 365</w:t>
      </w:r>
    </w:p>
    <w:p>
      <w:pPr>
        <w:spacing w:after="0" w:line="112" w:lineRule="exact"/>
        <w:rPr>
          <w:rFonts w:ascii="Arial" w:cs="Arial" w:eastAsia="Arial" w:hAnsi="Arial"/>
          <w:sz w:val="16"/>
          <w:szCs w:val="16"/>
          <w:color w:val="auto"/>
        </w:rPr>
      </w:pPr>
    </w:p>
    <w:p>
      <w:pPr>
        <w:ind w:left="1260" w:right="99" w:hanging="158"/>
        <w:spacing w:after="0" w:line="239" w:lineRule="auto"/>
        <w:tabs>
          <w:tab w:leader="none" w:pos="12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Microsoft Mesh builds on this collaborative momentum, allowing for holographic interactions with true presence in a natural way, on any device</w:t>
      </w:r>
    </w:p>
    <w:p>
      <w:pPr>
        <w:spacing w:after="0" w:line="112" w:lineRule="exact"/>
        <w:rPr>
          <w:rFonts w:ascii="Arial" w:cs="Arial" w:eastAsia="Arial" w:hAnsi="Arial"/>
          <w:sz w:val="16"/>
          <w:szCs w:val="16"/>
          <w:color w:val="auto"/>
        </w:rPr>
      </w:pPr>
    </w:p>
    <w:p>
      <w:pPr>
        <w:ind w:left="1260" w:right="99" w:hanging="158"/>
        <w:spacing w:after="0" w:line="239" w:lineRule="auto"/>
        <w:tabs>
          <w:tab w:leader="none" w:pos="12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We did the work to enable the launch of Windows 365 in fiscal year 2022, bringing to market a new category: the cloud PC. Just as applications moved to the cloud with software-as-a-service, we’re now bringing the operating system to the cloud</w:t>
      </w:r>
    </w:p>
    <w:p>
      <w:pPr>
        <w:spacing w:after="0" w:line="112" w:lineRule="exact"/>
        <w:rPr>
          <w:rFonts w:ascii="Arial" w:cs="Arial" w:eastAsia="Arial" w:hAnsi="Arial"/>
          <w:sz w:val="16"/>
          <w:szCs w:val="16"/>
          <w:color w:val="auto"/>
        </w:rPr>
      </w:pPr>
    </w:p>
    <w:p>
      <w:pPr>
        <w:jc w:val="both"/>
        <w:ind w:left="1260" w:right="179" w:hanging="158"/>
        <w:spacing w:after="0" w:line="238" w:lineRule="auto"/>
        <w:tabs>
          <w:tab w:leader="none" w:pos="12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Windows 11 is the biggest update to our operating system in a decade. As we readied ourselves for launch in fiscal year 2022, we reimagined everything – from the Windows platform to the store – to help people and organizations be more productive and secure, and to build a more open ecosystem for developers and creators</w:t>
      </w:r>
    </w:p>
    <w:p>
      <w:pPr>
        <w:spacing w:after="0" w:line="113" w:lineRule="exact"/>
        <w:rPr>
          <w:rFonts w:ascii="Arial" w:cs="Arial" w:eastAsia="Arial" w:hAnsi="Arial"/>
          <w:sz w:val="16"/>
          <w:szCs w:val="16"/>
          <w:color w:val="auto"/>
        </w:rPr>
      </w:pPr>
    </w:p>
    <w:p>
      <w:pPr>
        <w:ind w:left="1260" w:right="779" w:hanging="158"/>
        <w:spacing w:after="0" w:line="239" w:lineRule="auto"/>
        <w:tabs>
          <w:tab w:leader="none" w:pos="12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With our pending acquisition of Nuance Communications, we expect to accelerate our cloud and AI solutions portfolio, particularly in the crucial health care sector</w:t>
      </w:r>
    </w:p>
    <w:p>
      <w:pPr>
        <w:spacing w:after="0" w:line="112" w:lineRule="exact"/>
        <w:rPr>
          <w:rFonts w:ascii="Arial" w:cs="Arial" w:eastAsia="Arial" w:hAnsi="Arial"/>
          <w:sz w:val="16"/>
          <w:szCs w:val="16"/>
          <w:color w:val="auto"/>
        </w:rPr>
      </w:pPr>
    </w:p>
    <w:p>
      <w:pPr>
        <w:ind w:left="1260" w:right="179" w:hanging="158"/>
        <w:spacing w:after="0" w:line="238" w:lineRule="auto"/>
        <w:tabs>
          <w:tab w:leader="none" w:pos="12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With Game Pass, we are redefining how games are distributed, played, and viewed. We added cloud gaming via the browser, expanding our reach across PC and mobile. With our acquisition of ZeniMax Media, we made 20 of the world’s most iconic and beloved games accessible via Game Pass</w:t>
      </w:r>
    </w:p>
    <w:p>
      <w:pPr>
        <w:spacing w:after="0" w:line="100" w:lineRule="exact"/>
        <w:rPr>
          <w:sz w:val="20"/>
          <w:szCs w:val="20"/>
          <w:color w:val="auto"/>
        </w:rPr>
      </w:pPr>
    </w:p>
    <w:p>
      <w:pPr>
        <w:ind w:left="1100" w:right="139"/>
        <w:spacing w:after="0" w:line="283" w:lineRule="auto"/>
        <w:rPr>
          <w:sz w:val="20"/>
          <w:szCs w:val="20"/>
          <w:color w:val="auto"/>
        </w:rPr>
      </w:pPr>
      <w:r>
        <w:rPr>
          <w:rFonts w:ascii="Arial" w:cs="Arial" w:eastAsia="Arial" w:hAnsi="Arial"/>
          <w:sz w:val="14"/>
          <w:szCs w:val="14"/>
          <w:color w:val="auto"/>
        </w:rPr>
        <w:t>Our business model is built on the foundational mission to empower every person and every organization on the planet to achieve more. Our performance in fiscal year 2021, whether measured by financial performance, our innovation pipeline, or the empowerment of our customers, demonstrates our strategy’s capacity and reach. We see change and disruption as invitations to conceive new products, new technologies, and new ideas that can further transform the industry and our business.</w:t>
      </w:r>
    </w:p>
    <w:p>
      <w:pPr>
        <w:spacing w:after="0" w:line="139"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Achieving Strong Financial Results</w:t>
      </w:r>
    </w:p>
    <w:p>
      <w:pPr>
        <w:spacing w:after="0" w:line="12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Our strong business execution throughout fiscal year 2021 achieved the following financial performance:</w:t>
      </w:r>
    </w:p>
    <w:p>
      <w:pPr>
        <w:spacing w:after="0" w:line="300" w:lineRule="exact"/>
        <w:rPr>
          <w:sz w:val="20"/>
          <w:szCs w:val="20"/>
          <w:color w:val="auto"/>
        </w:rPr>
      </w:pPr>
    </w:p>
    <w:p>
      <w:pPr>
        <w:ind w:left="3740"/>
        <w:spacing w:after="0"/>
        <w:rPr>
          <w:sz w:val="20"/>
          <w:szCs w:val="20"/>
          <w:color w:val="auto"/>
        </w:rPr>
      </w:pPr>
      <w:r>
        <w:rPr>
          <w:rFonts w:ascii="Arial" w:cs="Arial" w:eastAsia="Arial" w:hAnsi="Arial"/>
          <w:sz w:val="21"/>
          <w:szCs w:val="21"/>
          <w:b w:val="1"/>
          <w:bCs w:val="1"/>
          <w:color w:val="auto"/>
        </w:rPr>
        <w:t>Fiscal Year 2021 Business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-50165</wp:posOffset>
            </wp:positionV>
            <wp:extent cx="5748020" cy="6578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748020" cy="657860"/>
                    </a:xfrm>
                    <a:prstGeom prst="rect">
                      <a:avLst/>
                    </a:prstGeom>
                    <a:noFill/>
                  </pic:spPr>
                </pic:pic>
              </a:graphicData>
            </a:graphic>
          </wp:anchor>
        </w:drawing>
      </w:r>
    </w:p>
    <w:p>
      <w:pPr>
        <w:spacing w:after="0" w:line="72" w:lineRule="exact"/>
        <w:rPr>
          <w:sz w:val="20"/>
          <w:szCs w:val="20"/>
          <w:color w:val="auto"/>
        </w:rPr>
      </w:pPr>
    </w:p>
    <w:tbl>
      <w:tblPr>
        <w:tblLayout w:type="fixed"/>
        <w:tblInd w:w="1420" w:type="dxa"/>
        <w:tblCellMar>
          <w:top w:w="0" w:type="dxa"/>
          <w:left w:w="0" w:type="dxa"/>
          <w:bottom w:w="0" w:type="dxa"/>
          <w:right w:w="0" w:type="dxa"/>
        </w:tblCellMar>
      </w:tblPr>
      <w:tr>
        <w:trPr>
          <w:trHeight w:val="23"/>
        </w:trPr>
        <w:tc>
          <w:tcPr>
            <w:tcW w:w="2020" w:type="dxa"/>
            <w:vAlign w:val="bottom"/>
            <w:vMerge w:val="restart"/>
          </w:tcPr>
          <w:p>
            <w:pPr>
              <w:jc w:val="center"/>
              <w:ind w:right="78"/>
              <w:spacing w:after="0"/>
              <w:rPr>
                <w:sz w:val="20"/>
                <w:szCs w:val="20"/>
                <w:color w:val="auto"/>
              </w:rPr>
            </w:pPr>
            <w:r>
              <w:rPr>
                <w:rFonts w:ascii="Arial" w:cs="Arial" w:eastAsia="Arial" w:hAnsi="Arial"/>
                <w:sz w:val="17"/>
                <w:szCs w:val="17"/>
                <w:b w:val="1"/>
                <w:bCs w:val="1"/>
                <w:color w:val="0075C9"/>
              </w:rPr>
              <w:t>$168.1 billion</w:t>
            </w:r>
          </w:p>
        </w:tc>
        <w:tc>
          <w:tcPr>
            <w:tcW w:w="20" w:type="dxa"/>
            <w:vAlign w:val="bottom"/>
          </w:tcPr>
          <w:p>
            <w:pPr>
              <w:spacing w:after="0" w:line="20" w:lineRule="exact"/>
              <w:rPr>
                <w:sz w:val="1"/>
                <w:szCs w:val="1"/>
                <w:color w:val="auto"/>
              </w:rPr>
            </w:pPr>
          </w:p>
        </w:tc>
        <w:tc>
          <w:tcPr>
            <w:tcW w:w="2240" w:type="dxa"/>
            <w:vAlign w:val="bottom"/>
            <w:vMerge w:val="restart"/>
          </w:tcPr>
          <w:p>
            <w:pPr>
              <w:jc w:val="center"/>
              <w:spacing w:after="0"/>
              <w:rPr>
                <w:sz w:val="20"/>
                <w:szCs w:val="20"/>
                <w:color w:val="auto"/>
              </w:rPr>
            </w:pPr>
            <w:r>
              <w:rPr>
                <w:rFonts w:ascii="Arial" w:cs="Arial" w:eastAsia="Arial" w:hAnsi="Arial"/>
                <w:sz w:val="17"/>
                <w:szCs w:val="17"/>
                <w:b w:val="1"/>
                <w:bCs w:val="1"/>
                <w:color w:val="0075C9"/>
              </w:rPr>
              <w:t>$69.9 billion</w:t>
            </w:r>
          </w:p>
        </w:tc>
        <w:tc>
          <w:tcPr>
            <w:tcW w:w="20" w:type="dxa"/>
            <w:vAlign w:val="bottom"/>
          </w:tcPr>
          <w:p>
            <w:pPr>
              <w:spacing w:after="0" w:line="20" w:lineRule="exact"/>
              <w:rPr>
                <w:sz w:val="1"/>
                <w:szCs w:val="1"/>
                <w:color w:val="auto"/>
              </w:rPr>
            </w:pPr>
          </w:p>
        </w:tc>
        <w:tc>
          <w:tcPr>
            <w:tcW w:w="2240" w:type="dxa"/>
            <w:vAlign w:val="bottom"/>
            <w:vMerge w:val="restart"/>
          </w:tcPr>
          <w:p>
            <w:pPr>
              <w:jc w:val="center"/>
              <w:ind w:left="19"/>
              <w:spacing w:after="0"/>
              <w:rPr>
                <w:sz w:val="20"/>
                <w:szCs w:val="20"/>
                <w:color w:val="auto"/>
              </w:rPr>
            </w:pPr>
            <w:r>
              <w:rPr>
                <w:rFonts w:ascii="Arial" w:cs="Arial" w:eastAsia="Arial" w:hAnsi="Arial"/>
                <w:sz w:val="17"/>
                <w:szCs w:val="17"/>
                <w:b w:val="1"/>
                <w:bCs w:val="1"/>
                <w:color w:val="0075C9"/>
              </w:rPr>
              <w:t>$61.3 billion</w:t>
            </w:r>
          </w:p>
        </w:tc>
        <w:tc>
          <w:tcPr>
            <w:tcW w:w="20" w:type="dxa"/>
            <w:vAlign w:val="bottom"/>
          </w:tcPr>
          <w:p>
            <w:pPr>
              <w:spacing w:after="0" w:line="20" w:lineRule="exact"/>
              <w:rPr>
                <w:sz w:val="1"/>
                <w:szCs w:val="1"/>
                <w:color w:val="auto"/>
              </w:rPr>
            </w:pPr>
          </w:p>
        </w:tc>
        <w:tc>
          <w:tcPr>
            <w:tcW w:w="2040" w:type="dxa"/>
            <w:vAlign w:val="bottom"/>
            <w:vMerge w:val="restart"/>
          </w:tcPr>
          <w:p>
            <w:pPr>
              <w:jc w:val="center"/>
              <w:ind w:left="99"/>
              <w:spacing w:after="0"/>
              <w:rPr>
                <w:sz w:val="20"/>
                <w:szCs w:val="20"/>
                <w:color w:val="auto"/>
              </w:rPr>
            </w:pPr>
            <w:r>
              <w:rPr>
                <w:rFonts w:ascii="Arial" w:cs="Arial" w:eastAsia="Arial" w:hAnsi="Arial"/>
                <w:sz w:val="17"/>
                <w:szCs w:val="17"/>
                <w:b w:val="1"/>
                <w:bCs w:val="1"/>
                <w:color w:val="0075C9"/>
                <w:w w:val="98"/>
              </w:rPr>
              <w:t>$8.05</w:t>
            </w:r>
          </w:p>
        </w:tc>
        <w:tc>
          <w:tcPr>
            <w:tcW w:w="0" w:type="dxa"/>
            <w:vAlign w:val="bottom"/>
          </w:tcPr>
          <w:p>
            <w:pPr>
              <w:spacing w:after="0" w:line="20" w:lineRule="exact"/>
              <w:rPr>
                <w:sz w:val="1"/>
                <w:szCs w:val="1"/>
                <w:color w:val="auto"/>
              </w:rPr>
            </w:pPr>
          </w:p>
        </w:tc>
      </w:tr>
      <w:tr>
        <w:trPr>
          <w:trHeight w:val="207"/>
        </w:trPr>
        <w:tc>
          <w:tcPr>
            <w:tcW w:w="2020" w:type="dxa"/>
            <w:vAlign w:val="bottom"/>
            <w:vMerge w:val="continue"/>
          </w:tcPr>
          <w:p>
            <w:pPr>
              <w:spacing w:after="0"/>
              <w:rPr>
                <w:sz w:val="18"/>
                <w:szCs w:val="18"/>
                <w:color w:val="auto"/>
              </w:rPr>
            </w:pPr>
          </w:p>
        </w:tc>
        <w:tc>
          <w:tcPr>
            <w:tcW w:w="20" w:type="dxa"/>
            <w:vAlign w:val="bottom"/>
            <w:shd w:val="clear" w:color="auto" w:fill="0075C9"/>
          </w:tcPr>
          <w:p>
            <w:pPr>
              <w:spacing w:after="0"/>
              <w:rPr>
                <w:sz w:val="18"/>
                <w:szCs w:val="18"/>
                <w:color w:val="auto"/>
              </w:rPr>
            </w:pPr>
          </w:p>
        </w:tc>
        <w:tc>
          <w:tcPr>
            <w:tcW w:w="2240" w:type="dxa"/>
            <w:vAlign w:val="bottom"/>
            <w:vMerge w:val="continue"/>
          </w:tcPr>
          <w:p>
            <w:pPr>
              <w:spacing w:after="0"/>
              <w:rPr>
                <w:sz w:val="18"/>
                <w:szCs w:val="18"/>
                <w:color w:val="auto"/>
              </w:rPr>
            </w:pPr>
          </w:p>
        </w:tc>
        <w:tc>
          <w:tcPr>
            <w:tcW w:w="20" w:type="dxa"/>
            <w:vAlign w:val="bottom"/>
            <w:shd w:val="clear" w:color="auto" w:fill="0075C9"/>
          </w:tcPr>
          <w:p>
            <w:pPr>
              <w:spacing w:after="0"/>
              <w:rPr>
                <w:sz w:val="18"/>
                <w:szCs w:val="18"/>
                <w:color w:val="auto"/>
              </w:rPr>
            </w:pPr>
          </w:p>
        </w:tc>
        <w:tc>
          <w:tcPr>
            <w:tcW w:w="2240" w:type="dxa"/>
            <w:vAlign w:val="bottom"/>
            <w:vMerge w:val="continue"/>
          </w:tcPr>
          <w:p>
            <w:pPr>
              <w:spacing w:after="0"/>
              <w:rPr>
                <w:sz w:val="18"/>
                <w:szCs w:val="18"/>
                <w:color w:val="auto"/>
              </w:rPr>
            </w:pPr>
          </w:p>
        </w:tc>
        <w:tc>
          <w:tcPr>
            <w:tcW w:w="20" w:type="dxa"/>
            <w:vAlign w:val="bottom"/>
            <w:shd w:val="clear" w:color="auto" w:fill="0075C9"/>
          </w:tcPr>
          <w:p>
            <w:pPr>
              <w:spacing w:after="0"/>
              <w:rPr>
                <w:sz w:val="18"/>
                <w:szCs w:val="18"/>
                <w:color w:val="auto"/>
              </w:rPr>
            </w:pPr>
          </w:p>
        </w:tc>
        <w:tc>
          <w:tcPr>
            <w:tcW w:w="2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2020" w:type="dxa"/>
            <w:vAlign w:val="bottom"/>
          </w:tcPr>
          <w:p>
            <w:pPr>
              <w:jc w:val="center"/>
              <w:ind w:right="78"/>
              <w:spacing w:after="0"/>
              <w:rPr>
                <w:sz w:val="20"/>
                <w:szCs w:val="20"/>
                <w:color w:val="auto"/>
              </w:rPr>
            </w:pPr>
            <w:r>
              <w:rPr>
                <w:rFonts w:ascii="Arial" w:cs="Arial" w:eastAsia="Arial" w:hAnsi="Arial"/>
                <w:sz w:val="16"/>
                <w:szCs w:val="16"/>
                <w:color w:val="auto"/>
                <w:w w:val="96"/>
              </w:rPr>
              <w:t>Revenue, an 18% increase</w:t>
            </w:r>
          </w:p>
        </w:tc>
        <w:tc>
          <w:tcPr>
            <w:tcW w:w="20" w:type="dxa"/>
            <w:vAlign w:val="bottom"/>
            <w:shd w:val="clear" w:color="auto" w:fill="0075C9"/>
          </w:tcPr>
          <w:p>
            <w:pPr>
              <w:spacing w:after="0"/>
              <w:rPr>
                <w:sz w:val="23"/>
                <w:szCs w:val="23"/>
                <w:color w:val="auto"/>
              </w:rPr>
            </w:pPr>
          </w:p>
        </w:tc>
        <w:tc>
          <w:tcPr>
            <w:tcW w:w="2240" w:type="dxa"/>
            <w:vAlign w:val="bottom"/>
          </w:tcPr>
          <w:p>
            <w:pPr>
              <w:jc w:val="center"/>
              <w:spacing w:after="0"/>
              <w:rPr>
                <w:sz w:val="20"/>
                <w:szCs w:val="20"/>
                <w:color w:val="auto"/>
              </w:rPr>
            </w:pPr>
            <w:r>
              <w:rPr>
                <w:rFonts w:ascii="Arial" w:cs="Arial" w:eastAsia="Arial" w:hAnsi="Arial"/>
                <w:sz w:val="16"/>
                <w:szCs w:val="16"/>
                <w:color w:val="auto"/>
                <w:w w:val="97"/>
              </w:rPr>
              <w:t>Operating income, a 32%</w:t>
            </w:r>
          </w:p>
        </w:tc>
        <w:tc>
          <w:tcPr>
            <w:tcW w:w="20" w:type="dxa"/>
            <w:vAlign w:val="bottom"/>
            <w:shd w:val="clear" w:color="auto" w:fill="0075C9"/>
          </w:tcPr>
          <w:p>
            <w:pPr>
              <w:spacing w:after="0"/>
              <w:rPr>
                <w:sz w:val="23"/>
                <w:szCs w:val="23"/>
                <w:color w:val="auto"/>
              </w:rPr>
            </w:pPr>
          </w:p>
        </w:tc>
        <w:tc>
          <w:tcPr>
            <w:tcW w:w="2240" w:type="dxa"/>
            <w:vAlign w:val="bottom"/>
          </w:tcPr>
          <w:p>
            <w:pPr>
              <w:jc w:val="center"/>
              <w:ind w:left="19"/>
              <w:spacing w:after="0"/>
              <w:rPr>
                <w:sz w:val="20"/>
                <w:szCs w:val="20"/>
                <w:color w:val="auto"/>
              </w:rPr>
            </w:pPr>
            <w:r>
              <w:rPr>
                <w:rFonts w:ascii="Arial" w:cs="Arial" w:eastAsia="Arial" w:hAnsi="Arial"/>
                <w:sz w:val="16"/>
                <w:szCs w:val="16"/>
                <w:color w:val="auto"/>
                <w:w w:val="96"/>
              </w:rPr>
              <w:t>Net income, a 38%</w:t>
            </w:r>
          </w:p>
        </w:tc>
        <w:tc>
          <w:tcPr>
            <w:tcW w:w="20" w:type="dxa"/>
            <w:vAlign w:val="bottom"/>
            <w:shd w:val="clear" w:color="auto" w:fill="0075C9"/>
          </w:tcPr>
          <w:p>
            <w:pPr>
              <w:spacing w:after="0"/>
              <w:rPr>
                <w:sz w:val="23"/>
                <w:szCs w:val="23"/>
                <w:color w:val="auto"/>
              </w:rPr>
            </w:pPr>
          </w:p>
        </w:tc>
        <w:tc>
          <w:tcPr>
            <w:tcW w:w="2040" w:type="dxa"/>
            <w:vAlign w:val="bottom"/>
          </w:tcPr>
          <w:p>
            <w:pPr>
              <w:jc w:val="center"/>
              <w:ind w:left="99"/>
              <w:spacing w:after="0"/>
              <w:rPr>
                <w:sz w:val="20"/>
                <w:szCs w:val="20"/>
                <w:color w:val="auto"/>
              </w:rPr>
            </w:pPr>
            <w:r>
              <w:rPr>
                <w:rFonts w:ascii="Arial" w:cs="Arial" w:eastAsia="Arial" w:hAnsi="Arial"/>
                <w:sz w:val="16"/>
                <w:szCs w:val="16"/>
                <w:color w:val="auto"/>
                <w:w w:val="96"/>
              </w:rPr>
              <w:t>Diluted earnings per share,</w:t>
            </w:r>
          </w:p>
        </w:tc>
        <w:tc>
          <w:tcPr>
            <w:tcW w:w="0" w:type="dxa"/>
            <w:vAlign w:val="bottom"/>
          </w:tcPr>
          <w:p>
            <w:pPr>
              <w:spacing w:after="0"/>
              <w:rPr>
                <w:sz w:val="1"/>
                <w:szCs w:val="1"/>
                <w:color w:val="auto"/>
              </w:rPr>
            </w:pPr>
          </w:p>
        </w:tc>
      </w:tr>
      <w:tr>
        <w:trPr>
          <w:trHeight w:val="192"/>
        </w:trPr>
        <w:tc>
          <w:tcPr>
            <w:tcW w:w="2020" w:type="dxa"/>
            <w:vAlign w:val="bottom"/>
          </w:tcPr>
          <w:p>
            <w:pPr>
              <w:spacing w:after="0"/>
              <w:rPr>
                <w:sz w:val="16"/>
                <w:szCs w:val="16"/>
                <w:color w:val="auto"/>
              </w:rPr>
            </w:pPr>
          </w:p>
        </w:tc>
        <w:tc>
          <w:tcPr>
            <w:tcW w:w="20" w:type="dxa"/>
            <w:vAlign w:val="bottom"/>
            <w:shd w:val="clear" w:color="auto" w:fill="0075C9"/>
          </w:tcPr>
          <w:p>
            <w:pPr>
              <w:spacing w:after="0"/>
              <w:rPr>
                <w:sz w:val="16"/>
                <w:szCs w:val="16"/>
                <w:color w:val="auto"/>
              </w:rPr>
            </w:pPr>
          </w:p>
        </w:tc>
        <w:tc>
          <w:tcPr>
            <w:tcW w:w="2240" w:type="dxa"/>
            <w:vAlign w:val="bottom"/>
          </w:tcPr>
          <w:p>
            <w:pPr>
              <w:jc w:val="center"/>
              <w:spacing w:after="0"/>
              <w:rPr>
                <w:sz w:val="20"/>
                <w:szCs w:val="20"/>
                <w:color w:val="auto"/>
              </w:rPr>
            </w:pPr>
            <w:r>
              <w:rPr>
                <w:rFonts w:ascii="Arial" w:cs="Arial" w:eastAsia="Arial" w:hAnsi="Arial"/>
                <w:sz w:val="16"/>
                <w:szCs w:val="16"/>
                <w:color w:val="auto"/>
                <w:w w:val="99"/>
              </w:rPr>
              <w:t>increase</w:t>
            </w:r>
          </w:p>
        </w:tc>
        <w:tc>
          <w:tcPr>
            <w:tcW w:w="20" w:type="dxa"/>
            <w:vAlign w:val="bottom"/>
            <w:shd w:val="clear" w:color="auto" w:fill="0075C9"/>
          </w:tcPr>
          <w:p>
            <w:pPr>
              <w:spacing w:after="0"/>
              <w:rPr>
                <w:sz w:val="16"/>
                <w:szCs w:val="16"/>
                <w:color w:val="auto"/>
              </w:rPr>
            </w:pPr>
          </w:p>
        </w:tc>
        <w:tc>
          <w:tcPr>
            <w:tcW w:w="2240" w:type="dxa"/>
            <w:vAlign w:val="bottom"/>
          </w:tcPr>
          <w:p>
            <w:pPr>
              <w:jc w:val="center"/>
              <w:ind w:left="19"/>
              <w:spacing w:after="0"/>
              <w:rPr>
                <w:sz w:val="20"/>
                <w:szCs w:val="20"/>
                <w:color w:val="auto"/>
              </w:rPr>
            </w:pPr>
            <w:r>
              <w:rPr>
                <w:rFonts w:ascii="Arial" w:cs="Arial" w:eastAsia="Arial" w:hAnsi="Arial"/>
                <w:sz w:val="16"/>
                <w:szCs w:val="16"/>
                <w:color w:val="auto"/>
                <w:w w:val="95"/>
              </w:rPr>
              <w:t>increase</w:t>
            </w:r>
          </w:p>
        </w:tc>
        <w:tc>
          <w:tcPr>
            <w:tcW w:w="20" w:type="dxa"/>
            <w:vAlign w:val="bottom"/>
            <w:shd w:val="clear" w:color="auto" w:fill="0075C9"/>
          </w:tcPr>
          <w:p>
            <w:pPr>
              <w:spacing w:after="0"/>
              <w:rPr>
                <w:sz w:val="16"/>
                <w:szCs w:val="16"/>
                <w:color w:val="auto"/>
              </w:rPr>
            </w:pPr>
          </w:p>
        </w:tc>
        <w:tc>
          <w:tcPr>
            <w:tcW w:w="2040" w:type="dxa"/>
            <w:vAlign w:val="bottom"/>
          </w:tcPr>
          <w:p>
            <w:pPr>
              <w:jc w:val="center"/>
              <w:ind w:left="99"/>
              <w:spacing w:after="0"/>
              <w:rPr>
                <w:sz w:val="20"/>
                <w:szCs w:val="20"/>
                <w:color w:val="auto"/>
              </w:rPr>
            </w:pPr>
            <w:r>
              <w:rPr>
                <w:rFonts w:ascii="Arial" w:cs="Arial" w:eastAsia="Arial" w:hAnsi="Arial"/>
                <w:sz w:val="16"/>
                <w:szCs w:val="16"/>
                <w:color w:val="auto"/>
                <w:w w:val="96"/>
              </w:rPr>
              <w:t>a 40% increase</w:t>
            </w:r>
          </w:p>
        </w:tc>
        <w:tc>
          <w:tcPr>
            <w:tcW w:w="0" w:type="dxa"/>
            <w:vAlign w:val="bottom"/>
          </w:tcPr>
          <w:p>
            <w:pPr>
              <w:spacing w:after="0"/>
              <w:rPr>
                <w:sz w:val="1"/>
                <w:szCs w:val="1"/>
                <w:color w:val="auto"/>
              </w:rPr>
            </w:pPr>
          </w:p>
        </w:tc>
      </w:tr>
    </w:tbl>
    <w:p>
      <w:pPr>
        <w:spacing w:after="0" w:line="274"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Percentages are year-over-year.</w:t>
      </w:r>
    </w:p>
    <w:p>
      <w:pPr>
        <w:spacing w:after="0" w:line="101"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Other highlights from fiscal year 2021 included:</w:t>
      </w:r>
    </w:p>
    <w:p>
      <w:pPr>
        <w:spacing w:after="0" w:line="114" w:lineRule="exact"/>
        <w:rPr>
          <w:sz w:val="20"/>
          <w:szCs w:val="20"/>
          <w:color w:val="auto"/>
        </w:rPr>
      </w:pPr>
    </w:p>
    <w:p>
      <w:pPr>
        <w:ind w:left="1260" w:hanging="158"/>
        <w:spacing w:after="0"/>
        <w:tabs>
          <w:tab w:leader="none" w:pos="12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Commercial cloud revenue increased 34% to $69.1 billion</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Office Commercial products and cloud services revenue increased 13%</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Office Consumer products and cloud services revenue increased 10%</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LinkedIn revenue increased 27%</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Dynamics products and cloud services revenue increased 25%</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Server products and cloud services revenue increased 27%</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Windows original equipment manufacturer licensing (“Windows OEM”) revenue increased slightly</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Windows Commercial products and cloud services revenue increased 14%</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Xbox content and services revenue increased 23%</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Search advertising revenue, excluding traffic acquisition costs, increased 13%</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Surface revenue increased 5%</w:t>
      </w:r>
    </w:p>
    <w:p>
      <w:pPr>
        <w:spacing w:after="0" w:line="101"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These key performance indicators above are defined in our Form 10-K for the fiscal year ended June 30, 2021.</w:t>
      </w:r>
    </w:p>
    <w:p>
      <w:pPr>
        <w:spacing w:after="0" w:line="200" w:lineRule="exact"/>
        <w:rPr>
          <w:sz w:val="20"/>
          <w:szCs w:val="20"/>
          <w:color w:val="auto"/>
        </w:rPr>
      </w:pPr>
    </w:p>
    <w:p>
      <w:pPr>
        <w:spacing w:after="0" w:line="302"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-94615</wp:posOffset>
            </wp:positionV>
            <wp:extent cx="485140" cy="984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39"/>
          </w:cols>
          <w:pgMar w:left="320" w:top="445" w:right="1440"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auto"/>
                <w:w w:val="89"/>
              </w:rPr>
              <w:t>1</w:t>
            </w:r>
          </w:p>
        </w:tc>
        <w:tc>
          <w:tcPr>
            <w:tcW w:w="1380" w:type="dxa"/>
            <w:vAlign w:val="bottom"/>
            <w:vMerge w:val="restart"/>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gridSpan w:val="2"/>
          </w:tcPr>
          <w:p>
            <w:pPr>
              <w:jc w:val="right"/>
              <w:ind w:right="80"/>
              <w:spacing w:after="0"/>
              <w:rPr>
                <w:sz w:val="20"/>
                <w:szCs w:val="20"/>
                <w:color w:val="auto"/>
              </w:rPr>
            </w:pPr>
            <w:r>
              <w:rPr>
                <w:rFonts w:ascii="Arial" w:cs="Arial" w:eastAsia="Arial" w:hAnsi="Arial"/>
                <w:sz w:val="36"/>
                <w:szCs w:val="36"/>
                <w:color w:val="0075C9"/>
              </w:rPr>
              <w:t>2</w:t>
            </w:r>
          </w:p>
        </w:tc>
        <w:tc>
          <w:tcPr>
            <w:tcW w:w="1320" w:type="dxa"/>
            <w:vAlign w:val="bottom"/>
            <w:vMerge w:val="restart"/>
          </w:tcPr>
          <w:p>
            <w:pPr>
              <w:ind w:left="60"/>
              <w:spacing w:after="0"/>
              <w:rPr>
                <w:sz w:val="20"/>
                <w:szCs w:val="20"/>
                <w:color w:val="auto"/>
              </w:rPr>
            </w:pPr>
            <w:r>
              <w:rPr>
                <w:rFonts w:ascii="Arial" w:cs="Arial" w:eastAsia="Arial" w:hAnsi="Arial"/>
                <w:sz w:val="12"/>
                <w:szCs w:val="12"/>
                <w:color w:val="0075C9"/>
              </w:rPr>
              <w:t>NAMED</w:t>
            </w:r>
          </w:p>
        </w:tc>
        <w:tc>
          <w:tcPr>
            <w:tcW w:w="740" w:type="dxa"/>
            <w:vAlign w:val="bottom"/>
          </w:tcPr>
          <w:p>
            <w:pPr>
              <w:jc w:val="right"/>
              <w:spacing w:after="0"/>
              <w:rPr>
                <w:sz w:val="20"/>
                <w:szCs w:val="20"/>
                <w:color w:val="auto"/>
              </w:rPr>
            </w:pPr>
            <w:r>
              <w:rPr>
                <w:rFonts w:ascii="Arial" w:cs="Arial" w:eastAsia="Arial" w:hAnsi="Arial"/>
                <w:sz w:val="36"/>
                <w:szCs w:val="36"/>
                <w:color w:val="auto"/>
              </w:rPr>
              <w:t>3</w:t>
            </w:r>
          </w:p>
        </w:tc>
        <w:tc>
          <w:tcPr>
            <w:tcW w:w="1020" w:type="dxa"/>
            <w:vAlign w:val="bottom"/>
            <w:vMerge w:val="restart"/>
          </w:tcPr>
          <w:p>
            <w:pPr>
              <w:ind w:left="60"/>
              <w:spacing w:after="0"/>
              <w:rPr>
                <w:sz w:val="20"/>
                <w:szCs w:val="20"/>
                <w:color w:val="auto"/>
              </w:rPr>
            </w:pPr>
            <w:r>
              <w:rPr>
                <w:rFonts w:ascii="Arial" w:cs="Arial" w:eastAsia="Arial" w:hAnsi="Arial"/>
                <w:sz w:val="12"/>
                <w:szCs w:val="12"/>
                <w:color w:val="auto"/>
              </w:rPr>
              <w:t>AUDIT</w:t>
            </w:r>
          </w:p>
        </w:tc>
        <w:tc>
          <w:tcPr>
            <w:tcW w:w="500" w:type="dxa"/>
            <w:vAlign w:val="bottom"/>
          </w:tcPr>
          <w:p>
            <w:pPr>
              <w:jc w:val="right"/>
              <w:spacing w:after="0"/>
              <w:rPr>
                <w:sz w:val="20"/>
                <w:szCs w:val="20"/>
                <w:color w:val="auto"/>
              </w:rPr>
            </w:pPr>
            <w:r>
              <w:rPr>
                <w:rFonts w:ascii="Arial" w:cs="Arial" w:eastAsia="Arial" w:hAnsi="Arial"/>
                <w:sz w:val="36"/>
                <w:szCs w:val="36"/>
                <w:color w:val="auto"/>
              </w:rPr>
              <w:t>4</w:t>
            </w:r>
          </w:p>
        </w:tc>
        <w:tc>
          <w:tcPr>
            <w:tcW w:w="1580" w:type="dxa"/>
            <w:vAlign w:val="bottom"/>
            <w:vMerge w:val="restart"/>
          </w:tcPr>
          <w:p>
            <w:pPr>
              <w:ind w:left="80"/>
              <w:spacing w:after="0"/>
              <w:rPr>
                <w:sz w:val="20"/>
                <w:szCs w:val="20"/>
                <w:color w:val="auto"/>
              </w:rPr>
            </w:pPr>
            <w:r>
              <w:rPr>
                <w:rFonts w:ascii="Arial" w:cs="Arial" w:eastAsia="Arial" w:hAnsi="Arial"/>
                <w:sz w:val="12"/>
                <w:szCs w:val="12"/>
                <w:color w:val="auto"/>
              </w:rPr>
              <w:t>PROPOSALS TO</w:t>
            </w:r>
          </w:p>
        </w:tc>
        <w:tc>
          <w:tcPr>
            <w:tcW w:w="420" w:type="dxa"/>
            <w:vAlign w:val="bottom"/>
          </w:tcPr>
          <w:p>
            <w:pPr>
              <w:jc w:val="right"/>
              <w:spacing w:after="0"/>
              <w:rPr>
                <w:sz w:val="20"/>
                <w:szCs w:val="20"/>
                <w:color w:val="auto"/>
              </w:rPr>
            </w:pPr>
            <w:r>
              <w:rPr>
                <w:rFonts w:ascii="Arial" w:cs="Arial" w:eastAsia="Arial" w:hAnsi="Arial"/>
                <w:sz w:val="36"/>
                <w:szCs w:val="36"/>
                <w:color w:val="auto"/>
              </w:rPr>
              <w:t>5</w:t>
            </w:r>
          </w:p>
        </w:tc>
        <w:tc>
          <w:tcPr>
            <w:tcW w:w="920" w:type="dxa"/>
            <w:vAlign w:val="bottom"/>
            <w:vMerge w:val="restart"/>
          </w:tcPr>
          <w:p>
            <w:pPr>
              <w:ind w:left="8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38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tcPr>
          <w:p>
            <w:pPr>
              <w:ind w:left="60"/>
              <w:spacing w:after="0" w:line="130" w:lineRule="exact"/>
              <w:rPr>
                <w:sz w:val="20"/>
                <w:szCs w:val="20"/>
                <w:color w:val="auto"/>
              </w:rPr>
            </w:pPr>
            <w:r>
              <w:rPr>
                <w:rFonts w:ascii="Arial" w:cs="Arial" w:eastAsia="Arial" w:hAnsi="Arial"/>
                <w:sz w:val="12"/>
                <w:szCs w:val="12"/>
                <w:color w:val="0075C9"/>
                <w:w w:val="99"/>
              </w:rPr>
              <w:t>EXECUTIVE OFFICER</w:t>
            </w:r>
          </w:p>
        </w:tc>
        <w:tc>
          <w:tcPr>
            <w:tcW w:w="740" w:type="dxa"/>
            <w:vAlign w:val="bottom"/>
          </w:tcPr>
          <w:p>
            <w:pPr>
              <w:spacing w:after="0"/>
              <w:rPr>
                <w:sz w:val="11"/>
                <w:szCs w:val="11"/>
                <w:color w:val="auto"/>
              </w:rPr>
            </w:pPr>
          </w:p>
        </w:tc>
        <w:tc>
          <w:tcPr>
            <w:tcW w:w="1020" w:type="dxa"/>
            <w:vAlign w:val="bottom"/>
          </w:tcPr>
          <w:p>
            <w:pPr>
              <w:ind w:left="60"/>
              <w:spacing w:after="0" w:line="130" w:lineRule="exact"/>
              <w:rPr>
                <w:sz w:val="20"/>
                <w:szCs w:val="20"/>
                <w:color w:val="auto"/>
              </w:rPr>
            </w:pPr>
            <w:r>
              <w:rPr>
                <w:rFonts w:ascii="Arial" w:cs="Arial" w:eastAsia="Arial" w:hAnsi="Arial"/>
                <w:sz w:val="12"/>
                <w:szCs w:val="12"/>
                <w:color w:val="auto"/>
              </w:rPr>
              <w:t>COMMITTEE</w:t>
            </w:r>
          </w:p>
        </w:tc>
        <w:tc>
          <w:tcPr>
            <w:tcW w:w="500" w:type="dxa"/>
            <w:vAlign w:val="bottom"/>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20" w:type="dxa"/>
            <w:vAlign w:val="bottom"/>
          </w:tcPr>
          <w:p>
            <w:pPr>
              <w:spacing w:after="0"/>
              <w:rPr>
                <w:sz w:val="11"/>
                <w:szCs w:val="11"/>
                <w:color w:val="auto"/>
              </w:rPr>
            </w:pPr>
          </w:p>
        </w:tc>
        <w:tc>
          <w:tcPr>
            <w:tcW w:w="92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380" w:type="dxa"/>
            <w:vAlign w:val="bottom"/>
          </w:tcPr>
          <w:p>
            <w:pPr>
              <w:ind w:left="80"/>
              <w:spacing w:after="0"/>
              <w:rPr>
                <w:sz w:val="20"/>
                <w:szCs w:val="20"/>
                <w:color w:val="auto"/>
              </w:rPr>
            </w:pPr>
            <w:r>
              <w:rPr>
                <w:rFonts w:ascii="Arial" w:cs="Arial" w:eastAsia="Arial" w:hAnsi="Arial"/>
                <w:sz w:val="12"/>
                <w:szCs w:val="12"/>
                <w:color w:val="auto"/>
              </w:rPr>
              <w:t>DIRECTORS</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0075C9"/>
              </w:rPr>
              <w:t>COMPENSATION</w:t>
            </w:r>
          </w:p>
        </w:tc>
        <w:tc>
          <w:tcPr>
            <w:tcW w:w="740" w:type="dxa"/>
            <w:vAlign w:val="bottom"/>
          </w:tcPr>
          <w:p>
            <w:pPr>
              <w:spacing w:after="0"/>
              <w:rPr>
                <w:sz w:val="12"/>
                <w:szCs w:val="12"/>
                <w:color w:val="auto"/>
              </w:rPr>
            </w:pPr>
          </w:p>
        </w:tc>
        <w:tc>
          <w:tcPr>
            <w:tcW w:w="1020" w:type="dxa"/>
            <w:vAlign w:val="bottom"/>
          </w:tcPr>
          <w:p>
            <w:pPr>
              <w:ind w:left="60"/>
              <w:spacing w:after="0"/>
              <w:rPr>
                <w:sz w:val="20"/>
                <w:szCs w:val="20"/>
                <w:color w:val="auto"/>
              </w:rPr>
            </w:pPr>
            <w:r>
              <w:rPr>
                <w:rFonts w:ascii="Arial" w:cs="Arial" w:eastAsia="Arial" w:hAnsi="Arial"/>
                <w:sz w:val="12"/>
                <w:szCs w:val="12"/>
                <w:color w:val="auto"/>
              </w:rPr>
              <w:t>MATTERS</w:t>
            </w:r>
          </w:p>
        </w:tc>
        <w:tc>
          <w:tcPr>
            <w:tcW w:w="500" w:type="dxa"/>
            <w:vAlign w:val="bottom"/>
          </w:tcPr>
          <w:p>
            <w:pPr>
              <w:spacing w:after="0"/>
              <w:rPr>
                <w:sz w:val="12"/>
                <w:szCs w:val="12"/>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20" w:type="dxa"/>
            <w:vAlign w:val="bottom"/>
          </w:tcPr>
          <w:p>
            <w:pPr>
              <w:spacing w:after="0"/>
              <w:rPr>
                <w:sz w:val="12"/>
                <w:szCs w:val="12"/>
                <w:color w:val="auto"/>
              </w:rPr>
            </w:pPr>
          </w:p>
        </w:tc>
        <w:tc>
          <w:tcPr>
            <w:tcW w:w="92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ind w:left="3520"/>
        <w:spacing w:after="0"/>
        <w:rPr>
          <w:sz w:val="20"/>
          <w:szCs w:val="20"/>
          <w:color w:val="auto"/>
        </w:rPr>
      </w:pPr>
      <w:r>
        <w:rPr>
          <w:rFonts w:ascii="Arial" w:cs="Arial" w:eastAsia="Arial" w:hAnsi="Arial"/>
          <w:sz w:val="21"/>
          <w:szCs w:val="21"/>
          <w:b w:val="1"/>
          <w:bCs w:val="1"/>
          <w:color w:val="auto"/>
        </w:rPr>
        <w:t>Continuing Superior Shareholder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-74930</wp:posOffset>
            </wp:positionV>
            <wp:extent cx="5748020" cy="22205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748020" cy="2220595"/>
                    </a:xfrm>
                    <a:prstGeom prst="rect">
                      <a:avLst/>
                    </a:prstGeom>
                    <a:noFill/>
                  </pic:spPr>
                </pic:pic>
              </a:graphicData>
            </a:graphic>
          </wp:anchor>
        </w:drawing>
      </w:r>
    </w:p>
    <w:p>
      <w:pPr>
        <w:sectPr>
          <w:pgSz w:w="11900" w:h="16838" w:orient="portrait"/>
          <w:cols w:equalWidth="0" w:num="1">
            <w:col w:w="10280"/>
          </w:cols>
          <w:pgMar w:left="320" w:top="445" w:right="1299" w:bottom="1440" w:gutter="0" w:footer="0" w:header="0"/>
        </w:sectPr>
      </w:pPr>
    </w:p>
    <w:p>
      <w:pPr>
        <w:spacing w:after="0" w:line="59" w:lineRule="exact"/>
        <w:rPr>
          <w:sz w:val="20"/>
          <w:szCs w:val="20"/>
          <w:color w:val="auto"/>
        </w:rPr>
      </w:pPr>
    </w:p>
    <w:p>
      <w:pPr>
        <w:jc w:val="center"/>
        <w:ind w:left="360"/>
        <w:spacing w:after="0"/>
        <w:rPr>
          <w:sz w:val="20"/>
          <w:szCs w:val="20"/>
          <w:color w:val="auto"/>
        </w:rPr>
      </w:pPr>
      <w:r>
        <w:rPr>
          <w:rFonts w:ascii="Arial" w:cs="Arial" w:eastAsia="Arial" w:hAnsi="Arial"/>
          <w:sz w:val="14"/>
          <w:szCs w:val="14"/>
          <w:b w:val="1"/>
          <w:bCs w:val="1"/>
          <w:color w:val="0075C9"/>
        </w:rPr>
        <w:t>Aggregate Total Shareholder Return (TSR)</w:t>
      </w:r>
    </w:p>
    <w:p>
      <w:pPr>
        <w:spacing w:after="0" w:line="36" w:lineRule="exact"/>
        <w:rPr>
          <w:sz w:val="20"/>
          <w:szCs w:val="20"/>
          <w:color w:val="auto"/>
        </w:rPr>
      </w:pPr>
    </w:p>
    <w:p>
      <w:pPr>
        <w:jc w:val="center"/>
        <w:ind w:left="360"/>
        <w:spacing w:after="0"/>
        <w:rPr>
          <w:sz w:val="20"/>
          <w:szCs w:val="20"/>
          <w:color w:val="auto"/>
        </w:rPr>
      </w:pPr>
      <w:r>
        <w:rPr>
          <w:rFonts w:ascii="Arial" w:cs="Arial" w:eastAsia="Arial" w:hAnsi="Arial"/>
          <w:sz w:val="16"/>
          <w:szCs w:val="16"/>
          <w:b w:val="1"/>
          <w:bCs w:val="1"/>
          <w:color w:val="0075C9"/>
        </w:rPr>
        <w:t>MSFT vs. S&amp;P 500</w:t>
      </w:r>
    </w:p>
    <w:p>
      <w:pPr>
        <w:jc w:val="center"/>
        <w:ind w:left="360"/>
        <w:spacing w:after="0" w:line="236" w:lineRule="auto"/>
        <w:rPr>
          <w:sz w:val="20"/>
          <w:szCs w:val="20"/>
          <w:color w:val="auto"/>
        </w:rPr>
      </w:pPr>
      <w:r>
        <w:rPr>
          <w:rFonts w:ascii="Arial" w:cs="Arial" w:eastAsia="Arial" w:hAnsi="Arial"/>
          <w:sz w:val="16"/>
          <w:szCs w:val="16"/>
          <w:color w:val="auto"/>
        </w:rPr>
        <w:t>through June 30, 2021</w:t>
      </w:r>
    </w:p>
    <w:p>
      <w:pPr>
        <w:jc w:val="center"/>
        <w:ind w:left="360"/>
        <w:spacing w:after="0"/>
        <w:rPr>
          <w:sz w:val="20"/>
          <w:szCs w:val="20"/>
          <w:color w:val="auto"/>
        </w:rPr>
      </w:pPr>
      <w:r>
        <w:rPr>
          <w:rFonts w:ascii="Arial" w:cs="Arial" w:eastAsia="Arial" w:hAnsi="Arial"/>
          <w:sz w:val="16"/>
          <w:szCs w:val="16"/>
          <w:color w:val="auto"/>
        </w:rPr>
        <w:t>(includes reinvestment of dividends)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980"/>
        <w:spacing w:after="0"/>
        <w:rPr>
          <w:sz w:val="20"/>
          <w:szCs w:val="20"/>
          <w:color w:val="auto"/>
        </w:rPr>
      </w:pPr>
      <w:r>
        <w:rPr>
          <w:rFonts w:ascii="Arial" w:cs="Arial" w:eastAsia="Arial" w:hAnsi="Arial"/>
          <w:sz w:val="14"/>
          <w:szCs w:val="14"/>
          <w:b w:val="1"/>
          <w:bCs w:val="1"/>
          <w:color w:val="0075C9"/>
        </w:rPr>
        <w:t>Annual TSR during Mr. Nadella’s CEO</w:t>
      </w:r>
    </w:p>
    <w:p>
      <w:pPr>
        <w:spacing w:after="0" w:line="36" w:lineRule="exact"/>
        <w:rPr>
          <w:sz w:val="20"/>
          <w:szCs w:val="20"/>
          <w:color w:val="auto"/>
        </w:rPr>
      </w:pPr>
    </w:p>
    <w:p>
      <w:pPr>
        <w:jc w:val="center"/>
        <w:ind w:right="980"/>
        <w:spacing w:after="0"/>
        <w:rPr>
          <w:sz w:val="20"/>
          <w:szCs w:val="20"/>
          <w:color w:val="auto"/>
        </w:rPr>
      </w:pPr>
      <w:r>
        <w:rPr>
          <w:rFonts w:ascii="Arial" w:cs="Arial" w:eastAsia="Arial" w:hAnsi="Arial"/>
          <w:sz w:val="16"/>
          <w:szCs w:val="16"/>
          <w:b w:val="1"/>
          <w:bCs w:val="1"/>
          <w:color w:val="0075C9"/>
        </w:rPr>
        <w:t>Tenure: MSFT vs. S&amp;P 500</w:t>
      </w:r>
    </w:p>
    <w:p>
      <w:pPr>
        <w:ind w:left="160"/>
        <w:spacing w:after="0" w:line="236" w:lineRule="auto"/>
        <w:rPr>
          <w:sz w:val="20"/>
          <w:szCs w:val="20"/>
          <w:color w:val="auto"/>
        </w:rPr>
      </w:pPr>
      <w:r>
        <w:rPr>
          <w:rFonts w:ascii="Arial" w:cs="Arial" w:eastAsia="Arial" w:hAnsi="Arial"/>
          <w:sz w:val="16"/>
          <w:szCs w:val="16"/>
          <w:color w:val="auto"/>
        </w:rPr>
        <w:t>Feb. 4, 2014 through June 30, 2021</w:t>
      </w:r>
    </w:p>
    <w:p>
      <w:pPr>
        <w:ind w:left="160"/>
        <w:spacing w:after="0"/>
        <w:rPr>
          <w:sz w:val="20"/>
          <w:szCs w:val="20"/>
          <w:color w:val="auto"/>
        </w:rPr>
      </w:pPr>
      <w:r>
        <w:rPr>
          <w:rFonts w:ascii="Arial" w:cs="Arial" w:eastAsia="Arial" w:hAnsi="Arial"/>
          <w:sz w:val="16"/>
          <w:szCs w:val="16"/>
          <w:color w:val="auto"/>
        </w:rPr>
        <w:t>(includes reinvestment of dividends)</w:t>
      </w:r>
    </w:p>
    <w:p>
      <w:pPr>
        <w:spacing w:after="0" w:line="200" w:lineRule="exact"/>
        <w:rPr>
          <w:sz w:val="20"/>
          <w:szCs w:val="20"/>
          <w:color w:val="auto"/>
        </w:rPr>
      </w:pPr>
    </w:p>
    <w:p>
      <w:pPr>
        <w:sectPr>
          <w:pgSz w:w="11900" w:h="16838" w:orient="portrait"/>
          <w:cols w:equalWidth="0" w:num="2">
            <w:col w:w="5800" w:space="720"/>
            <w:col w:w="3760"/>
          </w:cols>
          <w:pgMar w:left="320" w:top="445" w:right="1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Building for the Future</w:t>
      </w:r>
    </w:p>
    <w:p>
      <w:pPr>
        <w:spacing w:after="0" w:line="129" w:lineRule="exact"/>
        <w:rPr>
          <w:sz w:val="20"/>
          <w:szCs w:val="20"/>
          <w:color w:val="auto"/>
        </w:rPr>
      </w:pPr>
    </w:p>
    <w:p>
      <w:pPr>
        <w:ind w:left="1100" w:right="500"/>
        <w:spacing w:after="0" w:line="239" w:lineRule="auto"/>
        <w:rPr>
          <w:sz w:val="20"/>
          <w:szCs w:val="20"/>
          <w:color w:val="auto"/>
        </w:rPr>
      </w:pPr>
      <w:r>
        <w:rPr>
          <w:rFonts w:ascii="Arial" w:cs="Arial" w:eastAsia="Arial" w:hAnsi="Arial"/>
          <w:sz w:val="16"/>
          <w:szCs w:val="16"/>
          <w:color w:val="auto"/>
        </w:rPr>
        <w:t>We believe enhancing the Company’s value over the long-term involves not only achieving consistently strong results, but also building trust by investing in a secure technology ecosystem, healthier societies, and a sustainable environment.</w:t>
      </w:r>
    </w:p>
    <w:p>
      <w:pPr>
        <w:spacing w:after="0" w:line="100" w:lineRule="exact"/>
        <w:rPr>
          <w:sz w:val="20"/>
          <w:szCs w:val="20"/>
          <w:color w:val="auto"/>
        </w:rPr>
      </w:pPr>
    </w:p>
    <w:p>
      <w:pPr>
        <w:ind w:left="1100" w:right="140"/>
        <w:spacing w:after="0" w:line="237" w:lineRule="auto"/>
        <w:rPr>
          <w:sz w:val="20"/>
          <w:szCs w:val="20"/>
          <w:color w:val="auto"/>
        </w:rPr>
      </w:pPr>
      <w:r>
        <w:rPr>
          <w:rFonts w:ascii="Arial" w:cs="Arial" w:eastAsia="Arial" w:hAnsi="Arial"/>
          <w:sz w:val="16"/>
          <w:szCs w:val="16"/>
          <w:color w:val="auto"/>
        </w:rPr>
        <w:t>We made significant progress on multiple initiatives in fiscal year 2021. Our digital skills program aims to expand access to the technical capabilities needed in the modern workplace and into the future, particularly for those with lower incomes, women, and underrepresented minorities. We are taking concrete action to address racial injustice and inequity by increasing representation and strengthening inclusion at Microsoft, by working to increase diversity among our suppliers and partners, and by strengthening our communities through the power of data, technology, and partnership. We reported numbers demonstrating that we are well on our way to achieving our commitment to double the number of Black and African American and Hispanic and Latinx people managers, senior individual contributors, and senior leaders in the U.S. by 2025. In 2021 we also reported on the significant progress made towards meeting the ambitious carbon negative and other sustainability goals the Company announced in 2020 and developed the Microsoft Cloud for Sustainability offering designed to help companies measure, understand, and take charge of their carbon emissions, set sustainability goals, and take measurable action.</w:t>
      </w:r>
    </w:p>
    <w:p>
      <w:pPr>
        <w:spacing w:after="0" w:line="100" w:lineRule="exact"/>
        <w:rPr>
          <w:sz w:val="20"/>
          <w:szCs w:val="20"/>
          <w:color w:val="auto"/>
        </w:rPr>
      </w:pPr>
    </w:p>
    <w:p>
      <w:pPr>
        <w:ind w:left="1100" w:right="160"/>
        <w:spacing w:after="0" w:line="237" w:lineRule="auto"/>
        <w:rPr>
          <w:sz w:val="20"/>
          <w:szCs w:val="20"/>
          <w:color w:val="auto"/>
        </w:rPr>
      </w:pPr>
      <w:r>
        <w:rPr>
          <w:rFonts w:ascii="Arial" w:cs="Arial" w:eastAsia="Arial" w:hAnsi="Arial"/>
          <w:sz w:val="16"/>
          <w:szCs w:val="16"/>
          <w:color w:val="auto"/>
        </w:rPr>
        <w:t>To advance trust, our organizations that promote the responsible use of AI deepened their engagement with both our internal engineering groups to embed responsible practices into our products, and with external regulators and stakeholders to advocate for regulations that enable technologies such as AI and facial recognition to benefit society at large. These programs reflect the growing momentum of our social and environmental commitments, which continue to accelerate despite the disruptions of the COVID-19 pandemic. With the encouragement and guidance of the Board, we have built concrete and ambitious commitments for these programs to ensure progress and accountability.</w:t>
      </w:r>
    </w:p>
    <w:p>
      <w:pPr>
        <w:spacing w:after="0" w:line="101" w:lineRule="exact"/>
        <w:rPr>
          <w:sz w:val="20"/>
          <w:szCs w:val="20"/>
          <w:color w:val="auto"/>
        </w:rPr>
      </w:pPr>
    </w:p>
    <w:p>
      <w:pPr>
        <w:ind w:left="1100" w:right="340"/>
        <w:spacing w:after="0" w:line="238" w:lineRule="auto"/>
        <w:rPr>
          <w:sz w:val="20"/>
          <w:szCs w:val="20"/>
          <w:color w:val="auto"/>
        </w:rPr>
      </w:pPr>
      <w:r>
        <w:rPr>
          <w:rFonts w:ascii="Arial" w:cs="Arial" w:eastAsia="Arial" w:hAnsi="Arial"/>
          <w:sz w:val="16"/>
          <w:szCs w:val="16"/>
          <w:color w:val="auto"/>
        </w:rPr>
        <w:t>Our continued success in fiscal year 2021 required intense focus on accelerating our customers’ digital transformations, maintaining stable business operations, agility to adapt to rapidly changing circumstances, and excellence in our strategic vision. Mr. Nadella and his senior leadership team’s success in addressing these challenges supports compensation decisions made for fiscal year 2021 performance.</w:t>
      </w:r>
    </w:p>
    <w:p>
      <w:pPr>
        <w:spacing w:after="0" w:line="200" w:lineRule="exact"/>
        <w:rPr>
          <w:sz w:val="20"/>
          <w:szCs w:val="20"/>
          <w:color w:val="auto"/>
        </w:rPr>
      </w:pPr>
    </w:p>
    <w:p>
      <w:pPr>
        <w:spacing w:after="0" w:line="300"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2021 PROXY STATEMENT</w:t>
      </w:r>
      <w:r>
        <w:rPr>
          <w:sz w:val="20"/>
          <w:szCs w:val="20"/>
          <w:color w:val="auto"/>
        </w:rPr>
        <w:tab/>
      </w:r>
      <w:r>
        <w:rPr>
          <w:rFonts w:ascii="Arial" w:cs="Arial" w:eastAsia="Arial" w:hAnsi="Arial"/>
          <w:sz w:val="12"/>
          <w:szCs w:val="12"/>
          <w:b w:val="1"/>
          <w:bCs w:val="1"/>
          <w:color w:val="0075C9"/>
        </w:rPr>
        <w:t>35</w:t>
      </w:r>
    </w:p>
    <w:p>
      <w:pPr>
        <w:sectPr>
          <w:pgSz w:w="11900" w:h="16838" w:orient="portrait"/>
          <w:cols w:equalWidth="0" w:num="1">
            <w:col w:w="10280"/>
          </w:cols>
          <w:pgMar w:left="320" w:top="445" w:right="1299" w:bottom="1440" w:gutter="0" w:footer="0" w:header="0"/>
          <w:type w:val="continuous"/>
        </w:sectPr>
      </w:pPr>
    </w:p>
    <w:bookmarkStart w:id="43" w:name="page44"/>
    <w:bookmarkEnd w:id="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auto"/>
                <w:w w:val="89"/>
              </w:rPr>
              <w:t>1</w:t>
            </w:r>
          </w:p>
        </w:tc>
        <w:tc>
          <w:tcPr>
            <w:tcW w:w="1380" w:type="dxa"/>
            <w:vAlign w:val="bottom"/>
            <w:vMerge w:val="restart"/>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gridSpan w:val="2"/>
          </w:tcPr>
          <w:p>
            <w:pPr>
              <w:jc w:val="right"/>
              <w:ind w:right="80"/>
              <w:spacing w:after="0"/>
              <w:rPr>
                <w:sz w:val="20"/>
                <w:szCs w:val="20"/>
                <w:color w:val="auto"/>
              </w:rPr>
            </w:pPr>
            <w:r>
              <w:rPr>
                <w:rFonts w:ascii="Arial" w:cs="Arial" w:eastAsia="Arial" w:hAnsi="Arial"/>
                <w:sz w:val="36"/>
                <w:szCs w:val="36"/>
                <w:color w:val="0075C9"/>
              </w:rPr>
              <w:t>2</w:t>
            </w:r>
          </w:p>
        </w:tc>
        <w:tc>
          <w:tcPr>
            <w:tcW w:w="1320" w:type="dxa"/>
            <w:vAlign w:val="bottom"/>
            <w:vMerge w:val="restart"/>
          </w:tcPr>
          <w:p>
            <w:pPr>
              <w:ind w:left="60"/>
              <w:spacing w:after="0"/>
              <w:rPr>
                <w:sz w:val="20"/>
                <w:szCs w:val="20"/>
                <w:color w:val="auto"/>
              </w:rPr>
            </w:pPr>
            <w:r>
              <w:rPr>
                <w:rFonts w:ascii="Arial" w:cs="Arial" w:eastAsia="Arial" w:hAnsi="Arial"/>
                <w:sz w:val="12"/>
                <w:szCs w:val="12"/>
                <w:color w:val="0075C9"/>
              </w:rPr>
              <w:t>NAMED</w:t>
            </w:r>
          </w:p>
        </w:tc>
        <w:tc>
          <w:tcPr>
            <w:tcW w:w="740" w:type="dxa"/>
            <w:vAlign w:val="bottom"/>
          </w:tcPr>
          <w:p>
            <w:pPr>
              <w:jc w:val="right"/>
              <w:spacing w:after="0"/>
              <w:rPr>
                <w:sz w:val="20"/>
                <w:szCs w:val="20"/>
                <w:color w:val="auto"/>
              </w:rPr>
            </w:pPr>
            <w:r>
              <w:rPr>
                <w:rFonts w:ascii="Arial" w:cs="Arial" w:eastAsia="Arial" w:hAnsi="Arial"/>
                <w:sz w:val="36"/>
                <w:szCs w:val="36"/>
                <w:color w:val="auto"/>
              </w:rPr>
              <w:t>3</w:t>
            </w:r>
          </w:p>
        </w:tc>
        <w:tc>
          <w:tcPr>
            <w:tcW w:w="1020" w:type="dxa"/>
            <w:vAlign w:val="bottom"/>
            <w:vMerge w:val="restart"/>
          </w:tcPr>
          <w:p>
            <w:pPr>
              <w:ind w:left="60"/>
              <w:spacing w:after="0"/>
              <w:rPr>
                <w:sz w:val="20"/>
                <w:szCs w:val="20"/>
                <w:color w:val="auto"/>
              </w:rPr>
            </w:pPr>
            <w:r>
              <w:rPr>
                <w:rFonts w:ascii="Arial" w:cs="Arial" w:eastAsia="Arial" w:hAnsi="Arial"/>
                <w:sz w:val="12"/>
                <w:szCs w:val="12"/>
                <w:color w:val="auto"/>
              </w:rPr>
              <w:t>AUDIT</w:t>
            </w:r>
          </w:p>
        </w:tc>
        <w:tc>
          <w:tcPr>
            <w:tcW w:w="500" w:type="dxa"/>
            <w:vAlign w:val="bottom"/>
          </w:tcPr>
          <w:p>
            <w:pPr>
              <w:jc w:val="right"/>
              <w:spacing w:after="0"/>
              <w:rPr>
                <w:sz w:val="20"/>
                <w:szCs w:val="20"/>
                <w:color w:val="auto"/>
              </w:rPr>
            </w:pPr>
            <w:r>
              <w:rPr>
                <w:rFonts w:ascii="Arial" w:cs="Arial" w:eastAsia="Arial" w:hAnsi="Arial"/>
                <w:sz w:val="36"/>
                <w:szCs w:val="36"/>
                <w:color w:val="auto"/>
              </w:rPr>
              <w:t>4</w:t>
            </w:r>
          </w:p>
        </w:tc>
        <w:tc>
          <w:tcPr>
            <w:tcW w:w="1580" w:type="dxa"/>
            <w:vAlign w:val="bottom"/>
            <w:vMerge w:val="restart"/>
          </w:tcPr>
          <w:p>
            <w:pPr>
              <w:ind w:left="80"/>
              <w:spacing w:after="0"/>
              <w:rPr>
                <w:sz w:val="20"/>
                <w:szCs w:val="20"/>
                <w:color w:val="auto"/>
              </w:rPr>
            </w:pPr>
            <w:r>
              <w:rPr>
                <w:rFonts w:ascii="Arial" w:cs="Arial" w:eastAsia="Arial" w:hAnsi="Arial"/>
                <w:sz w:val="12"/>
                <w:szCs w:val="12"/>
                <w:color w:val="auto"/>
              </w:rPr>
              <w:t>PROPOSALS TO</w:t>
            </w:r>
          </w:p>
        </w:tc>
        <w:tc>
          <w:tcPr>
            <w:tcW w:w="420" w:type="dxa"/>
            <w:vAlign w:val="bottom"/>
          </w:tcPr>
          <w:p>
            <w:pPr>
              <w:jc w:val="right"/>
              <w:spacing w:after="0"/>
              <w:rPr>
                <w:sz w:val="20"/>
                <w:szCs w:val="20"/>
                <w:color w:val="auto"/>
              </w:rPr>
            </w:pPr>
            <w:r>
              <w:rPr>
                <w:rFonts w:ascii="Arial" w:cs="Arial" w:eastAsia="Arial" w:hAnsi="Arial"/>
                <w:sz w:val="36"/>
                <w:szCs w:val="36"/>
                <w:color w:val="auto"/>
              </w:rPr>
              <w:t>5</w:t>
            </w:r>
          </w:p>
        </w:tc>
        <w:tc>
          <w:tcPr>
            <w:tcW w:w="1360" w:type="dxa"/>
            <w:vAlign w:val="bottom"/>
            <w:vMerge w:val="restart"/>
          </w:tcPr>
          <w:p>
            <w:pPr>
              <w:ind w:left="80"/>
              <w:spacing w:after="0"/>
              <w:rPr>
                <w:sz w:val="20"/>
                <w:szCs w:val="20"/>
                <w:color w:val="auto"/>
              </w:rPr>
            </w:pPr>
            <w:r>
              <w:rPr>
                <w:rFonts w:ascii="Arial" w:cs="Arial" w:eastAsia="Arial" w:hAnsi="Arial"/>
                <w:sz w:val="12"/>
                <w:szCs w:val="12"/>
                <w:color w:val="auto"/>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38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tcPr>
          <w:p>
            <w:pPr>
              <w:ind w:left="60"/>
              <w:spacing w:after="0" w:line="130" w:lineRule="exact"/>
              <w:rPr>
                <w:sz w:val="20"/>
                <w:szCs w:val="20"/>
                <w:color w:val="auto"/>
              </w:rPr>
            </w:pPr>
            <w:r>
              <w:rPr>
                <w:rFonts w:ascii="Arial" w:cs="Arial" w:eastAsia="Arial" w:hAnsi="Arial"/>
                <w:sz w:val="12"/>
                <w:szCs w:val="12"/>
                <w:color w:val="0075C9"/>
                <w:w w:val="99"/>
              </w:rPr>
              <w:t>EXECUTIVE OFFICER</w:t>
            </w:r>
          </w:p>
        </w:tc>
        <w:tc>
          <w:tcPr>
            <w:tcW w:w="740" w:type="dxa"/>
            <w:vAlign w:val="bottom"/>
          </w:tcPr>
          <w:p>
            <w:pPr>
              <w:spacing w:after="0"/>
              <w:rPr>
                <w:sz w:val="11"/>
                <w:szCs w:val="11"/>
                <w:color w:val="auto"/>
              </w:rPr>
            </w:pPr>
          </w:p>
        </w:tc>
        <w:tc>
          <w:tcPr>
            <w:tcW w:w="1020" w:type="dxa"/>
            <w:vAlign w:val="bottom"/>
          </w:tcPr>
          <w:p>
            <w:pPr>
              <w:ind w:left="60"/>
              <w:spacing w:after="0" w:line="130" w:lineRule="exact"/>
              <w:rPr>
                <w:sz w:val="20"/>
                <w:szCs w:val="20"/>
                <w:color w:val="auto"/>
              </w:rPr>
            </w:pPr>
            <w:r>
              <w:rPr>
                <w:rFonts w:ascii="Arial" w:cs="Arial" w:eastAsia="Arial" w:hAnsi="Arial"/>
                <w:sz w:val="12"/>
                <w:szCs w:val="12"/>
                <w:color w:val="auto"/>
              </w:rPr>
              <w:t>COMMITTEE</w:t>
            </w:r>
          </w:p>
        </w:tc>
        <w:tc>
          <w:tcPr>
            <w:tcW w:w="500" w:type="dxa"/>
            <w:vAlign w:val="bottom"/>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20" w:type="dxa"/>
            <w:vAlign w:val="bottom"/>
          </w:tcPr>
          <w:p>
            <w:pPr>
              <w:spacing w:after="0"/>
              <w:rPr>
                <w:sz w:val="11"/>
                <w:szCs w:val="11"/>
                <w:color w:val="auto"/>
              </w:rPr>
            </w:pPr>
          </w:p>
        </w:tc>
        <w:tc>
          <w:tcPr>
            <w:tcW w:w="136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380" w:type="dxa"/>
            <w:vAlign w:val="bottom"/>
          </w:tcPr>
          <w:p>
            <w:pPr>
              <w:ind w:left="80"/>
              <w:spacing w:after="0"/>
              <w:rPr>
                <w:sz w:val="20"/>
                <w:szCs w:val="20"/>
                <w:color w:val="auto"/>
              </w:rPr>
            </w:pPr>
            <w:r>
              <w:rPr>
                <w:rFonts w:ascii="Arial" w:cs="Arial" w:eastAsia="Arial" w:hAnsi="Arial"/>
                <w:sz w:val="12"/>
                <w:szCs w:val="12"/>
                <w:color w:val="auto"/>
              </w:rPr>
              <w:t>DIRECTORS</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0075C9"/>
              </w:rPr>
              <w:t>COMPENSATION</w:t>
            </w:r>
          </w:p>
        </w:tc>
        <w:tc>
          <w:tcPr>
            <w:tcW w:w="740" w:type="dxa"/>
            <w:vAlign w:val="bottom"/>
          </w:tcPr>
          <w:p>
            <w:pPr>
              <w:spacing w:after="0"/>
              <w:rPr>
                <w:sz w:val="12"/>
                <w:szCs w:val="12"/>
                <w:color w:val="auto"/>
              </w:rPr>
            </w:pPr>
          </w:p>
        </w:tc>
        <w:tc>
          <w:tcPr>
            <w:tcW w:w="1020" w:type="dxa"/>
            <w:vAlign w:val="bottom"/>
          </w:tcPr>
          <w:p>
            <w:pPr>
              <w:ind w:left="60"/>
              <w:spacing w:after="0"/>
              <w:rPr>
                <w:sz w:val="20"/>
                <w:szCs w:val="20"/>
                <w:color w:val="auto"/>
              </w:rPr>
            </w:pPr>
            <w:r>
              <w:rPr>
                <w:rFonts w:ascii="Arial" w:cs="Arial" w:eastAsia="Arial" w:hAnsi="Arial"/>
                <w:sz w:val="12"/>
                <w:szCs w:val="12"/>
                <w:color w:val="auto"/>
              </w:rPr>
              <w:t>MATTERS</w:t>
            </w:r>
          </w:p>
        </w:tc>
        <w:tc>
          <w:tcPr>
            <w:tcW w:w="500" w:type="dxa"/>
            <w:vAlign w:val="bottom"/>
          </w:tcPr>
          <w:p>
            <w:pPr>
              <w:spacing w:after="0"/>
              <w:rPr>
                <w:sz w:val="12"/>
                <w:szCs w:val="12"/>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20" w:type="dxa"/>
            <w:vAlign w:val="bottom"/>
          </w:tcPr>
          <w:p>
            <w:pPr>
              <w:spacing w:after="0"/>
              <w:rPr>
                <w:sz w:val="12"/>
                <w:szCs w:val="12"/>
                <w:color w:val="auto"/>
              </w:rPr>
            </w:pPr>
          </w:p>
        </w:tc>
        <w:tc>
          <w:tcPr>
            <w:tcW w:w="136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280" w:type="dxa"/>
            <w:vAlign w:val="bottom"/>
            <w:tcBorders>
              <w:bottom w:val="single" w:sz="8" w:color="0075C9"/>
            </w:tcBorders>
          </w:tcPr>
          <w:p>
            <w:pPr>
              <w:spacing w:after="0"/>
              <w:rPr>
                <w:sz w:val="24"/>
                <w:szCs w:val="24"/>
                <w:color w:val="auto"/>
              </w:rPr>
            </w:pPr>
          </w:p>
        </w:tc>
        <w:tc>
          <w:tcPr>
            <w:tcW w:w="1380" w:type="dxa"/>
            <w:vAlign w:val="bottom"/>
            <w:tcBorders>
              <w:bottom w:val="single" w:sz="8" w:color="0075C9"/>
            </w:tcBorders>
          </w:tcPr>
          <w:p>
            <w:pPr>
              <w:spacing w:after="0"/>
              <w:rPr>
                <w:sz w:val="24"/>
                <w:szCs w:val="24"/>
                <w:color w:val="auto"/>
              </w:rPr>
            </w:pPr>
          </w:p>
        </w:tc>
        <w:tc>
          <w:tcPr>
            <w:tcW w:w="160" w:type="dxa"/>
            <w:vAlign w:val="bottom"/>
            <w:tcBorders>
              <w:bottom w:val="single" w:sz="8" w:color="0075C9"/>
            </w:tcBorders>
          </w:tcPr>
          <w:p>
            <w:pPr>
              <w:spacing w:after="0"/>
              <w:rPr>
                <w:sz w:val="24"/>
                <w:szCs w:val="24"/>
                <w:color w:val="auto"/>
              </w:rPr>
            </w:pPr>
          </w:p>
        </w:tc>
        <w:tc>
          <w:tcPr>
            <w:tcW w:w="280" w:type="dxa"/>
            <w:vAlign w:val="bottom"/>
            <w:tcBorders>
              <w:bottom w:val="single" w:sz="8" w:color="0075C9"/>
            </w:tcBorders>
          </w:tcPr>
          <w:p>
            <w:pPr>
              <w:spacing w:after="0"/>
              <w:rPr>
                <w:sz w:val="24"/>
                <w:szCs w:val="24"/>
                <w:color w:val="auto"/>
              </w:rPr>
            </w:pPr>
          </w:p>
        </w:tc>
        <w:tc>
          <w:tcPr>
            <w:tcW w:w="1320" w:type="dxa"/>
            <w:vAlign w:val="bottom"/>
            <w:tcBorders>
              <w:bottom w:val="single" w:sz="8" w:color="0075C9"/>
            </w:tcBorders>
          </w:tcPr>
          <w:p>
            <w:pPr>
              <w:spacing w:after="0"/>
              <w:rPr>
                <w:sz w:val="24"/>
                <w:szCs w:val="24"/>
                <w:color w:val="auto"/>
              </w:rPr>
            </w:pPr>
          </w:p>
        </w:tc>
        <w:tc>
          <w:tcPr>
            <w:tcW w:w="740" w:type="dxa"/>
            <w:vAlign w:val="bottom"/>
            <w:tcBorders>
              <w:bottom w:val="single" w:sz="8" w:color="0075C9"/>
            </w:tcBorders>
          </w:tcPr>
          <w:p>
            <w:pPr>
              <w:spacing w:after="0"/>
              <w:rPr>
                <w:sz w:val="24"/>
                <w:szCs w:val="24"/>
                <w:color w:val="auto"/>
              </w:rPr>
            </w:pPr>
          </w:p>
        </w:tc>
        <w:tc>
          <w:tcPr>
            <w:tcW w:w="1020" w:type="dxa"/>
            <w:vAlign w:val="bottom"/>
            <w:tcBorders>
              <w:bottom w:val="single" w:sz="8" w:color="0075C9"/>
            </w:tcBorders>
          </w:tcPr>
          <w:p>
            <w:pPr>
              <w:spacing w:after="0"/>
              <w:rPr>
                <w:sz w:val="24"/>
                <w:szCs w:val="24"/>
                <w:color w:val="auto"/>
              </w:rPr>
            </w:pPr>
          </w:p>
        </w:tc>
        <w:tc>
          <w:tcPr>
            <w:tcW w:w="500" w:type="dxa"/>
            <w:vAlign w:val="bottom"/>
            <w:tcBorders>
              <w:bottom w:val="single" w:sz="8" w:color="0075C9"/>
            </w:tcBorders>
          </w:tcPr>
          <w:p>
            <w:pPr>
              <w:spacing w:after="0"/>
              <w:rPr>
                <w:sz w:val="24"/>
                <w:szCs w:val="24"/>
                <w:color w:val="auto"/>
              </w:rPr>
            </w:pPr>
          </w:p>
        </w:tc>
        <w:tc>
          <w:tcPr>
            <w:tcW w:w="1580" w:type="dxa"/>
            <w:vAlign w:val="bottom"/>
            <w:tcBorders>
              <w:bottom w:val="single" w:sz="8" w:color="0075C9"/>
            </w:tcBorders>
          </w:tcPr>
          <w:p>
            <w:pPr>
              <w:spacing w:after="0"/>
              <w:rPr>
                <w:sz w:val="24"/>
                <w:szCs w:val="24"/>
                <w:color w:val="auto"/>
              </w:rPr>
            </w:pPr>
          </w:p>
        </w:tc>
        <w:tc>
          <w:tcPr>
            <w:tcW w:w="420" w:type="dxa"/>
            <w:vAlign w:val="bottom"/>
            <w:tcBorders>
              <w:bottom w:val="single" w:sz="8" w:color="0075C9"/>
            </w:tcBorders>
          </w:tcPr>
          <w:p>
            <w:pPr>
              <w:spacing w:after="0"/>
              <w:rPr>
                <w:sz w:val="24"/>
                <w:szCs w:val="24"/>
                <w:color w:val="auto"/>
              </w:rPr>
            </w:pPr>
          </w:p>
        </w:tc>
        <w:tc>
          <w:tcPr>
            <w:tcW w:w="1360" w:type="dxa"/>
            <w:vAlign w:val="bottom"/>
            <w:tcBorders>
              <w:bottom w:val="single" w:sz="8" w:color="0075C9"/>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Section 2 – Executive Compensation Program Enhancements</w:t>
      </w:r>
    </w:p>
    <w:p>
      <w:pPr>
        <w:sectPr>
          <w:pgSz w:w="11900" w:h="16838" w:orient="portrait"/>
          <w:cols w:equalWidth="0" w:num="1">
            <w:col w:w="10140"/>
          </w:cols>
          <w:pgMar w:left="320" w:top="445" w:right="1439" w:bottom="1440" w:gutter="0" w:footer="0" w:header="0"/>
        </w:sectPr>
      </w:pPr>
    </w:p>
    <w:p>
      <w:pPr>
        <w:spacing w:after="0" w:line="109"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Shareholder Engagement</w:t>
      </w:r>
    </w:p>
    <w:p>
      <w:pPr>
        <w:spacing w:after="0" w:line="142" w:lineRule="exact"/>
        <w:rPr>
          <w:sz w:val="20"/>
          <w:szCs w:val="20"/>
          <w:color w:val="auto"/>
        </w:rPr>
      </w:pPr>
    </w:p>
    <w:p>
      <w:pPr>
        <w:ind w:left="1100" w:right="120"/>
        <w:spacing w:after="0" w:line="237" w:lineRule="auto"/>
        <w:rPr>
          <w:sz w:val="20"/>
          <w:szCs w:val="20"/>
          <w:color w:val="auto"/>
        </w:rPr>
      </w:pPr>
      <w:r>
        <w:rPr>
          <w:rFonts w:ascii="Arial" w:cs="Arial" w:eastAsia="Arial" w:hAnsi="Arial"/>
          <w:sz w:val="16"/>
          <w:szCs w:val="16"/>
          <w:color w:val="auto"/>
        </w:rPr>
        <w:t>Our executive compensation program is grounded in a compensation philosophy aimed at achieving strong alignment between our long-term strategic goals and our shareholders’ interests. Feedback received from our shareholders through ongoing engagement discussions informs our Compensation Committee’s deliberations as it reviews the incentive structures in place on an ongoing basis.</w:t>
      </w:r>
    </w:p>
    <w:p>
      <w:pPr>
        <w:spacing w:after="0" w:line="114" w:lineRule="exact"/>
        <w:rPr>
          <w:sz w:val="20"/>
          <w:szCs w:val="20"/>
          <w:color w:val="auto"/>
        </w:rPr>
      </w:pPr>
    </w:p>
    <w:p>
      <w:pPr>
        <w:ind w:left="1100" w:right="40"/>
        <w:spacing w:after="0" w:line="237" w:lineRule="auto"/>
        <w:rPr>
          <w:sz w:val="20"/>
          <w:szCs w:val="20"/>
          <w:color w:val="auto"/>
        </w:rPr>
      </w:pPr>
      <w:r>
        <w:rPr>
          <w:rFonts w:ascii="Arial" w:cs="Arial" w:eastAsia="Arial" w:hAnsi="Arial"/>
          <w:sz w:val="16"/>
          <w:szCs w:val="16"/>
          <w:color w:val="auto"/>
        </w:rPr>
        <w:t>Our Board and our Compensation Committee deeply value the continued interest of and feedback from our shareholders on our executive compensation program and are committed to maintaining an active dialogue with them to ensure their perspectives are thoughtfully taken into account.</w:t>
      </w:r>
    </w:p>
    <w:p>
      <w:pPr>
        <w:spacing w:after="0" w:line="115" w:lineRule="exact"/>
        <w:rPr>
          <w:sz w:val="20"/>
          <w:szCs w:val="20"/>
          <w:color w:val="auto"/>
        </w:rPr>
      </w:pPr>
    </w:p>
    <w:p>
      <w:pPr>
        <w:ind w:left="1100"/>
        <w:spacing w:after="0" w:line="237" w:lineRule="auto"/>
        <w:rPr>
          <w:sz w:val="20"/>
          <w:szCs w:val="20"/>
          <w:color w:val="auto"/>
        </w:rPr>
      </w:pPr>
      <w:r>
        <w:rPr>
          <w:rFonts w:ascii="Arial" w:cs="Arial" w:eastAsia="Arial" w:hAnsi="Arial"/>
          <w:sz w:val="16"/>
          <w:szCs w:val="16"/>
          <w:color w:val="auto"/>
        </w:rPr>
        <w:t>We carefully consider both the level of voting support from our shareholders on our say-on-pay vote, as well as comments from shareholders, when evaluating our executive compensation program. At the 2020 Annual Meeting, 94.7% of the votes cast supported our advisory resolution on the compensation of our Named Executives (“say-on-pay” vote).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1" w:lineRule="exact"/>
        <w:rPr>
          <w:sz w:val="20"/>
          <w:szCs w:val="20"/>
          <w:color w:val="auto"/>
        </w:rPr>
      </w:pPr>
    </w:p>
    <w:p>
      <w:pPr>
        <w:ind w:left="200"/>
        <w:spacing w:after="0"/>
        <w:rPr>
          <w:sz w:val="20"/>
          <w:szCs w:val="20"/>
          <w:color w:val="auto"/>
        </w:rPr>
      </w:pPr>
      <w:r>
        <w:rPr>
          <w:rFonts w:ascii="Arial" w:cs="Arial" w:eastAsia="Arial" w:hAnsi="Arial"/>
          <w:sz w:val="21"/>
          <w:szCs w:val="21"/>
          <w:b w:val="1"/>
          <w:bCs w:val="1"/>
          <w:color w:val="auto"/>
        </w:rPr>
        <w:t>Shareholder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wp:posOffset>
            </wp:positionH>
            <wp:positionV relativeFrom="paragraph">
              <wp:posOffset>-50165</wp:posOffset>
            </wp:positionV>
            <wp:extent cx="2360295" cy="20313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360295" cy="2031365"/>
                    </a:xfrm>
                    <a:prstGeom prst="rect">
                      <a:avLst/>
                    </a:prstGeom>
                    <a:noFill/>
                  </pic:spPr>
                </pic:pic>
              </a:graphicData>
            </a:graphic>
          </wp:anchor>
        </w:drawing>
      </w:r>
    </w:p>
    <w:p>
      <w:pPr>
        <w:spacing w:after="0" w:line="166" w:lineRule="exact"/>
        <w:rPr>
          <w:sz w:val="20"/>
          <w:szCs w:val="20"/>
          <w:color w:val="auto"/>
        </w:rPr>
      </w:pPr>
    </w:p>
    <w:p>
      <w:pPr>
        <w:jc w:val="center"/>
        <w:ind w:left="-99" w:right="80"/>
        <w:spacing w:after="0" w:line="237" w:lineRule="auto"/>
        <w:rPr>
          <w:sz w:val="20"/>
          <w:szCs w:val="20"/>
          <w:color w:val="auto"/>
        </w:rPr>
      </w:pPr>
      <w:r>
        <w:rPr>
          <w:rFonts w:ascii="Arial" w:cs="Arial" w:eastAsia="Arial" w:hAnsi="Arial"/>
          <w:sz w:val="21"/>
          <w:szCs w:val="21"/>
          <w:color w:val="0075C9"/>
        </w:rPr>
        <w:t>Engaged with shareholders owning approximately 50% of shares in FY21</w:t>
      </w:r>
    </w:p>
    <w:p>
      <w:pPr>
        <w:spacing w:after="0" w:line="200" w:lineRule="exact"/>
        <w:rPr>
          <w:sz w:val="20"/>
          <w:szCs w:val="20"/>
          <w:color w:val="auto"/>
        </w:rPr>
      </w:pPr>
    </w:p>
    <w:p>
      <w:pPr>
        <w:spacing w:after="0" w:line="367" w:lineRule="exact"/>
        <w:rPr>
          <w:sz w:val="20"/>
          <w:szCs w:val="20"/>
          <w:color w:val="auto"/>
        </w:rPr>
      </w:pPr>
    </w:p>
    <w:p>
      <w:pPr>
        <w:jc w:val="center"/>
        <w:ind w:right="360"/>
        <w:spacing w:after="0" w:line="247" w:lineRule="auto"/>
        <w:rPr>
          <w:sz w:val="20"/>
          <w:szCs w:val="20"/>
          <w:color w:val="auto"/>
        </w:rPr>
      </w:pPr>
      <w:r>
        <w:rPr>
          <w:rFonts w:ascii="Arial" w:cs="Arial" w:eastAsia="Arial" w:hAnsi="Arial"/>
          <w:sz w:val="20"/>
          <w:szCs w:val="20"/>
          <w:color w:val="0075C9"/>
        </w:rPr>
        <w:t>Compensation Committee Chair and Independent Board Chair held compensation-focused “Virtual Shareholder Listening Tour” with shareholders owning over 20% of shares in FY21</w:t>
      </w:r>
    </w:p>
    <w:p>
      <w:pPr>
        <w:spacing w:after="0" w:line="335" w:lineRule="exact"/>
        <w:rPr>
          <w:sz w:val="20"/>
          <w:szCs w:val="20"/>
          <w:color w:val="auto"/>
        </w:rPr>
      </w:pPr>
    </w:p>
    <w:p>
      <w:pPr>
        <w:sectPr>
          <w:pgSz w:w="11900" w:h="16838" w:orient="portrait"/>
          <w:cols w:equalWidth="0" w:num="2">
            <w:col w:w="6160" w:space="660"/>
            <w:col w:w="3320"/>
          </w:cols>
          <w:pgMar w:left="320" w:top="445" w:right="1439" w:bottom="1440" w:gutter="0" w:footer="0" w:header="0"/>
          <w:type w:val="continuous"/>
        </w:sectPr>
      </w:pPr>
    </w:p>
    <w:p>
      <w:pPr>
        <w:ind w:left="1100" w:right="20"/>
        <w:spacing w:after="0" w:line="237" w:lineRule="auto"/>
        <w:rPr>
          <w:sz w:val="20"/>
          <w:szCs w:val="20"/>
          <w:color w:val="auto"/>
        </w:rPr>
      </w:pPr>
      <w:r>
        <w:rPr>
          <w:rFonts w:ascii="Arial" w:cs="Arial" w:eastAsia="Arial" w:hAnsi="Arial"/>
          <w:sz w:val="16"/>
          <w:szCs w:val="16"/>
          <w:color w:val="auto"/>
        </w:rPr>
        <w:t>As in prior years, in fiscal year 2021 we continued our active shareholder engagement program, discussing compensation and a broad range of ESG issues with shareholders representing approximately 50% of our outstanding shares. For fiscal year 2021, we expanded our scope of shareholder outreach to obtain specific feedback on executive compensation program related matters. After assuming the Chair of the Compensation Committee, Ms. Peterson proactively sought shareholder feedback and – together with our Independent Board Chair – held conversations with shareholders representing over 20% of our outstanding shares. Shareholders generally encouraged the Board to increase the proportion of compensation that is tied to pre-established metrics and to enhance disclosures of the process used to determine incentive compensation results.</w:t>
      </w:r>
    </w:p>
    <w:p>
      <w:pPr>
        <w:spacing w:after="0" w:line="196" w:lineRule="exact"/>
        <w:rPr>
          <w:sz w:val="20"/>
          <w:szCs w:val="20"/>
          <w:color w:val="auto"/>
        </w:rPr>
      </w:pPr>
    </w:p>
    <w:p>
      <w:pPr>
        <w:ind w:left="4540"/>
        <w:spacing w:after="0"/>
        <w:rPr>
          <w:sz w:val="20"/>
          <w:szCs w:val="20"/>
          <w:color w:val="auto"/>
        </w:rPr>
      </w:pPr>
      <w:r>
        <w:rPr>
          <w:rFonts w:ascii="Arial" w:cs="Arial" w:eastAsia="Arial" w:hAnsi="Arial"/>
          <w:sz w:val="21"/>
          <w:szCs w:val="21"/>
          <w:b w:val="1"/>
          <w:bCs w:val="1"/>
          <w:color w:val="auto"/>
        </w:rPr>
        <w:t>Executive Pay Program</w:t>
      </w:r>
    </w:p>
    <w:p>
      <w:pPr>
        <w:spacing w:after="0" w:line="43" w:lineRule="exact"/>
        <w:rPr>
          <w:sz w:val="20"/>
          <w:szCs w:val="20"/>
          <w:color w:val="auto"/>
        </w:rPr>
      </w:pPr>
    </w:p>
    <w:p>
      <w:pPr>
        <w:ind w:left="3960"/>
        <w:spacing w:after="0"/>
        <w:rPr>
          <w:sz w:val="20"/>
          <w:szCs w:val="20"/>
          <w:color w:val="auto"/>
        </w:rPr>
      </w:pPr>
      <w:r>
        <w:rPr>
          <w:rFonts w:ascii="Arial" w:cs="Arial" w:eastAsia="Arial" w:hAnsi="Arial"/>
          <w:sz w:val="21"/>
          <w:szCs w:val="21"/>
          <w:b w:val="1"/>
          <w:bCs w:val="1"/>
          <w:color w:val="auto"/>
        </w:rPr>
        <w:t>Incorporates Shareholder Feedback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-25400</wp:posOffset>
            </wp:positionV>
            <wp:extent cx="5748020" cy="23025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748020" cy="2302510"/>
                    </a:xfrm>
                    <a:prstGeom prst="rect">
                      <a:avLst/>
                    </a:prstGeom>
                    <a:noFill/>
                  </pic:spPr>
                </pic:pic>
              </a:graphicData>
            </a:graphic>
          </wp:anchor>
        </w:drawing>
      </w:r>
    </w:p>
    <w:p>
      <w:pPr>
        <w:spacing w:after="0" w:line="329" w:lineRule="exact"/>
        <w:rPr>
          <w:sz w:val="20"/>
          <w:szCs w:val="20"/>
          <w:color w:val="auto"/>
        </w:rPr>
      </w:pPr>
    </w:p>
    <w:p>
      <w:pPr>
        <w:ind w:left="1260" w:right="360"/>
        <w:spacing w:after="0" w:line="238" w:lineRule="auto"/>
        <w:rPr>
          <w:sz w:val="20"/>
          <w:szCs w:val="20"/>
          <w:color w:val="auto"/>
        </w:rPr>
      </w:pPr>
      <w:r>
        <w:rPr>
          <w:rFonts w:ascii="Arial" w:cs="Arial" w:eastAsia="Arial" w:hAnsi="Arial"/>
          <w:sz w:val="16"/>
          <w:szCs w:val="16"/>
          <w:color w:val="auto"/>
        </w:rPr>
        <w:t>In discussing the design of our compensation program with investors in fiscal year 2021, several key themes emerged in the feedback we received. The Compensation Committee evaluated these themes and implemented enhancements to our fiscal year 2021 compensation program that both respond directly to shareholder input and further increase pay-for-performance alignment at Microsoft. Shareholder feedback and responsive actions taken in fiscal year 2021 include:</w:t>
      </w:r>
    </w:p>
    <w:p>
      <w:pPr>
        <w:sectPr>
          <w:pgSz w:w="11900" w:h="16838" w:orient="portrait"/>
          <w:cols w:equalWidth="0" w:num="1">
            <w:col w:w="10140"/>
          </w:cols>
          <w:pgMar w:left="320" w:top="445" w:right="1439" w:bottom="1440" w:gutter="0" w:footer="0" w:header="0"/>
          <w:type w:val="continuous"/>
        </w:sectPr>
      </w:pPr>
    </w:p>
    <w:p>
      <w:pPr>
        <w:spacing w:after="0" w:line="146"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0075C9"/>
        </w:rPr>
        <w:t>Feedback Themes</w:t>
      </w:r>
    </w:p>
    <w:p>
      <w:pPr>
        <w:spacing w:after="0" w:line="106" w:lineRule="exact"/>
        <w:rPr>
          <w:sz w:val="20"/>
          <w:szCs w:val="20"/>
          <w:color w:val="auto"/>
        </w:rPr>
      </w:pPr>
    </w:p>
    <w:p>
      <w:pPr>
        <w:ind w:left="1420" w:hanging="165"/>
        <w:spacing w:after="0" w:line="283" w:lineRule="auto"/>
        <w:tabs>
          <w:tab w:leader="none" w:pos="1428" w:val="left"/>
        </w:tabs>
        <w:numPr>
          <w:ilvl w:val="0"/>
          <w:numId w:val="68"/>
        </w:numPr>
        <w:rPr>
          <w:rFonts w:ascii="Arial" w:cs="Arial" w:eastAsia="Arial" w:hAnsi="Arial"/>
          <w:sz w:val="14"/>
          <w:szCs w:val="14"/>
          <w:color w:val="auto"/>
        </w:rPr>
      </w:pPr>
      <w:r>
        <w:rPr>
          <w:rFonts w:ascii="Arial" w:cs="Arial" w:eastAsia="Arial" w:hAnsi="Arial"/>
          <w:sz w:val="14"/>
          <w:szCs w:val="14"/>
          <w:color w:val="auto"/>
        </w:rPr>
        <w:t>Increase the component of the annual cash incentive based on pre-established metrics to further strengthen our CEO’s accountability to achieving results on the objective financial metrics that most closely align with our business strategy</w:t>
      </w:r>
    </w:p>
    <w:p>
      <w:pPr>
        <w:spacing w:after="0" w:line="82" w:lineRule="exact"/>
        <w:rPr>
          <w:rFonts w:ascii="Arial" w:cs="Arial" w:eastAsia="Arial" w:hAnsi="Arial"/>
          <w:sz w:val="14"/>
          <w:szCs w:val="14"/>
          <w:color w:val="auto"/>
        </w:rPr>
      </w:pPr>
    </w:p>
    <w:p>
      <w:pPr>
        <w:ind w:left="1420" w:right="880" w:hanging="165"/>
        <w:spacing w:after="0" w:line="239" w:lineRule="auto"/>
        <w:tabs>
          <w:tab w:leader="none" w:pos="1428" w:val="left"/>
        </w:tabs>
        <w:numPr>
          <w:ilvl w:val="0"/>
          <w:numId w:val="68"/>
        </w:numPr>
        <w:rPr>
          <w:rFonts w:ascii="Arial" w:cs="Arial" w:eastAsia="Arial" w:hAnsi="Arial"/>
          <w:sz w:val="16"/>
          <w:szCs w:val="16"/>
          <w:color w:val="auto"/>
        </w:rPr>
      </w:pPr>
      <w:r>
        <w:rPr>
          <w:rFonts w:ascii="Arial" w:cs="Arial" w:eastAsia="Arial" w:hAnsi="Arial"/>
          <w:sz w:val="16"/>
          <w:szCs w:val="16"/>
          <w:color w:val="auto"/>
        </w:rPr>
        <w:t>Shift the mix of our CEO’s equity to be majority performance stock awards</w:t>
      </w:r>
    </w:p>
    <w:p>
      <w:pPr>
        <w:spacing w:after="0" w:line="112" w:lineRule="exact"/>
        <w:rPr>
          <w:rFonts w:ascii="Arial" w:cs="Arial" w:eastAsia="Arial" w:hAnsi="Arial"/>
          <w:sz w:val="16"/>
          <w:szCs w:val="16"/>
          <w:color w:val="auto"/>
        </w:rPr>
      </w:pPr>
    </w:p>
    <w:p>
      <w:pPr>
        <w:ind w:left="1420" w:right="80" w:hanging="165"/>
        <w:spacing w:after="0" w:line="238" w:lineRule="auto"/>
        <w:tabs>
          <w:tab w:leader="none" w:pos="1428" w:val="left"/>
        </w:tabs>
        <w:numPr>
          <w:ilvl w:val="0"/>
          <w:numId w:val="68"/>
        </w:numPr>
        <w:rPr>
          <w:rFonts w:ascii="Arial" w:cs="Arial" w:eastAsia="Arial" w:hAnsi="Arial"/>
          <w:sz w:val="16"/>
          <w:szCs w:val="16"/>
          <w:color w:val="auto"/>
        </w:rPr>
      </w:pPr>
      <w:r>
        <w:rPr>
          <w:rFonts w:ascii="Arial" w:cs="Arial" w:eastAsia="Arial" w:hAnsi="Arial"/>
          <w:sz w:val="16"/>
          <w:szCs w:val="16"/>
          <w:color w:val="auto"/>
        </w:rPr>
        <w:t>Include a downside adjustment on the PSA payout, so that the TSR multiplier provides both upside and downside exposure for executives</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0075C9"/>
        </w:rPr>
        <w:t>Actions Taken</w:t>
      </w:r>
    </w:p>
    <w:p>
      <w:pPr>
        <w:spacing w:after="0" w:line="106" w:lineRule="exact"/>
        <w:rPr>
          <w:sz w:val="20"/>
          <w:szCs w:val="20"/>
          <w:color w:val="auto"/>
        </w:rPr>
      </w:pPr>
    </w:p>
    <w:p>
      <w:pPr>
        <w:ind w:left="148" w:right="60" w:hanging="148"/>
        <w:spacing w:after="0" w:line="283" w:lineRule="auto"/>
        <w:tabs>
          <w:tab w:leader="none" w:pos="156" w:val="left"/>
        </w:tabs>
        <w:numPr>
          <w:ilvl w:val="0"/>
          <w:numId w:val="69"/>
        </w:numPr>
        <w:rPr>
          <w:rFonts w:ascii="Arial" w:cs="Arial" w:eastAsia="Arial" w:hAnsi="Arial"/>
          <w:sz w:val="14"/>
          <w:szCs w:val="14"/>
          <w:color w:val="auto"/>
        </w:rPr>
      </w:pPr>
      <w:r>
        <w:rPr>
          <w:rFonts w:ascii="Arial" w:cs="Arial" w:eastAsia="Arial" w:hAnsi="Arial"/>
          <w:sz w:val="14"/>
          <w:szCs w:val="14"/>
          <w:color w:val="auto"/>
        </w:rPr>
        <w:t>Increased the weighting of the financial performance portion of the CEO’s annual cash incentive from 50% to 70% for fiscal year 2021, split evenly between Incentive Plan Revenue (35%) and Incentive Plan Operating Income (35%)</w:t>
      </w:r>
    </w:p>
    <w:p>
      <w:pPr>
        <w:spacing w:after="0" w:line="82" w:lineRule="exact"/>
        <w:rPr>
          <w:rFonts w:ascii="Arial" w:cs="Arial" w:eastAsia="Arial" w:hAnsi="Arial"/>
          <w:sz w:val="14"/>
          <w:szCs w:val="14"/>
          <w:color w:val="auto"/>
        </w:rPr>
      </w:pPr>
    </w:p>
    <w:p>
      <w:pPr>
        <w:ind w:left="148" w:right="160" w:hanging="148"/>
        <w:spacing w:after="0" w:line="308" w:lineRule="auto"/>
        <w:tabs>
          <w:tab w:leader="none" w:pos="156" w:val="left"/>
        </w:tabs>
        <w:numPr>
          <w:ilvl w:val="0"/>
          <w:numId w:val="69"/>
        </w:numPr>
        <w:rPr>
          <w:rFonts w:ascii="Arial" w:cs="Arial" w:eastAsia="Arial" w:hAnsi="Arial"/>
          <w:sz w:val="14"/>
          <w:szCs w:val="14"/>
          <w:color w:val="auto"/>
        </w:rPr>
      </w:pPr>
      <w:r>
        <w:rPr>
          <w:rFonts w:ascii="Arial" w:cs="Arial" w:eastAsia="Arial" w:hAnsi="Arial"/>
          <w:sz w:val="14"/>
          <w:szCs w:val="14"/>
          <w:color w:val="auto"/>
        </w:rPr>
        <w:t>Increased the performance stock award portion of our CEO’s equity awards from 50% to 70% for fiscal year 2021</w:t>
      </w:r>
    </w:p>
    <w:p>
      <w:pPr>
        <w:spacing w:after="0" w:line="65" w:lineRule="exact"/>
        <w:rPr>
          <w:rFonts w:ascii="Arial" w:cs="Arial" w:eastAsia="Arial" w:hAnsi="Arial"/>
          <w:sz w:val="14"/>
          <w:szCs w:val="14"/>
          <w:color w:val="auto"/>
        </w:rPr>
      </w:pPr>
    </w:p>
    <w:p>
      <w:pPr>
        <w:jc w:val="both"/>
        <w:ind w:left="148" w:right="80" w:hanging="148"/>
        <w:spacing w:after="0" w:line="289" w:lineRule="auto"/>
        <w:tabs>
          <w:tab w:leader="none" w:pos="156" w:val="left"/>
        </w:tabs>
        <w:numPr>
          <w:ilvl w:val="0"/>
          <w:numId w:val="69"/>
        </w:numPr>
        <w:rPr>
          <w:rFonts w:ascii="Arial" w:cs="Arial" w:eastAsia="Arial" w:hAnsi="Arial"/>
          <w:sz w:val="14"/>
          <w:szCs w:val="14"/>
          <w:color w:val="auto"/>
        </w:rPr>
      </w:pPr>
      <w:r>
        <w:rPr>
          <w:rFonts w:ascii="Arial" w:cs="Arial" w:eastAsia="Arial" w:hAnsi="Arial"/>
          <w:sz w:val="14"/>
          <w:szCs w:val="14"/>
          <w:color w:val="auto"/>
        </w:rPr>
        <w:t>Revised the relative TSR modifier for fiscal year 2021 PSAs to include a downside adjustment on PSA payouts if relative TSR falls below the 40th percentile of the S&amp;P 500</w:t>
      </w:r>
    </w:p>
    <w:p>
      <w:pPr>
        <w:spacing w:after="0" w:line="200" w:lineRule="exact"/>
        <w:rPr>
          <w:sz w:val="20"/>
          <w:szCs w:val="20"/>
          <w:color w:val="auto"/>
        </w:rPr>
      </w:pPr>
    </w:p>
    <w:p>
      <w:pPr>
        <w:sectPr>
          <w:pgSz w:w="11900" w:h="16838" w:orient="portrait"/>
          <w:cols w:equalWidth="0" w:num="2">
            <w:col w:w="5520" w:space="272"/>
            <w:col w:w="4348"/>
          </w:cols>
          <w:pgMar w:left="320" w:top="445" w:right="1439" w:bottom="1440" w:gutter="0" w:footer="0" w:header="0"/>
          <w:type w:val="continuous"/>
        </w:sectPr>
      </w:pPr>
    </w:p>
    <w:p>
      <w:pPr>
        <w:spacing w:after="0" w:line="200" w:lineRule="exact"/>
        <w:rPr>
          <w:sz w:val="20"/>
          <w:szCs w:val="20"/>
          <w:color w:val="auto"/>
        </w:rPr>
      </w:pPr>
    </w:p>
    <w:p>
      <w:pPr>
        <w:spacing w:after="0" w:line="27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-94615</wp:posOffset>
            </wp:positionV>
            <wp:extent cx="485140" cy="9842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45" w:right="1439" w:bottom="1440" w:gutter="0" w:footer="0" w:header="0"/>
          <w:type w:val="continuous"/>
        </w:sectPr>
      </w:pPr>
    </w:p>
    <w:bookmarkStart w:id="44" w:name="page45"/>
    <w:bookmarkEnd w:id="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auto"/>
                <w:w w:val="89"/>
              </w:rPr>
              <w:t>1</w:t>
            </w:r>
          </w:p>
        </w:tc>
        <w:tc>
          <w:tcPr>
            <w:tcW w:w="1380" w:type="dxa"/>
            <w:vAlign w:val="bottom"/>
            <w:vMerge w:val="restart"/>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gridSpan w:val="2"/>
          </w:tcPr>
          <w:p>
            <w:pPr>
              <w:jc w:val="right"/>
              <w:ind w:right="80"/>
              <w:spacing w:after="0"/>
              <w:rPr>
                <w:sz w:val="20"/>
                <w:szCs w:val="20"/>
                <w:color w:val="auto"/>
              </w:rPr>
            </w:pPr>
            <w:r>
              <w:rPr>
                <w:rFonts w:ascii="Arial" w:cs="Arial" w:eastAsia="Arial" w:hAnsi="Arial"/>
                <w:sz w:val="36"/>
                <w:szCs w:val="36"/>
                <w:color w:val="0075C9"/>
              </w:rPr>
              <w:t>2</w:t>
            </w:r>
          </w:p>
        </w:tc>
        <w:tc>
          <w:tcPr>
            <w:tcW w:w="1320" w:type="dxa"/>
            <w:vAlign w:val="bottom"/>
            <w:vMerge w:val="restart"/>
          </w:tcPr>
          <w:p>
            <w:pPr>
              <w:ind w:left="60"/>
              <w:spacing w:after="0"/>
              <w:rPr>
                <w:sz w:val="20"/>
                <w:szCs w:val="20"/>
                <w:color w:val="auto"/>
              </w:rPr>
            </w:pPr>
            <w:r>
              <w:rPr>
                <w:rFonts w:ascii="Arial" w:cs="Arial" w:eastAsia="Arial" w:hAnsi="Arial"/>
                <w:sz w:val="12"/>
                <w:szCs w:val="12"/>
                <w:color w:val="0075C9"/>
              </w:rPr>
              <w:t>NAMED</w:t>
            </w:r>
          </w:p>
        </w:tc>
        <w:tc>
          <w:tcPr>
            <w:tcW w:w="740" w:type="dxa"/>
            <w:vAlign w:val="bottom"/>
          </w:tcPr>
          <w:p>
            <w:pPr>
              <w:jc w:val="right"/>
              <w:spacing w:after="0"/>
              <w:rPr>
                <w:sz w:val="20"/>
                <w:szCs w:val="20"/>
                <w:color w:val="auto"/>
              </w:rPr>
            </w:pPr>
            <w:r>
              <w:rPr>
                <w:rFonts w:ascii="Arial" w:cs="Arial" w:eastAsia="Arial" w:hAnsi="Arial"/>
                <w:sz w:val="36"/>
                <w:szCs w:val="36"/>
                <w:color w:val="auto"/>
              </w:rPr>
              <w:t>3</w:t>
            </w:r>
          </w:p>
        </w:tc>
        <w:tc>
          <w:tcPr>
            <w:tcW w:w="1020" w:type="dxa"/>
            <w:vAlign w:val="bottom"/>
            <w:vMerge w:val="restart"/>
          </w:tcPr>
          <w:p>
            <w:pPr>
              <w:ind w:left="60"/>
              <w:spacing w:after="0"/>
              <w:rPr>
                <w:sz w:val="20"/>
                <w:szCs w:val="20"/>
                <w:color w:val="auto"/>
              </w:rPr>
            </w:pPr>
            <w:r>
              <w:rPr>
                <w:rFonts w:ascii="Arial" w:cs="Arial" w:eastAsia="Arial" w:hAnsi="Arial"/>
                <w:sz w:val="12"/>
                <w:szCs w:val="12"/>
                <w:color w:val="auto"/>
              </w:rPr>
              <w:t>AUDIT</w:t>
            </w:r>
          </w:p>
        </w:tc>
        <w:tc>
          <w:tcPr>
            <w:tcW w:w="500" w:type="dxa"/>
            <w:vAlign w:val="bottom"/>
          </w:tcPr>
          <w:p>
            <w:pPr>
              <w:jc w:val="right"/>
              <w:spacing w:after="0"/>
              <w:rPr>
                <w:sz w:val="20"/>
                <w:szCs w:val="20"/>
                <w:color w:val="auto"/>
              </w:rPr>
            </w:pPr>
            <w:r>
              <w:rPr>
                <w:rFonts w:ascii="Arial" w:cs="Arial" w:eastAsia="Arial" w:hAnsi="Arial"/>
                <w:sz w:val="36"/>
                <w:szCs w:val="36"/>
                <w:color w:val="auto"/>
              </w:rPr>
              <w:t>4</w:t>
            </w:r>
          </w:p>
        </w:tc>
        <w:tc>
          <w:tcPr>
            <w:tcW w:w="1580" w:type="dxa"/>
            <w:vAlign w:val="bottom"/>
            <w:vMerge w:val="restart"/>
          </w:tcPr>
          <w:p>
            <w:pPr>
              <w:ind w:left="80"/>
              <w:spacing w:after="0"/>
              <w:rPr>
                <w:sz w:val="20"/>
                <w:szCs w:val="20"/>
                <w:color w:val="auto"/>
              </w:rPr>
            </w:pPr>
            <w:r>
              <w:rPr>
                <w:rFonts w:ascii="Arial" w:cs="Arial" w:eastAsia="Arial" w:hAnsi="Arial"/>
                <w:sz w:val="12"/>
                <w:szCs w:val="12"/>
                <w:color w:val="auto"/>
              </w:rPr>
              <w:t>PROPOSALS TO</w:t>
            </w:r>
          </w:p>
        </w:tc>
        <w:tc>
          <w:tcPr>
            <w:tcW w:w="420" w:type="dxa"/>
            <w:vAlign w:val="bottom"/>
          </w:tcPr>
          <w:p>
            <w:pPr>
              <w:jc w:val="right"/>
              <w:spacing w:after="0"/>
              <w:rPr>
                <w:sz w:val="20"/>
                <w:szCs w:val="20"/>
                <w:color w:val="auto"/>
              </w:rPr>
            </w:pPr>
            <w:r>
              <w:rPr>
                <w:rFonts w:ascii="Arial" w:cs="Arial" w:eastAsia="Arial" w:hAnsi="Arial"/>
                <w:sz w:val="36"/>
                <w:szCs w:val="36"/>
                <w:color w:val="auto"/>
              </w:rPr>
              <w:t>5</w:t>
            </w:r>
          </w:p>
        </w:tc>
        <w:tc>
          <w:tcPr>
            <w:tcW w:w="920" w:type="dxa"/>
            <w:vAlign w:val="bottom"/>
            <w:vMerge w:val="restart"/>
          </w:tcPr>
          <w:p>
            <w:pPr>
              <w:ind w:left="8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38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tcPr>
          <w:p>
            <w:pPr>
              <w:ind w:left="60"/>
              <w:spacing w:after="0" w:line="130" w:lineRule="exact"/>
              <w:rPr>
                <w:sz w:val="20"/>
                <w:szCs w:val="20"/>
                <w:color w:val="auto"/>
              </w:rPr>
            </w:pPr>
            <w:r>
              <w:rPr>
                <w:rFonts w:ascii="Arial" w:cs="Arial" w:eastAsia="Arial" w:hAnsi="Arial"/>
                <w:sz w:val="12"/>
                <w:szCs w:val="12"/>
                <w:color w:val="0075C9"/>
                <w:w w:val="99"/>
              </w:rPr>
              <w:t>EXECUTIVE OFFICER</w:t>
            </w:r>
          </w:p>
        </w:tc>
        <w:tc>
          <w:tcPr>
            <w:tcW w:w="740" w:type="dxa"/>
            <w:vAlign w:val="bottom"/>
          </w:tcPr>
          <w:p>
            <w:pPr>
              <w:spacing w:after="0"/>
              <w:rPr>
                <w:sz w:val="11"/>
                <w:szCs w:val="11"/>
                <w:color w:val="auto"/>
              </w:rPr>
            </w:pPr>
          </w:p>
        </w:tc>
        <w:tc>
          <w:tcPr>
            <w:tcW w:w="1020" w:type="dxa"/>
            <w:vAlign w:val="bottom"/>
          </w:tcPr>
          <w:p>
            <w:pPr>
              <w:ind w:left="60"/>
              <w:spacing w:after="0" w:line="130" w:lineRule="exact"/>
              <w:rPr>
                <w:sz w:val="20"/>
                <w:szCs w:val="20"/>
                <w:color w:val="auto"/>
              </w:rPr>
            </w:pPr>
            <w:r>
              <w:rPr>
                <w:rFonts w:ascii="Arial" w:cs="Arial" w:eastAsia="Arial" w:hAnsi="Arial"/>
                <w:sz w:val="12"/>
                <w:szCs w:val="12"/>
                <w:color w:val="auto"/>
              </w:rPr>
              <w:t>COMMITTEE</w:t>
            </w:r>
          </w:p>
        </w:tc>
        <w:tc>
          <w:tcPr>
            <w:tcW w:w="500" w:type="dxa"/>
            <w:vAlign w:val="bottom"/>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20" w:type="dxa"/>
            <w:vAlign w:val="bottom"/>
          </w:tcPr>
          <w:p>
            <w:pPr>
              <w:spacing w:after="0"/>
              <w:rPr>
                <w:sz w:val="11"/>
                <w:szCs w:val="11"/>
                <w:color w:val="auto"/>
              </w:rPr>
            </w:pPr>
          </w:p>
        </w:tc>
        <w:tc>
          <w:tcPr>
            <w:tcW w:w="92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380" w:type="dxa"/>
            <w:vAlign w:val="bottom"/>
          </w:tcPr>
          <w:p>
            <w:pPr>
              <w:ind w:left="80"/>
              <w:spacing w:after="0"/>
              <w:rPr>
                <w:sz w:val="20"/>
                <w:szCs w:val="20"/>
                <w:color w:val="auto"/>
              </w:rPr>
            </w:pPr>
            <w:r>
              <w:rPr>
                <w:rFonts w:ascii="Arial" w:cs="Arial" w:eastAsia="Arial" w:hAnsi="Arial"/>
                <w:sz w:val="12"/>
                <w:szCs w:val="12"/>
                <w:color w:val="auto"/>
              </w:rPr>
              <w:t>DIRECTORS</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0075C9"/>
              </w:rPr>
              <w:t>COMPENSATION</w:t>
            </w:r>
          </w:p>
        </w:tc>
        <w:tc>
          <w:tcPr>
            <w:tcW w:w="740" w:type="dxa"/>
            <w:vAlign w:val="bottom"/>
          </w:tcPr>
          <w:p>
            <w:pPr>
              <w:spacing w:after="0"/>
              <w:rPr>
                <w:sz w:val="12"/>
                <w:szCs w:val="12"/>
                <w:color w:val="auto"/>
              </w:rPr>
            </w:pPr>
          </w:p>
        </w:tc>
        <w:tc>
          <w:tcPr>
            <w:tcW w:w="1020" w:type="dxa"/>
            <w:vAlign w:val="bottom"/>
          </w:tcPr>
          <w:p>
            <w:pPr>
              <w:ind w:left="60"/>
              <w:spacing w:after="0"/>
              <w:rPr>
                <w:sz w:val="20"/>
                <w:szCs w:val="20"/>
                <w:color w:val="auto"/>
              </w:rPr>
            </w:pPr>
            <w:r>
              <w:rPr>
                <w:rFonts w:ascii="Arial" w:cs="Arial" w:eastAsia="Arial" w:hAnsi="Arial"/>
                <w:sz w:val="12"/>
                <w:szCs w:val="12"/>
                <w:color w:val="auto"/>
              </w:rPr>
              <w:t>MATTERS</w:t>
            </w:r>
          </w:p>
        </w:tc>
        <w:tc>
          <w:tcPr>
            <w:tcW w:w="500" w:type="dxa"/>
            <w:vAlign w:val="bottom"/>
          </w:tcPr>
          <w:p>
            <w:pPr>
              <w:spacing w:after="0"/>
              <w:rPr>
                <w:sz w:val="12"/>
                <w:szCs w:val="12"/>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20" w:type="dxa"/>
            <w:vAlign w:val="bottom"/>
          </w:tcPr>
          <w:p>
            <w:pPr>
              <w:spacing w:after="0"/>
              <w:rPr>
                <w:sz w:val="12"/>
                <w:szCs w:val="12"/>
                <w:color w:val="auto"/>
              </w:rPr>
            </w:pPr>
          </w:p>
        </w:tc>
        <w:tc>
          <w:tcPr>
            <w:tcW w:w="92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00"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This table provides a comparison of our CEO’s fiscal year 2020 and fiscal year 2021 incentive compensation program design:</w:t>
      </w:r>
    </w:p>
    <w:p>
      <w:pPr>
        <w:spacing w:after="0" w:line="212"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116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auto"/>
              </w:rPr>
              <w:t>Pay Element</w:t>
            </w:r>
          </w:p>
        </w:tc>
        <w:tc>
          <w:tcPr>
            <w:tcW w:w="2980" w:type="dxa"/>
            <w:vAlign w:val="bottom"/>
            <w:tcBorders>
              <w:bottom w:val="single" w:sz="8" w:color="0075C9"/>
            </w:tcBorders>
          </w:tcPr>
          <w:p>
            <w:pPr>
              <w:ind w:left="120"/>
              <w:spacing w:after="0"/>
              <w:rPr>
                <w:sz w:val="20"/>
                <w:szCs w:val="20"/>
                <w:color w:val="auto"/>
              </w:rPr>
            </w:pPr>
            <w:r>
              <w:rPr>
                <w:rFonts w:ascii="Arial" w:cs="Arial" w:eastAsia="Arial" w:hAnsi="Arial"/>
                <w:sz w:val="16"/>
                <w:szCs w:val="16"/>
                <w:b w:val="1"/>
                <w:bCs w:val="1"/>
                <w:color w:val="auto"/>
              </w:rPr>
              <w:t>FY20 Elements / Metrics / Weightings</w:t>
            </w:r>
          </w:p>
        </w:tc>
        <w:tc>
          <w:tcPr>
            <w:tcW w:w="920" w:type="dxa"/>
            <w:vAlign w:val="bottom"/>
            <w:tcBorders>
              <w:bottom w:val="single" w:sz="8" w:color="0075C9"/>
            </w:tcBorders>
          </w:tcPr>
          <w:p>
            <w:pPr>
              <w:spacing w:after="0"/>
              <w:rPr>
                <w:sz w:val="18"/>
                <w:szCs w:val="18"/>
                <w:color w:val="auto"/>
              </w:rPr>
            </w:pPr>
          </w:p>
        </w:tc>
        <w:tc>
          <w:tcPr>
            <w:tcW w:w="3060" w:type="dxa"/>
            <w:vAlign w:val="bottom"/>
            <w:tcBorders>
              <w:bottom w:val="single" w:sz="8" w:color="0075C9"/>
            </w:tcBorders>
          </w:tcPr>
          <w:p>
            <w:pPr>
              <w:ind w:left="100"/>
              <w:spacing w:after="0"/>
              <w:rPr>
                <w:sz w:val="20"/>
                <w:szCs w:val="20"/>
                <w:color w:val="auto"/>
              </w:rPr>
            </w:pPr>
            <w:r>
              <w:rPr>
                <w:rFonts w:ascii="Arial" w:cs="Arial" w:eastAsia="Arial" w:hAnsi="Arial"/>
                <w:sz w:val="16"/>
                <w:szCs w:val="16"/>
                <w:b w:val="1"/>
                <w:bCs w:val="1"/>
                <w:color w:val="auto"/>
              </w:rPr>
              <w:t>FY21 Elements / Metrics / Weightings</w:t>
            </w:r>
          </w:p>
        </w:tc>
        <w:tc>
          <w:tcPr>
            <w:tcW w:w="920" w:type="dxa"/>
            <w:vAlign w:val="bottom"/>
            <w:tcBorders>
              <w:bottom w:val="single" w:sz="8" w:color="0075C9"/>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160" w:type="dxa"/>
            <w:vAlign w:val="bottom"/>
          </w:tcPr>
          <w:p>
            <w:pPr>
              <w:ind w:left="80"/>
              <w:spacing w:after="0"/>
              <w:rPr>
                <w:sz w:val="20"/>
                <w:szCs w:val="20"/>
                <w:color w:val="auto"/>
              </w:rPr>
            </w:pPr>
            <w:r>
              <w:rPr>
                <w:rFonts w:ascii="Arial" w:cs="Arial" w:eastAsia="Arial" w:hAnsi="Arial"/>
                <w:sz w:val="16"/>
                <w:szCs w:val="16"/>
                <w:b w:val="1"/>
                <w:bCs w:val="1"/>
                <w:color w:val="0075C9"/>
              </w:rPr>
              <w:t>Annual</w:t>
            </w:r>
          </w:p>
        </w:tc>
        <w:tc>
          <w:tcPr>
            <w:tcW w:w="2980" w:type="dxa"/>
            <w:vAlign w:val="bottom"/>
          </w:tcPr>
          <w:p>
            <w:pPr>
              <w:ind w:left="120"/>
              <w:spacing w:after="0"/>
              <w:rPr>
                <w:sz w:val="20"/>
                <w:szCs w:val="20"/>
                <w:color w:val="auto"/>
              </w:rPr>
            </w:pPr>
            <w:r>
              <w:rPr>
                <w:rFonts w:ascii="Arial" w:cs="Arial" w:eastAsia="Arial" w:hAnsi="Arial"/>
                <w:sz w:val="16"/>
                <w:szCs w:val="16"/>
                <w:color w:val="0075C9"/>
              </w:rPr>
              <w:t>Financial</w:t>
            </w:r>
          </w:p>
        </w:tc>
        <w:tc>
          <w:tcPr>
            <w:tcW w:w="920" w:type="dxa"/>
            <w:vAlign w:val="bottom"/>
            <w:vMerge w:val="restart"/>
          </w:tcPr>
          <w:p>
            <w:pPr>
              <w:jc w:val="right"/>
              <w:spacing w:after="0"/>
              <w:rPr>
                <w:sz w:val="20"/>
                <w:szCs w:val="20"/>
                <w:color w:val="auto"/>
              </w:rPr>
            </w:pPr>
            <w:r>
              <w:rPr>
                <w:rFonts w:ascii="Arial" w:cs="Arial" w:eastAsia="Arial" w:hAnsi="Arial"/>
                <w:sz w:val="35"/>
                <w:szCs w:val="35"/>
                <w:color w:val="auto"/>
              </w:rPr>
              <w:t>50%</w:t>
            </w:r>
          </w:p>
        </w:tc>
        <w:tc>
          <w:tcPr>
            <w:tcW w:w="306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35"/>
                <w:szCs w:val="35"/>
                <w:color w:val="auto"/>
              </w:rPr>
              <w:t>70%</w:t>
            </w:r>
          </w:p>
        </w:tc>
        <w:tc>
          <w:tcPr>
            <w:tcW w:w="0" w:type="dxa"/>
            <w:vAlign w:val="bottom"/>
          </w:tcPr>
          <w:p>
            <w:pPr>
              <w:spacing w:after="0"/>
              <w:rPr>
                <w:sz w:val="1"/>
                <w:szCs w:val="1"/>
                <w:color w:val="auto"/>
              </w:rPr>
            </w:pPr>
          </w:p>
        </w:tc>
      </w:tr>
      <w:tr>
        <w:trPr>
          <w:trHeight w:val="181"/>
        </w:trPr>
        <w:tc>
          <w:tcPr>
            <w:tcW w:w="1160" w:type="dxa"/>
            <w:vAlign w:val="bottom"/>
          </w:tcPr>
          <w:p>
            <w:pPr>
              <w:ind w:left="80"/>
              <w:spacing w:after="0" w:line="181" w:lineRule="exact"/>
              <w:rPr>
                <w:sz w:val="20"/>
                <w:szCs w:val="20"/>
                <w:color w:val="auto"/>
              </w:rPr>
            </w:pPr>
            <w:r>
              <w:rPr>
                <w:rFonts w:ascii="Arial" w:cs="Arial" w:eastAsia="Arial" w:hAnsi="Arial"/>
                <w:sz w:val="16"/>
                <w:szCs w:val="16"/>
                <w:b w:val="1"/>
                <w:bCs w:val="1"/>
                <w:color w:val="0075C9"/>
              </w:rPr>
              <w:t>Cash</w:t>
            </w:r>
          </w:p>
        </w:tc>
        <w:tc>
          <w:tcPr>
            <w:tcW w:w="2980" w:type="dxa"/>
            <w:vAlign w:val="bottom"/>
          </w:tcPr>
          <w:p>
            <w:pPr>
              <w:ind w:left="120"/>
              <w:spacing w:after="0" w:line="181" w:lineRule="exact"/>
              <w:rPr>
                <w:sz w:val="20"/>
                <w:szCs w:val="20"/>
                <w:color w:val="auto"/>
              </w:rPr>
            </w:pPr>
            <w:r>
              <w:rPr>
                <w:rFonts w:ascii="Arial" w:cs="Arial" w:eastAsia="Arial" w:hAnsi="Arial"/>
                <w:sz w:val="16"/>
                <w:szCs w:val="16"/>
                <w:color w:val="auto"/>
              </w:rPr>
              <w:t>• Incentive Plan Revenue (25%)</w:t>
            </w:r>
          </w:p>
        </w:tc>
        <w:tc>
          <w:tcPr>
            <w:tcW w:w="920" w:type="dxa"/>
            <w:vAlign w:val="bottom"/>
            <w:vMerge w:val="continue"/>
          </w:tcPr>
          <w:p>
            <w:pPr>
              <w:spacing w:after="0"/>
              <w:rPr>
                <w:sz w:val="15"/>
                <w:szCs w:val="15"/>
                <w:color w:val="auto"/>
              </w:rPr>
            </w:pPr>
          </w:p>
        </w:tc>
        <w:tc>
          <w:tcPr>
            <w:tcW w:w="3060" w:type="dxa"/>
            <w:vAlign w:val="bottom"/>
          </w:tcPr>
          <w:p>
            <w:pPr>
              <w:ind w:left="100"/>
              <w:spacing w:after="0" w:line="181" w:lineRule="exact"/>
              <w:rPr>
                <w:sz w:val="20"/>
                <w:szCs w:val="20"/>
                <w:color w:val="auto"/>
              </w:rPr>
            </w:pPr>
            <w:r>
              <w:rPr>
                <w:rFonts w:ascii="Arial" w:cs="Arial" w:eastAsia="Arial" w:hAnsi="Arial"/>
                <w:sz w:val="16"/>
                <w:szCs w:val="16"/>
                <w:color w:val="0075C9"/>
              </w:rPr>
              <w:t>Financial (new)</w:t>
            </w: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1160" w:type="dxa"/>
            <w:vAlign w:val="bottom"/>
          </w:tcPr>
          <w:p>
            <w:pPr>
              <w:ind w:left="80"/>
              <w:spacing w:after="0"/>
              <w:rPr>
                <w:sz w:val="20"/>
                <w:szCs w:val="20"/>
                <w:color w:val="auto"/>
              </w:rPr>
            </w:pPr>
            <w:r>
              <w:rPr>
                <w:rFonts w:ascii="Arial" w:cs="Arial" w:eastAsia="Arial" w:hAnsi="Arial"/>
                <w:sz w:val="16"/>
                <w:szCs w:val="16"/>
                <w:b w:val="1"/>
                <w:bCs w:val="1"/>
                <w:color w:val="0075C9"/>
              </w:rPr>
              <w:t>Incentives</w:t>
            </w:r>
          </w:p>
        </w:tc>
        <w:tc>
          <w:tcPr>
            <w:tcW w:w="2980" w:type="dxa"/>
            <w:vAlign w:val="bottom"/>
          </w:tcPr>
          <w:p>
            <w:pPr>
              <w:ind w:left="120"/>
              <w:spacing w:after="0"/>
              <w:rPr>
                <w:sz w:val="20"/>
                <w:szCs w:val="20"/>
                <w:color w:val="auto"/>
              </w:rPr>
            </w:pPr>
            <w:r>
              <w:rPr>
                <w:rFonts w:ascii="Arial" w:cs="Arial" w:eastAsia="Arial" w:hAnsi="Arial"/>
                <w:sz w:val="16"/>
                <w:szCs w:val="16"/>
                <w:color w:val="auto"/>
              </w:rPr>
              <w:t>• Incentive Plan Operating Income</w:t>
            </w:r>
          </w:p>
        </w:tc>
        <w:tc>
          <w:tcPr>
            <w:tcW w:w="920" w:type="dxa"/>
            <w:vAlign w:val="bottom"/>
            <w:vMerge w:val="continue"/>
          </w:tcPr>
          <w:p>
            <w:pPr>
              <w:spacing w:after="0"/>
              <w:rPr>
                <w:sz w:val="17"/>
                <w:szCs w:val="17"/>
                <w:color w:val="auto"/>
              </w:rPr>
            </w:pPr>
          </w:p>
        </w:tc>
        <w:tc>
          <w:tcPr>
            <w:tcW w:w="3060" w:type="dxa"/>
            <w:vAlign w:val="bottom"/>
          </w:tcPr>
          <w:p>
            <w:pPr>
              <w:ind w:left="100"/>
              <w:spacing w:after="0"/>
              <w:rPr>
                <w:sz w:val="20"/>
                <w:szCs w:val="20"/>
                <w:color w:val="auto"/>
              </w:rPr>
            </w:pPr>
            <w:r>
              <w:rPr>
                <w:rFonts w:ascii="Arial" w:cs="Arial" w:eastAsia="Arial" w:hAnsi="Arial"/>
                <w:sz w:val="16"/>
                <w:szCs w:val="16"/>
                <w:color w:val="auto"/>
              </w:rPr>
              <w:t>• Incentive Plan Revenue (35%)</w:t>
            </w: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2980" w:type="dxa"/>
            <w:vAlign w:val="bottom"/>
            <w:tcBorders>
              <w:bottom w:val="single" w:sz="8" w:color="595959"/>
            </w:tcBorders>
          </w:tcPr>
          <w:p>
            <w:pPr>
              <w:ind w:left="260"/>
              <w:spacing w:after="0"/>
              <w:rPr>
                <w:sz w:val="20"/>
                <w:szCs w:val="20"/>
                <w:color w:val="auto"/>
              </w:rPr>
            </w:pPr>
            <w:r>
              <w:rPr>
                <w:rFonts w:ascii="Arial" w:cs="Arial" w:eastAsia="Arial" w:hAnsi="Arial"/>
                <w:sz w:val="16"/>
                <w:szCs w:val="16"/>
                <w:color w:val="auto"/>
              </w:rPr>
              <w:t>(25%)</w:t>
            </w:r>
          </w:p>
        </w:tc>
        <w:tc>
          <w:tcPr>
            <w:tcW w:w="920" w:type="dxa"/>
            <w:vAlign w:val="bottom"/>
            <w:tcBorders>
              <w:bottom w:val="single" w:sz="8" w:color="595959"/>
            </w:tcBorders>
          </w:tcPr>
          <w:p>
            <w:pPr>
              <w:spacing w:after="0"/>
              <w:rPr>
                <w:sz w:val="16"/>
                <w:szCs w:val="16"/>
                <w:color w:val="auto"/>
              </w:rPr>
            </w:pPr>
          </w:p>
        </w:tc>
        <w:tc>
          <w:tcPr>
            <w:tcW w:w="3060" w:type="dxa"/>
            <w:vAlign w:val="bottom"/>
            <w:tcBorders>
              <w:bottom w:val="single" w:sz="8" w:color="595959"/>
            </w:tcBorders>
          </w:tcPr>
          <w:p>
            <w:pPr>
              <w:ind w:left="100"/>
              <w:spacing w:after="0"/>
              <w:rPr>
                <w:sz w:val="20"/>
                <w:szCs w:val="20"/>
                <w:color w:val="auto"/>
              </w:rPr>
            </w:pPr>
            <w:r>
              <w:rPr>
                <w:rFonts w:ascii="Arial" w:cs="Arial" w:eastAsia="Arial" w:hAnsi="Arial"/>
                <w:sz w:val="16"/>
                <w:szCs w:val="16"/>
                <w:color w:val="auto"/>
              </w:rPr>
              <w:t>• Incentive Plan Operating Income (35%)</w:t>
            </w:r>
          </w:p>
        </w:tc>
        <w:tc>
          <w:tcPr>
            <w:tcW w:w="920" w:type="dxa"/>
            <w:vAlign w:val="bottom"/>
            <w:tcBorders>
              <w:bottom w:val="single" w:sz="8" w:color="595959"/>
            </w:tcBorders>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160" w:type="dxa"/>
            <w:vAlign w:val="bottom"/>
          </w:tcPr>
          <w:p>
            <w:pPr>
              <w:spacing w:after="0"/>
              <w:rPr>
                <w:sz w:val="21"/>
                <w:szCs w:val="21"/>
                <w:color w:val="auto"/>
              </w:rPr>
            </w:pPr>
          </w:p>
        </w:tc>
        <w:tc>
          <w:tcPr>
            <w:tcW w:w="2980" w:type="dxa"/>
            <w:vAlign w:val="bottom"/>
          </w:tcPr>
          <w:p>
            <w:pPr>
              <w:ind w:left="120"/>
              <w:spacing w:after="0"/>
              <w:rPr>
                <w:sz w:val="20"/>
                <w:szCs w:val="20"/>
                <w:color w:val="auto"/>
              </w:rPr>
            </w:pPr>
            <w:r>
              <w:rPr>
                <w:rFonts w:ascii="Arial" w:cs="Arial" w:eastAsia="Arial" w:hAnsi="Arial"/>
                <w:sz w:val="16"/>
                <w:szCs w:val="16"/>
                <w:color w:val="0075C9"/>
              </w:rPr>
              <w:t>Operational</w:t>
            </w:r>
          </w:p>
        </w:tc>
        <w:tc>
          <w:tcPr>
            <w:tcW w:w="920" w:type="dxa"/>
            <w:vAlign w:val="bottom"/>
          </w:tcPr>
          <w:p>
            <w:pPr>
              <w:spacing w:after="0"/>
              <w:rPr>
                <w:sz w:val="21"/>
                <w:szCs w:val="21"/>
                <w:color w:val="auto"/>
              </w:rPr>
            </w:pPr>
          </w:p>
        </w:tc>
        <w:tc>
          <w:tcPr>
            <w:tcW w:w="3060" w:type="dxa"/>
            <w:vAlign w:val="bottom"/>
          </w:tcPr>
          <w:p>
            <w:pPr>
              <w:ind w:left="100"/>
              <w:spacing w:after="0"/>
              <w:rPr>
                <w:sz w:val="20"/>
                <w:szCs w:val="20"/>
                <w:color w:val="auto"/>
              </w:rPr>
            </w:pPr>
            <w:r>
              <w:rPr>
                <w:rFonts w:ascii="Arial" w:cs="Arial" w:eastAsia="Arial" w:hAnsi="Arial"/>
                <w:sz w:val="16"/>
                <w:szCs w:val="16"/>
                <w:color w:val="0075C9"/>
              </w:rPr>
              <w:t>Operational (new)</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1160" w:type="dxa"/>
            <w:vAlign w:val="bottom"/>
          </w:tcPr>
          <w:p>
            <w:pPr>
              <w:spacing w:after="0"/>
              <w:rPr>
                <w:sz w:val="15"/>
                <w:szCs w:val="15"/>
                <w:color w:val="auto"/>
              </w:rPr>
            </w:pPr>
          </w:p>
        </w:tc>
        <w:tc>
          <w:tcPr>
            <w:tcW w:w="2980" w:type="dxa"/>
            <w:vAlign w:val="bottom"/>
          </w:tcPr>
          <w:p>
            <w:pPr>
              <w:ind w:left="120"/>
              <w:spacing w:after="0" w:line="181" w:lineRule="exact"/>
              <w:rPr>
                <w:sz w:val="20"/>
                <w:szCs w:val="20"/>
                <w:color w:val="auto"/>
              </w:rPr>
            </w:pPr>
            <w:r>
              <w:rPr>
                <w:rFonts w:ascii="Arial" w:cs="Arial" w:eastAsia="Arial" w:hAnsi="Arial"/>
                <w:sz w:val="16"/>
                <w:szCs w:val="16"/>
                <w:color w:val="auto"/>
              </w:rPr>
              <w:t>• Product &amp; Strategy (16.67%)</w:t>
            </w:r>
          </w:p>
        </w:tc>
        <w:tc>
          <w:tcPr>
            <w:tcW w:w="920" w:type="dxa"/>
            <w:vAlign w:val="bottom"/>
            <w:vMerge w:val="restart"/>
          </w:tcPr>
          <w:p>
            <w:pPr>
              <w:jc w:val="right"/>
              <w:spacing w:after="0" w:line="363" w:lineRule="exact"/>
              <w:rPr>
                <w:sz w:val="20"/>
                <w:szCs w:val="20"/>
                <w:color w:val="auto"/>
              </w:rPr>
            </w:pPr>
            <w:r>
              <w:rPr>
                <w:rFonts w:ascii="Arial" w:cs="Arial" w:eastAsia="Arial" w:hAnsi="Arial"/>
                <w:sz w:val="35"/>
                <w:szCs w:val="35"/>
                <w:color w:val="auto"/>
              </w:rPr>
              <w:t>50%</w:t>
            </w:r>
          </w:p>
        </w:tc>
        <w:tc>
          <w:tcPr>
            <w:tcW w:w="3060" w:type="dxa"/>
            <w:vAlign w:val="bottom"/>
          </w:tcPr>
          <w:p>
            <w:pPr>
              <w:ind w:left="100"/>
              <w:spacing w:after="0" w:line="181" w:lineRule="exact"/>
              <w:rPr>
                <w:sz w:val="20"/>
                <w:szCs w:val="20"/>
                <w:color w:val="auto"/>
              </w:rPr>
            </w:pPr>
            <w:r>
              <w:rPr>
                <w:rFonts w:ascii="Arial" w:cs="Arial" w:eastAsia="Arial" w:hAnsi="Arial"/>
                <w:sz w:val="16"/>
                <w:szCs w:val="16"/>
                <w:color w:val="auto"/>
              </w:rPr>
              <w:t>• Product &amp; Strategy (10%)</w:t>
            </w:r>
          </w:p>
        </w:tc>
        <w:tc>
          <w:tcPr>
            <w:tcW w:w="920" w:type="dxa"/>
            <w:vAlign w:val="bottom"/>
            <w:vMerge w:val="restart"/>
          </w:tcPr>
          <w:p>
            <w:pPr>
              <w:jc w:val="right"/>
              <w:spacing w:after="0" w:line="363" w:lineRule="exact"/>
              <w:rPr>
                <w:sz w:val="20"/>
                <w:szCs w:val="20"/>
                <w:color w:val="auto"/>
              </w:rPr>
            </w:pPr>
            <w:r>
              <w:rPr>
                <w:rFonts w:ascii="Arial" w:cs="Arial" w:eastAsia="Arial" w:hAnsi="Arial"/>
                <w:sz w:val="35"/>
                <w:szCs w:val="35"/>
                <w:color w:val="auto"/>
              </w:rPr>
              <w:t>30%</w:t>
            </w:r>
          </w:p>
        </w:tc>
        <w:tc>
          <w:tcPr>
            <w:tcW w:w="0" w:type="dxa"/>
            <w:vAlign w:val="bottom"/>
          </w:tcPr>
          <w:p>
            <w:pPr>
              <w:spacing w:after="0"/>
              <w:rPr>
                <w:sz w:val="1"/>
                <w:szCs w:val="1"/>
                <w:color w:val="auto"/>
              </w:rPr>
            </w:pPr>
          </w:p>
        </w:tc>
      </w:tr>
      <w:tr>
        <w:trPr>
          <w:trHeight w:val="181"/>
        </w:trPr>
        <w:tc>
          <w:tcPr>
            <w:tcW w:w="1160" w:type="dxa"/>
            <w:vAlign w:val="bottom"/>
          </w:tcPr>
          <w:p>
            <w:pPr>
              <w:spacing w:after="0"/>
              <w:rPr>
                <w:sz w:val="15"/>
                <w:szCs w:val="15"/>
                <w:color w:val="auto"/>
              </w:rPr>
            </w:pPr>
          </w:p>
        </w:tc>
        <w:tc>
          <w:tcPr>
            <w:tcW w:w="2980" w:type="dxa"/>
            <w:vAlign w:val="bottom"/>
          </w:tcPr>
          <w:p>
            <w:pPr>
              <w:ind w:left="120"/>
              <w:spacing w:after="0" w:line="181" w:lineRule="exact"/>
              <w:rPr>
                <w:sz w:val="20"/>
                <w:szCs w:val="20"/>
                <w:color w:val="auto"/>
              </w:rPr>
            </w:pPr>
            <w:r>
              <w:rPr>
                <w:rFonts w:ascii="Arial" w:cs="Arial" w:eastAsia="Arial" w:hAnsi="Arial"/>
                <w:sz w:val="16"/>
                <w:szCs w:val="16"/>
                <w:color w:val="auto"/>
              </w:rPr>
              <w:t>• Customers &amp; Stakeholders (16.67%)</w:t>
            </w:r>
          </w:p>
        </w:tc>
        <w:tc>
          <w:tcPr>
            <w:tcW w:w="920" w:type="dxa"/>
            <w:vAlign w:val="bottom"/>
            <w:vMerge w:val="continue"/>
          </w:tcPr>
          <w:p>
            <w:pPr>
              <w:spacing w:after="0"/>
              <w:rPr>
                <w:sz w:val="15"/>
                <w:szCs w:val="15"/>
                <w:color w:val="auto"/>
              </w:rPr>
            </w:pPr>
          </w:p>
        </w:tc>
        <w:tc>
          <w:tcPr>
            <w:tcW w:w="3060" w:type="dxa"/>
            <w:vAlign w:val="bottom"/>
          </w:tcPr>
          <w:p>
            <w:pPr>
              <w:ind w:left="100"/>
              <w:spacing w:after="0" w:line="181" w:lineRule="exact"/>
              <w:rPr>
                <w:sz w:val="20"/>
                <w:szCs w:val="20"/>
                <w:color w:val="auto"/>
              </w:rPr>
            </w:pPr>
            <w:r>
              <w:rPr>
                <w:rFonts w:ascii="Arial" w:cs="Arial" w:eastAsia="Arial" w:hAnsi="Arial"/>
                <w:sz w:val="16"/>
                <w:szCs w:val="16"/>
                <w:color w:val="auto"/>
              </w:rPr>
              <w:t>• Customers &amp; Stakeholders (10%)</w:t>
            </w: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60" w:type="dxa"/>
            <w:vAlign w:val="bottom"/>
          </w:tcPr>
          <w:p>
            <w:pPr>
              <w:spacing w:after="0"/>
              <w:rPr>
                <w:sz w:val="15"/>
                <w:szCs w:val="15"/>
                <w:color w:val="auto"/>
              </w:rPr>
            </w:pPr>
          </w:p>
        </w:tc>
        <w:tc>
          <w:tcPr>
            <w:tcW w:w="2980" w:type="dxa"/>
            <w:vAlign w:val="bottom"/>
          </w:tcPr>
          <w:p>
            <w:pPr>
              <w:ind w:left="120"/>
              <w:spacing w:after="0" w:line="181" w:lineRule="exact"/>
              <w:rPr>
                <w:sz w:val="20"/>
                <w:szCs w:val="20"/>
                <w:color w:val="auto"/>
              </w:rPr>
            </w:pPr>
            <w:r>
              <w:rPr>
                <w:rFonts w:ascii="Arial" w:cs="Arial" w:eastAsia="Arial" w:hAnsi="Arial"/>
                <w:sz w:val="16"/>
                <w:szCs w:val="16"/>
                <w:color w:val="auto"/>
              </w:rPr>
              <w:t>• Culture &amp; Organizational Leadership</w:t>
            </w:r>
          </w:p>
        </w:tc>
        <w:tc>
          <w:tcPr>
            <w:tcW w:w="920" w:type="dxa"/>
            <w:vAlign w:val="bottom"/>
          </w:tcPr>
          <w:p>
            <w:pPr>
              <w:spacing w:after="0"/>
              <w:rPr>
                <w:sz w:val="15"/>
                <w:szCs w:val="15"/>
                <w:color w:val="auto"/>
              </w:rPr>
            </w:pPr>
          </w:p>
        </w:tc>
        <w:tc>
          <w:tcPr>
            <w:tcW w:w="3060" w:type="dxa"/>
            <w:vAlign w:val="bottom"/>
          </w:tcPr>
          <w:p>
            <w:pPr>
              <w:ind w:left="100"/>
              <w:spacing w:after="0" w:line="181" w:lineRule="exact"/>
              <w:rPr>
                <w:sz w:val="20"/>
                <w:szCs w:val="20"/>
                <w:color w:val="auto"/>
              </w:rPr>
            </w:pPr>
            <w:r>
              <w:rPr>
                <w:rFonts w:ascii="Arial" w:cs="Arial" w:eastAsia="Arial" w:hAnsi="Arial"/>
                <w:sz w:val="16"/>
                <w:szCs w:val="16"/>
                <w:color w:val="auto"/>
              </w:rPr>
              <w:t>• Culture &amp; Organizational Leadership</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160" w:type="dxa"/>
            <w:vAlign w:val="bottom"/>
          </w:tcPr>
          <w:p>
            <w:pPr>
              <w:spacing w:after="0"/>
              <w:rPr>
                <w:sz w:val="16"/>
                <w:szCs w:val="16"/>
                <w:color w:val="auto"/>
              </w:rPr>
            </w:pPr>
          </w:p>
        </w:tc>
        <w:tc>
          <w:tcPr>
            <w:tcW w:w="2980" w:type="dxa"/>
            <w:vAlign w:val="bottom"/>
          </w:tcPr>
          <w:p>
            <w:pPr>
              <w:ind w:left="260"/>
              <w:spacing w:after="0"/>
              <w:rPr>
                <w:sz w:val="20"/>
                <w:szCs w:val="20"/>
                <w:color w:val="auto"/>
              </w:rPr>
            </w:pPr>
            <w:r>
              <w:rPr>
                <w:rFonts w:ascii="Arial" w:cs="Arial" w:eastAsia="Arial" w:hAnsi="Arial"/>
                <w:sz w:val="16"/>
                <w:szCs w:val="16"/>
                <w:color w:val="auto"/>
              </w:rPr>
              <w:t>(16.66%)</w:t>
            </w:r>
          </w:p>
        </w:tc>
        <w:tc>
          <w:tcPr>
            <w:tcW w:w="920" w:type="dxa"/>
            <w:vAlign w:val="bottom"/>
          </w:tcPr>
          <w:p>
            <w:pPr>
              <w:spacing w:after="0"/>
              <w:rPr>
                <w:sz w:val="16"/>
                <w:szCs w:val="16"/>
                <w:color w:val="auto"/>
              </w:rPr>
            </w:pPr>
          </w:p>
        </w:tc>
        <w:tc>
          <w:tcPr>
            <w:tcW w:w="3060" w:type="dxa"/>
            <w:vAlign w:val="bottom"/>
          </w:tcPr>
          <w:p>
            <w:pPr>
              <w:ind w:left="260"/>
              <w:spacing w:after="0"/>
              <w:rPr>
                <w:sz w:val="20"/>
                <w:szCs w:val="20"/>
                <w:color w:val="auto"/>
              </w:rPr>
            </w:pPr>
            <w:r>
              <w:rPr>
                <w:rFonts w:ascii="Arial" w:cs="Arial" w:eastAsia="Arial" w:hAnsi="Arial"/>
                <w:sz w:val="16"/>
                <w:szCs w:val="16"/>
                <w:color w:val="auto"/>
              </w:rPr>
              <w:t>(10%)</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1160" w:type="dxa"/>
            <w:vAlign w:val="bottom"/>
            <w:tcBorders>
              <w:bottom w:val="single" w:sz="8" w:color="0075C9"/>
            </w:tcBorders>
          </w:tcPr>
          <w:p>
            <w:pPr>
              <w:spacing w:after="0"/>
              <w:rPr>
                <w:sz w:val="6"/>
                <w:szCs w:val="6"/>
                <w:color w:val="auto"/>
              </w:rPr>
            </w:pPr>
          </w:p>
        </w:tc>
        <w:tc>
          <w:tcPr>
            <w:tcW w:w="2980" w:type="dxa"/>
            <w:vAlign w:val="bottom"/>
            <w:tcBorders>
              <w:bottom w:val="single" w:sz="8" w:color="0075C9"/>
            </w:tcBorders>
          </w:tcPr>
          <w:p>
            <w:pPr>
              <w:spacing w:after="0"/>
              <w:rPr>
                <w:sz w:val="6"/>
                <w:szCs w:val="6"/>
                <w:color w:val="auto"/>
              </w:rPr>
            </w:pPr>
          </w:p>
        </w:tc>
        <w:tc>
          <w:tcPr>
            <w:tcW w:w="920" w:type="dxa"/>
            <w:vAlign w:val="bottom"/>
            <w:tcBorders>
              <w:bottom w:val="single" w:sz="8" w:color="0075C9"/>
            </w:tcBorders>
          </w:tcPr>
          <w:p>
            <w:pPr>
              <w:spacing w:after="0"/>
              <w:rPr>
                <w:sz w:val="6"/>
                <w:szCs w:val="6"/>
                <w:color w:val="auto"/>
              </w:rPr>
            </w:pPr>
          </w:p>
        </w:tc>
        <w:tc>
          <w:tcPr>
            <w:tcW w:w="3060" w:type="dxa"/>
            <w:vAlign w:val="bottom"/>
            <w:tcBorders>
              <w:bottom w:val="single" w:sz="8" w:color="0075C9"/>
            </w:tcBorders>
          </w:tcPr>
          <w:p>
            <w:pPr>
              <w:spacing w:after="0"/>
              <w:rPr>
                <w:sz w:val="6"/>
                <w:szCs w:val="6"/>
                <w:color w:val="auto"/>
              </w:rPr>
            </w:pPr>
          </w:p>
        </w:tc>
        <w:tc>
          <w:tcPr>
            <w:tcW w:w="920" w:type="dxa"/>
            <w:vAlign w:val="bottom"/>
            <w:tcBorders>
              <w:bottom w:val="single" w:sz="8" w:color="0075C9"/>
            </w:tcBorders>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160" w:type="dxa"/>
            <w:vAlign w:val="bottom"/>
          </w:tcPr>
          <w:p>
            <w:pPr>
              <w:ind w:left="80"/>
              <w:spacing w:after="0"/>
              <w:rPr>
                <w:sz w:val="20"/>
                <w:szCs w:val="20"/>
                <w:color w:val="auto"/>
              </w:rPr>
            </w:pPr>
            <w:r>
              <w:rPr>
                <w:rFonts w:ascii="Arial" w:cs="Arial" w:eastAsia="Arial" w:hAnsi="Arial"/>
                <w:sz w:val="16"/>
                <w:szCs w:val="16"/>
                <w:b w:val="1"/>
                <w:bCs w:val="1"/>
                <w:color w:val="0075C9"/>
              </w:rPr>
              <w:t>Long-Term</w:t>
            </w:r>
          </w:p>
        </w:tc>
        <w:tc>
          <w:tcPr>
            <w:tcW w:w="2980" w:type="dxa"/>
            <w:vAlign w:val="bottom"/>
          </w:tcPr>
          <w:p>
            <w:pPr>
              <w:ind w:left="120"/>
              <w:spacing w:after="0"/>
              <w:rPr>
                <w:sz w:val="20"/>
                <w:szCs w:val="20"/>
                <w:color w:val="auto"/>
              </w:rPr>
            </w:pPr>
            <w:r>
              <w:rPr>
                <w:rFonts w:ascii="Arial" w:cs="Arial" w:eastAsia="Arial" w:hAnsi="Arial"/>
                <w:sz w:val="16"/>
                <w:szCs w:val="16"/>
                <w:color w:val="0075C9"/>
              </w:rPr>
              <w:t>Performance Stock Award</w:t>
            </w:r>
          </w:p>
        </w:tc>
        <w:tc>
          <w:tcPr>
            <w:tcW w:w="920" w:type="dxa"/>
            <w:vAlign w:val="bottom"/>
          </w:tcPr>
          <w:p>
            <w:pPr>
              <w:spacing w:after="0"/>
              <w:rPr>
                <w:sz w:val="17"/>
                <w:szCs w:val="17"/>
                <w:color w:val="auto"/>
              </w:rPr>
            </w:pPr>
          </w:p>
        </w:tc>
        <w:tc>
          <w:tcPr>
            <w:tcW w:w="3060" w:type="dxa"/>
            <w:vAlign w:val="bottom"/>
          </w:tcPr>
          <w:p>
            <w:pPr>
              <w:ind w:left="100"/>
              <w:spacing w:after="0"/>
              <w:rPr>
                <w:sz w:val="20"/>
                <w:szCs w:val="20"/>
                <w:color w:val="auto"/>
              </w:rPr>
            </w:pPr>
            <w:r>
              <w:rPr>
                <w:rFonts w:ascii="Arial" w:cs="Arial" w:eastAsia="Arial" w:hAnsi="Arial"/>
                <w:sz w:val="16"/>
                <w:szCs w:val="16"/>
                <w:color w:val="0075C9"/>
              </w:rPr>
              <w:t>Performance Stock Award (new)</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60" w:type="dxa"/>
            <w:vAlign w:val="bottom"/>
          </w:tcPr>
          <w:p>
            <w:pPr>
              <w:ind w:left="80"/>
              <w:spacing w:after="0"/>
              <w:rPr>
                <w:sz w:val="20"/>
                <w:szCs w:val="20"/>
                <w:color w:val="auto"/>
              </w:rPr>
            </w:pPr>
            <w:r>
              <w:rPr>
                <w:rFonts w:ascii="Arial" w:cs="Arial" w:eastAsia="Arial" w:hAnsi="Arial"/>
                <w:sz w:val="16"/>
                <w:szCs w:val="16"/>
                <w:b w:val="1"/>
                <w:bCs w:val="1"/>
                <w:color w:val="0075C9"/>
              </w:rPr>
              <w:t>Equity</w:t>
            </w:r>
          </w:p>
        </w:tc>
        <w:tc>
          <w:tcPr>
            <w:tcW w:w="2980" w:type="dxa"/>
            <w:vAlign w:val="bottom"/>
          </w:tcPr>
          <w:p>
            <w:pPr>
              <w:ind w:left="120"/>
              <w:spacing w:after="0"/>
              <w:rPr>
                <w:sz w:val="20"/>
                <w:szCs w:val="20"/>
                <w:color w:val="auto"/>
              </w:rPr>
            </w:pPr>
            <w:r>
              <w:rPr>
                <w:rFonts w:ascii="Arial" w:cs="Arial" w:eastAsia="Arial" w:hAnsi="Arial"/>
                <w:sz w:val="16"/>
                <w:szCs w:val="16"/>
                <w:color w:val="auto"/>
              </w:rPr>
              <w:t>Three, one-year performance periods</w:t>
            </w:r>
          </w:p>
        </w:tc>
        <w:tc>
          <w:tcPr>
            <w:tcW w:w="920" w:type="dxa"/>
            <w:vAlign w:val="bottom"/>
          </w:tcPr>
          <w:p>
            <w:pPr>
              <w:spacing w:after="0"/>
              <w:rPr>
                <w:sz w:val="17"/>
                <w:szCs w:val="17"/>
                <w:color w:val="auto"/>
              </w:rPr>
            </w:pPr>
          </w:p>
        </w:tc>
        <w:tc>
          <w:tcPr>
            <w:tcW w:w="3060" w:type="dxa"/>
            <w:vAlign w:val="bottom"/>
          </w:tcPr>
          <w:p>
            <w:pPr>
              <w:ind w:left="100"/>
              <w:spacing w:after="0"/>
              <w:rPr>
                <w:sz w:val="20"/>
                <w:szCs w:val="20"/>
                <w:color w:val="auto"/>
              </w:rPr>
            </w:pPr>
            <w:r>
              <w:rPr>
                <w:rFonts w:ascii="Arial" w:cs="Arial" w:eastAsia="Arial" w:hAnsi="Arial"/>
                <w:sz w:val="16"/>
                <w:szCs w:val="16"/>
                <w:color w:val="auto"/>
              </w:rPr>
              <w:t>Three, one-year performance periods</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160" w:type="dxa"/>
            <w:vAlign w:val="bottom"/>
          </w:tcPr>
          <w:p>
            <w:pPr>
              <w:spacing w:after="0"/>
              <w:rPr>
                <w:sz w:val="15"/>
                <w:szCs w:val="15"/>
                <w:color w:val="auto"/>
              </w:rPr>
            </w:pPr>
          </w:p>
        </w:tc>
        <w:tc>
          <w:tcPr>
            <w:tcW w:w="2980" w:type="dxa"/>
            <w:vAlign w:val="bottom"/>
          </w:tcPr>
          <w:p>
            <w:pPr>
              <w:ind w:left="120"/>
              <w:spacing w:after="0" w:line="181" w:lineRule="exact"/>
              <w:rPr>
                <w:sz w:val="20"/>
                <w:szCs w:val="20"/>
                <w:color w:val="auto"/>
              </w:rPr>
            </w:pPr>
            <w:r>
              <w:rPr>
                <w:rFonts w:ascii="Arial" w:cs="Arial" w:eastAsia="Arial" w:hAnsi="Arial"/>
                <w:sz w:val="16"/>
                <w:szCs w:val="16"/>
                <w:color w:val="auto"/>
              </w:rPr>
              <w:t>with the following metrics:</w:t>
            </w:r>
          </w:p>
        </w:tc>
        <w:tc>
          <w:tcPr>
            <w:tcW w:w="920" w:type="dxa"/>
            <w:vAlign w:val="bottom"/>
          </w:tcPr>
          <w:p>
            <w:pPr>
              <w:spacing w:after="0"/>
              <w:rPr>
                <w:sz w:val="15"/>
                <w:szCs w:val="15"/>
                <w:color w:val="auto"/>
              </w:rPr>
            </w:pPr>
          </w:p>
        </w:tc>
        <w:tc>
          <w:tcPr>
            <w:tcW w:w="3060" w:type="dxa"/>
            <w:vAlign w:val="bottom"/>
          </w:tcPr>
          <w:p>
            <w:pPr>
              <w:ind w:left="100"/>
              <w:spacing w:after="0" w:line="181" w:lineRule="exact"/>
              <w:rPr>
                <w:sz w:val="20"/>
                <w:szCs w:val="20"/>
                <w:color w:val="auto"/>
              </w:rPr>
            </w:pPr>
            <w:r>
              <w:rPr>
                <w:rFonts w:ascii="Arial" w:cs="Arial" w:eastAsia="Arial" w:hAnsi="Arial"/>
                <w:sz w:val="16"/>
                <w:szCs w:val="16"/>
                <w:color w:val="auto"/>
              </w:rPr>
              <w:t>with the following metrics:</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60" w:type="dxa"/>
            <w:vAlign w:val="bottom"/>
          </w:tcPr>
          <w:p>
            <w:pPr>
              <w:spacing w:after="0"/>
              <w:rPr>
                <w:sz w:val="15"/>
                <w:szCs w:val="15"/>
                <w:color w:val="auto"/>
              </w:rPr>
            </w:pPr>
          </w:p>
        </w:tc>
        <w:tc>
          <w:tcPr>
            <w:tcW w:w="2980" w:type="dxa"/>
            <w:vAlign w:val="bottom"/>
          </w:tcPr>
          <w:p>
            <w:pPr>
              <w:ind w:left="120"/>
              <w:spacing w:after="0" w:line="181" w:lineRule="exact"/>
              <w:rPr>
                <w:sz w:val="20"/>
                <w:szCs w:val="20"/>
                <w:color w:val="auto"/>
              </w:rPr>
            </w:pPr>
            <w:r>
              <w:rPr>
                <w:rFonts w:ascii="Arial" w:cs="Arial" w:eastAsia="Arial" w:hAnsi="Arial"/>
                <w:sz w:val="16"/>
                <w:szCs w:val="16"/>
                <w:color w:val="auto"/>
              </w:rPr>
              <w:t>• Commercial Cloud Revenue (35%)</w:t>
            </w:r>
          </w:p>
        </w:tc>
        <w:tc>
          <w:tcPr>
            <w:tcW w:w="920" w:type="dxa"/>
            <w:vAlign w:val="bottom"/>
            <w:vMerge w:val="restart"/>
          </w:tcPr>
          <w:p>
            <w:pPr>
              <w:jc w:val="right"/>
              <w:spacing w:after="0" w:line="363" w:lineRule="exact"/>
              <w:rPr>
                <w:sz w:val="20"/>
                <w:szCs w:val="20"/>
                <w:color w:val="auto"/>
              </w:rPr>
            </w:pPr>
            <w:r>
              <w:rPr>
                <w:rFonts w:ascii="Arial" w:cs="Arial" w:eastAsia="Arial" w:hAnsi="Arial"/>
                <w:sz w:val="35"/>
                <w:szCs w:val="35"/>
                <w:color w:val="auto"/>
              </w:rPr>
              <w:t>50%</w:t>
            </w:r>
          </w:p>
        </w:tc>
        <w:tc>
          <w:tcPr>
            <w:tcW w:w="3060" w:type="dxa"/>
            <w:vAlign w:val="bottom"/>
          </w:tcPr>
          <w:p>
            <w:pPr>
              <w:ind w:left="100"/>
              <w:spacing w:after="0" w:line="181" w:lineRule="exact"/>
              <w:rPr>
                <w:sz w:val="20"/>
                <w:szCs w:val="20"/>
                <w:color w:val="auto"/>
              </w:rPr>
            </w:pPr>
            <w:r>
              <w:rPr>
                <w:rFonts w:ascii="Arial" w:cs="Arial" w:eastAsia="Arial" w:hAnsi="Arial"/>
                <w:sz w:val="16"/>
                <w:szCs w:val="16"/>
                <w:color w:val="auto"/>
              </w:rPr>
              <w:t>• Commercial Cloud Revenue (33%)</w:t>
            </w:r>
          </w:p>
        </w:tc>
        <w:tc>
          <w:tcPr>
            <w:tcW w:w="920" w:type="dxa"/>
            <w:vAlign w:val="bottom"/>
            <w:vMerge w:val="restart"/>
          </w:tcPr>
          <w:p>
            <w:pPr>
              <w:jc w:val="right"/>
              <w:spacing w:after="0" w:line="363" w:lineRule="exact"/>
              <w:rPr>
                <w:sz w:val="20"/>
                <w:szCs w:val="20"/>
                <w:color w:val="auto"/>
              </w:rPr>
            </w:pPr>
            <w:r>
              <w:rPr>
                <w:rFonts w:ascii="Arial" w:cs="Arial" w:eastAsia="Arial" w:hAnsi="Arial"/>
                <w:sz w:val="35"/>
                <w:szCs w:val="35"/>
                <w:color w:val="auto"/>
              </w:rPr>
              <w:t>70%</w:t>
            </w:r>
          </w:p>
        </w:tc>
        <w:tc>
          <w:tcPr>
            <w:tcW w:w="0" w:type="dxa"/>
            <w:vAlign w:val="bottom"/>
          </w:tcPr>
          <w:p>
            <w:pPr>
              <w:spacing w:after="0"/>
              <w:rPr>
                <w:sz w:val="1"/>
                <w:szCs w:val="1"/>
                <w:color w:val="auto"/>
              </w:rPr>
            </w:pPr>
          </w:p>
        </w:tc>
      </w:tr>
      <w:tr>
        <w:trPr>
          <w:trHeight w:val="181"/>
        </w:trPr>
        <w:tc>
          <w:tcPr>
            <w:tcW w:w="1160" w:type="dxa"/>
            <w:vAlign w:val="bottom"/>
          </w:tcPr>
          <w:p>
            <w:pPr>
              <w:spacing w:after="0"/>
              <w:rPr>
                <w:sz w:val="15"/>
                <w:szCs w:val="15"/>
                <w:color w:val="auto"/>
              </w:rPr>
            </w:pPr>
          </w:p>
        </w:tc>
        <w:tc>
          <w:tcPr>
            <w:tcW w:w="2980" w:type="dxa"/>
            <w:vAlign w:val="bottom"/>
          </w:tcPr>
          <w:p>
            <w:pPr>
              <w:ind w:left="120"/>
              <w:spacing w:after="0" w:line="181" w:lineRule="exact"/>
              <w:rPr>
                <w:sz w:val="20"/>
                <w:szCs w:val="20"/>
                <w:color w:val="auto"/>
              </w:rPr>
            </w:pPr>
            <w:r>
              <w:rPr>
                <w:rFonts w:ascii="Arial" w:cs="Arial" w:eastAsia="Arial" w:hAnsi="Arial"/>
                <w:sz w:val="16"/>
                <w:szCs w:val="16"/>
                <w:color w:val="auto"/>
              </w:rPr>
              <w:t>• Commercial Cloud Subscribers (34%)</w:t>
            </w:r>
          </w:p>
        </w:tc>
        <w:tc>
          <w:tcPr>
            <w:tcW w:w="920" w:type="dxa"/>
            <w:vAlign w:val="bottom"/>
            <w:vMerge w:val="continue"/>
          </w:tcPr>
          <w:p>
            <w:pPr>
              <w:spacing w:after="0"/>
              <w:rPr>
                <w:sz w:val="15"/>
                <w:szCs w:val="15"/>
                <w:color w:val="auto"/>
              </w:rPr>
            </w:pPr>
          </w:p>
        </w:tc>
        <w:tc>
          <w:tcPr>
            <w:tcW w:w="3060" w:type="dxa"/>
            <w:vAlign w:val="bottom"/>
          </w:tcPr>
          <w:p>
            <w:pPr>
              <w:ind w:left="100"/>
              <w:spacing w:after="0" w:line="181" w:lineRule="exact"/>
              <w:rPr>
                <w:sz w:val="20"/>
                <w:szCs w:val="20"/>
                <w:color w:val="auto"/>
              </w:rPr>
            </w:pPr>
            <w:r>
              <w:rPr>
                <w:rFonts w:ascii="Arial" w:cs="Arial" w:eastAsia="Arial" w:hAnsi="Arial"/>
                <w:sz w:val="16"/>
                <w:szCs w:val="16"/>
                <w:color w:val="auto"/>
              </w:rPr>
              <w:t>• Commercial Cloud Subscribers (32%)</w:t>
            </w: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60" w:type="dxa"/>
            <w:vAlign w:val="bottom"/>
          </w:tcPr>
          <w:p>
            <w:pPr>
              <w:spacing w:after="0"/>
              <w:rPr>
                <w:sz w:val="15"/>
                <w:szCs w:val="15"/>
                <w:color w:val="auto"/>
              </w:rPr>
            </w:pPr>
          </w:p>
        </w:tc>
        <w:tc>
          <w:tcPr>
            <w:tcW w:w="2980" w:type="dxa"/>
            <w:vAlign w:val="bottom"/>
          </w:tcPr>
          <w:p>
            <w:pPr>
              <w:ind w:left="120"/>
              <w:spacing w:after="0" w:line="181" w:lineRule="exact"/>
              <w:rPr>
                <w:sz w:val="20"/>
                <w:szCs w:val="20"/>
                <w:color w:val="auto"/>
              </w:rPr>
            </w:pPr>
            <w:r>
              <w:rPr>
                <w:rFonts w:ascii="Arial" w:cs="Arial" w:eastAsia="Arial" w:hAnsi="Arial"/>
                <w:sz w:val="16"/>
                <w:szCs w:val="16"/>
                <w:color w:val="auto"/>
              </w:rPr>
              <w:t>• Teams Monthly Active Usage (10%)</w:t>
            </w:r>
          </w:p>
        </w:tc>
        <w:tc>
          <w:tcPr>
            <w:tcW w:w="920" w:type="dxa"/>
            <w:vAlign w:val="bottom"/>
          </w:tcPr>
          <w:p>
            <w:pPr>
              <w:spacing w:after="0"/>
              <w:rPr>
                <w:sz w:val="15"/>
                <w:szCs w:val="15"/>
                <w:color w:val="auto"/>
              </w:rPr>
            </w:pPr>
          </w:p>
        </w:tc>
        <w:tc>
          <w:tcPr>
            <w:tcW w:w="3060" w:type="dxa"/>
            <w:vAlign w:val="bottom"/>
          </w:tcPr>
          <w:p>
            <w:pPr>
              <w:ind w:left="100"/>
              <w:spacing w:after="0" w:line="181" w:lineRule="exact"/>
              <w:rPr>
                <w:sz w:val="20"/>
                <w:szCs w:val="20"/>
                <w:color w:val="auto"/>
              </w:rPr>
            </w:pPr>
            <w:r>
              <w:rPr>
                <w:rFonts w:ascii="Arial" w:cs="Arial" w:eastAsia="Arial" w:hAnsi="Arial"/>
                <w:sz w:val="16"/>
                <w:szCs w:val="16"/>
                <w:color w:val="auto"/>
              </w:rPr>
              <w:t>• Teams Monthly Active Usage (20%)</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60" w:type="dxa"/>
            <w:vAlign w:val="bottom"/>
          </w:tcPr>
          <w:p>
            <w:pPr>
              <w:spacing w:after="0"/>
              <w:rPr>
                <w:sz w:val="15"/>
                <w:szCs w:val="15"/>
                <w:color w:val="auto"/>
              </w:rPr>
            </w:pPr>
          </w:p>
        </w:tc>
        <w:tc>
          <w:tcPr>
            <w:tcW w:w="2980" w:type="dxa"/>
            <w:vAlign w:val="bottom"/>
          </w:tcPr>
          <w:p>
            <w:pPr>
              <w:ind w:left="120"/>
              <w:spacing w:after="0" w:line="181" w:lineRule="exact"/>
              <w:rPr>
                <w:sz w:val="20"/>
                <w:szCs w:val="20"/>
                <w:color w:val="auto"/>
              </w:rPr>
            </w:pPr>
            <w:r>
              <w:rPr>
                <w:rFonts w:ascii="Arial" w:cs="Arial" w:eastAsia="Arial" w:hAnsi="Arial"/>
                <w:sz w:val="16"/>
                <w:szCs w:val="16"/>
                <w:color w:val="auto"/>
              </w:rPr>
              <w:t>• Xbox Game Pass Subscribers (7%)</w:t>
            </w:r>
          </w:p>
        </w:tc>
        <w:tc>
          <w:tcPr>
            <w:tcW w:w="920" w:type="dxa"/>
            <w:vAlign w:val="bottom"/>
          </w:tcPr>
          <w:p>
            <w:pPr>
              <w:spacing w:after="0"/>
              <w:rPr>
                <w:sz w:val="15"/>
                <w:szCs w:val="15"/>
                <w:color w:val="auto"/>
              </w:rPr>
            </w:pPr>
          </w:p>
        </w:tc>
        <w:tc>
          <w:tcPr>
            <w:tcW w:w="3060" w:type="dxa"/>
            <w:vAlign w:val="bottom"/>
          </w:tcPr>
          <w:p>
            <w:pPr>
              <w:ind w:left="100"/>
              <w:spacing w:after="0" w:line="181" w:lineRule="exact"/>
              <w:rPr>
                <w:sz w:val="20"/>
                <w:szCs w:val="20"/>
                <w:color w:val="auto"/>
              </w:rPr>
            </w:pPr>
            <w:r>
              <w:rPr>
                <w:rFonts w:ascii="Arial" w:cs="Arial" w:eastAsia="Arial" w:hAnsi="Arial"/>
                <w:sz w:val="16"/>
                <w:szCs w:val="16"/>
                <w:color w:val="auto"/>
              </w:rPr>
              <w:t>• Xbox Game Pass Subscribers (5%)</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60" w:type="dxa"/>
            <w:vAlign w:val="bottom"/>
          </w:tcPr>
          <w:p>
            <w:pPr>
              <w:spacing w:after="0"/>
              <w:rPr>
                <w:sz w:val="15"/>
                <w:szCs w:val="15"/>
                <w:color w:val="auto"/>
              </w:rPr>
            </w:pPr>
          </w:p>
        </w:tc>
        <w:tc>
          <w:tcPr>
            <w:tcW w:w="2980" w:type="dxa"/>
            <w:vAlign w:val="bottom"/>
          </w:tcPr>
          <w:p>
            <w:pPr>
              <w:ind w:left="120"/>
              <w:spacing w:after="0" w:line="181" w:lineRule="exact"/>
              <w:rPr>
                <w:sz w:val="20"/>
                <w:szCs w:val="20"/>
                <w:color w:val="auto"/>
              </w:rPr>
            </w:pPr>
            <w:r>
              <w:rPr>
                <w:rFonts w:ascii="Arial" w:cs="Arial" w:eastAsia="Arial" w:hAnsi="Arial"/>
                <w:sz w:val="16"/>
                <w:szCs w:val="16"/>
                <w:color w:val="auto"/>
              </w:rPr>
              <w:t>• Surface Revenue (7%)</w:t>
            </w:r>
          </w:p>
        </w:tc>
        <w:tc>
          <w:tcPr>
            <w:tcW w:w="920" w:type="dxa"/>
            <w:vAlign w:val="bottom"/>
          </w:tcPr>
          <w:p>
            <w:pPr>
              <w:spacing w:after="0"/>
              <w:rPr>
                <w:sz w:val="15"/>
                <w:szCs w:val="15"/>
                <w:color w:val="auto"/>
              </w:rPr>
            </w:pPr>
          </w:p>
        </w:tc>
        <w:tc>
          <w:tcPr>
            <w:tcW w:w="3060" w:type="dxa"/>
            <w:vAlign w:val="bottom"/>
          </w:tcPr>
          <w:p>
            <w:pPr>
              <w:ind w:left="100"/>
              <w:spacing w:after="0" w:line="181" w:lineRule="exact"/>
              <w:rPr>
                <w:sz w:val="20"/>
                <w:szCs w:val="20"/>
                <w:color w:val="auto"/>
              </w:rPr>
            </w:pPr>
            <w:r>
              <w:rPr>
                <w:rFonts w:ascii="Arial" w:cs="Arial" w:eastAsia="Arial" w:hAnsi="Arial"/>
                <w:sz w:val="16"/>
                <w:szCs w:val="16"/>
                <w:color w:val="auto"/>
              </w:rPr>
              <w:t>• Surface Revenue (5%)</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160" w:type="dxa"/>
            <w:vAlign w:val="bottom"/>
          </w:tcPr>
          <w:p>
            <w:pPr>
              <w:spacing w:after="0"/>
              <w:rPr>
                <w:sz w:val="16"/>
                <w:szCs w:val="16"/>
                <w:color w:val="auto"/>
              </w:rPr>
            </w:pPr>
          </w:p>
        </w:tc>
        <w:tc>
          <w:tcPr>
            <w:tcW w:w="2980" w:type="dxa"/>
            <w:vAlign w:val="bottom"/>
          </w:tcPr>
          <w:p>
            <w:pPr>
              <w:ind w:left="120"/>
              <w:spacing w:after="0"/>
              <w:rPr>
                <w:sz w:val="20"/>
                <w:szCs w:val="20"/>
                <w:color w:val="auto"/>
              </w:rPr>
            </w:pPr>
            <w:r>
              <w:rPr>
                <w:rFonts w:ascii="Arial" w:cs="Arial" w:eastAsia="Arial" w:hAnsi="Arial"/>
                <w:sz w:val="16"/>
                <w:szCs w:val="16"/>
                <w:color w:val="auto"/>
              </w:rPr>
              <w:t>• LinkedIn Sessions (7%)</w:t>
            </w:r>
          </w:p>
        </w:tc>
        <w:tc>
          <w:tcPr>
            <w:tcW w:w="920" w:type="dxa"/>
            <w:vAlign w:val="bottom"/>
          </w:tcPr>
          <w:p>
            <w:pPr>
              <w:spacing w:after="0"/>
              <w:rPr>
                <w:sz w:val="16"/>
                <w:szCs w:val="16"/>
                <w:color w:val="auto"/>
              </w:rPr>
            </w:pPr>
          </w:p>
        </w:tc>
        <w:tc>
          <w:tcPr>
            <w:tcW w:w="3060" w:type="dxa"/>
            <w:vAlign w:val="bottom"/>
          </w:tcPr>
          <w:p>
            <w:pPr>
              <w:ind w:left="100"/>
              <w:spacing w:after="0"/>
              <w:rPr>
                <w:sz w:val="20"/>
                <w:szCs w:val="20"/>
                <w:color w:val="auto"/>
              </w:rPr>
            </w:pPr>
            <w:r>
              <w:rPr>
                <w:rFonts w:ascii="Arial" w:cs="Arial" w:eastAsia="Arial" w:hAnsi="Arial"/>
                <w:sz w:val="16"/>
                <w:szCs w:val="16"/>
                <w:color w:val="auto"/>
              </w:rPr>
              <w:t>• LinkedIn Sessions (5%)</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sectPr>
          <w:pgSz w:w="11900" w:h="16838" w:orient="portrait"/>
          <w:cols w:equalWidth="0" w:num="1">
            <w:col w:w="10280"/>
          </w:cols>
          <w:pgMar w:left="320" w:top="445" w:right="1299" w:bottom="1440" w:gutter="0" w:footer="0" w:header="0"/>
        </w:sectPr>
      </w:pPr>
    </w:p>
    <w:p>
      <w:pPr>
        <w:ind w:left="2380"/>
        <w:spacing w:after="0" w:line="243" w:lineRule="auto"/>
        <w:rPr>
          <w:sz w:val="20"/>
          <w:szCs w:val="20"/>
          <w:color w:val="auto"/>
        </w:rPr>
      </w:pPr>
      <w:r>
        <w:rPr>
          <w:rFonts w:ascii="Arial" w:cs="Arial" w:eastAsia="Arial" w:hAnsi="Arial"/>
          <w:sz w:val="16"/>
          <w:szCs w:val="16"/>
          <w:i w:val="1"/>
          <w:iCs w:val="1"/>
          <w:color w:val="auto"/>
        </w:rPr>
        <w:t>Relative TSR multiplier (1-1.5x) is triggered only if Microsoft’s TSR is positive and above the</w:t>
      </w:r>
    </w:p>
    <w:p>
      <w:pPr>
        <w:spacing w:after="0" w:line="1" w:lineRule="exact"/>
        <w:rPr>
          <w:sz w:val="20"/>
          <w:szCs w:val="20"/>
          <w:color w:val="auto"/>
        </w:rPr>
      </w:pPr>
    </w:p>
    <w:p>
      <w:pPr>
        <w:ind w:left="2380"/>
        <w:spacing w:after="0"/>
        <w:rPr>
          <w:sz w:val="20"/>
          <w:szCs w:val="20"/>
          <w:color w:val="auto"/>
        </w:rPr>
      </w:pPr>
      <w:r>
        <w:rPr>
          <w:rFonts w:ascii="Arial" w:cs="Arial" w:eastAsia="Arial" w:hAnsi="Arial"/>
          <w:sz w:val="16"/>
          <w:szCs w:val="16"/>
          <w:i w:val="1"/>
          <w:iCs w:val="1"/>
          <w:color w:val="auto"/>
        </w:rPr>
        <w:t>60</w:t>
      </w:r>
      <w:r>
        <w:rPr>
          <w:rFonts w:ascii="Arial" w:cs="Arial" w:eastAsia="Arial" w:hAnsi="Arial"/>
          <w:sz w:val="26"/>
          <w:szCs w:val="26"/>
          <w:i w:val="1"/>
          <w:iCs w:val="1"/>
          <w:color w:val="auto"/>
          <w:vertAlign w:val="superscript"/>
        </w:rPr>
        <w:t>th</w:t>
      </w:r>
      <w:r>
        <w:rPr>
          <w:rFonts w:ascii="Arial" w:cs="Arial" w:eastAsia="Arial" w:hAnsi="Arial"/>
          <w:sz w:val="16"/>
          <w:szCs w:val="16"/>
          <w:i w:val="1"/>
          <w:iCs w:val="1"/>
          <w:color w:val="auto"/>
        </w:rPr>
        <w:t xml:space="preserve"> percentile of the S&amp;P 500</w:t>
      </w:r>
    </w:p>
    <w:p>
      <w:pPr>
        <w:spacing w:after="0" w:line="20" w:lineRule="exact"/>
        <w:rPr>
          <w:sz w:val="20"/>
          <w:szCs w:val="20"/>
          <w:color w:val="auto"/>
        </w:rPr>
      </w:pPr>
      <w:r>
        <w:rPr>
          <w:sz w:val="20"/>
          <w:szCs w:val="20"/>
          <w:color w:val="auto"/>
        </w:rPr>
        <w:br w:type="column"/>
      </w:r>
    </w:p>
    <w:p>
      <w:pPr>
        <w:jc w:val="both"/>
        <w:ind w:right="420"/>
        <w:spacing w:after="0" w:line="210" w:lineRule="auto"/>
        <w:rPr>
          <w:sz w:val="20"/>
          <w:szCs w:val="20"/>
          <w:color w:val="auto"/>
        </w:rPr>
      </w:pPr>
      <w:r>
        <w:rPr>
          <w:rFonts w:ascii="Arial" w:cs="Arial" w:eastAsia="Arial" w:hAnsi="Arial"/>
          <w:sz w:val="16"/>
          <w:szCs w:val="16"/>
          <w:i w:val="1"/>
          <w:iCs w:val="1"/>
          <w:color w:val="auto"/>
        </w:rPr>
        <w:t>Relative TSR modifier has been revised to include a downside adjustment if relative TSR falls below the 40</w:t>
      </w:r>
      <w:r>
        <w:rPr>
          <w:rFonts w:ascii="Arial" w:cs="Arial" w:eastAsia="Arial" w:hAnsi="Arial"/>
          <w:sz w:val="26"/>
          <w:szCs w:val="26"/>
          <w:i w:val="1"/>
          <w:iCs w:val="1"/>
          <w:color w:val="auto"/>
          <w:vertAlign w:val="superscript"/>
        </w:rPr>
        <w:t>th</w:t>
      </w:r>
      <w:r>
        <w:rPr>
          <w:rFonts w:ascii="Arial" w:cs="Arial" w:eastAsia="Arial" w:hAnsi="Arial"/>
          <w:sz w:val="16"/>
          <w:szCs w:val="16"/>
          <w:i w:val="1"/>
          <w:iCs w:val="1"/>
          <w:color w:val="auto"/>
        </w:rPr>
        <w:t xml:space="preserve"> percentile of the S&amp;P 500, beginning with FY21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-2533015</wp:posOffset>
            </wp:positionH>
            <wp:positionV relativeFrom="paragraph">
              <wp:posOffset>78740</wp:posOffset>
            </wp:positionV>
            <wp:extent cx="49999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99999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00" w:space="460"/>
            <w:col w:w="4020"/>
          </w:cols>
          <w:pgMar w:left="320" w:top="445" w:right="1299" w:bottom="1440" w:gutter="0" w:footer="0" w:header="0"/>
          <w:type w:val="continuous"/>
        </w:sectPr>
      </w:pPr>
    </w:p>
    <w:p>
      <w:pPr>
        <w:spacing w:after="0" w:line="91" w:lineRule="exact"/>
        <w:rPr>
          <w:sz w:val="20"/>
          <w:szCs w:val="20"/>
          <w:color w:val="auto"/>
        </w:rPr>
      </w:pPr>
    </w:p>
    <w:tbl>
      <w:tblPr>
        <w:tblLayout w:type="fixed"/>
        <w:tblInd w:w="2380" w:type="dxa"/>
        <w:tblCellMar>
          <w:top w:w="0" w:type="dxa"/>
          <w:left w:w="0" w:type="dxa"/>
          <w:bottom w:w="0" w:type="dxa"/>
          <w:right w:w="0" w:type="dxa"/>
        </w:tblCellMar>
      </w:tblPr>
      <w:tr>
        <w:trPr>
          <w:trHeight w:val="224"/>
        </w:trPr>
        <w:tc>
          <w:tcPr>
            <w:tcW w:w="2420" w:type="dxa"/>
            <w:vAlign w:val="bottom"/>
          </w:tcPr>
          <w:p>
            <w:pPr>
              <w:spacing w:after="0"/>
              <w:rPr>
                <w:sz w:val="20"/>
                <w:szCs w:val="20"/>
                <w:color w:val="auto"/>
              </w:rPr>
            </w:pPr>
            <w:r>
              <w:rPr>
                <w:rFonts w:ascii="Arial" w:cs="Arial" w:eastAsia="Arial" w:hAnsi="Arial"/>
                <w:sz w:val="16"/>
                <w:szCs w:val="16"/>
                <w:color w:val="0075C9"/>
              </w:rPr>
              <w:t>Stock Award</w:t>
            </w:r>
          </w:p>
        </w:tc>
        <w:tc>
          <w:tcPr>
            <w:tcW w:w="1360" w:type="dxa"/>
            <w:vAlign w:val="bottom"/>
            <w:vMerge w:val="restart"/>
          </w:tcPr>
          <w:p>
            <w:pPr>
              <w:jc w:val="right"/>
              <w:spacing w:after="0"/>
              <w:rPr>
                <w:sz w:val="20"/>
                <w:szCs w:val="20"/>
                <w:color w:val="auto"/>
              </w:rPr>
            </w:pPr>
            <w:r>
              <w:rPr>
                <w:rFonts w:ascii="Arial" w:cs="Arial" w:eastAsia="Arial" w:hAnsi="Arial"/>
                <w:sz w:val="35"/>
                <w:szCs w:val="35"/>
                <w:color w:val="auto"/>
              </w:rPr>
              <w:t>50%</w:t>
            </w:r>
          </w:p>
        </w:tc>
        <w:tc>
          <w:tcPr>
            <w:tcW w:w="2580" w:type="dxa"/>
            <w:vAlign w:val="bottom"/>
          </w:tcPr>
          <w:p>
            <w:pPr>
              <w:ind w:left="100"/>
              <w:spacing w:after="0"/>
              <w:rPr>
                <w:sz w:val="20"/>
                <w:szCs w:val="20"/>
                <w:color w:val="auto"/>
              </w:rPr>
            </w:pPr>
            <w:r>
              <w:rPr>
                <w:rFonts w:ascii="Arial" w:cs="Arial" w:eastAsia="Arial" w:hAnsi="Arial"/>
                <w:sz w:val="16"/>
                <w:szCs w:val="16"/>
                <w:color w:val="0075C9"/>
              </w:rPr>
              <w:t>Stock Award (no change)</w:t>
            </w:r>
          </w:p>
        </w:tc>
        <w:tc>
          <w:tcPr>
            <w:tcW w:w="1300" w:type="dxa"/>
            <w:vAlign w:val="bottom"/>
            <w:vMerge w:val="restart"/>
          </w:tcPr>
          <w:p>
            <w:pPr>
              <w:jc w:val="right"/>
              <w:spacing w:after="0"/>
              <w:rPr>
                <w:sz w:val="20"/>
                <w:szCs w:val="20"/>
                <w:color w:val="auto"/>
              </w:rPr>
            </w:pPr>
            <w:r>
              <w:rPr>
                <w:rFonts w:ascii="Arial" w:cs="Arial" w:eastAsia="Arial" w:hAnsi="Arial"/>
                <w:sz w:val="35"/>
                <w:szCs w:val="35"/>
                <w:color w:val="auto"/>
              </w:rPr>
              <w:t>30%</w:t>
            </w:r>
          </w:p>
        </w:tc>
        <w:tc>
          <w:tcPr>
            <w:tcW w:w="0" w:type="dxa"/>
            <w:vAlign w:val="bottom"/>
          </w:tcPr>
          <w:p>
            <w:pPr>
              <w:spacing w:after="0"/>
              <w:rPr>
                <w:sz w:val="1"/>
                <w:szCs w:val="1"/>
                <w:color w:val="auto"/>
              </w:rPr>
            </w:pPr>
          </w:p>
        </w:tc>
      </w:tr>
      <w:tr>
        <w:trPr>
          <w:trHeight w:val="193"/>
        </w:trPr>
        <w:tc>
          <w:tcPr>
            <w:tcW w:w="2420" w:type="dxa"/>
            <w:vAlign w:val="bottom"/>
          </w:tcPr>
          <w:p>
            <w:pPr>
              <w:spacing w:after="0"/>
              <w:rPr>
                <w:sz w:val="20"/>
                <w:szCs w:val="20"/>
                <w:color w:val="auto"/>
              </w:rPr>
            </w:pPr>
            <w:r>
              <w:rPr>
                <w:rFonts w:ascii="Arial" w:cs="Arial" w:eastAsia="Arial" w:hAnsi="Arial"/>
                <w:sz w:val="16"/>
                <w:szCs w:val="16"/>
                <w:color w:val="auto"/>
              </w:rPr>
              <w:t>• Four-year ratable vesting</w:t>
            </w:r>
          </w:p>
        </w:tc>
        <w:tc>
          <w:tcPr>
            <w:tcW w:w="1360" w:type="dxa"/>
            <w:vAlign w:val="bottom"/>
            <w:vMerge w:val="continue"/>
          </w:tcPr>
          <w:p>
            <w:pPr>
              <w:spacing w:after="0"/>
              <w:rPr>
                <w:sz w:val="16"/>
                <w:szCs w:val="16"/>
                <w:color w:val="auto"/>
              </w:rPr>
            </w:pPr>
          </w:p>
        </w:tc>
        <w:tc>
          <w:tcPr>
            <w:tcW w:w="2580" w:type="dxa"/>
            <w:vAlign w:val="bottom"/>
          </w:tcPr>
          <w:p>
            <w:pPr>
              <w:ind w:left="100"/>
              <w:spacing w:after="0"/>
              <w:rPr>
                <w:sz w:val="20"/>
                <w:szCs w:val="20"/>
                <w:color w:val="auto"/>
              </w:rPr>
            </w:pPr>
            <w:r>
              <w:rPr>
                <w:rFonts w:ascii="Arial" w:cs="Arial" w:eastAsia="Arial" w:hAnsi="Arial"/>
                <w:sz w:val="16"/>
                <w:szCs w:val="16"/>
                <w:color w:val="auto"/>
              </w:rPr>
              <w:t>• Four-year ratable vesting</w:t>
            </w: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419100</wp:posOffset>
            </wp:positionV>
            <wp:extent cx="573976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Section 3 – Pay Setting</w:t>
      </w:r>
    </w:p>
    <w:p>
      <w:pPr>
        <w:spacing w:after="0" w:line="143" w:lineRule="exact"/>
        <w:rPr>
          <w:sz w:val="20"/>
          <w:szCs w:val="20"/>
          <w:color w:val="auto"/>
        </w:rPr>
      </w:pPr>
    </w:p>
    <w:p>
      <w:pPr>
        <w:ind w:left="1100" w:right="540"/>
        <w:spacing w:after="0" w:line="237" w:lineRule="auto"/>
        <w:rPr>
          <w:sz w:val="20"/>
          <w:szCs w:val="20"/>
          <w:color w:val="auto"/>
        </w:rPr>
      </w:pPr>
      <w:r>
        <w:rPr>
          <w:rFonts w:ascii="Arial" w:cs="Arial" w:eastAsia="Arial" w:hAnsi="Arial"/>
          <w:sz w:val="16"/>
          <w:szCs w:val="16"/>
          <w:color w:val="auto"/>
        </w:rPr>
        <w:t>Our Compensation Committee establishes the design of our executive compensation program. After considering Mr. Nadella’s recommendations, our Compensation Committee also approves the annual target compensation (base salaries, target cash incentives, and equity incentive compensation) for our Named Executives, except Mr. Nadella. After considering the recommendation of our Compensation Committee, the independent members of our Board approve Mr. Nadella’s base salary, target cash incentive, regular stock awards, and target performance stock award.</w:t>
      </w:r>
    </w:p>
    <w:p>
      <w:pPr>
        <w:spacing w:after="0" w:line="102" w:lineRule="exact"/>
        <w:rPr>
          <w:sz w:val="20"/>
          <w:szCs w:val="20"/>
          <w:color w:val="auto"/>
        </w:rPr>
      </w:pPr>
    </w:p>
    <w:p>
      <w:pPr>
        <w:ind w:left="1100" w:right="140"/>
        <w:spacing w:after="0" w:line="238" w:lineRule="auto"/>
        <w:rPr>
          <w:sz w:val="20"/>
          <w:szCs w:val="20"/>
          <w:color w:val="auto"/>
        </w:rPr>
      </w:pPr>
      <w:r>
        <w:rPr>
          <w:rFonts w:ascii="Arial" w:cs="Arial" w:eastAsia="Arial" w:hAnsi="Arial"/>
          <w:sz w:val="16"/>
          <w:szCs w:val="16"/>
          <w:color w:val="auto"/>
        </w:rPr>
        <w:t>Our Compensation Committee also retains, and seeks the advice of, Pay Governance, an executive compensation consulting firm that is independent of management. See Part 1 – Governance and our Board of Directors – Board Committees for more information on Pay Governance’s role and independence as an advisor to the Compensation Committee.</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Executive Compensation Philosophy</w:t>
      </w:r>
    </w:p>
    <w:p>
      <w:pPr>
        <w:spacing w:after="0" w:line="129" w:lineRule="exact"/>
        <w:rPr>
          <w:sz w:val="20"/>
          <w:szCs w:val="20"/>
          <w:color w:val="auto"/>
        </w:rPr>
      </w:pPr>
    </w:p>
    <w:p>
      <w:pPr>
        <w:jc w:val="both"/>
        <w:ind w:left="1100" w:right="360"/>
        <w:spacing w:after="0" w:line="238" w:lineRule="auto"/>
        <w:rPr>
          <w:sz w:val="20"/>
          <w:szCs w:val="20"/>
          <w:color w:val="auto"/>
        </w:rPr>
      </w:pPr>
      <w:r>
        <w:rPr>
          <w:rFonts w:ascii="Arial" w:cs="Arial" w:eastAsia="Arial" w:hAnsi="Arial"/>
          <w:sz w:val="16"/>
          <w:szCs w:val="16"/>
          <w:color w:val="auto"/>
        </w:rPr>
        <w:t>We design our executive officer compensation program to attract, motivate, and retain the key executives who drive our success and industry leadership while considering individual and Company performance and alignment with the long-term interests of our shareholders. We achieve our objectives through a compensation program that:</w:t>
      </w:r>
    </w:p>
    <w:p>
      <w:pPr>
        <w:spacing w:after="0" w:line="113" w:lineRule="exact"/>
        <w:rPr>
          <w:sz w:val="20"/>
          <w:szCs w:val="20"/>
          <w:color w:val="auto"/>
        </w:rPr>
      </w:pPr>
    </w:p>
    <w:p>
      <w:pPr>
        <w:ind w:left="1260" w:hanging="158"/>
        <w:spacing w:after="0"/>
        <w:tabs>
          <w:tab w:leader="none" w:pos="12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Provides a competitive total pay opportunity</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Delivers a majority of our executives’ pay through performance-based incentives</w:t>
      </w:r>
    </w:p>
    <w:p>
      <w:pPr>
        <w:spacing w:after="0" w:line="113" w:lineRule="exact"/>
        <w:rPr>
          <w:rFonts w:ascii="Arial" w:cs="Arial" w:eastAsia="Arial" w:hAnsi="Arial"/>
          <w:sz w:val="16"/>
          <w:szCs w:val="16"/>
          <w:color w:val="auto"/>
        </w:rPr>
      </w:pPr>
    </w:p>
    <w:p>
      <w:pPr>
        <w:ind w:left="1260" w:right="200" w:hanging="158"/>
        <w:spacing w:after="0" w:line="239" w:lineRule="auto"/>
        <w:tabs>
          <w:tab w:leader="none" w:pos="12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Provides strong alignment with our shareholders, with at least 70% of the annual target compensation opportunity for our Named Executives delivered in the form of equity awards</w:t>
      </w:r>
    </w:p>
    <w:p>
      <w:pPr>
        <w:spacing w:after="0" w:line="112" w:lineRule="exact"/>
        <w:rPr>
          <w:rFonts w:ascii="Arial" w:cs="Arial" w:eastAsia="Arial" w:hAnsi="Arial"/>
          <w:sz w:val="16"/>
          <w:szCs w:val="16"/>
          <w:color w:val="auto"/>
        </w:rPr>
      </w:pPr>
    </w:p>
    <w:p>
      <w:pPr>
        <w:ind w:left="1260" w:hanging="158"/>
        <w:spacing w:after="0"/>
        <w:tabs>
          <w:tab w:leader="none" w:pos="12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Focuses on the long-term through equity awards with multi-year vesting or performance requirements</w:t>
      </w:r>
    </w:p>
    <w:p>
      <w:pPr>
        <w:spacing w:after="0" w:line="113" w:lineRule="exact"/>
        <w:rPr>
          <w:rFonts w:ascii="Arial" w:cs="Arial" w:eastAsia="Arial" w:hAnsi="Arial"/>
          <w:sz w:val="16"/>
          <w:szCs w:val="16"/>
          <w:color w:val="auto"/>
        </w:rPr>
      </w:pPr>
    </w:p>
    <w:p>
      <w:pPr>
        <w:ind w:left="1260" w:right="180" w:hanging="158"/>
        <w:spacing w:after="0" w:line="239" w:lineRule="auto"/>
        <w:tabs>
          <w:tab w:leader="none" w:pos="12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Does not encourage unnecessary and excessive risk-taking, assisted by our stock ownership policy and executive compensation recovery (“clawback”) policy</w:t>
      </w:r>
    </w:p>
    <w:p>
      <w:pPr>
        <w:sectPr>
          <w:pgSz w:w="11900" w:h="16838" w:orient="portrait"/>
          <w:cols w:equalWidth="0" w:num="1">
            <w:col w:w="10280"/>
          </w:cols>
          <w:pgMar w:left="320" w:top="445" w:right="1299" w:bottom="1440" w:gutter="0" w:footer="0" w:header="0"/>
          <w:type w:val="continuous"/>
        </w:sectPr>
      </w:pPr>
    </w:p>
    <w:p>
      <w:pPr>
        <w:spacing w:after="0" w:line="200" w:lineRule="exact"/>
        <w:rPr>
          <w:sz w:val="20"/>
          <w:szCs w:val="20"/>
          <w:color w:val="auto"/>
        </w:rPr>
      </w:pPr>
    </w:p>
    <w:p>
      <w:pPr>
        <w:spacing w:after="0" w:line="301" w:lineRule="exact"/>
        <w:rPr>
          <w:sz w:val="20"/>
          <w:szCs w:val="20"/>
          <w:color w:val="auto"/>
        </w:rPr>
      </w:pPr>
    </w:p>
    <w:p>
      <w:pPr>
        <w:ind w:left="8240"/>
        <w:spacing w:after="0"/>
        <w:tabs>
          <w:tab w:leader="none" w:pos="10120" w:val="left"/>
        </w:tabs>
        <w:rPr>
          <w:sz w:val="20"/>
          <w:szCs w:val="20"/>
          <w:color w:val="auto"/>
        </w:rPr>
      </w:pPr>
      <w:r>
        <w:rPr>
          <w:rFonts w:ascii="Arial" w:cs="Arial" w:eastAsia="Arial" w:hAnsi="Arial"/>
          <w:sz w:val="14"/>
          <w:szCs w:val="14"/>
          <w:color w:val="auto"/>
        </w:rPr>
        <w:t>2021 PROXY STATEMENT</w:t>
      </w:r>
      <w:r>
        <w:rPr>
          <w:sz w:val="20"/>
          <w:szCs w:val="20"/>
          <w:color w:val="auto"/>
        </w:rPr>
        <w:tab/>
      </w:r>
      <w:r>
        <w:rPr>
          <w:rFonts w:ascii="Arial" w:cs="Arial" w:eastAsia="Arial" w:hAnsi="Arial"/>
          <w:sz w:val="12"/>
          <w:szCs w:val="12"/>
          <w:b w:val="1"/>
          <w:bCs w:val="1"/>
          <w:color w:val="0075C9"/>
        </w:rPr>
        <w:t>37</w:t>
      </w:r>
    </w:p>
    <w:p>
      <w:pPr>
        <w:sectPr>
          <w:pgSz w:w="11900" w:h="16838" w:orient="portrait"/>
          <w:cols w:equalWidth="0" w:num="1">
            <w:col w:w="10280"/>
          </w:cols>
          <w:pgMar w:left="320" w:top="445" w:right="1299" w:bottom="1440" w:gutter="0" w:footer="0" w:header="0"/>
          <w:type w:val="continuous"/>
        </w:sectPr>
      </w:pPr>
    </w:p>
    <w:bookmarkStart w:id="45" w:name="page46"/>
    <w:bookmarkEnd w:id="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auto"/>
                <w:w w:val="89"/>
              </w:rPr>
              <w:t>1</w:t>
            </w:r>
          </w:p>
        </w:tc>
        <w:tc>
          <w:tcPr>
            <w:tcW w:w="1380" w:type="dxa"/>
            <w:vAlign w:val="bottom"/>
            <w:vMerge w:val="restart"/>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gridSpan w:val="2"/>
          </w:tcPr>
          <w:p>
            <w:pPr>
              <w:jc w:val="right"/>
              <w:ind w:right="80"/>
              <w:spacing w:after="0"/>
              <w:rPr>
                <w:sz w:val="20"/>
                <w:szCs w:val="20"/>
                <w:color w:val="auto"/>
              </w:rPr>
            </w:pPr>
            <w:r>
              <w:rPr>
                <w:rFonts w:ascii="Arial" w:cs="Arial" w:eastAsia="Arial" w:hAnsi="Arial"/>
                <w:sz w:val="36"/>
                <w:szCs w:val="36"/>
                <w:color w:val="0075C9"/>
              </w:rPr>
              <w:t>2</w:t>
            </w:r>
          </w:p>
        </w:tc>
        <w:tc>
          <w:tcPr>
            <w:tcW w:w="1320" w:type="dxa"/>
            <w:vAlign w:val="bottom"/>
            <w:vMerge w:val="restart"/>
          </w:tcPr>
          <w:p>
            <w:pPr>
              <w:ind w:left="60"/>
              <w:spacing w:after="0"/>
              <w:rPr>
                <w:sz w:val="20"/>
                <w:szCs w:val="20"/>
                <w:color w:val="auto"/>
              </w:rPr>
            </w:pPr>
            <w:r>
              <w:rPr>
                <w:rFonts w:ascii="Arial" w:cs="Arial" w:eastAsia="Arial" w:hAnsi="Arial"/>
                <w:sz w:val="12"/>
                <w:szCs w:val="12"/>
                <w:color w:val="0075C9"/>
              </w:rPr>
              <w:t>NAMED</w:t>
            </w:r>
          </w:p>
        </w:tc>
        <w:tc>
          <w:tcPr>
            <w:tcW w:w="740" w:type="dxa"/>
            <w:vAlign w:val="bottom"/>
          </w:tcPr>
          <w:p>
            <w:pPr>
              <w:jc w:val="right"/>
              <w:spacing w:after="0"/>
              <w:rPr>
                <w:sz w:val="20"/>
                <w:szCs w:val="20"/>
                <w:color w:val="auto"/>
              </w:rPr>
            </w:pPr>
            <w:r>
              <w:rPr>
                <w:rFonts w:ascii="Arial" w:cs="Arial" w:eastAsia="Arial" w:hAnsi="Arial"/>
                <w:sz w:val="36"/>
                <w:szCs w:val="36"/>
                <w:color w:val="auto"/>
              </w:rPr>
              <w:t>3</w:t>
            </w:r>
          </w:p>
        </w:tc>
        <w:tc>
          <w:tcPr>
            <w:tcW w:w="1020" w:type="dxa"/>
            <w:vAlign w:val="bottom"/>
            <w:vMerge w:val="restart"/>
          </w:tcPr>
          <w:p>
            <w:pPr>
              <w:ind w:left="60"/>
              <w:spacing w:after="0"/>
              <w:rPr>
                <w:sz w:val="20"/>
                <w:szCs w:val="20"/>
                <w:color w:val="auto"/>
              </w:rPr>
            </w:pPr>
            <w:r>
              <w:rPr>
                <w:rFonts w:ascii="Arial" w:cs="Arial" w:eastAsia="Arial" w:hAnsi="Arial"/>
                <w:sz w:val="12"/>
                <w:szCs w:val="12"/>
                <w:color w:val="auto"/>
              </w:rPr>
              <w:t>AUDIT</w:t>
            </w:r>
          </w:p>
        </w:tc>
        <w:tc>
          <w:tcPr>
            <w:tcW w:w="500" w:type="dxa"/>
            <w:vAlign w:val="bottom"/>
          </w:tcPr>
          <w:p>
            <w:pPr>
              <w:jc w:val="right"/>
              <w:spacing w:after="0"/>
              <w:rPr>
                <w:sz w:val="20"/>
                <w:szCs w:val="20"/>
                <w:color w:val="auto"/>
              </w:rPr>
            </w:pPr>
            <w:r>
              <w:rPr>
                <w:rFonts w:ascii="Arial" w:cs="Arial" w:eastAsia="Arial" w:hAnsi="Arial"/>
                <w:sz w:val="36"/>
                <w:szCs w:val="36"/>
                <w:color w:val="auto"/>
              </w:rPr>
              <w:t>4</w:t>
            </w:r>
          </w:p>
        </w:tc>
        <w:tc>
          <w:tcPr>
            <w:tcW w:w="1580" w:type="dxa"/>
            <w:vAlign w:val="bottom"/>
            <w:vMerge w:val="restart"/>
          </w:tcPr>
          <w:p>
            <w:pPr>
              <w:ind w:left="80"/>
              <w:spacing w:after="0"/>
              <w:rPr>
                <w:sz w:val="20"/>
                <w:szCs w:val="20"/>
                <w:color w:val="auto"/>
              </w:rPr>
            </w:pPr>
            <w:r>
              <w:rPr>
                <w:rFonts w:ascii="Arial" w:cs="Arial" w:eastAsia="Arial" w:hAnsi="Arial"/>
                <w:sz w:val="12"/>
                <w:szCs w:val="12"/>
                <w:color w:val="auto"/>
              </w:rPr>
              <w:t>PROPOSALS TO</w:t>
            </w:r>
          </w:p>
        </w:tc>
        <w:tc>
          <w:tcPr>
            <w:tcW w:w="420" w:type="dxa"/>
            <w:vAlign w:val="bottom"/>
          </w:tcPr>
          <w:p>
            <w:pPr>
              <w:jc w:val="right"/>
              <w:spacing w:after="0"/>
              <w:rPr>
                <w:sz w:val="20"/>
                <w:szCs w:val="20"/>
                <w:color w:val="auto"/>
              </w:rPr>
            </w:pPr>
            <w:r>
              <w:rPr>
                <w:rFonts w:ascii="Arial" w:cs="Arial" w:eastAsia="Arial" w:hAnsi="Arial"/>
                <w:sz w:val="36"/>
                <w:szCs w:val="36"/>
                <w:color w:val="auto"/>
              </w:rPr>
              <w:t>5</w:t>
            </w:r>
          </w:p>
        </w:tc>
        <w:tc>
          <w:tcPr>
            <w:tcW w:w="920" w:type="dxa"/>
            <w:vAlign w:val="bottom"/>
            <w:vMerge w:val="restart"/>
          </w:tcPr>
          <w:p>
            <w:pPr>
              <w:ind w:left="8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38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tcPr>
          <w:p>
            <w:pPr>
              <w:ind w:left="60"/>
              <w:spacing w:after="0" w:line="130" w:lineRule="exact"/>
              <w:rPr>
                <w:sz w:val="20"/>
                <w:szCs w:val="20"/>
                <w:color w:val="auto"/>
              </w:rPr>
            </w:pPr>
            <w:r>
              <w:rPr>
                <w:rFonts w:ascii="Arial" w:cs="Arial" w:eastAsia="Arial" w:hAnsi="Arial"/>
                <w:sz w:val="12"/>
                <w:szCs w:val="12"/>
                <w:color w:val="0075C9"/>
                <w:w w:val="99"/>
              </w:rPr>
              <w:t>EXECUTIVE OFFICER</w:t>
            </w:r>
          </w:p>
        </w:tc>
        <w:tc>
          <w:tcPr>
            <w:tcW w:w="740" w:type="dxa"/>
            <w:vAlign w:val="bottom"/>
          </w:tcPr>
          <w:p>
            <w:pPr>
              <w:spacing w:after="0"/>
              <w:rPr>
                <w:sz w:val="11"/>
                <w:szCs w:val="11"/>
                <w:color w:val="auto"/>
              </w:rPr>
            </w:pPr>
          </w:p>
        </w:tc>
        <w:tc>
          <w:tcPr>
            <w:tcW w:w="1020" w:type="dxa"/>
            <w:vAlign w:val="bottom"/>
          </w:tcPr>
          <w:p>
            <w:pPr>
              <w:ind w:left="60"/>
              <w:spacing w:after="0" w:line="130" w:lineRule="exact"/>
              <w:rPr>
                <w:sz w:val="20"/>
                <w:szCs w:val="20"/>
                <w:color w:val="auto"/>
              </w:rPr>
            </w:pPr>
            <w:r>
              <w:rPr>
                <w:rFonts w:ascii="Arial" w:cs="Arial" w:eastAsia="Arial" w:hAnsi="Arial"/>
                <w:sz w:val="12"/>
                <w:szCs w:val="12"/>
                <w:color w:val="auto"/>
              </w:rPr>
              <w:t>COMMITTEE</w:t>
            </w:r>
          </w:p>
        </w:tc>
        <w:tc>
          <w:tcPr>
            <w:tcW w:w="500" w:type="dxa"/>
            <w:vAlign w:val="bottom"/>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20" w:type="dxa"/>
            <w:vAlign w:val="bottom"/>
          </w:tcPr>
          <w:p>
            <w:pPr>
              <w:spacing w:after="0"/>
              <w:rPr>
                <w:sz w:val="11"/>
                <w:szCs w:val="11"/>
                <w:color w:val="auto"/>
              </w:rPr>
            </w:pPr>
          </w:p>
        </w:tc>
        <w:tc>
          <w:tcPr>
            <w:tcW w:w="92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380" w:type="dxa"/>
            <w:vAlign w:val="bottom"/>
          </w:tcPr>
          <w:p>
            <w:pPr>
              <w:ind w:left="80"/>
              <w:spacing w:after="0"/>
              <w:rPr>
                <w:sz w:val="20"/>
                <w:szCs w:val="20"/>
                <w:color w:val="auto"/>
              </w:rPr>
            </w:pPr>
            <w:r>
              <w:rPr>
                <w:rFonts w:ascii="Arial" w:cs="Arial" w:eastAsia="Arial" w:hAnsi="Arial"/>
                <w:sz w:val="12"/>
                <w:szCs w:val="12"/>
                <w:color w:val="auto"/>
              </w:rPr>
              <w:t>DIRECTORS</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0075C9"/>
              </w:rPr>
              <w:t>COMPENSATION</w:t>
            </w:r>
          </w:p>
        </w:tc>
        <w:tc>
          <w:tcPr>
            <w:tcW w:w="740" w:type="dxa"/>
            <w:vAlign w:val="bottom"/>
          </w:tcPr>
          <w:p>
            <w:pPr>
              <w:spacing w:after="0"/>
              <w:rPr>
                <w:sz w:val="12"/>
                <w:szCs w:val="12"/>
                <w:color w:val="auto"/>
              </w:rPr>
            </w:pPr>
          </w:p>
        </w:tc>
        <w:tc>
          <w:tcPr>
            <w:tcW w:w="1020" w:type="dxa"/>
            <w:vAlign w:val="bottom"/>
          </w:tcPr>
          <w:p>
            <w:pPr>
              <w:ind w:left="60"/>
              <w:spacing w:after="0"/>
              <w:rPr>
                <w:sz w:val="20"/>
                <w:szCs w:val="20"/>
                <w:color w:val="auto"/>
              </w:rPr>
            </w:pPr>
            <w:r>
              <w:rPr>
                <w:rFonts w:ascii="Arial" w:cs="Arial" w:eastAsia="Arial" w:hAnsi="Arial"/>
                <w:sz w:val="12"/>
                <w:szCs w:val="12"/>
                <w:color w:val="auto"/>
              </w:rPr>
              <w:t>MATTERS</w:t>
            </w:r>
          </w:p>
        </w:tc>
        <w:tc>
          <w:tcPr>
            <w:tcW w:w="500" w:type="dxa"/>
            <w:vAlign w:val="bottom"/>
          </w:tcPr>
          <w:p>
            <w:pPr>
              <w:spacing w:after="0"/>
              <w:rPr>
                <w:sz w:val="12"/>
                <w:szCs w:val="12"/>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20" w:type="dxa"/>
            <w:vAlign w:val="bottom"/>
          </w:tcPr>
          <w:p>
            <w:pPr>
              <w:spacing w:after="0"/>
              <w:rPr>
                <w:sz w:val="12"/>
                <w:szCs w:val="12"/>
                <w:color w:val="auto"/>
              </w:rPr>
            </w:pPr>
          </w:p>
        </w:tc>
        <w:tc>
          <w:tcPr>
            <w:tcW w:w="92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ind w:left="4280"/>
        <w:spacing w:after="0"/>
        <w:rPr>
          <w:sz w:val="20"/>
          <w:szCs w:val="20"/>
          <w:color w:val="auto"/>
        </w:rPr>
      </w:pPr>
      <w:r>
        <w:rPr>
          <w:rFonts w:ascii="Arial" w:cs="Arial" w:eastAsia="Arial" w:hAnsi="Arial"/>
          <w:sz w:val="21"/>
          <w:szCs w:val="21"/>
          <w:b w:val="1"/>
          <w:bCs w:val="1"/>
          <w:color w:val="auto"/>
        </w:rPr>
        <w:t>Compensation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-50165</wp:posOffset>
            </wp:positionV>
            <wp:extent cx="5748020" cy="24091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748020" cy="2409190"/>
                    </a:xfrm>
                    <a:prstGeom prst="rect">
                      <a:avLst/>
                    </a:prstGeom>
                    <a:noFill/>
                  </pic:spPr>
                </pic:pic>
              </a:graphicData>
            </a:graphic>
          </wp:anchor>
        </w:drawing>
      </w:r>
    </w:p>
    <w:p>
      <w:pPr>
        <w:sectPr>
          <w:pgSz w:w="11900" w:h="16838" w:orient="portrait"/>
          <w:cols w:equalWidth="0" w:num="1">
            <w:col w:w="10140"/>
          </w:cols>
          <w:pgMar w:left="320" w:top="445" w:right="1439" w:bottom="1440" w:gutter="0" w:footer="0" w:header="0"/>
        </w:sectPr>
      </w:pPr>
    </w:p>
    <w:p>
      <w:pPr>
        <w:spacing w:after="0" w:line="98" w:lineRule="exact"/>
        <w:rPr>
          <w:sz w:val="20"/>
          <w:szCs w:val="20"/>
          <w:color w:val="auto"/>
        </w:rPr>
      </w:pPr>
    </w:p>
    <w:p>
      <w:pPr>
        <w:ind w:left="2940"/>
        <w:spacing w:after="0"/>
        <w:rPr>
          <w:sz w:val="20"/>
          <w:szCs w:val="20"/>
          <w:color w:val="auto"/>
        </w:rPr>
      </w:pPr>
      <w:r>
        <w:rPr>
          <w:rFonts w:ascii="Arial" w:cs="Arial" w:eastAsia="Arial" w:hAnsi="Arial"/>
          <w:sz w:val="16"/>
          <w:szCs w:val="16"/>
          <w:b w:val="1"/>
          <w:bCs w:val="1"/>
          <w:color w:val="0075C9"/>
        </w:rPr>
        <w:t>What We Do</w:t>
      </w:r>
    </w:p>
    <w:p>
      <w:pPr>
        <w:spacing w:after="0" w:line="106" w:lineRule="exact"/>
        <w:rPr>
          <w:sz w:val="20"/>
          <w:szCs w:val="20"/>
          <w:color w:val="auto"/>
        </w:rPr>
      </w:pPr>
    </w:p>
    <w:p>
      <w:pPr>
        <w:ind w:left="1420" w:right="120" w:hanging="165"/>
        <w:spacing w:after="0" w:line="238" w:lineRule="auto"/>
        <w:tabs>
          <w:tab w:leader="none" w:pos="1428" w:val="left"/>
        </w:tabs>
        <w:numPr>
          <w:ilvl w:val="0"/>
          <w:numId w:val="71"/>
        </w:numPr>
        <w:rPr>
          <w:rFonts w:ascii="Arial" w:cs="Arial" w:eastAsia="Arial" w:hAnsi="Arial"/>
          <w:sz w:val="16"/>
          <w:szCs w:val="16"/>
          <w:color w:val="auto"/>
        </w:rPr>
      </w:pPr>
      <w:r>
        <w:rPr>
          <w:rFonts w:ascii="Arial" w:cs="Arial" w:eastAsia="Arial" w:hAnsi="Arial"/>
          <w:sz w:val="16"/>
          <w:szCs w:val="16"/>
          <w:color w:val="auto"/>
        </w:rPr>
        <w:t>Maintain a stock ownership policy that reinforces the alignment of executive officer and shareholder interests (including requiring stock ownership of 15x base salary for the CEO)</w:t>
      </w:r>
    </w:p>
    <w:p>
      <w:pPr>
        <w:spacing w:after="0" w:line="111" w:lineRule="exact"/>
        <w:rPr>
          <w:rFonts w:ascii="Arial" w:cs="Arial" w:eastAsia="Arial" w:hAnsi="Arial"/>
          <w:sz w:val="16"/>
          <w:szCs w:val="16"/>
          <w:color w:val="auto"/>
        </w:rPr>
      </w:pPr>
    </w:p>
    <w:p>
      <w:pPr>
        <w:ind w:left="1420" w:right="780" w:hanging="165"/>
        <w:spacing w:after="0" w:line="308" w:lineRule="auto"/>
        <w:tabs>
          <w:tab w:leader="none" w:pos="1428" w:val="left"/>
        </w:tabs>
        <w:numPr>
          <w:ilvl w:val="0"/>
          <w:numId w:val="71"/>
        </w:numPr>
        <w:rPr>
          <w:rFonts w:ascii="Arial" w:cs="Arial" w:eastAsia="Arial" w:hAnsi="Arial"/>
          <w:sz w:val="14"/>
          <w:szCs w:val="14"/>
          <w:color w:val="auto"/>
        </w:rPr>
      </w:pPr>
      <w:r>
        <w:rPr>
          <w:rFonts w:ascii="Arial" w:cs="Arial" w:eastAsia="Arial" w:hAnsi="Arial"/>
          <w:sz w:val="14"/>
          <w:szCs w:val="14"/>
          <w:color w:val="auto"/>
        </w:rPr>
        <w:t>Have a strong executive compensation recovery (“clawback”) policy to ensure accountability</w:t>
      </w:r>
    </w:p>
    <w:p>
      <w:pPr>
        <w:spacing w:after="0" w:line="65" w:lineRule="exact"/>
        <w:rPr>
          <w:rFonts w:ascii="Arial" w:cs="Arial" w:eastAsia="Arial" w:hAnsi="Arial"/>
          <w:sz w:val="14"/>
          <w:szCs w:val="14"/>
          <w:color w:val="auto"/>
        </w:rPr>
      </w:pPr>
    </w:p>
    <w:p>
      <w:pPr>
        <w:ind w:left="1420" w:right="260" w:hanging="165"/>
        <w:spacing w:after="0" w:line="239" w:lineRule="auto"/>
        <w:tabs>
          <w:tab w:leader="none" w:pos="1428" w:val="left"/>
        </w:tabs>
        <w:numPr>
          <w:ilvl w:val="0"/>
          <w:numId w:val="71"/>
        </w:numPr>
        <w:rPr>
          <w:rFonts w:ascii="Arial" w:cs="Arial" w:eastAsia="Arial" w:hAnsi="Arial"/>
          <w:sz w:val="16"/>
          <w:szCs w:val="16"/>
          <w:color w:val="auto"/>
        </w:rPr>
      </w:pPr>
      <w:r>
        <w:rPr>
          <w:rFonts w:ascii="Arial" w:cs="Arial" w:eastAsia="Arial" w:hAnsi="Arial"/>
          <w:sz w:val="16"/>
          <w:szCs w:val="16"/>
          <w:color w:val="auto"/>
        </w:rPr>
        <w:t>Promote long-term focus through multi-year vesting and performance requirements</w:t>
      </w:r>
    </w:p>
    <w:p>
      <w:pPr>
        <w:spacing w:after="0" w:line="112" w:lineRule="exact"/>
        <w:rPr>
          <w:rFonts w:ascii="Arial" w:cs="Arial" w:eastAsia="Arial" w:hAnsi="Arial"/>
          <w:sz w:val="16"/>
          <w:szCs w:val="16"/>
          <w:color w:val="auto"/>
        </w:rPr>
      </w:pPr>
    </w:p>
    <w:p>
      <w:pPr>
        <w:ind w:left="1420" w:right="320" w:hanging="165"/>
        <w:spacing w:after="0" w:line="239" w:lineRule="auto"/>
        <w:tabs>
          <w:tab w:leader="none" w:pos="1428" w:val="left"/>
        </w:tabs>
        <w:numPr>
          <w:ilvl w:val="0"/>
          <w:numId w:val="71"/>
        </w:numPr>
        <w:rPr>
          <w:rFonts w:ascii="Arial" w:cs="Arial" w:eastAsia="Arial" w:hAnsi="Arial"/>
          <w:sz w:val="16"/>
          <w:szCs w:val="16"/>
          <w:color w:val="auto"/>
        </w:rPr>
      </w:pPr>
      <w:r>
        <w:rPr>
          <w:rFonts w:ascii="Arial" w:cs="Arial" w:eastAsia="Arial" w:hAnsi="Arial"/>
          <w:sz w:val="16"/>
          <w:szCs w:val="16"/>
          <w:color w:val="auto"/>
        </w:rPr>
        <w:t>Prohibit pledging, hedging, and trading in derivatives of Microsoft securities</w:t>
      </w:r>
    </w:p>
    <w:p>
      <w:pPr>
        <w:spacing w:after="0" w:line="112" w:lineRule="exact"/>
        <w:rPr>
          <w:rFonts w:ascii="Arial" w:cs="Arial" w:eastAsia="Arial" w:hAnsi="Arial"/>
          <w:sz w:val="16"/>
          <w:szCs w:val="16"/>
          <w:color w:val="auto"/>
        </w:rPr>
      </w:pPr>
    </w:p>
    <w:p>
      <w:pPr>
        <w:ind w:left="1420" w:hanging="165"/>
        <w:spacing w:after="0"/>
        <w:tabs>
          <w:tab w:leader="none" w:pos="14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Retain an independent compensation consultant</w:t>
      </w:r>
    </w:p>
    <w:p>
      <w:pPr>
        <w:spacing w:after="0" w:line="113" w:lineRule="exact"/>
        <w:rPr>
          <w:rFonts w:ascii="Arial" w:cs="Arial" w:eastAsia="Arial" w:hAnsi="Arial"/>
          <w:sz w:val="16"/>
          <w:szCs w:val="16"/>
          <w:color w:val="auto"/>
        </w:rPr>
      </w:pPr>
    </w:p>
    <w:p>
      <w:pPr>
        <w:ind w:left="1420" w:hanging="165"/>
        <w:spacing w:after="0" w:line="238" w:lineRule="auto"/>
        <w:tabs>
          <w:tab w:leader="none" w:pos="1428" w:val="left"/>
        </w:tabs>
        <w:numPr>
          <w:ilvl w:val="0"/>
          <w:numId w:val="71"/>
        </w:numPr>
        <w:rPr>
          <w:rFonts w:ascii="Arial" w:cs="Arial" w:eastAsia="Arial" w:hAnsi="Arial"/>
          <w:sz w:val="16"/>
          <w:szCs w:val="16"/>
          <w:color w:val="auto"/>
        </w:rPr>
      </w:pPr>
      <w:r>
        <w:rPr>
          <w:rFonts w:ascii="Arial" w:cs="Arial" w:eastAsia="Arial" w:hAnsi="Arial"/>
          <w:sz w:val="16"/>
          <w:szCs w:val="16"/>
          <w:color w:val="auto"/>
        </w:rPr>
        <w:t>Solicit investor feedback on our compensation program and potential enhancements through an extensive shareholder engagement program</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ind w:left="1488"/>
        <w:spacing w:after="0"/>
        <w:rPr>
          <w:sz w:val="20"/>
          <w:szCs w:val="20"/>
          <w:color w:val="auto"/>
        </w:rPr>
      </w:pPr>
      <w:r>
        <w:rPr>
          <w:rFonts w:ascii="Arial" w:cs="Arial" w:eastAsia="Arial" w:hAnsi="Arial"/>
          <w:sz w:val="16"/>
          <w:szCs w:val="16"/>
          <w:b w:val="1"/>
          <w:bCs w:val="1"/>
          <w:color w:val="0075C9"/>
        </w:rPr>
        <w:t>What We Don’t Do</w:t>
      </w:r>
    </w:p>
    <w:p>
      <w:pPr>
        <w:spacing w:after="0" w:line="106" w:lineRule="exact"/>
        <w:rPr>
          <w:sz w:val="20"/>
          <w:szCs w:val="20"/>
          <w:color w:val="auto"/>
        </w:rPr>
      </w:pPr>
    </w:p>
    <w:p>
      <w:pPr>
        <w:ind w:left="148" w:right="320" w:hanging="148"/>
        <w:spacing w:after="0" w:line="308" w:lineRule="auto"/>
        <w:tabs>
          <w:tab w:leader="none" w:pos="156" w:val="left"/>
        </w:tabs>
        <w:numPr>
          <w:ilvl w:val="0"/>
          <w:numId w:val="72"/>
        </w:numPr>
        <w:rPr>
          <w:rFonts w:ascii="Arial" w:cs="Arial" w:eastAsia="Arial" w:hAnsi="Arial"/>
          <w:sz w:val="14"/>
          <w:szCs w:val="14"/>
          <w:color w:val="auto"/>
        </w:rPr>
      </w:pPr>
      <w:r>
        <w:rPr>
          <w:rFonts w:ascii="Arial" w:cs="Arial" w:eastAsia="Arial" w:hAnsi="Arial"/>
          <w:sz w:val="14"/>
          <w:szCs w:val="14"/>
          <w:color w:val="auto"/>
        </w:rPr>
        <w:t>No excessive perquisites (e.g., no executive-only club memberships or medical benefits), and no tax gross-ups</w:t>
      </w:r>
    </w:p>
    <w:p>
      <w:pPr>
        <w:spacing w:after="0" w:line="65" w:lineRule="exact"/>
        <w:rPr>
          <w:rFonts w:ascii="Arial" w:cs="Arial" w:eastAsia="Arial" w:hAnsi="Arial"/>
          <w:sz w:val="14"/>
          <w:szCs w:val="14"/>
          <w:color w:val="auto"/>
        </w:rPr>
      </w:pPr>
    </w:p>
    <w:p>
      <w:pPr>
        <w:ind w:left="168" w:hanging="168"/>
        <w:spacing w:after="0"/>
        <w:tabs>
          <w:tab w:leader="none" w:pos="168" w:val="left"/>
        </w:tabs>
        <w:numPr>
          <w:ilvl w:val="0"/>
          <w:numId w:val="72"/>
        </w:numPr>
        <w:rPr>
          <w:rFonts w:ascii="Arial" w:cs="Arial" w:eastAsia="Arial" w:hAnsi="Arial"/>
          <w:sz w:val="16"/>
          <w:szCs w:val="16"/>
          <w:color w:val="auto"/>
        </w:rPr>
      </w:pPr>
      <w:r>
        <w:rPr>
          <w:rFonts w:ascii="Arial" w:cs="Arial" w:eastAsia="Arial" w:hAnsi="Arial"/>
          <w:sz w:val="16"/>
          <w:szCs w:val="16"/>
          <w:color w:val="auto"/>
        </w:rPr>
        <w:t>No employment agreements</w:t>
      </w:r>
    </w:p>
    <w:p>
      <w:pPr>
        <w:spacing w:after="0" w:line="113" w:lineRule="exact"/>
        <w:rPr>
          <w:rFonts w:ascii="Arial" w:cs="Arial" w:eastAsia="Arial" w:hAnsi="Arial"/>
          <w:sz w:val="16"/>
          <w:szCs w:val="16"/>
          <w:color w:val="auto"/>
        </w:rPr>
      </w:pPr>
    </w:p>
    <w:p>
      <w:pPr>
        <w:ind w:left="168" w:hanging="168"/>
        <w:spacing w:after="0"/>
        <w:tabs>
          <w:tab w:leader="none" w:pos="168" w:val="left"/>
        </w:tabs>
        <w:numPr>
          <w:ilvl w:val="0"/>
          <w:numId w:val="72"/>
        </w:numPr>
        <w:rPr>
          <w:rFonts w:ascii="Arial" w:cs="Arial" w:eastAsia="Arial" w:hAnsi="Arial"/>
          <w:sz w:val="16"/>
          <w:szCs w:val="16"/>
          <w:color w:val="auto"/>
        </w:rPr>
      </w:pPr>
      <w:r>
        <w:rPr>
          <w:rFonts w:ascii="Arial" w:cs="Arial" w:eastAsia="Arial" w:hAnsi="Arial"/>
          <w:sz w:val="16"/>
          <w:szCs w:val="16"/>
          <w:color w:val="auto"/>
        </w:rPr>
        <w:t>No change in control payments or benefits</w:t>
      </w:r>
    </w:p>
    <w:p>
      <w:pPr>
        <w:spacing w:after="0" w:line="113" w:lineRule="exact"/>
        <w:rPr>
          <w:rFonts w:ascii="Arial" w:cs="Arial" w:eastAsia="Arial" w:hAnsi="Arial"/>
          <w:sz w:val="16"/>
          <w:szCs w:val="16"/>
          <w:color w:val="auto"/>
        </w:rPr>
      </w:pPr>
    </w:p>
    <w:p>
      <w:pPr>
        <w:ind w:left="168" w:hanging="168"/>
        <w:spacing w:after="0"/>
        <w:tabs>
          <w:tab w:leader="none" w:pos="168" w:val="left"/>
        </w:tabs>
        <w:numPr>
          <w:ilvl w:val="0"/>
          <w:numId w:val="72"/>
        </w:numPr>
        <w:rPr>
          <w:rFonts w:ascii="Arial" w:cs="Arial" w:eastAsia="Arial" w:hAnsi="Arial"/>
          <w:sz w:val="16"/>
          <w:szCs w:val="16"/>
          <w:color w:val="auto"/>
        </w:rPr>
      </w:pPr>
      <w:r>
        <w:rPr>
          <w:rFonts w:ascii="Arial" w:cs="Arial" w:eastAsia="Arial" w:hAnsi="Arial"/>
          <w:sz w:val="16"/>
          <w:szCs w:val="16"/>
          <w:color w:val="auto"/>
        </w:rPr>
        <w:t>No executive-only retirement programs</w:t>
      </w:r>
    </w:p>
    <w:p>
      <w:pPr>
        <w:spacing w:after="0" w:line="113" w:lineRule="exact"/>
        <w:rPr>
          <w:rFonts w:ascii="Arial" w:cs="Arial" w:eastAsia="Arial" w:hAnsi="Arial"/>
          <w:sz w:val="16"/>
          <w:szCs w:val="16"/>
          <w:color w:val="auto"/>
        </w:rPr>
      </w:pPr>
    </w:p>
    <w:p>
      <w:pPr>
        <w:ind w:left="168" w:hanging="168"/>
        <w:spacing w:after="0"/>
        <w:tabs>
          <w:tab w:leader="none" w:pos="168" w:val="left"/>
        </w:tabs>
        <w:numPr>
          <w:ilvl w:val="0"/>
          <w:numId w:val="72"/>
        </w:numPr>
        <w:rPr>
          <w:rFonts w:ascii="Arial" w:cs="Arial" w:eastAsia="Arial" w:hAnsi="Arial"/>
          <w:sz w:val="16"/>
          <w:szCs w:val="16"/>
          <w:color w:val="auto"/>
        </w:rPr>
      </w:pPr>
      <w:r>
        <w:rPr>
          <w:rFonts w:ascii="Arial" w:cs="Arial" w:eastAsia="Arial" w:hAnsi="Arial"/>
          <w:sz w:val="16"/>
          <w:szCs w:val="16"/>
          <w:color w:val="auto"/>
        </w:rPr>
        <w:t>No guaranteed bonuses</w:t>
      </w:r>
    </w:p>
    <w:p>
      <w:pPr>
        <w:spacing w:after="0" w:line="113" w:lineRule="exact"/>
        <w:rPr>
          <w:rFonts w:ascii="Arial" w:cs="Arial" w:eastAsia="Arial" w:hAnsi="Arial"/>
          <w:sz w:val="16"/>
          <w:szCs w:val="16"/>
          <w:color w:val="auto"/>
        </w:rPr>
      </w:pPr>
    </w:p>
    <w:p>
      <w:pPr>
        <w:ind w:left="168" w:hanging="168"/>
        <w:spacing w:after="0"/>
        <w:tabs>
          <w:tab w:leader="none" w:pos="168" w:val="left"/>
        </w:tabs>
        <w:numPr>
          <w:ilvl w:val="0"/>
          <w:numId w:val="72"/>
        </w:numPr>
        <w:rPr>
          <w:rFonts w:ascii="Arial" w:cs="Arial" w:eastAsia="Arial" w:hAnsi="Arial"/>
          <w:sz w:val="16"/>
          <w:szCs w:val="16"/>
          <w:color w:val="auto"/>
        </w:rPr>
      </w:pPr>
      <w:r>
        <w:rPr>
          <w:rFonts w:ascii="Arial" w:cs="Arial" w:eastAsia="Arial" w:hAnsi="Arial"/>
          <w:sz w:val="16"/>
          <w:szCs w:val="16"/>
          <w:color w:val="auto"/>
        </w:rPr>
        <w:t>No dividends paid on unvested stock awards</w:t>
      </w:r>
    </w:p>
    <w:p>
      <w:pPr>
        <w:spacing w:after="0" w:line="113" w:lineRule="exact"/>
        <w:rPr>
          <w:rFonts w:ascii="Arial" w:cs="Arial" w:eastAsia="Arial" w:hAnsi="Arial"/>
          <w:sz w:val="16"/>
          <w:szCs w:val="16"/>
          <w:color w:val="auto"/>
        </w:rPr>
      </w:pPr>
    </w:p>
    <w:p>
      <w:pPr>
        <w:ind w:left="148" w:right="460" w:hanging="148"/>
        <w:spacing w:after="0" w:line="239" w:lineRule="auto"/>
        <w:tabs>
          <w:tab w:leader="none" w:pos="156" w:val="left"/>
        </w:tabs>
        <w:numPr>
          <w:ilvl w:val="0"/>
          <w:numId w:val="72"/>
        </w:numPr>
        <w:rPr>
          <w:rFonts w:ascii="Arial" w:cs="Arial" w:eastAsia="Arial" w:hAnsi="Arial"/>
          <w:sz w:val="16"/>
          <w:szCs w:val="16"/>
          <w:color w:val="auto"/>
        </w:rPr>
      </w:pPr>
      <w:r>
        <w:rPr>
          <w:rFonts w:ascii="Arial" w:cs="Arial" w:eastAsia="Arial" w:hAnsi="Arial"/>
          <w:sz w:val="16"/>
          <w:szCs w:val="16"/>
          <w:color w:val="auto"/>
        </w:rPr>
        <w:t>No encouragement of unnecessary and excessive risk taking</w:t>
      </w:r>
    </w:p>
    <w:p>
      <w:pPr>
        <w:spacing w:after="0" w:line="989" w:lineRule="exact"/>
        <w:rPr>
          <w:sz w:val="20"/>
          <w:szCs w:val="20"/>
          <w:color w:val="auto"/>
        </w:rPr>
      </w:pPr>
    </w:p>
    <w:p>
      <w:pPr>
        <w:sectPr>
          <w:pgSz w:w="11900" w:h="16838" w:orient="portrait"/>
          <w:cols w:equalWidth="0" w:num="2">
            <w:col w:w="5520" w:space="272"/>
            <w:col w:w="4348"/>
          </w:cols>
          <w:pgMar w:left="320" w:top="445" w:right="1439" w:bottom="1440" w:gutter="0" w:footer="0" w:header="0"/>
          <w:type w:val="continuous"/>
        </w:sectPr>
      </w:pPr>
    </w:p>
    <w:p>
      <w:pPr>
        <w:spacing w:after="0" w:line="177"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Competitive Pay</w:t>
      </w:r>
    </w:p>
    <w:p>
      <w:pPr>
        <w:spacing w:after="0" w:line="129" w:lineRule="exact"/>
        <w:rPr>
          <w:sz w:val="20"/>
          <w:szCs w:val="20"/>
          <w:color w:val="auto"/>
        </w:rPr>
      </w:pPr>
    </w:p>
    <w:p>
      <w:pPr>
        <w:ind w:left="1100"/>
        <w:spacing w:after="0" w:line="237" w:lineRule="auto"/>
        <w:rPr>
          <w:sz w:val="20"/>
          <w:szCs w:val="20"/>
          <w:color w:val="auto"/>
        </w:rPr>
      </w:pPr>
      <w:r>
        <w:rPr>
          <w:rFonts w:ascii="Arial" w:cs="Arial" w:eastAsia="Arial" w:hAnsi="Arial"/>
          <w:sz w:val="16"/>
          <w:szCs w:val="16"/>
          <w:color w:val="auto"/>
        </w:rPr>
        <w:t>We compete for senior executive talent with global information technology companies, large market capitalization U.S. companies, and smaller, high-growth technology businesses, depending on the role. The technology labor market is hyper-competitive with demand growing faster than the supply of technical talent, resulting in significant increases in compensation at the companies with whom we compete for this talent. The same conditions exist in the market for executive-level talent that can provide innovative leadership while managing at a global scale across several complex businesses. We expect these trends to continue and will adjust our approach to executive compensation to respond to evolving market conditions.</w:t>
      </w:r>
    </w:p>
    <w:p>
      <w:pPr>
        <w:spacing w:after="0" w:line="171"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Approach to Compensation Benchmarking</w:t>
      </w:r>
    </w:p>
    <w:p>
      <w:pPr>
        <w:spacing w:after="0" w:line="129" w:lineRule="exact"/>
        <w:rPr>
          <w:sz w:val="20"/>
          <w:szCs w:val="20"/>
          <w:color w:val="auto"/>
        </w:rPr>
      </w:pPr>
    </w:p>
    <w:p>
      <w:pPr>
        <w:ind w:left="1100"/>
        <w:spacing w:after="0" w:line="237" w:lineRule="auto"/>
        <w:rPr>
          <w:sz w:val="20"/>
          <w:szCs w:val="20"/>
          <w:color w:val="auto"/>
        </w:rPr>
      </w:pPr>
      <w:r>
        <w:rPr>
          <w:rFonts w:ascii="Arial" w:cs="Arial" w:eastAsia="Arial" w:hAnsi="Arial"/>
          <w:sz w:val="16"/>
          <w:szCs w:val="16"/>
          <w:color w:val="auto"/>
        </w:rPr>
        <w:t>To ensure that our Board and Compensation Committee have current information to set appropriate compensation levels, we conduct an executive compensation market analysis each year that draws from third-party compensation surveys and publicly available data for a group of peer companies. We supplement this analysis with additional market information specific to each executive officer’s role and responsibilities, including information gleaned from our experience recruiting for executive positions at Microsoft. While this market analysis and supplemental data inform the decisions of the independent members of our Board and our Compensation Committee on the range of compensation opportunities, we do not tie executive officer compensation to specific market percentiles. Because other companies actively recruit our executive officers to fill CEO and other senior leadership positions, we supplement market information with data on external opportunities potentially available to our executive officers. We also consider the relationship of annual target compensation among internal peers.</w:t>
      </w:r>
    </w:p>
    <w:p>
      <w:pPr>
        <w:spacing w:after="0" w:line="100" w:lineRule="exact"/>
        <w:rPr>
          <w:sz w:val="20"/>
          <w:szCs w:val="20"/>
          <w:color w:val="auto"/>
        </w:rPr>
      </w:pPr>
    </w:p>
    <w:p>
      <w:pPr>
        <w:ind w:left="1100" w:right="60"/>
        <w:spacing w:after="0" w:line="237" w:lineRule="auto"/>
        <w:rPr>
          <w:sz w:val="20"/>
          <w:szCs w:val="20"/>
          <w:color w:val="auto"/>
        </w:rPr>
      </w:pPr>
      <w:r>
        <w:rPr>
          <w:rFonts w:ascii="Arial" w:cs="Arial" w:eastAsia="Arial" w:hAnsi="Arial"/>
          <w:sz w:val="16"/>
          <w:szCs w:val="16"/>
          <w:color w:val="auto"/>
        </w:rPr>
        <w:t>In setting our fiscal year 2021 executive compensation design and compensation levels, we considered pay practices at the largest technology and general industry companies that our Compensation Committee believes are led by executives with similarly complex roles and responsibilities. Our Compensation Committee also screened these companies to ensure they had a significant presence outside the U.S. and excluded companies in the financial services sector because of the different regulatory environment in which they operate.</w:t>
      </w:r>
    </w:p>
    <w:p>
      <w:pPr>
        <w:spacing w:after="0" w:line="171"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Peer Group Used for Fiscal Year 2021 Pay Analysis</w:t>
      </w:r>
    </w:p>
    <w:p>
      <w:pPr>
        <w:spacing w:after="0" w:line="129" w:lineRule="exact"/>
        <w:rPr>
          <w:sz w:val="20"/>
          <w:szCs w:val="20"/>
          <w:color w:val="auto"/>
        </w:rPr>
      </w:pPr>
    </w:p>
    <w:p>
      <w:pPr>
        <w:ind w:left="1100" w:right="20"/>
        <w:spacing w:after="0" w:line="238" w:lineRule="auto"/>
        <w:rPr>
          <w:sz w:val="20"/>
          <w:szCs w:val="20"/>
          <w:color w:val="auto"/>
        </w:rPr>
      </w:pPr>
      <w:r>
        <w:rPr>
          <w:rFonts w:ascii="Arial" w:cs="Arial" w:eastAsia="Arial" w:hAnsi="Arial"/>
          <w:sz w:val="16"/>
          <w:szCs w:val="16"/>
          <w:color w:val="auto"/>
        </w:rPr>
        <w:t>For fiscal year 2021, the Compensation Committee reviewed the evolution of our business against our historical peer group, and as a result approved the use of two peer groups with two components to better reflect the differentiated business, talent and, in some cases, pay models, across sectors:</w:t>
      </w:r>
    </w:p>
    <w:p>
      <w:pPr>
        <w:spacing w:after="0" w:line="113" w:lineRule="exact"/>
        <w:rPr>
          <w:sz w:val="20"/>
          <w:szCs w:val="20"/>
          <w:color w:val="auto"/>
        </w:rPr>
      </w:pPr>
    </w:p>
    <w:p>
      <w:pPr>
        <w:ind w:left="1260" w:hanging="158"/>
        <w:spacing w:after="0"/>
        <w:tabs>
          <w:tab w:leader="none" w:pos="12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Primary Peer Group of bellwether technology companies, which reflect Microsoft’s more direct competitors for executive talent</w:t>
      </w:r>
    </w:p>
    <w:p>
      <w:pPr>
        <w:spacing w:after="0" w:line="136" w:lineRule="exact"/>
        <w:rPr>
          <w:rFonts w:ascii="Arial" w:cs="Arial" w:eastAsia="Arial" w:hAnsi="Arial"/>
          <w:sz w:val="14"/>
          <w:szCs w:val="14"/>
          <w:color w:val="auto"/>
        </w:rPr>
      </w:pPr>
    </w:p>
    <w:p>
      <w:pPr>
        <w:ind w:left="1260" w:right="480" w:hanging="158"/>
        <w:spacing w:after="0" w:line="239" w:lineRule="auto"/>
        <w:tabs>
          <w:tab w:leader="none" w:pos="12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Secondary Peer Group of “large cap” general industry companies, which reflect the complexities of operating large, global, innovative businesses and Microsoft’s broader competition for executive talent</w:t>
      </w:r>
    </w:p>
    <w:p>
      <w:pPr>
        <w:spacing w:after="0" w:line="200" w:lineRule="exact"/>
        <w:rPr>
          <w:sz w:val="20"/>
          <w:szCs w:val="20"/>
          <w:color w:val="auto"/>
        </w:rPr>
      </w:pPr>
    </w:p>
    <w:p>
      <w:pPr>
        <w:spacing w:after="0" w:line="301"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-94615</wp:posOffset>
            </wp:positionV>
            <wp:extent cx="485140" cy="984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45" w:right="1439" w:bottom="1440" w:gutter="0" w:footer="0" w:header="0"/>
          <w:type w:val="continuous"/>
        </w:sectPr>
      </w:pPr>
    </w:p>
    <w:bookmarkStart w:id="46" w:name="page47"/>
    <w:bookmarkEnd w:id="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auto"/>
                <w:w w:val="89"/>
              </w:rPr>
              <w:t>1</w:t>
            </w:r>
          </w:p>
        </w:tc>
        <w:tc>
          <w:tcPr>
            <w:tcW w:w="1380" w:type="dxa"/>
            <w:vAlign w:val="bottom"/>
            <w:vMerge w:val="restart"/>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gridSpan w:val="2"/>
          </w:tcPr>
          <w:p>
            <w:pPr>
              <w:jc w:val="right"/>
              <w:ind w:right="80"/>
              <w:spacing w:after="0"/>
              <w:rPr>
                <w:sz w:val="20"/>
                <w:szCs w:val="20"/>
                <w:color w:val="auto"/>
              </w:rPr>
            </w:pPr>
            <w:r>
              <w:rPr>
                <w:rFonts w:ascii="Arial" w:cs="Arial" w:eastAsia="Arial" w:hAnsi="Arial"/>
                <w:sz w:val="36"/>
                <w:szCs w:val="36"/>
                <w:color w:val="0075C9"/>
              </w:rPr>
              <w:t>2</w:t>
            </w:r>
          </w:p>
        </w:tc>
        <w:tc>
          <w:tcPr>
            <w:tcW w:w="1320" w:type="dxa"/>
            <w:vAlign w:val="bottom"/>
            <w:vMerge w:val="restart"/>
          </w:tcPr>
          <w:p>
            <w:pPr>
              <w:ind w:left="60"/>
              <w:spacing w:after="0"/>
              <w:rPr>
                <w:sz w:val="20"/>
                <w:szCs w:val="20"/>
                <w:color w:val="auto"/>
              </w:rPr>
            </w:pPr>
            <w:r>
              <w:rPr>
                <w:rFonts w:ascii="Arial" w:cs="Arial" w:eastAsia="Arial" w:hAnsi="Arial"/>
                <w:sz w:val="12"/>
                <w:szCs w:val="12"/>
                <w:color w:val="0075C9"/>
              </w:rPr>
              <w:t>NAMED</w:t>
            </w:r>
          </w:p>
        </w:tc>
        <w:tc>
          <w:tcPr>
            <w:tcW w:w="740" w:type="dxa"/>
            <w:vAlign w:val="bottom"/>
          </w:tcPr>
          <w:p>
            <w:pPr>
              <w:jc w:val="right"/>
              <w:spacing w:after="0"/>
              <w:rPr>
                <w:sz w:val="20"/>
                <w:szCs w:val="20"/>
                <w:color w:val="auto"/>
              </w:rPr>
            </w:pPr>
            <w:r>
              <w:rPr>
                <w:rFonts w:ascii="Arial" w:cs="Arial" w:eastAsia="Arial" w:hAnsi="Arial"/>
                <w:sz w:val="36"/>
                <w:szCs w:val="36"/>
                <w:color w:val="auto"/>
              </w:rPr>
              <w:t>3</w:t>
            </w:r>
          </w:p>
        </w:tc>
        <w:tc>
          <w:tcPr>
            <w:tcW w:w="1020" w:type="dxa"/>
            <w:vAlign w:val="bottom"/>
            <w:vMerge w:val="restart"/>
          </w:tcPr>
          <w:p>
            <w:pPr>
              <w:ind w:left="60"/>
              <w:spacing w:after="0"/>
              <w:rPr>
                <w:sz w:val="20"/>
                <w:szCs w:val="20"/>
                <w:color w:val="auto"/>
              </w:rPr>
            </w:pPr>
            <w:r>
              <w:rPr>
                <w:rFonts w:ascii="Arial" w:cs="Arial" w:eastAsia="Arial" w:hAnsi="Arial"/>
                <w:sz w:val="12"/>
                <w:szCs w:val="12"/>
                <w:color w:val="auto"/>
              </w:rPr>
              <w:t>AUDIT</w:t>
            </w:r>
          </w:p>
        </w:tc>
        <w:tc>
          <w:tcPr>
            <w:tcW w:w="500" w:type="dxa"/>
            <w:vAlign w:val="bottom"/>
          </w:tcPr>
          <w:p>
            <w:pPr>
              <w:jc w:val="right"/>
              <w:spacing w:after="0"/>
              <w:rPr>
                <w:sz w:val="20"/>
                <w:szCs w:val="20"/>
                <w:color w:val="auto"/>
              </w:rPr>
            </w:pPr>
            <w:r>
              <w:rPr>
                <w:rFonts w:ascii="Arial" w:cs="Arial" w:eastAsia="Arial" w:hAnsi="Arial"/>
                <w:sz w:val="36"/>
                <w:szCs w:val="36"/>
                <w:color w:val="auto"/>
              </w:rPr>
              <w:t>4</w:t>
            </w:r>
          </w:p>
        </w:tc>
        <w:tc>
          <w:tcPr>
            <w:tcW w:w="1580" w:type="dxa"/>
            <w:vAlign w:val="bottom"/>
            <w:vMerge w:val="restart"/>
          </w:tcPr>
          <w:p>
            <w:pPr>
              <w:ind w:left="80"/>
              <w:spacing w:after="0"/>
              <w:rPr>
                <w:sz w:val="20"/>
                <w:szCs w:val="20"/>
                <w:color w:val="auto"/>
              </w:rPr>
            </w:pPr>
            <w:r>
              <w:rPr>
                <w:rFonts w:ascii="Arial" w:cs="Arial" w:eastAsia="Arial" w:hAnsi="Arial"/>
                <w:sz w:val="12"/>
                <w:szCs w:val="12"/>
                <w:color w:val="auto"/>
              </w:rPr>
              <w:t>PROPOSALS TO</w:t>
            </w:r>
          </w:p>
        </w:tc>
        <w:tc>
          <w:tcPr>
            <w:tcW w:w="420" w:type="dxa"/>
            <w:vAlign w:val="bottom"/>
          </w:tcPr>
          <w:p>
            <w:pPr>
              <w:jc w:val="right"/>
              <w:spacing w:after="0"/>
              <w:rPr>
                <w:sz w:val="20"/>
                <w:szCs w:val="20"/>
                <w:color w:val="auto"/>
              </w:rPr>
            </w:pPr>
            <w:r>
              <w:rPr>
                <w:rFonts w:ascii="Arial" w:cs="Arial" w:eastAsia="Arial" w:hAnsi="Arial"/>
                <w:sz w:val="36"/>
                <w:szCs w:val="36"/>
                <w:color w:val="auto"/>
              </w:rPr>
              <w:t>5</w:t>
            </w:r>
          </w:p>
        </w:tc>
        <w:tc>
          <w:tcPr>
            <w:tcW w:w="920" w:type="dxa"/>
            <w:vAlign w:val="bottom"/>
            <w:vMerge w:val="restart"/>
          </w:tcPr>
          <w:p>
            <w:pPr>
              <w:ind w:left="8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38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tcPr>
          <w:p>
            <w:pPr>
              <w:ind w:left="60"/>
              <w:spacing w:after="0" w:line="130" w:lineRule="exact"/>
              <w:rPr>
                <w:sz w:val="20"/>
                <w:szCs w:val="20"/>
                <w:color w:val="auto"/>
              </w:rPr>
            </w:pPr>
            <w:r>
              <w:rPr>
                <w:rFonts w:ascii="Arial" w:cs="Arial" w:eastAsia="Arial" w:hAnsi="Arial"/>
                <w:sz w:val="12"/>
                <w:szCs w:val="12"/>
                <w:color w:val="0075C9"/>
                <w:w w:val="99"/>
              </w:rPr>
              <w:t>EXECUTIVE OFFICER</w:t>
            </w:r>
          </w:p>
        </w:tc>
        <w:tc>
          <w:tcPr>
            <w:tcW w:w="740" w:type="dxa"/>
            <w:vAlign w:val="bottom"/>
          </w:tcPr>
          <w:p>
            <w:pPr>
              <w:spacing w:after="0"/>
              <w:rPr>
                <w:sz w:val="11"/>
                <w:szCs w:val="11"/>
                <w:color w:val="auto"/>
              </w:rPr>
            </w:pPr>
          </w:p>
        </w:tc>
        <w:tc>
          <w:tcPr>
            <w:tcW w:w="1020" w:type="dxa"/>
            <w:vAlign w:val="bottom"/>
          </w:tcPr>
          <w:p>
            <w:pPr>
              <w:ind w:left="60"/>
              <w:spacing w:after="0" w:line="130" w:lineRule="exact"/>
              <w:rPr>
                <w:sz w:val="20"/>
                <w:szCs w:val="20"/>
                <w:color w:val="auto"/>
              </w:rPr>
            </w:pPr>
            <w:r>
              <w:rPr>
                <w:rFonts w:ascii="Arial" w:cs="Arial" w:eastAsia="Arial" w:hAnsi="Arial"/>
                <w:sz w:val="12"/>
                <w:szCs w:val="12"/>
                <w:color w:val="auto"/>
              </w:rPr>
              <w:t>COMMITTEE</w:t>
            </w:r>
          </w:p>
        </w:tc>
        <w:tc>
          <w:tcPr>
            <w:tcW w:w="500" w:type="dxa"/>
            <w:vAlign w:val="bottom"/>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20" w:type="dxa"/>
            <w:vAlign w:val="bottom"/>
          </w:tcPr>
          <w:p>
            <w:pPr>
              <w:spacing w:after="0"/>
              <w:rPr>
                <w:sz w:val="11"/>
                <w:szCs w:val="11"/>
                <w:color w:val="auto"/>
              </w:rPr>
            </w:pPr>
          </w:p>
        </w:tc>
        <w:tc>
          <w:tcPr>
            <w:tcW w:w="92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380" w:type="dxa"/>
            <w:vAlign w:val="bottom"/>
          </w:tcPr>
          <w:p>
            <w:pPr>
              <w:ind w:left="80"/>
              <w:spacing w:after="0"/>
              <w:rPr>
                <w:sz w:val="20"/>
                <w:szCs w:val="20"/>
                <w:color w:val="auto"/>
              </w:rPr>
            </w:pPr>
            <w:r>
              <w:rPr>
                <w:rFonts w:ascii="Arial" w:cs="Arial" w:eastAsia="Arial" w:hAnsi="Arial"/>
                <w:sz w:val="12"/>
                <w:szCs w:val="12"/>
                <w:color w:val="auto"/>
              </w:rPr>
              <w:t>DIRECTORS</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0075C9"/>
              </w:rPr>
              <w:t>COMPENSATION</w:t>
            </w:r>
          </w:p>
        </w:tc>
        <w:tc>
          <w:tcPr>
            <w:tcW w:w="740" w:type="dxa"/>
            <w:vAlign w:val="bottom"/>
          </w:tcPr>
          <w:p>
            <w:pPr>
              <w:spacing w:after="0"/>
              <w:rPr>
                <w:sz w:val="12"/>
                <w:szCs w:val="12"/>
                <w:color w:val="auto"/>
              </w:rPr>
            </w:pPr>
          </w:p>
        </w:tc>
        <w:tc>
          <w:tcPr>
            <w:tcW w:w="1020" w:type="dxa"/>
            <w:vAlign w:val="bottom"/>
          </w:tcPr>
          <w:p>
            <w:pPr>
              <w:ind w:left="60"/>
              <w:spacing w:after="0"/>
              <w:rPr>
                <w:sz w:val="20"/>
                <w:szCs w:val="20"/>
                <w:color w:val="auto"/>
              </w:rPr>
            </w:pPr>
            <w:r>
              <w:rPr>
                <w:rFonts w:ascii="Arial" w:cs="Arial" w:eastAsia="Arial" w:hAnsi="Arial"/>
                <w:sz w:val="12"/>
                <w:szCs w:val="12"/>
                <w:color w:val="auto"/>
              </w:rPr>
              <w:t>MATTERS</w:t>
            </w:r>
          </w:p>
        </w:tc>
        <w:tc>
          <w:tcPr>
            <w:tcW w:w="500" w:type="dxa"/>
            <w:vAlign w:val="bottom"/>
          </w:tcPr>
          <w:p>
            <w:pPr>
              <w:spacing w:after="0"/>
              <w:rPr>
                <w:sz w:val="12"/>
                <w:szCs w:val="12"/>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20" w:type="dxa"/>
            <w:vAlign w:val="bottom"/>
          </w:tcPr>
          <w:p>
            <w:pPr>
              <w:spacing w:after="0"/>
              <w:rPr>
                <w:sz w:val="12"/>
                <w:szCs w:val="12"/>
                <w:color w:val="auto"/>
              </w:rPr>
            </w:pPr>
          </w:p>
        </w:tc>
        <w:tc>
          <w:tcPr>
            <w:tcW w:w="92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00"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 companies in the fiscal year 2021 peer groups are:</w:t>
      </w:r>
    </w:p>
    <w:p>
      <w:pPr>
        <w:spacing w:after="0" w:line="180"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0075C9"/>
        </w:rPr>
        <w:t>Primary Peer Group –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46355</wp:posOffset>
            </wp:positionV>
            <wp:extent cx="573976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ectPr>
          <w:pgSz w:w="11900" w:h="16838" w:orient="portrait"/>
          <w:cols w:equalWidth="0" w:num="1">
            <w:col w:w="10280"/>
          </w:cols>
          <w:pgMar w:left="320" w:top="445" w:right="1299" w:bottom="1440" w:gutter="0" w:footer="0" w:header="0"/>
        </w:sectPr>
      </w:pPr>
    </w:p>
    <w:p>
      <w:pPr>
        <w:spacing w:after="0" w:line="124"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Adobe</w:t>
      </w:r>
    </w:p>
    <w:p>
      <w:pPr>
        <w:ind w:left="1100"/>
        <w:spacing w:after="0"/>
        <w:rPr>
          <w:sz w:val="20"/>
          <w:szCs w:val="20"/>
          <w:color w:val="auto"/>
        </w:rPr>
      </w:pPr>
      <w:r>
        <w:rPr>
          <w:rFonts w:ascii="Arial" w:cs="Arial" w:eastAsia="Arial" w:hAnsi="Arial"/>
          <w:sz w:val="13"/>
          <w:szCs w:val="13"/>
          <w:color w:val="auto"/>
        </w:rPr>
        <w:t>Alphabet</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color w:val="auto"/>
        </w:rPr>
        <w:t>Amazon</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Apple</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color w:val="auto"/>
        </w:rPr>
        <w:t>Cisco Systems</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Facebook</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color w:val="auto"/>
        </w:rPr>
        <w:t>IBM</w:t>
      </w:r>
    </w:p>
    <w:p>
      <w:pPr>
        <w:spacing w:after="0"/>
        <w:rPr>
          <w:sz w:val="20"/>
          <w:szCs w:val="20"/>
          <w:color w:val="auto"/>
        </w:rPr>
      </w:pPr>
      <w:r>
        <w:rPr>
          <w:rFonts w:ascii="Arial" w:cs="Arial" w:eastAsia="Arial" w:hAnsi="Arial"/>
          <w:sz w:val="13"/>
          <w:szCs w:val="13"/>
          <w:color w:val="auto"/>
        </w:rPr>
        <w:t>Intel</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color w:val="auto"/>
        </w:rPr>
        <w:t>Oracle</w:t>
      </w:r>
    </w:p>
    <w:p>
      <w:pPr>
        <w:spacing w:after="0"/>
        <w:rPr>
          <w:sz w:val="20"/>
          <w:szCs w:val="20"/>
          <w:color w:val="auto"/>
        </w:rPr>
      </w:pPr>
      <w:r>
        <w:rPr>
          <w:rFonts w:ascii="Arial" w:cs="Arial" w:eastAsia="Arial" w:hAnsi="Arial"/>
          <w:sz w:val="14"/>
          <w:szCs w:val="14"/>
          <w:color w:val="auto"/>
        </w:rPr>
        <w:t>Qualcomm</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jc w:val="center"/>
        <w:ind w:right="640"/>
        <w:spacing w:after="0"/>
        <w:rPr>
          <w:sz w:val="20"/>
          <w:szCs w:val="20"/>
          <w:color w:val="auto"/>
        </w:rPr>
      </w:pPr>
      <w:r>
        <w:rPr>
          <w:rFonts w:ascii="Arial" w:cs="Arial" w:eastAsia="Arial" w:hAnsi="Arial"/>
          <w:sz w:val="13"/>
          <w:szCs w:val="13"/>
          <w:color w:val="auto"/>
        </w:rPr>
        <w:t>Salesforce</w:t>
      </w:r>
    </w:p>
    <w:p>
      <w:pPr>
        <w:spacing w:after="0" w:line="353" w:lineRule="exact"/>
        <w:rPr>
          <w:sz w:val="20"/>
          <w:szCs w:val="20"/>
          <w:color w:val="auto"/>
        </w:rPr>
      </w:pPr>
    </w:p>
    <w:p>
      <w:pPr>
        <w:sectPr>
          <w:pgSz w:w="11900" w:h="16838" w:orient="portrait"/>
          <w:cols w:equalWidth="0" w:num="6">
            <w:col w:w="2180" w:space="720"/>
            <w:col w:w="1360" w:space="720"/>
            <w:col w:w="900" w:space="440"/>
            <w:col w:w="600" w:space="720"/>
            <w:col w:w="680" w:space="660"/>
            <w:col w:w="1300"/>
          </w:cols>
          <w:pgMar w:left="320" w:top="445" w:right="1299" w:bottom="1440" w:gutter="0" w:footer="0" w:header="0"/>
          <w:type w:val="continuous"/>
        </w:sectPr>
      </w:pPr>
    </w:p>
    <w:p>
      <w:pPr>
        <w:ind w:left="1100"/>
        <w:spacing w:after="0"/>
        <w:rPr>
          <w:sz w:val="20"/>
          <w:szCs w:val="20"/>
          <w:color w:val="auto"/>
        </w:rPr>
      </w:pPr>
      <w:r>
        <w:rPr>
          <w:rFonts w:ascii="Arial" w:cs="Arial" w:eastAsia="Arial" w:hAnsi="Arial"/>
          <w:sz w:val="17"/>
          <w:szCs w:val="17"/>
          <w:b w:val="1"/>
          <w:bCs w:val="1"/>
          <w:color w:val="0075C9"/>
        </w:rPr>
        <w:t>Secondary Peer Group – General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46355</wp:posOffset>
            </wp:positionV>
            <wp:extent cx="573976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ectPr>
          <w:pgSz w:w="11900" w:h="16838" w:orient="portrait"/>
          <w:cols w:equalWidth="0" w:num="1">
            <w:col w:w="10280"/>
          </w:cols>
          <w:pgMar w:left="320" w:top="445" w:right="1299" w:bottom="1440" w:gutter="0" w:footer="0" w:header="0"/>
          <w:type w:val="continuous"/>
        </w:sectPr>
      </w:pP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Accenture</w:t>
      </w:r>
    </w:p>
    <w:p>
      <w:pPr>
        <w:spacing w:after="0" w:line="6"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AT&amp;T</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Comcast</w:t>
      </w:r>
    </w:p>
    <w:p>
      <w:pPr>
        <w:spacing w:after="0"/>
        <w:rPr>
          <w:sz w:val="20"/>
          <w:szCs w:val="20"/>
          <w:color w:val="auto"/>
        </w:rPr>
      </w:pPr>
      <w:r>
        <w:rPr>
          <w:rFonts w:ascii="Arial" w:cs="Arial" w:eastAsia="Arial" w:hAnsi="Arial"/>
          <w:sz w:val="13"/>
          <w:szCs w:val="13"/>
          <w:color w:val="auto"/>
        </w:rPr>
        <w:t>Honeywell</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238" w:lineRule="auto"/>
        <w:rPr>
          <w:sz w:val="20"/>
          <w:szCs w:val="20"/>
          <w:color w:val="auto"/>
        </w:rPr>
      </w:pPr>
      <w:r>
        <w:rPr>
          <w:rFonts w:ascii="Arial" w:cs="Arial" w:eastAsia="Arial" w:hAnsi="Arial"/>
          <w:sz w:val="14"/>
          <w:szCs w:val="14"/>
          <w:color w:val="auto"/>
        </w:rPr>
        <w:t>Johnson &amp; Johnson Pfizer Tesla Merck Procter &amp; Gamble Walt Disney</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color w:val="auto"/>
        </w:rPr>
        <w:t>Verizon</w:t>
      </w:r>
    </w:p>
    <w:p>
      <w:pPr>
        <w:spacing w:after="0" w:line="274" w:lineRule="exact"/>
        <w:rPr>
          <w:sz w:val="20"/>
          <w:szCs w:val="20"/>
          <w:color w:val="auto"/>
        </w:rPr>
      </w:pPr>
    </w:p>
    <w:p>
      <w:pPr>
        <w:sectPr>
          <w:pgSz w:w="11900" w:h="16838" w:orient="portrait"/>
          <w:cols w:equalWidth="0" w:num="4">
            <w:col w:w="2180" w:space="720"/>
            <w:col w:w="1360" w:space="720"/>
            <w:col w:w="3400" w:space="600"/>
            <w:col w:w="1300"/>
          </w:cols>
          <w:pgMar w:left="320" w:top="445" w:right="1299" w:bottom="1440" w:gutter="0" w:footer="0" w:header="0"/>
          <w:type w:val="continuous"/>
        </w:sectPr>
      </w:pPr>
    </w:p>
    <w:p>
      <w:pPr>
        <w:ind w:left="1100" w:right="140"/>
        <w:spacing w:after="0" w:line="238" w:lineRule="auto"/>
        <w:rPr>
          <w:sz w:val="20"/>
          <w:szCs w:val="20"/>
          <w:color w:val="auto"/>
        </w:rPr>
      </w:pPr>
      <w:r>
        <w:rPr>
          <w:rFonts w:ascii="Arial" w:cs="Arial" w:eastAsia="Arial" w:hAnsi="Arial"/>
          <w:sz w:val="16"/>
          <w:szCs w:val="16"/>
          <w:color w:val="auto"/>
        </w:rPr>
        <w:t>Given Microsoft’s significant scale and growth, Microsoft is larger than the typical company in both peer groups. The following graph shows Microsoft’s position within the peer group on the two screening criteria (in billions), based on each peer company’s most recent publicly reported fiscal year-end data as of August 23, 2021.</w:t>
      </w:r>
    </w:p>
    <w:p>
      <w:pPr>
        <w:spacing w:after="0" w:line="112" w:lineRule="exact"/>
        <w:rPr>
          <w:sz w:val="20"/>
          <w:szCs w:val="20"/>
          <w:color w:val="auto"/>
        </w:rPr>
      </w:pPr>
    </w:p>
    <w:tbl>
      <w:tblPr>
        <w:tblLayout w:type="fixed"/>
        <w:tblInd w:w="1500" w:type="dxa"/>
        <w:tblCellMar>
          <w:top w:w="0" w:type="dxa"/>
          <w:left w:w="0" w:type="dxa"/>
          <w:bottom w:w="0" w:type="dxa"/>
          <w:right w:w="0" w:type="dxa"/>
        </w:tblCellMar>
      </w:tblPr>
      <w:tr>
        <w:trPr>
          <w:trHeight w:val="299"/>
        </w:trPr>
        <w:tc>
          <w:tcPr>
            <w:tcW w:w="1380" w:type="dxa"/>
            <w:vAlign w:val="bottom"/>
          </w:tcPr>
          <w:p>
            <w:pPr>
              <w:spacing w:after="0"/>
              <w:rPr>
                <w:sz w:val="24"/>
                <w:szCs w:val="24"/>
                <w:color w:val="auto"/>
              </w:rPr>
            </w:pPr>
          </w:p>
        </w:tc>
        <w:tc>
          <w:tcPr>
            <w:tcW w:w="780" w:type="dxa"/>
            <w:vAlign w:val="bottom"/>
            <w:vMerge w:val="restart"/>
          </w:tcPr>
          <w:p>
            <w:pPr>
              <w:ind w:left="240"/>
              <w:spacing w:after="0"/>
              <w:rPr>
                <w:sz w:val="20"/>
                <w:szCs w:val="20"/>
                <w:color w:val="auto"/>
              </w:rPr>
            </w:pPr>
            <w:r>
              <w:rPr>
                <w:rFonts w:ascii="Arial" w:cs="Arial" w:eastAsia="Arial" w:hAnsi="Arial"/>
                <w:sz w:val="16"/>
                <w:szCs w:val="16"/>
                <w:color w:val="auto"/>
              </w:rPr>
              <w:t>Min</w:t>
            </w:r>
          </w:p>
        </w:tc>
        <w:tc>
          <w:tcPr>
            <w:tcW w:w="1160" w:type="dxa"/>
            <w:vAlign w:val="bottom"/>
          </w:tcPr>
          <w:p>
            <w:pPr>
              <w:jc w:val="center"/>
              <w:spacing w:after="0"/>
              <w:rPr>
                <w:sz w:val="20"/>
                <w:szCs w:val="20"/>
                <w:color w:val="auto"/>
              </w:rPr>
            </w:pPr>
            <w:r>
              <w:rPr>
                <w:rFonts w:ascii="Arial" w:cs="Arial" w:eastAsia="Arial" w:hAnsi="Arial"/>
                <w:sz w:val="16"/>
                <w:szCs w:val="16"/>
                <w:color w:val="auto"/>
                <w:w w:val="92"/>
              </w:rPr>
              <w:t>25</w:t>
            </w:r>
            <w:r>
              <w:rPr>
                <w:rFonts w:ascii="Arial" w:cs="Arial" w:eastAsia="Arial" w:hAnsi="Arial"/>
                <w:sz w:val="26"/>
                <w:szCs w:val="26"/>
                <w:color w:val="auto"/>
                <w:w w:val="92"/>
                <w:vertAlign w:val="superscript"/>
              </w:rPr>
              <w:t>th</w:t>
            </w:r>
          </w:p>
        </w:tc>
        <w:tc>
          <w:tcPr>
            <w:tcW w:w="1220" w:type="dxa"/>
            <w:vAlign w:val="bottom"/>
          </w:tcPr>
          <w:p>
            <w:pPr>
              <w:jc w:val="center"/>
              <w:spacing w:after="0"/>
              <w:rPr>
                <w:sz w:val="20"/>
                <w:szCs w:val="20"/>
                <w:color w:val="auto"/>
              </w:rPr>
            </w:pPr>
            <w:r>
              <w:rPr>
                <w:rFonts w:ascii="Arial" w:cs="Arial" w:eastAsia="Arial" w:hAnsi="Arial"/>
                <w:sz w:val="16"/>
                <w:szCs w:val="16"/>
                <w:color w:val="auto"/>
                <w:w w:val="86"/>
              </w:rPr>
              <w:t>50</w:t>
            </w:r>
            <w:r>
              <w:rPr>
                <w:rFonts w:ascii="Arial" w:cs="Arial" w:eastAsia="Arial" w:hAnsi="Arial"/>
                <w:sz w:val="26"/>
                <w:szCs w:val="26"/>
                <w:color w:val="auto"/>
                <w:w w:val="86"/>
                <w:vertAlign w:val="superscript"/>
              </w:rPr>
              <w:t>th</w:t>
            </w:r>
          </w:p>
        </w:tc>
        <w:tc>
          <w:tcPr>
            <w:tcW w:w="1240" w:type="dxa"/>
            <w:vAlign w:val="bottom"/>
          </w:tcPr>
          <w:p>
            <w:pPr>
              <w:jc w:val="center"/>
              <w:spacing w:after="0"/>
              <w:rPr>
                <w:sz w:val="20"/>
                <w:szCs w:val="20"/>
                <w:color w:val="auto"/>
              </w:rPr>
            </w:pPr>
            <w:r>
              <w:rPr>
                <w:rFonts w:ascii="Arial" w:cs="Arial" w:eastAsia="Arial" w:hAnsi="Arial"/>
                <w:sz w:val="16"/>
                <w:szCs w:val="16"/>
                <w:color w:val="auto"/>
                <w:w w:val="86"/>
              </w:rPr>
              <w:t>75</w:t>
            </w:r>
            <w:r>
              <w:rPr>
                <w:rFonts w:ascii="Arial" w:cs="Arial" w:eastAsia="Arial" w:hAnsi="Arial"/>
                <w:sz w:val="26"/>
                <w:szCs w:val="26"/>
                <w:color w:val="auto"/>
                <w:w w:val="86"/>
                <w:vertAlign w:val="superscript"/>
              </w:rPr>
              <w:t>th</w:t>
            </w:r>
          </w:p>
        </w:tc>
        <w:tc>
          <w:tcPr>
            <w:tcW w:w="8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Arial" w:cs="Arial" w:eastAsia="Arial" w:hAnsi="Arial"/>
                <w:sz w:val="16"/>
                <w:szCs w:val="16"/>
                <w:color w:val="auto"/>
                <w:w w:val="96"/>
              </w:rPr>
              <w:t>MSFT</w:t>
            </w:r>
          </w:p>
        </w:tc>
        <w:tc>
          <w:tcPr>
            <w:tcW w:w="180" w:type="dxa"/>
            <w:vAlign w:val="bottom"/>
          </w:tcPr>
          <w:p>
            <w:pPr>
              <w:spacing w:after="0"/>
              <w:rPr>
                <w:sz w:val="24"/>
                <w:szCs w:val="24"/>
                <w:color w:val="auto"/>
              </w:rPr>
            </w:pPr>
          </w:p>
        </w:tc>
        <w:tc>
          <w:tcPr>
            <w:tcW w:w="940" w:type="dxa"/>
            <w:vAlign w:val="bottom"/>
            <w:vMerge w:val="restart"/>
          </w:tcPr>
          <w:p>
            <w:pPr>
              <w:ind w:left="320"/>
              <w:spacing w:after="0"/>
              <w:rPr>
                <w:sz w:val="20"/>
                <w:szCs w:val="20"/>
                <w:color w:val="auto"/>
              </w:rPr>
            </w:pPr>
            <w:r>
              <w:rPr>
                <w:rFonts w:ascii="Arial" w:cs="Arial" w:eastAsia="Arial" w:hAnsi="Arial"/>
                <w:sz w:val="16"/>
                <w:szCs w:val="16"/>
                <w:color w:val="auto"/>
              </w:rPr>
              <w:t>Max</w:t>
            </w:r>
          </w:p>
        </w:tc>
        <w:tc>
          <w:tcPr>
            <w:tcW w:w="0" w:type="dxa"/>
            <w:vAlign w:val="bottom"/>
          </w:tcPr>
          <w:p>
            <w:pPr>
              <w:spacing w:after="0"/>
              <w:rPr>
                <w:sz w:val="1"/>
                <w:szCs w:val="1"/>
                <w:color w:val="auto"/>
              </w:rPr>
            </w:pPr>
          </w:p>
        </w:tc>
      </w:tr>
      <w:tr>
        <w:trPr>
          <w:trHeight w:val="96"/>
        </w:trPr>
        <w:tc>
          <w:tcPr>
            <w:tcW w:w="13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160" w:type="dxa"/>
            <w:vAlign w:val="bottom"/>
            <w:vMerge w:val="restart"/>
          </w:tcPr>
          <w:p>
            <w:pPr>
              <w:jc w:val="center"/>
              <w:spacing w:after="0"/>
              <w:rPr>
                <w:sz w:val="20"/>
                <w:szCs w:val="20"/>
                <w:color w:val="auto"/>
              </w:rPr>
            </w:pPr>
            <w:r>
              <w:rPr>
                <w:rFonts w:ascii="Arial" w:cs="Arial" w:eastAsia="Arial" w:hAnsi="Arial"/>
                <w:sz w:val="16"/>
                <w:szCs w:val="16"/>
                <w:color w:val="auto"/>
                <w:w w:val="98"/>
              </w:rPr>
              <w:t>Percentile</w:t>
            </w:r>
          </w:p>
        </w:tc>
        <w:tc>
          <w:tcPr>
            <w:tcW w:w="1220" w:type="dxa"/>
            <w:vAlign w:val="bottom"/>
            <w:vMerge w:val="restart"/>
          </w:tcPr>
          <w:p>
            <w:pPr>
              <w:jc w:val="center"/>
              <w:spacing w:after="0"/>
              <w:rPr>
                <w:sz w:val="20"/>
                <w:szCs w:val="20"/>
                <w:color w:val="auto"/>
              </w:rPr>
            </w:pPr>
            <w:r>
              <w:rPr>
                <w:rFonts w:ascii="Arial" w:cs="Arial" w:eastAsia="Arial" w:hAnsi="Arial"/>
                <w:sz w:val="16"/>
                <w:szCs w:val="16"/>
                <w:color w:val="auto"/>
                <w:w w:val="98"/>
              </w:rPr>
              <w:t>Percentile</w:t>
            </w:r>
          </w:p>
        </w:tc>
        <w:tc>
          <w:tcPr>
            <w:tcW w:w="1240" w:type="dxa"/>
            <w:vAlign w:val="bottom"/>
            <w:vMerge w:val="restart"/>
          </w:tcPr>
          <w:p>
            <w:pPr>
              <w:jc w:val="center"/>
              <w:spacing w:after="0"/>
              <w:rPr>
                <w:sz w:val="20"/>
                <w:szCs w:val="20"/>
                <w:color w:val="auto"/>
              </w:rPr>
            </w:pPr>
            <w:r>
              <w:rPr>
                <w:rFonts w:ascii="Arial" w:cs="Arial" w:eastAsia="Arial" w:hAnsi="Arial"/>
                <w:sz w:val="16"/>
                <w:szCs w:val="16"/>
                <w:color w:val="auto"/>
                <w:w w:val="95"/>
              </w:rPr>
              <w:t>Percentile</w:t>
            </w:r>
          </w:p>
        </w:tc>
        <w:tc>
          <w:tcPr>
            <w:tcW w:w="8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3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72"/>
        </w:trPr>
        <w:tc>
          <w:tcPr>
            <w:tcW w:w="1380" w:type="dxa"/>
            <w:vAlign w:val="bottom"/>
          </w:tcPr>
          <w:p>
            <w:pPr>
              <w:spacing w:after="0"/>
              <w:rPr>
                <w:sz w:val="24"/>
                <w:szCs w:val="24"/>
                <w:color w:val="auto"/>
              </w:rPr>
            </w:pPr>
          </w:p>
        </w:tc>
        <w:tc>
          <w:tcPr>
            <w:tcW w:w="780" w:type="dxa"/>
            <w:vAlign w:val="bottom"/>
            <w:tcBorders>
              <w:bottom w:val="single" w:sz="8" w:color="0075C9"/>
            </w:tcBorders>
          </w:tcPr>
          <w:p>
            <w:pPr>
              <w:spacing w:after="0"/>
              <w:rPr>
                <w:sz w:val="24"/>
                <w:szCs w:val="24"/>
                <w:color w:val="auto"/>
              </w:rPr>
            </w:pPr>
          </w:p>
        </w:tc>
        <w:tc>
          <w:tcPr>
            <w:tcW w:w="1160" w:type="dxa"/>
            <w:vAlign w:val="bottom"/>
            <w:tcBorders>
              <w:bottom w:val="single" w:sz="8" w:color="0075C9"/>
            </w:tcBorders>
          </w:tcPr>
          <w:p>
            <w:pPr>
              <w:spacing w:after="0"/>
              <w:rPr>
                <w:sz w:val="24"/>
                <w:szCs w:val="24"/>
                <w:color w:val="auto"/>
              </w:rPr>
            </w:pPr>
          </w:p>
        </w:tc>
        <w:tc>
          <w:tcPr>
            <w:tcW w:w="1220" w:type="dxa"/>
            <w:vAlign w:val="bottom"/>
            <w:tcBorders>
              <w:bottom w:val="single" w:sz="8" w:color="0075C9"/>
            </w:tcBorders>
          </w:tcPr>
          <w:p>
            <w:pPr>
              <w:spacing w:after="0"/>
              <w:rPr>
                <w:sz w:val="24"/>
                <w:szCs w:val="24"/>
                <w:color w:val="auto"/>
              </w:rPr>
            </w:pPr>
          </w:p>
        </w:tc>
        <w:tc>
          <w:tcPr>
            <w:tcW w:w="1240" w:type="dxa"/>
            <w:vAlign w:val="bottom"/>
            <w:tcBorders>
              <w:bottom w:val="single" w:sz="8" w:color="0075C9"/>
            </w:tcBorders>
          </w:tcPr>
          <w:p>
            <w:pPr>
              <w:spacing w:after="0"/>
              <w:rPr>
                <w:sz w:val="24"/>
                <w:szCs w:val="24"/>
                <w:color w:val="auto"/>
              </w:rPr>
            </w:pPr>
          </w:p>
        </w:tc>
        <w:tc>
          <w:tcPr>
            <w:tcW w:w="80" w:type="dxa"/>
            <w:vAlign w:val="bottom"/>
            <w:tcBorders>
              <w:bottom w:val="single" w:sz="8" w:color="0075C9"/>
            </w:tcBorders>
          </w:tcPr>
          <w:p>
            <w:pPr>
              <w:spacing w:after="0"/>
              <w:rPr>
                <w:sz w:val="24"/>
                <w:szCs w:val="24"/>
                <w:color w:val="auto"/>
              </w:rPr>
            </w:pPr>
          </w:p>
        </w:tc>
        <w:tc>
          <w:tcPr>
            <w:tcW w:w="940" w:type="dxa"/>
            <w:vAlign w:val="bottom"/>
            <w:tcBorders>
              <w:bottom w:val="single" w:sz="8" w:color="0075C9"/>
            </w:tcBorders>
          </w:tcPr>
          <w:p>
            <w:pPr>
              <w:spacing w:after="0"/>
              <w:rPr>
                <w:sz w:val="24"/>
                <w:szCs w:val="24"/>
                <w:color w:val="auto"/>
              </w:rPr>
            </w:pPr>
          </w:p>
        </w:tc>
        <w:tc>
          <w:tcPr>
            <w:tcW w:w="180" w:type="dxa"/>
            <w:vAlign w:val="bottom"/>
            <w:tcBorders>
              <w:bottom w:val="single" w:sz="8" w:color="0075C9"/>
            </w:tcBorders>
          </w:tcPr>
          <w:p>
            <w:pPr>
              <w:spacing w:after="0"/>
              <w:rPr>
                <w:sz w:val="24"/>
                <w:szCs w:val="24"/>
                <w:color w:val="auto"/>
              </w:rPr>
            </w:pPr>
          </w:p>
        </w:tc>
        <w:tc>
          <w:tcPr>
            <w:tcW w:w="940" w:type="dxa"/>
            <w:vAlign w:val="bottom"/>
            <w:tcBorders>
              <w:bottom w:val="single" w:sz="8" w:color="0075C9"/>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380" w:type="dxa"/>
            <w:vAlign w:val="bottom"/>
            <w:tcBorders>
              <w:right w:val="single" w:sz="8" w:color="0075C9"/>
            </w:tcBorders>
            <w:vMerge w:val="restart"/>
          </w:tcPr>
          <w:p>
            <w:pPr>
              <w:jc w:val="right"/>
              <w:ind w:right="142"/>
              <w:spacing w:after="0"/>
              <w:rPr>
                <w:sz w:val="20"/>
                <w:szCs w:val="20"/>
                <w:color w:val="auto"/>
              </w:rPr>
            </w:pPr>
            <w:r>
              <w:rPr>
                <w:rFonts w:ascii="Arial" w:cs="Arial" w:eastAsia="Arial" w:hAnsi="Arial"/>
                <w:sz w:val="16"/>
                <w:szCs w:val="16"/>
                <w:color w:val="auto"/>
                <w:w w:val="96"/>
              </w:rPr>
              <w:t>Annual Revenue</w:t>
            </w:r>
          </w:p>
        </w:tc>
        <w:tc>
          <w:tcPr>
            <w:tcW w:w="780" w:type="dxa"/>
            <w:vAlign w:val="bottom"/>
            <w:vMerge w:val="restart"/>
          </w:tcPr>
          <w:p>
            <w:pPr>
              <w:jc w:val="right"/>
              <w:ind w:right="182"/>
              <w:spacing w:after="0"/>
              <w:rPr>
                <w:sz w:val="20"/>
                <w:szCs w:val="20"/>
                <w:color w:val="auto"/>
              </w:rPr>
            </w:pPr>
            <w:r>
              <w:rPr>
                <w:rFonts w:ascii="Arial" w:cs="Arial" w:eastAsia="Arial" w:hAnsi="Arial"/>
                <w:sz w:val="16"/>
                <w:szCs w:val="16"/>
                <w:color w:val="auto"/>
              </w:rPr>
              <w:t>$13</w:t>
            </w:r>
          </w:p>
        </w:tc>
        <w:tc>
          <w:tcPr>
            <w:tcW w:w="1160" w:type="dxa"/>
            <w:vAlign w:val="bottom"/>
            <w:vMerge w:val="restart"/>
          </w:tcPr>
          <w:p>
            <w:pPr>
              <w:jc w:val="right"/>
              <w:ind w:right="362"/>
              <w:spacing w:after="0"/>
              <w:rPr>
                <w:sz w:val="20"/>
                <w:szCs w:val="20"/>
                <w:color w:val="auto"/>
              </w:rPr>
            </w:pPr>
            <w:r>
              <w:rPr>
                <w:rFonts w:ascii="Arial" w:cs="Arial" w:eastAsia="Arial" w:hAnsi="Arial"/>
                <w:sz w:val="16"/>
                <w:szCs w:val="16"/>
                <w:color w:val="auto"/>
              </w:rPr>
              <w:t>$41</w:t>
            </w:r>
          </w:p>
        </w:tc>
        <w:tc>
          <w:tcPr>
            <w:tcW w:w="1220" w:type="dxa"/>
            <w:vAlign w:val="bottom"/>
            <w:vMerge w:val="restart"/>
          </w:tcPr>
          <w:p>
            <w:pPr>
              <w:jc w:val="right"/>
              <w:ind w:right="362"/>
              <w:spacing w:after="0"/>
              <w:rPr>
                <w:sz w:val="20"/>
                <w:szCs w:val="20"/>
                <w:color w:val="auto"/>
              </w:rPr>
            </w:pPr>
            <w:r>
              <w:rPr>
                <w:rFonts w:ascii="Arial" w:cs="Arial" w:eastAsia="Arial" w:hAnsi="Arial"/>
                <w:sz w:val="16"/>
                <w:szCs w:val="16"/>
                <w:color w:val="auto"/>
              </w:rPr>
              <w:t>$70</w:t>
            </w:r>
          </w:p>
        </w:tc>
        <w:tc>
          <w:tcPr>
            <w:tcW w:w="1240" w:type="dxa"/>
            <w:vAlign w:val="bottom"/>
            <w:tcBorders>
              <w:right w:val="single" w:sz="8" w:color="0075C9"/>
            </w:tcBorders>
            <w:vMerge w:val="restart"/>
          </w:tcPr>
          <w:p>
            <w:pPr>
              <w:jc w:val="right"/>
              <w:ind w:right="382"/>
              <w:spacing w:after="0"/>
              <w:rPr>
                <w:sz w:val="20"/>
                <w:szCs w:val="20"/>
                <w:color w:val="auto"/>
              </w:rPr>
            </w:pPr>
            <w:r>
              <w:rPr>
                <w:rFonts w:ascii="Arial" w:cs="Arial" w:eastAsia="Arial" w:hAnsi="Arial"/>
                <w:sz w:val="16"/>
                <w:szCs w:val="16"/>
                <w:color w:val="auto"/>
              </w:rPr>
              <w:t>$99</w:t>
            </w:r>
          </w:p>
        </w:tc>
        <w:tc>
          <w:tcPr>
            <w:tcW w:w="1020" w:type="dxa"/>
            <w:vAlign w:val="bottom"/>
            <w:gridSpan w:val="2"/>
          </w:tcPr>
          <w:p>
            <w:pPr>
              <w:jc w:val="right"/>
              <w:ind w:right="214"/>
              <w:spacing w:after="0"/>
              <w:rPr>
                <w:sz w:val="20"/>
                <w:szCs w:val="20"/>
                <w:color w:val="auto"/>
              </w:rPr>
            </w:pPr>
            <w:r>
              <w:rPr>
                <w:rFonts w:ascii="Arial" w:cs="Arial" w:eastAsia="Arial" w:hAnsi="Arial"/>
                <w:sz w:val="16"/>
                <w:szCs w:val="16"/>
                <w:color w:val="auto"/>
              </w:rPr>
              <w:t>$168</w:t>
            </w:r>
          </w:p>
        </w:tc>
        <w:tc>
          <w:tcPr>
            <w:tcW w:w="180" w:type="dxa"/>
            <w:vAlign w:val="bottom"/>
            <w:tcBorders>
              <w:right w:val="single" w:sz="8" w:color="0075C9"/>
            </w:tcBorders>
          </w:tcPr>
          <w:p>
            <w:pPr>
              <w:spacing w:after="0"/>
              <w:rPr>
                <w:sz w:val="16"/>
                <w:szCs w:val="16"/>
                <w:color w:val="auto"/>
              </w:rPr>
            </w:pPr>
          </w:p>
        </w:tc>
        <w:tc>
          <w:tcPr>
            <w:tcW w:w="940" w:type="dxa"/>
            <w:vAlign w:val="bottom"/>
            <w:tcBorders>
              <w:right w:val="single" w:sz="8" w:color="0075C9"/>
            </w:tcBorders>
            <w:vMerge w:val="restart"/>
          </w:tcPr>
          <w:p>
            <w:pPr>
              <w:jc w:val="right"/>
              <w:ind w:right="202"/>
              <w:spacing w:after="0"/>
              <w:rPr>
                <w:sz w:val="20"/>
                <w:szCs w:val="20"/>
                <w:color w:val="auto"/>
              </w:rPr>
            </w:pPr>
            <w:r>
              <w:rPr>
                <w:rFonts w:ascii="Arial" w:cs="Arial" w:eastAsia="Arial" w:hAnsi="Arial"/>
                <w:sz w:val="16"/>
                <w:szCs w:val="16"/>
                <w:color w:val="auto"/>
              </w:rPr>
              <w:t>$386</w:t>
            </w:r>
          </w:p>
        </w:tc>
        <w:tc>
          <w:tcPr>
            <w:tcW w:w="0" w:type="dxa"/>
            <w:vAlign w:val="bottom"/>
          </w:tcPr>
          <w:p>
            <w:pPr>
              <w:spacing w:after="0"/>
              <w:rPr>
                <w:sz w:val="1"/>
                <w:szCs w:val="1"/>
                <w:color w:val="auto"/>
              </w:rPr>
            </w:pPr>
          </w:p>
        </w:tc>
      </w:tr>
      <w:tr>
        <w:trPr>
          <w:trHeight w:val="91"/>
        </w:trPr>
        <w:tc>
          <w:tcPr>
            <w:tcW w:w="1380" w:type="dxa"/>
            <w:vAlign w:val="bottom"/>
            <w:tcBorders>
              <w:right w:val="single" w:sz="8" w:color="0075C9"/>
            </w:tcBorders>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240" w:type="dxa"/>
            <w:vAlign w:val="bottom"/>
            <w:tcBorders>
              <w:right w:val="single" w:sz="8" w:color="0075C9"/>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vMerge w:val="restart"/>
          </w:tcPr>
          <w:p>
            <w:pPr>
              <w:jc w:val="center"/>
              <w:spacing w:after="0"/>
              <w:rPr>
                <w:sz w:val="20"/>
                <w:szCs w:val="20"/>
                <w:color w:val="auto"/>
              </w:rPr>
            </w:pPr>
            <w:r>
              <w:rPr>
                <w:rFonts w:ascii="Arial" w:cs="Arial" w:eastAsia="Arial" w:hAnsi="Arial"/>
                <w:sz w:val="12"/>
                <w:szCs w:val="12"/>
                <w:color w:val="auto"/>
                <w:w w:val="99"/>
              </w:rPr>
              <w:t>85th Percentile</w:t>
            </w:r>
          </w:p>
        </w:tc>
        <w:tc>
          <w:tcPr>
            <w:tcW w:w="180" w:type="dxa"/>
            <w:vAlign w:val="bottom"/>
            <w:tcBorders>
              <w:right w:val="single" w:sz="8" w:color="0075C9"/>
            </w:tcBorders>
          </w:tcPr>
          <w:p>
            <w:pPr>
              <w:spacing w:after="0"/>
              <w:rPr>
                <w:sz w:val="7"/>
                <w:szCs w:val="7"/>
                <w:color w:val="auto"/>
              </w:rPr>
            </w:pPr>
          </w:p>
        </w:tc>
        <w:tc>
          <w:tcPr>
            <w:tcW w:w="940" w:type="dxa"/>
            <w:vAlign w:val="bottom"/>
            <w:tcBorders>
              <w:right w:val="single" w:sz="8" w:color="0075C9"/>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5"/>
        </w:trPr>
        <w:tc>
          <w:tcPr>
            <w:tcW w:w="1380" w:type="dxa"/>
            <w:vAlign w:val="bottom"/>
            <w:tcBorders>
              <w:right w:val="single" w:sz="8" w:color="0075C9"/>
            </w:tcBorders>
          </w:tcPr>
          <w:p>
            <w:pPr>
              <w:spacing w:after="0"/>
              <w:rPr>
                <w:sz w:val="4"/>
                <w:szCs w:val="4"/>
                <w:color w:val="auto"/>
              </w:rPr>
            </w:pPr>
          </w:p>
        </w:tc>
        <w:tc>
          <w:tcPr>
            <w:tcW w:w="7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40" w:type="dxa"/>
            <w:vAlign w:val="bottom"/>
            <w:tcBorders>
              <w:right w:val="single" w:sz="8" w:color="0075C9"/>
            </w:tcBorders>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80" w:type="dxa"/>
            <w:vAlign w:val="bottom"/>
            <w:tcBorders>
              <w:right w:val="single" w:sz="8" w:color="0075C9"/>
            </w:tcBorders>
          </w:tcPr>
          <w:p>
            <w:pPr>
              <w:spacing w:after="0"/>
              <w:rPr>
                <w:sz w:val="4"/>
                <w:szCs w:val="4"/>
                <w:color w:val="auto"/>
              </w:rPr>
            </w:pPr>
          </w:p>
        </w:tc>
        <w:tc>
          <w:tcPr>
            <w:tcW w:w="940" w:type="dxa"/>
            <w:vAlign w:val="bottom"/>
            <w:tcBorders>
              <w:right w:val="single" w:sz="8" w:color="0075C9"/>
            </w:tcBorders>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1380" w:type="dxa"/>
            <w:vAlign w:val="bottom"/>
            <w:tcBorders>
              <w:right w:val="single" w:sz="8" w:color="0075C9"/>
            </w:tcBorders>
          </w:tcPr>
          <w:p>
            <w:pPr>
              <w:spacing w:after="0"/>
              <w:rPr>
                <w:sz w:val="5"/>
                <w:szCs w:val="5"/>
                <w:color w:val="auto"/>
              </w:rPr>
            </w:pPr>
          </w:p>
        </w:tc>
        <w:tc>
          <w:tcPr>
            <w:tcW w:w="7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40" w:type="dxa"/>
            <w:vAlign w:val="bottom"/>
            <w:tcBorders>
              <w:right w:val="single" w:sz="8" w:color="0075C9"/>
            </w:tcBorders>
          </w:tcPr>
          <w:p>
            <w:pPr>
              <w:spacing w:after="0"/>
              <w:rPr>
                <w:sz w:val="5"/>
                <w:szCs w:val="5"/>
                <w:color w:val="auto"/>
              </w:rPr>
            </w:pPr>
          </w:p>
        </w:tc>
        <w:tc>
          <w:tcPr>
            <w:tcW w:w="1020" w:type="dxa"/>
            <w:vAlign w:val="bottom"/>
            <w:tcBorders>
              <w:bottom w:val="single" w:sz="8" w:color="0075C9"/>
            </w:tcBorders>
            <w:gridSpan w:val="2"/>
          </w:tcPr>
          <w:p>
            <w:pPr>
              <w:spacing w:after="0"/>
              <w:rPr>
                <w:sz w:val="5"/>
                <w:szCs w:val="5"/>
                <w:color w:val="auto"/>
              </w:rPr>
            </w:pPr>
          </w:p>
        </w:tc>
        <w:tc>
          <w:tcPr>
            <w:tcW w:w="180" w:type="dxa"/>
            <w:vAlign w:val="bottom"/>
            <w:tcBorders>
              <w:bottom w:val="single" w:sz="8" w:color="0075C9"/>
              <w:right w:val="single" w:sz="8" w:color="0075C9"/>
            </w:tcBorders>
          </w:tcPr>
          <w:p>
            <w:pPr>
              <w:spacing w:after="0"/>
              <w:rPr>
                <w:sz w:val="5"/>
                <w:szCs w:val="5"/>
                <w:color w:val="auto"/>
              </w:rPr>
            </w:pPr>
          </w:p>
        </w:tc>
        <w:tc>
          <w:tcPr>
            <w:tcW w:w="940" w:type="dxa"/>
            <w:vAlign w:val="bottom"/>
            <w:tcBorders>
              <w:right w:val="single" w:sz="8" w:color="0075C9"/>
            </w:tcBorders>
          </w:tcPr>
          <w:p>
            <w:pPr>
              <w:spacing w:after="0"/>
              <w:rPr>
                <w:sz w:val="5"/>
                <w:szCs w:val="5"/>
                <w:color w:val="auto"/>
              </w:rPr>
            </w:pPr>
          </w:p>
        </w:tc>
        <w:tc>
          <w:tcPr>
            <w:tcW w:w="0" w:type="dxa"/>
            <w:vAlign w:val="bottom"/>
          </w:tcPr>
          <w:p>
            <w:pPr>
              <w:spacing w:after="0"/>
              <w:rPr>
                <w:sz w:val="1"/>
                <w:szCs w:val="1"/>
                <w:color w:val="auto"/>
              </w:rPr>
            </w:pPr>
          </w:p>
        </w:tc>
      </w:tr>
      <w:tr>
        <w:trPr>
          <w:trHeight w:val="58"/>
        </w:trPr>
        <w:tc>
          <w:tcPr>
            <w:tcW w:w="1380" w:type="dxa"/>
            <w:vAlign w:val="bottom"/>
            <w:tcBorders>
              <w:right w:val="single" w:sz="8" w:color="0075C9"/>
            </w:tcBorders>
          </w:tcPr>
          <w:p>
            <w:pPr>
              <w:spacing w:after="0"/>
              <w:rPr>
                <w:sz w:val="5"/>
                <w:szCs w:val="5"/>
                <w:color w:val="auto"/>
              </w:rPr>
            </w:pPr>
          </w:p>
        </w:tc>
        <w:tc>
          <w:tcPr>
            <w:tcW w:w="780" w:type="dxa"/>
            <w:vAlign w:val="bottom"/>
            <w:tcBorders>
              <w:bottom w:val="single" w:sz="8" w:color="0075C9"/>
            </w:tcBorders>
          </w:tcPr>
          <w:p>
            <w:pPr>
              <w:spacing w:after="0"/>
              <w:rPr>
                <w:sz w:val="5"/>
                <w:szCs w:val="5"/>
                <w:color w:val="auto"/>
              </w:rPr>
            </w:pPr>
          </w:p>
        </w:tc>
        <w:tc>
          <w:tcPr>
            <w:tcW w:w="1160" w:type="dxa"/>
            <w:vAlign w:val="bottom"/>
            <w:tcBorders>
              <w:bottom w:val="single" w:sz="8" w:color="0075C9"/>
            </w:tcBorders>
          </w:tcPr>
          <w:p>
            <w:pPr>
              <w:spacing w:after="0"/>
              <w:rPr>
                <w:sz w:val="5"/>
                <w:szCs w:val="5"/>
                <w:color w:val="auto"/>
              </w:rPr>
            </w:pPr>
          </w:p>
        </w:tc>
        <w:tc>
          <w:tcPr>
            <w:tcW w:w="1220" w:type="dxa"/>
            <w:vAlign w:val="bottom"/>
            <w:tcBorders>
              <w:bottom w:val="single" w:sz="8" w:color="0075C9"/>
            </w:tcBorders>
          </w:tcPr>
          <w:p>
            <w:pPr>
              <w:spacing w:after="0"/>
              <w:rPr>
                <w:sz w:val="5"/>
                <w:szCs w:val="5"/>
                <w:color w:val="auto"/>
              </w:rPr>
            </w:pPr>
          </w:p>
        </w:tc>
        <w:tc>
          <w:tcPr>
            <w:tcW w:w="1240" w:type="dxa"/>
            <w:vAlign w:val="bottom"/>
            <w:tcBorders>
              <w:bottom w:val="single" w:sz="8" w:color="0075C9"/>
            </w:tcBorders>
          </w:tcPr>
          <w:p>
            <w:pPr>
              <w:spacing w:after="0"/>
              <w:rPr>
                <w:sz w:val="5"/>
                <w:szCs w:val="5"/>
                <w:color w:val="auto"/>
              </w:rPr>
            </w:pPr>
          </w:p>
        </w:tc>
        <w:tc>
          <w:tcPr>
            <w:tcW w:w="1020" w:type="dxa"/>
            <w:vAlign w:val="bottom"/>
            <w:tcBorders>
              <w:bottom w:val="single" w:sz="8" w:color="0075C9"/>
            </w:tcBorders>
            <w:gridSpan w:val="2"/>
          </w:tcPr>
          <w:p>
            <w:pPr>
              <w:spacing w:after="0"/>
              <w:rPr>
                <w:sz w:val="5"/>
                <w:szCs w:val="5"/>
                <w:color w:val="auto"/>
              </w:rPr>
            </w:pPr>
          </w:p>
        </w:tc>
        <w:tc>
          <w:tcPr>
            <w:tcW w:w="180" w:type="dxa"/>
            <w:vAlign w:val="bottom"/>
            <w:tcBorders>
              <w:bottom w:val="single" w:sz="8" w:color="0075C9"/>
            </w:tcBorders>
          </w:tcPr>
          <w:p>
            <w:pPr>
              <w:spacing w:after="0"/>
              <w:rPr>
                <w:sz w:val="5"/>
                <w:szCs w:val="5"/>
                <w:color w:val="auto"/>
              </w:rPr>
            </w:pPr>
          </w:p>
        </w:tc>
        <w:tc>
          <w:tcPr>
            <w:tcW w:w="940" w:type="dxa"/>
            <w:vAlign w:val="bottom"/>
            <w:tcBorders>
              <w:bottom w:val="single" w:sz="8" w:color="0075C9"/>
              <w:right w:val="single" w:sz="8" w:color="0075C9"/>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1380" w:type="dxa"/>
            <w:vAlign w:val="bottom"/>
          </w:tcPr>
          <w:p>
            <w:pPr>
              <w:spacing w:after="0"/>
              <w:rPr>
                <w:sz w:val="15"/>
                <w:szCs w:val="15"/>
                <w:color w:val="auto"/>
              </w:rPr>
            </w:pPr>
          </w:p>
        </w:tc>
        <w:tc>
          <w:tcPr>
            <w:tcW w:w="780" w:type="dxa"/>
            <w:vAlign w:val="bottom"/>
            <w:tcBorders>
              <w:bottom w:val="single" w:sz="8" w:color="0075C9"/>
            </w:tcBorders>
          </w:tcPr>
          <w:p>
            <w:pPr>
              <w:spacing w:after="0"/>
              <w:rPr>
                <w:sz w:val="15"/>
                <w:szCs w:val="15"/>
                <w:color w:val="auto"/>
              </w:rPr>
            </w:pPr>
          </w:p>
        </w:tc>
        <w:tc>
          <w:tcPr>
            <w:tcW w:w="1160" w:type="dxa"/>
            <w:vAlign w:val="bottom"/>
            <w:tcBorders>
              <w:bottom w:val="single" w:sz="8" w:color="0075C9"/>
            </w:tcBorders>
          </w:tcPr>
          <w:p>
            <w:pPr>
              <w:spacing w:after="0"/>
              <w:rPr>
                <w:sz w:val="15"/>
                <w:szCs w:val="15"/>
                <w:color w:val="auto"/>
              </w:rPr>
            </w:pPr>
          </w:p>
        </w:tc>
        <w:tc>
          <w:tcPr>
            <w:tcW w:w="1220" w:type="dxa"/>
            <w:vAlign w:val="bottom"/>
            <w:tcBorders>
              <w:bottom w:val="single" w:sz="8" w:color="0075C9"/>
            </w:tcBorders>
          </w:tcPr>
          <w:p>
            <w:pPr>
              <w:spacing w:after="0"/>
              <w:rPr>
                <w:sz w:val="15"/>
                <w:szCs w:val="15"/>
                <w:color w:val="auto"/>
              </w:rPr>
            </w:pPr>
          </w:p>
        </w:tc>
        <w:tc>
          <w:tcPr>
            <w:tcW w:w="1240" w:type="dxa"/>
            <w:vAlign w:val="bottom"/>
            <w:tcBorders>
              <w:bottom w:val="single" w:sz="8" w:color="0075C9"/>
            </w:tcBorders>
          </w:tcPr>
          <w:p>
            <w:pPr>
              <w:spacing w:after="0"/>
              <w:rPr>
                <w:sz w:val="15"/>
                <w:szCs w:val="15"/>
                <w:color w:val="auto"/>
              </w:rPr>
            </w:pPr>
          </w:p>
        </w:tc>
        <w:tc>
          <w:tcPr>
            <w:tcW w:w="1020" w:type="dxa"/>
            <w:vAlign w:val="bottom"/>
            <w:tcBorders>
              <w:bottom w:val="single" w:sz="8" w:color="0075C9"/>
            </w:tcBorders>
            <w:gridSpan w:val="2"/>
          </w:tcPr>
          <w:p>
            <w:pPr>
              <w:spacing w:after="0"/>
              <w:rPr>
                <w:sz w:val="15"/>
                <w:szCs w:val="15"/>
                <w:color w:val="auto"/>
              </w:rPr>
            </w:pPr>
          </w:p>
        </w:tc>
        <w:tc>
          <w:tcPr>
            <w:tcW w:w="180" w:type="dxa"/>
            <w:vAlign w:val="bottom"/>
            <w:tcBorders>
              <w:bottom w:val="single" w:sz="8" w:color="0075C9"/>
            </w:tcBorders>
          </w:tcPr>
          <w:p>
            <w:pPr>
              <w:spacing w:after="0"/>
              <w:rPr>
                <w:sz w:val="15"/>
                <w:szCs w:val="15"/>
                <w:color w:val="auto"/>
              </w:rPr>
            </w:pPr>
          </w:p>
        </w:tc>
        <w:tc>
          <w:tcPr>
            <w:tcW w:w="940" w:type="dxa"/>
            <w:vAlign w:val="bottom"/>
            <w:tcBorders>
              <w:bottom w:val="single" w:sz="8" w:color="0075C9"/>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380" w:type="dxa"/>
            <w:vAlign w:val="bottom"/>
            <w:tcBorders>
              <w:right w:val="single" w:sz="8" w:color="0075C9"/>
            </w:tcBorders>
            <w:vMerge w:val="restart"/>
          </w:tcPr>
          <w:p>
            <w:pPr>
              <w:jc w:val="right"/>
              <w:ind w:right="142"/>
              <w:spacing w:after="0"/>
              <w:rPr>
                <w:sz w:val="20"/>
                <w:szCs w:val="20"/>
                <w:color w:val="auto"/>
              </w:rPr>
            </w:pPr>
            <w:r>
              <w:rPr>
                <w:rFonts w:ascii="Arial" w:cs="Arial" w:eastAsia="Arial" w:hAnsi="Arial"/>
                <w:sz w:val="16"/>
                <w:szCs w:val="16"/>
                <w:color w:val="auto"/>
              </w:rPr>
              <w:t>Market Cap</w:t>
            </w:r>
          </w:p>
        </w:tc>
        <w:tc>
          <w:tcPr>
            <w:tcW w:w="780" w:type="dxa"/>
            <w:vAlign w:val="bottom"/>
            <w:vMerge w:val="restart"/>
          </w:tcPr>
          <w:p>
            <w:pPr>
              <w:jc w:val="right"/>
              <w:ind w:right="142"/>
              <w:spacing w:after="0"/>
              <w:rPr>
                <w:sz w:val="20"/>
                <w:szCs w:val="20"/>
                <w:color w:val="auto"/>
              </w:rPr>
            </w:pPr>
            <w:r>
              <w:rPr>
                <w:rFonts w:ascii="Arial" w:cs="Arial" w:eastAsia="Arial" w:hAnsi="Arial"/>
                <w:sz w:val="16"/>
                <w:szCs w:val="16"/>
                <w:color w:val="auto"/>
              </w:rPr>
              <w:t>$131</w:t>
            </w:r>
          </w:p>
        </w:tc>
        <w:tc>
          <w:tcPr>
            <w:tcW w:w="1160" w:type="dxa"/>
            <w:vAlign w:val="bottom"/>
            <w:vMerge w:val="restart"/>
          </w:tcPr>
          <w:p>
            <w:pPr>
              <w:jc w:val="right"/>
              <w:ind w:right="322"/>
              <w:spacing w:after="0"/>
              <w:rPr>
                <w:sz w:val="20"/>
                <w:szCs w:val="20"/>
                <w:color w:val="auto"/>
              </w:rPr>
            </w:pPr>
            <w:r>
              <w:rPr>
                <w:rFonts w:ascii="Arial" w:cs="Arial" w:eastAsia="Arial" w:hAnsi="Arial"/>
                <w:sz w:val="16"/>
                <w:szCs w:val="16"/>
                <w:color w:val="auto"/>
              </w:rPr>
              <w:t>$208</w:t>
            </w:r>
          </w:p>
        </w:tc>
        <w:tc>
          <w:tcPr>
            <w:tcW w:w="1220" w:type="dxa"/>
            <w:vAlign w:val="bottom"/>
            <w:vMerge w:val="restart"/>
          </w:tcPr>
          <w:p>
            <w:pPr>
              <w:jc w:val="right"/>
              <w:ind w:right="322"/>
              <w:spacing w:after="0"/>
              <w:rPr>
                <w:sz w:val="20"/>
                <w:szCs w:val="20"/>
                <w:color w:val="auto"/>
              </w:rPr>
            </w:pPr>
            <w:r>
              <w:rPr>
                <w:rFonts w:ascii="Arial" w:cs="Arial" w:eastAsia="Arial" w:hAnsi="Arial"/>
                <w:sz w:val="16"/>
                <w:szCs w:val="16"/>
                <w:color w:val="auto"/>
              </w:rPr>
              <w:t>$229</w:t>
            </w:r>
          </w:p>
        </w:tc>
        <w:tc>
          <w:tcPr>
            <w:tcW w:w="1240" w:type="dxa"/>
            <w:vAlign w:val="bottom"/>
            <w:tcBorders>
              <w:right w:val="single" w:sz="8" w:color="0075C9"/>
            </w:tcBorders>
            <w:vMerge w:val="restart"/>
          </w:tcPr>
          <w:p>
            <w:pPr>
              <w:jc w:val="right"/>
              <w:ind w:right="342"/>
              <w:spacing w:after="0"/>
              <w:rPr>
                <w:sz w:val="20"/>
                <w:szCs w:val="20"/>
                <w:color w:val="auto"/>
              </w:rPr>
            </w:pPr>
            <w:r>
              <w:rPr>
                <w:rFonts w:ascii="Arial" w:cs="Arial" w:eastAsia="Arial" w:hAnsi="Arial"/>
                <w:sz w:val="16"/>
                <w:szCs w:val="16"/>
                <w:color w:val="auto"/>
              </w:rPr>
              <w:t>$408</w:t>
            </w:r>
          </w:p>
        </w:tc>
        <w:tc>
          <w:tcPr>
            <w:tcW w:w="1020" w:type="dxa"/>
            <w:vAlign w:val="bottom"/>
            <w:gridSpan w:val="2"/>
          </w:tcPr>
          <w:p>
            <w:pPr>
              <w:jc w:val="right"/>
              <w:ind w:right="154"/>
              <w:spacing w:after="0"/>
              <w:rPr>
                <w:sz w:val="20"/>
                <w:szCs w:val="20"/>
                <w:color w:val="auto"/>
              </w:rPr>
            </w:pPr>
            <w:r>
              <w:rPr>
                <w:rFonts w:ascii="Arial" w:cs="Arial" w:eastAsia="Arial" w:hAnsi="Arial"/>
                <w:sz w:val="16"/>
                <w:szCs w:val="16"/>
                <w:color w:val="auto"/>
              </w:rPr>
              <w:t>$2,040</w:t>
            </w:r>
          </w:p>
        </w:tc>
        <w:tc>
          <w:tcPr>
            <w:tcW w:w="180" w:type="dxa"/>
            <w:vAlign w:val="bottom"/>
            <w:tcBorders>
              <w:right w:val="single" w:sz="8" w:color="0075C9"/>
            </w:tcBorders>
          </w:tcPr>
          <w:p>
            <w:pPr>
              <w:spacing w:after="0"/>
              <w:rPr>
                <w:sz w:val="16"/>
                <w:szCs w:val="16"/>
                <w:color w:val="auto"/>
              </w:rPr>
            </w:pPr>
          </w:p>
        </w:tc>
        <w:tc>
          <w:tcPr>
            <w:tcW w:w="940" w:type="dxa"/>
            <w:vAlign w:val="bottom"/>
            <w:tcBorders>
              <w:right w:val="single" w:sz="8" w:color="0075C9"/>
            </w:tcBorders>
            <w:vMerge w:val="restart"/>
          </w:tcPr>
          <w:p>
            <w:pPr>
              <w:jc w:val="right"/>
              <w:ind w:right="142"/>
              <w:spacing w:after="0"/>
              <w:rPr>
                <w:sz w:val="20"/>
                <w:szCs w:val="20"/>
                <w:color w:val="auto"/>
              </w:rPr>
            </w:pPr>
            <w:r>
              <w:rPr>
                <w:rFonts w:ascii="Arial" w:cs="Arial" w:eastAsia="Arial" w:hAnsi="Arial"/>
                <w:sz w:val="16"/>
                <w:szCs w:val="16"/>
                <w:color w:val="auto"/>
              </w:rPr>
              <w:t>$2,286</w:t>
            </w:r>
          </w:p>
        </w:tc>
        <w:tc>
          <w:tcPr>
            <w:tcW w:w="0" w:type="dxa"/>
            <w:vAlign w:val="bottom"/>
          </w:tcPr>
          <w:p>
            <w:pPr>
              <w:spacing w:after="0"/>
              <w:rPr>
                <w:sz w:val="1"/>
                <w:szCs w:val="1"/>
                <w:color w:val="auto"/>
              </w:rPr>
            </w:pPr>
          </w:p>
        </w:tc>
      </w:tr>
      <w:tr>
        <w:trPr>
          <w:trHeight w:val="91"/>
        </w:trPr>
        <w:tc>
          <w:tcPr>
            <w:tcW w:w="1380" w:type="dxa"/>
            <w:vAlign w:val="bottom"/>
            <w:tcBorders>
              <w:right w:val="single" w:sz="8" w:color="0075C9"/>
            </w:tcBorders>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240" w:type="dxa"/>
            <w:vAlign w:val="bottom"/>
            <w:tcBorders>
              <w:right w:val="single" w:sz="8" w:color="0075C9"/>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vMerge w:val="restart"/>
          </w:tcPr>
          <w:p>
            <w:pPr>
              <w:jc w:val="center"/>
              <w:spacing w:after="0"/>
              <w:rPr>
                <w:sz w:val="20"/>
                <w:szCs w:val="20"/>
                <w:color w:val="auto"/>
              </w:rPr>
            </w:pPr>
            <w:r>
              <w:rPr>
                <w:rFonts w:ascii="Arial" w:cs="Arial" w:eastAsia="Arial" w:hAnsi="Arial"/>
                <w:sz w:val="12"/>
                <w:szCs w:val="12"/>
                <w:color w:val="auto"/>
                <w:w w:val="99"/>
              </w:rPr>
              <w:t>98th Percentile</w:t>
            </w:r>
          </w:p>
        </w:tc>
        <w:tc>
          <w:tcPr>
            <w:tcW w:w="180" w:type="dxa"/>
            <w:vAlign w:val="bottom"/>
            <w:tcBorders>
              <w:right w:val="single" w:sz="8" w:color="0075C9"/>
            </w:tcBorders>
          </w:tcPr>
          <w:p>
            <w:pPr>
              <w:spacing w:after="0"/>
              <w:rPr>
                <w:sz w:val="7"/>
                <w:szCs w:val="7"/>
                <w:color w:val="auto"/>
              </w:rPr>
            </w:pPr>
          </w:p>
        </w:tc>
        <w:tc>
          <w:tcPr>
            <w:tcW w:w="940" w:type="dxa"/>
            <w:vAlign w:val="bottom"/>
            <w:tcBorders>
              <w:right w:val="single" w:sz="8" w:color="0075C9"/>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5"/>
        </w:trPr>
        <w:tc>
          <w:tcPr>
            <w:tcW w:w="1380" w:type="dxa"/>
            <w:vAlign w:val="bottom"/>
            <w:tcBorders>
              <w:right w:val="single" w:sz="8" w:color="0075C9"/>
            </w:tcBorders>
          </w:tcPr>
          <w:p>
            <w:pPr>
              <w:spacing w:after="0"/>
              <w:rPr>
                <w:sz w:val="4"/>
                <w:szCs w:val="4"/>
                <w:color w:val="auto"/>
              </w:rPr>
            </w:pPr>
          </w:p>
        </w:tc>
        <w:tc>
          <w:tcPr>
            <w:tcW w:w="7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40" w:type="dxa"/>
            <w:vAlign w:val="bottom"/>
            <w:tcBorders>
              <w:right w:val="single" w:sz="8" w:color="0075C9"/>
            </w:tcBorders>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80" w:type="dxa"/>
            <w:vAlign w:val="bottom"/>
            <w:tcBorders>
              <w:right w:val="single" w:sz="8" w:color="0075C9"/>
            </w:tcBorders>
          </w:tcPr>
          <w:p>
            <w:pPr>
              <w:spacing w:after="0"/>
              <w:rPr>
                <w:sz w:val="4"/>
                <w:szCs w:val="4"/>
                <w:color w:val="auto"/>
              </w:rPr>
            </w:pPr>
          </w:p>
        </w:tc>
        <w:tc>
          <w:tcPr>
            <w:tcW w:w="940" w:type="dxa"/>
            <w:vAlign w:val="bottom"/>
            <w:tcBorders>
              <w:right w:val="single" w:sz="8" w:color="0075C9"/>
            </w:tcBorders>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1380" w:type="dxa"/>
            <w:vAlign w:val="bottom"/>
            <w:tcBorders>
              <w:right w:val="single" w:sz="8" w:color="0075C9"/>
            </w:tcBorders>
          </w:tcPr>
          <w:p>
            <w:pPr>
              <w:spacing w:after="0"/>
              <w:rPr>
                <w:sz w:val="5"/>
                <w:szCs w:val="5"/>
                <w:color w:val="auto"/>
              </w:rPr>
            </w:pPr>
          </w:p>
        </w:tc>
        <w:tc>
          <w:tcPr>
            <w:tcW w:w="7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40" w:type="dxa"/>
            <w:vAlign w:val="bottom"/>
            <w:tcBorders>
              <w:right w:val="single" w:sz="8" w:color="0075C9"/>
            </w:tcBorders>
          </w:tcPr>
          <w:p>
            <w:pPr>
              <w:spacing w:after="0"/>
              <w:rPr>
                <w:sz w:val="5"/>
                <w:szCs w:val="5"/>
                <w:color w:val="auto"/>
              </w:rPr>
            </w:pPr>
          </w:p>
        </w:tc>
        <w:tc>
          <w:tcPr>
            <w:tcW w:w="80" w:type="dxa"/>
            <w:vAlign w:val="bottom"/>
            <w:tcBorders>
              <w:bottom w:val="single" w:sz="8" w:color="0075C9"/>
            </w:tcBorders>
          </w:tcPr>
          <w:p>
            <w:pPr>
              <w:spacing w:after="0"/>
              <w:rPr>
                <w:sz w:val="5"/>
                <w:szCs w:val="5"/>
                <w:color w:val="auto"/>
              </w:rPr>
            </w:pPr>
          </w:p>
        </w:tc>
        <w:tc>
          <w:tcPr>
            <w:tcW w:w="940" w:type="dxa"/>
            <w:vAlign w:val="bottom"/>
            <w:tcBorders>
              <w:bottom w:val="single" w:sz="8" w:color="0075C9"/>
            </w:tcBorders>
          </w:tcPr>
          <w:p>
            <w:pPr>
              <w:spacing w:after="0"/>
              <w:rPr>
                <w:sz w:val="5"/>
                <w:szCs w:val="5"/>
                <w:color w:val="auto"/>
              </w:rPr>
            </w:pPr>
          </w:p>
        </w:tc>
        <w:tc>
          <w:tcPr>
            <w:tcW w:w="180" w:type="dxa"/>
            <w:vAlign w:val="bottom"/>
            <w:tcBorders>
              <w:bottom w:val="single" w:sz="8" w:color="0075C9"/>
              <w:right w:val="single" w:sz="8" w:color="0075C9"/>
            </w:tcBorders>
          </w:tcPr>
          <w:p>
            <w:pPr>
              <w:spacing w:after="0"/>
              <w:rPr>
                <w:sz w:val="5"/>
                <w:szCs w:val="5"/>
                <w:color w:val="auto"/>
              </w:rPr>
            </w:pPr>
          </w:p>
        </w:tc>
        <w:tc>
          <w:tcPr>
            <w:tcW w:w="940" w:type="dxa"/>
            <w:vAlign w:val="bottom"/>
            <w:tcBorders>
              <w:right w:val="single" w:sz="8" w:color="0075C9"/>
            </w:tcBorders>
          </w:tcPr>
          <w:p>
            <w:pPr>
              <w:spacing w:after="0"/>
              <w:rPr>
                <w:sz w:val="5"/>
                <w:szCs w:val="5"/>
                <w:color w:val="auto"/>
              </w:rPr>
            </w:pPr>
          </w:p>
        </w:tc>
        <w:tc>
          <w:tcPr>
            <w:tcW w:w="0" w:type="dxa"/>
            <w:vAlign w:val="bottom"/>
          </w:tcPr>
          <w:p>
            <w:pPr>
              <w:spacing w:after="0"/>
              <w:rPr>
                <w:sz w:val="1"/>
                <w:szCs w:val="1"/>
                <w:color w:val="auto"/>
              </w:rPr>
            </w:pPr>
          </w:p>
        </w:tc>
      </w:tr>
      <w:tr>
        <w:trPr>
          <w:trHeight w:val="58"/>
        </w:trPr>
        <w:tc>
          <w:tcPr>
            <w:tcW w:w="1380" w:type="dxa"/>
            <w:vAlign w:val="bottom"/>
            <w:tcBorders>
              <w:right w:val="single" w:sz="8" w:color="0075C9"/>
            </w:tcBorders>
          </w:tcPr>
          <w:p>
            <w:pPr>
              <w:spacing w:after="0"/>
              <w:rPr>
                <w:sz w:val="5"/>
                <w:szCs w:val="5"/>
                <w:color w:val="auto"/>
              </w:rPr>
            </w:pPr>
          </w:p>
        </w:tc>
        <w:tc>
          <w:tcPr>
            <w:tcW w:w="780" w:type="dxa"/>
            <w:vAlign w:val="bottom"/>
            <w:tcBorders>
              <w:bottom w:val="single" w:sz="8" w:color="0075C9"/>
            </w:tcBorders>
          </w:tcPr>
          <w:p>
            <w:pPr>
              <w:spacing w:after="0"/>
              <w:rPr>
                <w:sz w:val="5"/>
                <w:szCs w:val="5"/>
                <w:color w:val="auto"/>
              </w:rPr>
            </w:pPr>
          </w:p>
        </w:tc>
        <w:tc>
          <w:tcPr>
            <w:tcW w:w="1160" w:type="dxa"/>
            <w:vAlign w:val="bottom"/>
            <w:tcBorders>
              <w:bottom w:val="single" w:sz="8" w:color="0075C9"/>
            </w:tcBorders>
          </w:tcPr>
          <w:p>
            <w:pPr>
              <w:spacing w:after="0"/>
              <w:rPr>
                <w:sz w:val="5"/>
                <w:szCs w:val="5"/>
                <w:color w:val="auto"/>
              </w:rPr>
            </w:pPr>
          </w:p>
        </w:tc>
        <w:tc>
          <w:tcPr>
            <w:tcW w:w="1220" w:type="dxa"/>
            <w:vAlign w:val="bottom"/>
            <w:tcBorders>
              <w:bottom w:val="single" w:sz="8" w:color="0075C9"/>
            </w:tcBorders>
          </w:tcPr>
          <w:p>
            <w:pPr>
              <w:spacing w:after="0"/>
              <w:rPr>
                <w:sz w:val="5"/>
                <w:szCs w:val="5"/>
                <w:color w:val="auto"/>
              </w:rPr>
            </w:pPr>
          </w:p>
        </w:tc>
        <w:tc>
          <w:tcPr>
            <w:tcW w:w="1240" w:type="dxa"/>
            <w:vAlign w:val="bottom"/>
            <w:tcBorders>
              <w:bottom w:val="single" w:sz="8" w:color="0075C9"/>
            </w:tcBorders>
          </w:tcPr>
          <w:p>
            <w:pPr>
              <w:spacing w:after="0"/>
              <w:rPr>
                <w:sz w:val="5"/>
                <w:szCs w:val="5"/>
                <w:color w:val="auto"/>
              </w:rPr>
            </w:pPr>
          </w:p>
        </w:tc>
        <w:tc>
          <w:tcPr>
            <w:tcW w:w="80" w:type="dxa"/>
            <w:vAlign w:val="bottom"/>
            <w:tcBorders>
              <w:bottom w:val="single" w:sz="8" w:color="0075C9"/>
            </w:tcBorders>
          </w:tcPr>
          <w:p>
            <w:pPr>
              <w:spacing w:after="0"/>
              <w:rPr>
                <w:sz w:val="5"/>
                <w:szCs w:val="5"/>
                <w:color w:val="auto"/>
              </w:rPr>
            </w:pPr>
          </w:p>
        </w:tc>
        <w:tc>
          <w:tcPr>
            <w:tcW w:w="940" w:type="dxa"/>
            <w:vAlign w:val="bottom"/>
            <w:tcBorders>
              <w:bottom w:val="single" w:sz="8" w:color="0075C9"/>
            </w:tcBorders>
          </w:tcPr>
          <w:p>
            <w:pPr>
              <w:spacing w:after="0"/>
              <w:rPr>
                <w:sz w:val="5"/>
                <w:szCs w:val="5"/>
                <w:color w:val="auto"/>
              </w:rPr>
            </w:pPr>
          </w:p>
        </w:tc>
        <w:tc>
          <w:tcPr>
            <w:tcW w:w="180" w:type="dxa"/>
            <w:vAlign w:val="bottom"/>
            <w:tcBorders>
              <w:bottom w:val="single" w:sz="8" w:color="0075C9"/>
            </w:tcBorders>
          </w:tcPr>
          <w:p>
            <w:pPr>
              <w:spacing w:after="0"/>
              <w:rPr>
                <w:sz w:val="5"/>
                <w:szCs w:val="5"/>
                <w:color w:val="auto"/>
              </w:rPr>
            </w:pPr>
          </w:p>
        </w:tc>
        <w:tc>
          <w:tcPr>
            <w:tcW w:w="940" w:type="dxa"/>
            <w:vAlign w:val="bottom"/>
            <w:tcBorders>
              <w:bottom w:val="single" w:sz="8" w:color="0075C9"/>
              <w:right w:val="single" w:sz="8" w:color="0075C9"/>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Performance-Based Pay and Goal Setting</w:t>
      </w:r>
    </w:p>
    <w:p>
      <w:pPr>
        <w:spacing w:after="0" w:line="129" w:lineRule="exact"/>
        <w:rPr>
          <w:sz w:val="20"/>
          <w:szCs w:val="20"/>
          <w:color w:val="auto"/>
        </w:rPr>
      </w:pPr>
    </w:p>
    <w:p>
      <w:pPr>
        <w:ind w:left="1100" w:right="300"/>
        <w:spacing w:after="0" w:line="239" w:lineRule="auto"/>
        <w:rPr>
          <w:sz w:val="20"/>
          <w:szCs w:val="20"/>
          <w:color w:val="auto"/>
        </w:rPr>
      </w:pPr>
      <w:r>
        <w:rPr>
          <w:rFonts w:ascii="Arial" w:cs="Arial" w:eastAsia="Arial" w:hAnsi="Arial"/>
          <w:sz w:val="16"/>
          <w:szCs w:val="16"/>
          <w:color w:val="auto"/>
        </w:rPr>
        <w:t>Our incentive compensation arrangements are tied to specific performance measures that drive long-term performance and value creation. For fiscal year 2021:</w:t>
      </w:r>
    </w:p>
    <w:p>
      <w:pPr>
        <w:spacing w:after="0" w:line="113" w:lineRule="exact"/>
        <w:rPr>
          <w:sz w:val="20"/>
          <w:szCs w:val="20"/>
          <w:color w:val="auto"/>
        </w:rPr>
      </w:pPr>
    </w:p>
    <w:p>
      <w:pPr>
        <w:ind w:left="1260" w:hanging="158"/>
        <w:spacing w:after="0"/>
        <w:tabs>
          <w:tab w:leader="none" w:pos="12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Over 60% of our Named Executives’ annual target compensation opportunity was performance-based, on average</w:t>
      </w:r>
    </w:p>
    <w:p>
      <w:pPr>
        <w:spacing w:after="0" w:line="113" w:lineRule="exact"/>
        <w:rPr>
          <w:rFonts w:ascii="Arial" w:cs="Arial" w:eastAsia="Arial" w:hAnsi="Arial"/>
          <w:sz w:val="16"/>
          <w:szCs w:val="16"/>
          <w:color w:val="auto"/>
        </w:rPr>
      </w:pPr>
    </w:p>
    <w:p>
      <w:pPr>
        <w:ind w:left="1260" w:right="700" w:hanging="158"/>
        <w:spacing w:after="0" w:line="239" w:lineRule="auto"/>
        <w:tabs>
          <w:tab w:leader="none" w:pos="12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50% of our Named Executives’ annual cash incentive (70% in the case of the CEO) was tied to achieving pre-established financial metric targets</w:t>
      </w:r>
    </w:p>
    <w:p>
      <w:pPr>
        <w:spacing w:after="0" w:line="112" w:lineRule="exact"/>
        <w:rPr>
          <w:rFonts w:ascii="Arial" w:cs="Arial" w:eastAsia="Arial" w:hAnsi="Arial"/>
          <w:sz w:val="16"/>
          <w:szCs w:val="16"/>
          <w:color w:val="auto"/>
        </w:rPr>
      </w:pPr>
    </w:p>
    <w:p>
      <w:pPr>
        <w:ind w:left="1260" w:right="340" w:hanging="158"/>
        <w:spacing w:after="0" w:line="308" w:lineRule="auto"/>
        <w:tabs>
          <w:tab w:leader="none" w:pos="1260" w:val="left"/>
        </w:tabs>
        <w:numPr>
          <w:ilvl w:val="0"/>
          <w:numId w:val="74"/>
        </w:numPr>
        <w:rPr>
          <w:rFonts w:ascii="Arial" w:cs="Arial" w:eastAsia="Arial" w:hAnsi="Arial"/>
          <w:sz w:val="14"/>
          <w:szCs w:val="14"/>
          <w:color w:val="auto"/>
        </w:rPr>
      </w:pPr>
      <w:r>
        <w:rPr>
          <w:rFonts w:ascii="Arial" w:cs="Arial" w:eastAsia="Arial" w:hAnsi="Arial"/>
          <w:sz w:val="14"/>
          <w:szCs w:val="14"/>
          <w:color w:val="auto"/>
        </w:rPr>
        <w:t>50% of our Named Executives’ annual target equity opportunity (70% in the case of the CEO) was delivered in the form of a performance-based stock award with payouts based on achievement against pre-established quantitative performance metrics</w:t>
      </w:r>
    </w:p>
    <w:p>
      <w:pPr>
        <w:spacing w:after="0" w:line="65" w:lineRule="exact"/>
        <w:rPr>
          <w:rFonts w:ascii="Arial" w:cs="Arial" w:eastAsia="Arial" w:hAnsi="Arial"/>
          <w:sz w:val="14"/>
          <w:szCs w:val="14"/>
          <w:color w:val="auto"/>
        </w:rPr>
      </w:pPr>
    </w:p>
    <w:p>
      <w:pPr>
        <w:ind w:left="1260" w:right="520" w:hanging="158"/>
        <w:spacing w:after="0" w:line="238" w:lineRule="auto"/>
        <w:tabs>
          <w:tab w:leader="none" w:pos="12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Management and our Compensation Committee discussed in detail the metrics that determine performance stock awards to ensure they are leading indicators that will drive long-term performance and value creation and the Committee establishes rigorous goals to require significant improvement</w:t>
      </w:r>
    </w:p>
    <w:p>
      <w:pPr>
        <w:spacing w:after="0" w:line="113" w:lineRule="exact"/>
        <w:rPr>
          <w:rFonts w:ascii="Arial" w:cs="Arial" w:eastAsia="Arial" w:hAnsi="Arial"/>
          <w:sz w:val="16"/>
          <w:szCs w:val="16"/>
          <w:color w:val="auto"/>
        </w:rPr>
      </w:pPr>
    </w:p>
    <w:p>
      <w:pPr>
        <w:ind w:left="1260" w:right="360" w:hanging="158"/>
        <w:spacing w:after="0" w:line="239" w:lineRule="auto"/>
        <w:tabs>
          <w:tab w:leader="none" w:pos="12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Performance stock awards include a relative TSR modifier to strengthen the alignment of the interests of our executive officers with the long-term interests of our shareholders</w:t>
      </w:r>
    </w:p>
    <w:p>
      <w:pPr>
        <w:spacing w:after="0" w:line="100" w:lineRule="exact"/>
        <w:rPr>
          <w:sz w:val="20"/>
          <w:szCs w:val="20"/>
          <w:color w:val="auto"/>
        </w:rPr>
      </w:pPr>
    </w:p>
    <w:p>
      <w:pPr>
        <w:ind w:left="1100" w:right="240"/>
        <w:spacing w:after="0" w:line="275" w:lineRule="auto"/>
        <w:rPr>
          <w:sz w:val="20"/>
          <w:szCs w:val="20"/>
          <w:color w:val="auto"/>
        </w:rPr>
      </w:pPr>
      <w:r>
        <w:rPr>
          <w:rFonts w:ascii="Arial" w:cs="Arial" w:eastAsia="Arial" w:hAnsi="Arial"/>
          <w:sz w:val="14"/>
          <w:szCs w:val="14"/>
          <w:color w:val="auto"/>
        </w:rPr>
        <w:t>Our Compensation Committee sets cash incentive and PSA metric targets at the levels established, after review and engagement by the Board, for internal budgeting purposes. These targets are intended to be challenging but achievable. Our Compensation Committee then determines thresholds, maximums, and interim payout levels after considering historical data, upside/downside scenarios, sensitivity analysis, and year-over-year growth comparisons, to ensure rigorous alignment of payouts to performance. We set thresholds that we believe are reasonably achievable and maximums that we believe can be reached only with exceptional performance. Our Compensation Committee actively reviews the appropriateness of payout thresholds and maximums for each metric. Our Compensation Committee focuses on ensuring that our challenging goals, when achieved, will result in shareholder value creation and, historically, our performance on these challenging goals has led to substantial returns to our shareholders.</w:t>
      </w:r>
    </w:p>
    <w:p>
      <w:pPr>
        <w:spacing w:after="0" w:line="200" w:lineRule="exact"/>
        <w:rPr>
          <w:sz w:val="20"/>
          <w:szCs w:val="20"/>
          <w:color w:val="auto"/>
        </w:rPr>
      </w:pPr>
    </w:p>
    <w:p>
      <w:pPr>
        <w:spacing w:after="0" w:line="279"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2021 PROXY STATEMENT</w:t>
      </w:r>
      <w:r>
        <w:rPr>
          <w:sz w:val="20"/>
          <w:szCs w:val="20"/>
          <w:color w:val="auto"/>
        </w:rPr>
        <w:tab/>
      </w:r>
      <w:r>
        <w:rPr>
          <w:rFonts w:ascii="Arial" w:cs="Arial" w:eastAsia="Arial" w:hAnsi="Arial"/>
          <w:sz w:val="12"/>
          <w:szCs w:val="12"/>
          <w:b w:val="1"/>
          <w:bCs w:val="1"/>
          <w:color w:val="0075C9"/>
        </w:rPr>
        <w:t>39</w:t>
      </w:r>
    </w:p>
    <w:p>
      <w:pPr>
        <w:sectPr>
          <w:pgSz w:w="11900" w:h="16838" w:orient="portrait"/>
          <w:cols w:equalWidth="0" w:num="1">
            <w:col w:w="10280"/>
          </w:cols>
          <w:pgMar w:left="320" w:top="445" w:right="1299" w:bottom="1440" w:gutter="0" w:footer="0" w:header="0"/>
          <w:type w:val="continuous"/>
        </w:sectPr>
      </w:pPr>
    </w:p>
    <w:bookmarkStart w:id="47" w:name="page48"/>
    <w:bookmarkEnd w:id="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auto"/>
                <w:w w:val="89"/>
              </w:rPr>
              <w:t>1</w:t>
            </w:r>
          </w:p>
        </w:tc>
        <w:tc>
          <w:tcPr>
            <w:tcW w:w="1380" w:type="dxa"/>
            <w:vAlign w:val="bottom"/>
            <w:vMerge w:val="restart"/>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gridSpan w:val="2"/>
          </w:tcPr>
          <w:p>
            <w:pPr>
              <w:jc w:val="right"/>
              <w:ind w:right="80"/>
              <w:spacing w:after="0"/>
              <w:rPr>
                <w:sz w:val="20"/>
                <w:szCs w:val="20"/>
                <w:color w:val="auto"/>
              </w:rPr>
            </w:pPr>
            <w:r>
              <w:rPr>
                <w:rFonts w:ascii="Arial" w:cs="Arial" w:eastAsia="Arial" w:hAnsi="Arial"/>
                <w:sz w:val="36"/>
                <w:szCs w:val="36"/>
                <w:color w:val="0075C9"/>
              </w:rPr>
              <w:t>2</w:t>
            </w:r>
          </w:p>
        </w:tc>
        <w:tc>
          <w:tcPr>
            <w:tcW w:w="1320" w:type="dxa"/>
            <w:vAlign w:val="bottom"/>
            <w:vMerge w:val="restart"/>
          </w:tcPr>
          <w:p>
            <w:pPr>
              <w:ind w:left="60"/>
              <w:spacing w:after="0"/>
              <w:rPr>
                <w:sz w:val="20"/>
                <w:szCs w:val="20"/>
                <w:color w:val="auto"/>
              </w:rPr>
            </w:pPr>
            <w:r>
              <w:rPr>
                <w:rFonts w:ascii="Arial" w:cs="Arial" w:eastAsia="Arial" w:hAnsi="Arial"/>
                <w:sz w:val="12"/>
                <w:szCs w:val="12"/>
                <w:color w:val="0075C9"/>
              </w:rPr>
              <w:t>NAMED</w:t>
            </w:r>
          </w:p>
        </w:tc>
        <w:tc>
          <w:tcPr>
            <w:tcW w:w="740" w:type="dxa"/>
            <w:vAlign w:val="bottom"/>
          </w:tcPr>
          <w:p>
            <w:pPr>
              <w:jc w:val="right"/>
              <w:spacing w:after="0"/>
              <w:rPr>
                <w:sz w:val="20"/>
                <w:szCs w:val="20"/>
                <w:color w:val="auto"/>
              </w:rPr>
            </w:pPr>
            <w:r>
              <w:rPr>
                <w:rFonts w:ascii="Arial" w:cs="Arial" w:eastAsia="Arial" w:hAnsi="Arial"/>
                <w:sz w:val="36"/>
                <w:szCs w:val="36"/>
                <w:color w:val="auto"/>
              </w:rPr>
              <w:t>3</w:t>
            </w:r>
          </w:p>
        </w:tc>
        <w:tc>
          <w:tcPr>
            <w:tcW w:w="1020" w:type="dxa"/>
            <w:vAlign w:val="bottom"/>
            <w:vMerge w:val="restart"/>
          </w:tcPr>
          <w:p>
            <w:pPr>
              <w:ind w:left="60"/>
              <w:spacing w:after="0"/>
              <w:rPr>
                <w:sz w:val="20"/>
                <w:szCs w:val="20"/>
                <w:color w:val="auto"/>
              </w:rPr>
            </w:pPr>
            <w:r>
              <w:rPr>
                <w:rFonts w:ascii="Arial" w:cs="Arial" w:eastAsia="Arial" w:hAnsi="Arial"/>
                <w:sz w:val="12"/>
                <w:szCs w:val="12"/>
                <w:color w:val="auto"/>
              </w:rPr>
              <w:t>AUDIT</w:t>
            </w:r>
          </w:p>
        </w:tc>
        <w:tc>
          <w:tcPr>
            <w:tcW w:w="500" w:type="dxa"/>
            <w:vAlign w:val="bottom"/>
          </w:tcPr>
          <w:p>
            <w:pPr>
              <w:jc w:val="right"/>
              <w:spacing w:after="0"/>
              <w:rPr>
                <w:sz w:val="20"/>
                <w:szCs w:val="20"/>
                <w:color w:val="auto"/>
              </w:rPr>
            </w:pPr>
            <w:r>
              <w:rPr>
                <w:rFonts w:ascii="Arial" w:cs="Arial" w:eastAsia="Arial" w:hAnsi="Arial"/>
                <w:sz w:val="36"/>
                <w:szCs w:val="36"/>
                <w:color w:val="auto"/>
              </w:rPr>
              <w:t>4</w:t>
            </w:r>
          </w:p>
        </w:tc>
        <w:tc>
          <w:tcPr>
            <w:tcW w:w="1580" w:type="dxa"/>
            <w:vAlign w:val="bottom"/>
            <w:vMerge w:val="restart"/>
          </w:tcPr>
          <w:p>
            <w:pPr>
              <w:ind w:left="80"/>
              <w:spacing w:after="0"/>
              <w:rPr>
                <w:sz w:val="20"/>
                <w:szCs w:val="20"/>
                <w:color w:val="auto"/>
              </w:rPr>
            </w:pPr>
            <w:r>
              <w:rPr>
                <w:rFonts w:ascii="Arial" w:cs="Arial" w:eastAsia="Arial" w:hAnsi="Arial"/>
                <w:sz w:val="12"/>
                <w:szCs w:val="12"/>
                <w:color w:val="auto"/>
              </w:rPr>
              <w:t>PROPOSALS TO</w:t>
            </w:r>
          </w:p>
        </w:tc>
        <w:tc>
          <w:tcPr>
            <w:tcW w:w="420" w:type="dxa"/>
            <w:vAlign w:val="bottom"/>
          </w:tcPr>
          <w:p>
            <w:pPr>
              <w:jc w:val="right"/>
              <w:spacing w:after="0"/>
              <w:rPr>
                <w:sz w:val="20"/>
                <w:szCs w:val="20"/>
                <w:color w:val="auto"/>
              </w:rPr>
            </w:pPr>
            <w:r>
              <w:rPr>
                <w:rFonts w:ascii="Arial" w:cs="Arial" w:eastAsia="Arial" w:hAnsi="Arial"/>
                <w:sz w:val="36"/>
                <w:szCs w:val="36"/>
                <w:color w:val="auto"/>
              </w:rPr>
              <w:t>5</w:t>
            </w:r>
          </w:p>
        </w:tc>
        <w:tc>
          <w:tcPr>
            <w:tcW w:w="920" w:type="dxa"/>
            <w:vAlign w:val="bottom"/>
            <w:vMerge w:val="restart"/>
          </w:tcPr>
          <w:p>
            <w:pPr>
              <w:ind w:left="8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38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tcPr>
          <w:p>
            <w:pPr>
              <w:ind w:left="60"/>
              <w:spacing w:after="0" w:line="130" w:lineRule="exact"/>
              <w:rPr>
                <w:sz w:val="20"/>
                <w:szCs w:val="20"/>
                <w:color w:val="auto"/>
              </w:rPr>
            </w:pPr>
            <w:r>
              <w:rPr>
                <w:rFonts w:ascii="Arial" w:cs="Arial" w:eastAsia="Arial" w:hAnsi="Arial"/>
                <w:sz w:val="12"/>
                <w:szCs w:val="12"/>
                <w:color w:val="0075C9"/>
                <w:w w:val="99"/>
              </w:rPr>
              <w:t>EXECUTIVE OFFICER</w:t>
            </w:r>
          </w:p>
        </w:tc>
        <w:tc>
          <w:tcPr>
            <w:tcW w:w="740" w:type="dxa"/>
            <w:vAlign w:val="bottom"/>
          </w:tcPr>
          <w:p>
            <w:pPr>
              <w:spacing w:after="0"/>
              <w:rPr>
                <w:sz w:val="11"/>
                <w:szCs w:val="11"/>
                <w:color w:val="auto"/>
              </w:rPr>
            </w:pPr>
          </w:p>
        </w:tc>
        <w:tc>
          <w:tcPr>
            <w:tcW w:w="1020" w:type="dxa"/>
            <w:vAlign w:val="bottom"/>
          </w:tcPr>
          <w:p>
            <w:pPr>
              <w:ind w:left="60"/>
              <w:spacing w:after="0" w:line="130" w:lineRule="exact"/>
              <w:rPr>
                <w:sz w:val="20"/>
                <w:szCs w:val="20"/>
                <w:color w:val="auto"/>
              </w:rPr>
            </w:pPr>
            <w:r>
              <w:rPr>
                <w:rFonts w:ascii="Arial" w:cs="Arial" w:eastAsia="Arial" w:hAnsi="Arial"/>
                <w:sz w:val="12"/>
                <w:szCs w:val="12"/>
                <w:color w:val="auto"/>
              </w:rPr>
              <w:t>COMMITTEE</w:t>
            </w:r>
          </w:p>
        </w:tc>
        <w:tc>
          <w:tcPr>
            <w:tcW w:w="500" w:type="dxa"/>
            <w:vAlign w:val="bottom"/>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20" w:type="dxa"/>
            <w:vAlign w:val="bottom"/>
          </w:tcPr>
          <w:p>
            <w:pPr>
              <w:spacing w:after="0"/>
              <w:rPr>
                <w:sz w:val="11"/>
                <w:szCs w:val="11"/>
                <w:color w:val="auto"/>
              </w:rPr>
            </w:pPr>
          </w:p>
        </w:tc>
        <w:tc>
          <w:tcPr>
            <w:tcW w:w="92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380" w:type="dxa"/>
            <w:vAlign w:val="bottom"/>
          </w:tcPr>
          <w:p>
            <w:pPr>
              <w:ind w:left="80"/>
              <w:spacing w:after="0"/>
              <w:rPr>
                <w:sz w:val="20"/>
                <w:szCs w:val="20"/>
                <w:color w:val="auto"/>
              </w:rPr>
            </w:pPr>
            <w:r>
              <w:rPr>
                <w:rFonts w:ascii="Arial" w:cs="Arial" w:eastAsia="Arial" w:hAnsi="Arial"/>
                <w:sz w:val="12"/>
                <w:szCs w:val="12"/>
                <w:color w:val="auto"/>
              </w:rPr>
              <w:t>DIRECTORS</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0075C9"/>
              </w:rPr>
              <w:t>COMPENSATION</w:t>
            </w:r>
          </w:p>
        </w:tc>
        <w:tc>
          <w:tcPr>
            <w:tcW w:w="740" w:type="dxa"/>
            <w:vAlign w:val="bottom"/>
          </w:tcPr>
          <w:p>
            <w:pPr>
              <w:spacing w:after="0"/>
              <w:rPr>
                <w:sz w:val="12"/>
                <w:szCs w:val="12"/>
                <w:color w:val="auto"/>
              </w:rPr>
            </w:pPr>
          </w:p>
        </w:tc>
        <w:tc>
          <w:tcPr>
            <w:tcW w:w="1020" w:type="dxa"/>
            <w:vAlign w:val="bottom"/>
          </w:tcPr>
          <w:p>
            <w:pPr>
              <w:ind w:left="60"/>
              <w:spacing w:after="0"/>
              <w:rPr>
                <w:sz w:val="20"/>
                <w:szCs w:val="20"/>
                <w:color w:val="auto"/>
              </w:rPr>
            </w:pPr>
            <w:r>
              <w:rPr>
                <w:rFonts w:ascii="Arial" w:cs="Arial" w:eastAsia="Arial" w:hAnsi="Arial"/>
                <w:sz w:val="12"/>
                <w:szCs w:val="12"/>
                <w:color w:val="auto"/>
              </w:rPr>
              <w:t>MATTERS</w:t>
            </w:r>
          </w:p>
        </w:tc>
        <w:tc>
          <w:tcPr>
            <w:tcW w:w="500" w:type="dxa"/>
            <w:vAlign w:val="bottom"/>
          </w:tcPr>
          <w:p>
            <w:pPr>
              <w:spacing w:after="0"/>
              <w:rPr>
                <w:sz w:val="12"/>
                <w:szCs w:val="12"/>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20" w:type="dxa"/>
            <w:vAlign w:val="bottom"/>
          </w:tcPr>
          <w:p>
            <w:pPr>
              <w:spacing w:after="0"/>
              <w:rPr>
                <w:sz w:val="12"/>
                <w:szCs w:val="12"/>
                <w:color w:val="auto"/>
              </w:rPr>
            </w:pPr>
          </w:p>
        </w:tc>
        <w:tc>
          <w:tcPr>
            <w:tcW w:w="92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0075C9"/>
        </w:rPr>
        <w:t>Pay Mix</w:t>
      </w:r>
    </w:p>
    <w:p>
      <w:pPr>
        <w:spacing w:after="0" w:line="127" w:lineRule="exact"/>
        <w:rPr>
          <w:sz w:val="20"/>
          <w:szCs w:val="20"/>
          <w:color w:val="auto"/>
        </w:rPr>
      </w:pPr>
    </w:p>
    <w:p>
      <w:pPr>
        <w:ind w:left="1100" w:right="39"/>
        <w:spacing w:after="0" w:line="238" w:lineRule="auto"/>
        <w:rPr>
          <w:sz w:val="20"/>
          <w:szCs w:val="20"/>
          <w:color w:val="auto"/>
        </w:rPr>
      </w:pPr>
      <w:r>
        <w:rPr>
          <w:rFonts w:ascii="Arial" w:cs="Arial" w:eastAsia="Arial" w:hAnsi="Arial"/>
          <w:sz w:val="16"/>
          <w:szCs w:val="16"/>
          <w:color w:val="auto"/>
        </w:rPr>
        <w:t>At least 70% of the annual target compensation opportunity for our Named Executives is equity-based to incentivize a long-term focus and align their interests with those of our shareholders. Over 70% of the annual target compensation opportunity for the CEO is performance-based.</w:t>
      </w:r>
    </w:p>
    <w:p>
      <w:pPr>
        <w:spacing w:after="0" w:line="351" w:lineRule="exact"/>
        <w:rPr>
          <w:sz w:val="20"/>
          <w:szCs w:val="20"/>
          <w:color w:val="auto"/>
        </w:rPr>
      </w:pPr>
    </w:p>
    <w:p>
      <w:pPr>
        <w:ind w:left="5260"/>
        <w:spacing w:after="0"/>
        <w:rPr>
          <w:sz w:val="20"/>
          <w:szCs w:val="20"/>
          <w:color w:val="auto"/>
        </w:rPr>
      </w:pPr>
      <w:r>
        <w:rPr>
          <w:rFonts w:ascii="Arial" w:cs="Arial" w:eastAsia="Arial" w:hAnsi="Arial"/>
          <w:sz w:val="21"/>
          <w:szCs w:val="21"/>
          <w:b w:val="1"/>
          <w:bCs w:val="1"/>
          <w:color w:val="auto"/>
        </w:rPr>
        <w:t>Pay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-66675</wp:posOffset>
            </wp:positionV>
            <wp:extent cx="5748020" cy="23437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748020" cy="2343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-94615</wp:posOffset>
            </wp:positionV>
            <wp:extent cx="485140" cy="9842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39"/>
          </w:cols>
          <w:pgMar w:left="320" w:top="445" w:right="1440" w:bottom="1440" w:gutter="0" w:footer="0" w:header="0"/>
        </w:sectPr>
      </w:pPr>
    </w:p>
    <w:bookmarkStart w:id="48" w:name="page49"/>
    <w:bookmarkEnd w:id="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auto"/>
                <w:w w:val="89"/>
              </w:rPr>
              <w:t>1</w:t>
            </w:r>
          </w:p>
        </w:tc>
        <w:tc>
          <w:tcPr>
            <w:tcW w:w="1380" w:type="dxa"/>
            <w:vAlign w:val="bottom"/>
            <w:vMerge w:val="restart"/>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gridSpan w:val="2"/>
          </w:tcPr>
          <w:p>
            <w:pPr>
              <w:jc w:val="right"/>
              <w:ind w:right="80"/>
              <w:spacing w:after="0"/>
              <w:rPr>
                <w:sz w:val="20"/>
                <w:szCs w:val="20"/>
                <w:color w:val="auto"/>
              </w:rPr>
            </w:pPr>
            <w:r>
              <w:rPr>
                <w:rFonts w:ascii="Arial" w:cs="Arial" w:eastAsia="Arial" w:hAnsi="Arial"/>
                <w:sz w:val="36"/>
                <w:szCs w:val="36"/>
                <w:color w:val="0075C9"/>
              </w:rPr>
              <w:t>2</w:t>
            </w:r>
          </w:p>
        </w:tc>
        <w:tc>
          <w:tcPr>
            <w:tcW w:w="1320" w:type="dxa"/>
            <w:vAlign w:val="bottom"/>
            <w:vMerge w:val="restart"/>
          </w:tcPr>
          <w:p>
            <w:pPr>
              <w:ind w:left="60"/>
              <w:spacing w:after="0"/>
              <w:rPr>
                <w:sz w:val="20"/>
                <w:szCs w:val="20"/>
                <w:color w:val="auto"/>
              </w:rPr>
            </w:pPr>
            <w:r>
              <w:rPr>
                <w:rFonts w:ascii="Arial" w:cs="Arial" w:eastAsia="Arial" w:hAnsi="Arial"/>
                <w:sz w:val="12"/>
                <w:szCs w:val="12"/>
                <w:color w:val="0075C9"/>
              </w:rPr>
              <w:t>NAMED</w:t>
            </w:r>
          </w:p>
        </w:tc>
        <w:tc>
          <w:tcPr>
            <w:tcW w:w="740" w:type="dxa"/>
            <w:vAlign w:val="bottom"/>
          </w:tcPr>
          <w:p>
            <w:pPr>
              <w:jc w:val="right"/>
              <w:spacing w:after="0"/>
              <w:rPr>
                <w:sz w:val="20"/>
                <w:szCs w:val="20"/>
                <w:color w:val="auto"/>
              </w:rPr>
            </w:pPr>
            <w:r>
              <w:rPr>
                <w:rFonts w:ascii="Arial" w:cs="Arial" w:eastAsia="Arial" w:hAnsi="Arial"/>
                <w:sz w:val="36"/>
                <w:szCs w:val="36"/>
                <w:color w:val="auto"/>
              </w:rPr>
              <w:t>3</w:t>
            </w:r>
          </w:p>
        </w:tc>
        <w:tc>
          <w:tcPr>
            <w:tcW w:w="1020" w:type="dxa"/>
            <w:vAlign w:val="bottom"/>
            <w:vMerge w:val="restart"/>
          </w:tcPr>
          <w:p>
            <w:pPr>
              <w:ind w:left="60"/>
              <w:spacing w:after="0"/>
              <w:rPr>
                <w:sz w:val="20"/>
                <w:szCs w:val="20"/>
                <w:color w:val="auto"/>
              </w:rPr>
            </w:pPr>
            <w:r>
              <w:rPr>
                <w:rFonts w:ascii="Arial" w:cs="Arial" w:eastAsia="Arial" w:hAnsi="Arial"/>
                <w:sz w:val="12"/>
                <w:szCs w:val="12"/>
                <w:color w:val="auto"/>
              </w:rPr>
              <w:t>AUDIT</w:t>
            </w:r>
          </w:p>
        </w:tc>
        <w:tc>
          <w:tcPr>
            <w:tcW w:w="500" w:type="dxa"/>
            <w:vAlign w:val="bottom"/>
          </w:tcPr>
          <w:p>
            <w:pPr>
              <w:jc w:val="right"/>
              <w:spacing w:after="0"/>
              <w:rPr>
                <w:sz w:val="20"/>
                <w:szCs w:val="20"/>
                <w:color w:val="auto"/>
              </w:rPr>
            </w:pPr>
            <w:r>
              <w:rPr>
                <w:rFonts w:ascii="Arial" w:cs="Arial" w:eastAsia="Arial" w:hAnsi="Arial"/>
                <w:sz w:val="36"/>
                <w:szCs w:val="36"/>
                <w:color w:val="auto"/>
              </w:rPr>
              <w:t>4</w:t>
            </w:r>
          </w:p>
        </w:tc>
        <w:tc>
          <w:tcPr>
            <w:tcW w:w="1580" w:type="dxa"/>
            <w:vAlign w:val="bottom"/>
            <w:vMerge w:val="restart"/>
          </w:tcPr>
          <w:p>
            <w:pPr>
              <w:ind w:left="80"/>
              <w:spacing w:after="0"/>
              <w:rPr>
                <w:sz w:val="20"/>
                <w:szCs w:val="20"/>
                <w:color w:val="auto"/>
              </w:rPr>
            </w:pPr>
            <w:r>
              <w:rPr>
                <w:rFonts w:ascii="Arial" w:cs="Arial" w:eastAsia="Arial" w:hAnsi="Arial"/>
                <w:sz w:val="12"/>
                <w:szCs w:val="12"/>
                <w:color w:val="auto"/>
              </w:rPr>
              <w:t>PROPOSALS TO</w:t>
            </w:r>
          </w:p>
        </w:tc>
        <w:tc>
          <w:tcPr>
            <w:tcW w:w="420" w:type="dxa"/>
            <w:vAlign w:val="bottom"/>
          </w:tcPr>
          <w:p>
            <w:pPr>
              <w:jc w:val="right"/>
              <w:spacing w:after="0"/>
              <w:rPr>
                <w:sz w:val="20"/>
                <w:szCs w:val="20"/>
                <w:color w:val="auto"/>
              </w:rPr>
            </w:pPr>
            <w:r>
              <w:rPr>
                <w:rFonts w:ascii="Arial" w:cs="Arial" w:eastAsia="Arial" w:hAnsi="Arial"/>
                <w:sz w:val="36"/>
                <w:szCs w:val="36"/>
                <w:color w:val="auto"/>
              </w:rPr>
              <w:t>5</w:t>
            </w:r>
          </w:p>
        </w:tc>
        <w:tc>
          <w:tcPr>
            <w:tcW w:w="1360" w:type="dxa"/>
            <w:vAlign w:val="bottom"/>
            <w:vMerge w:val="restart"/>
          </w:tcPr>
          <w:p>
            <w:pPr>
              <w:ind w:left="80"/>
              <w:spacing w:after="0"/>
              <w:rPr>
                <w:sz w:val="20"/>
                <w:szCs w:val="20"/>
                <w:color w:val="auto"/>
              </w:rPr>
            </w:pPr>
            <w:r>
              <w:rPr>
                <w:rFonts w:ascii="Arial" w:cs="Arial" w:eastAsia="Arial" w:hAnsi="Arial"/>
                <w:sz w:val="12"/>
                <w:szCs w:val="12"/>
                <w:color w:val="auto"/>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38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tcPr>
          <w:p>
            <w:pPr>
              <w:ind w:left="60"/>
              <w:spacing w:after="0" w:line="130" w:lineRule="exact"/>
              <w:rPr>
                <w:sz w:val="20"/>
                <w:szCs w:val="20"/>
                <w:color w:val="auto"/>
              </w:rPr>
            </w:pPr>
            <w:r>
              <w:rPr>
                <w:rFonts w:ascii="Arial" w:cs="Arial" w:eastAsia="Arial" w:hAnsi="Arial"/>
                <w:sz w:val="12"/>
                <w:szCs w:val="12"/>
                <w:color w:val="0075C9"/>
                <w:w w:val="99"/>
              </w:rPr>
              <w:t>EXECUTIVE OFFICER</w:t>
            </w:r>
          </w:p>
        </w:tc>
        <w:tc>
          <w:tcPr>
            <w:tcW w:w="740" w:type="dxa"/>
            <w:vAlign w:val="bottom"/>
          </w:tcPr>
          <w:p>
            <w:pPr>
              <w:spacing w:after="0"/>
              <w:rPr>
                <w:sz w:val="11"/>
                <w:szCs w:val="11"/>
                <w:color w:val="auto"/>
              </w:rPr>
            </w:pPr>
          </w:p>
        </w:tc>
        <w:tc>
          <w:tcPr>
            <w:tcW w:w="1020" w:type="dxa"/>
            <w:vAlign w:val="bottom"/>
          </w:tcPr>
          <w:p>
            <w:pPr>
              <w:ind w:left="60"/>
              <w:spacing w:after="0" w:line="130" w:lineRule="exact"/>
              <w:rPr>
                <w:sz w:val="20"/>
                <w:szCs w:val="20"/>
                <w:color w:val="auto"/>
              </w:rPr>
            </w:pPr>
            <w:r>
              <w:rPr>
                <w:rFonts w:ascii="Arial" w:cs="Arial" w:eastAsia="Arial" w:hAnsi="Arial"/>
                <w:sz w:val="12"/>
                <w:szCs w:val="12"/>
                <w:color w:val="auto"/>
              </w:rPr>
              <w:t>COMMITTEE</w:t>
            </w:r>
          </w:p>
        </w:tc>
        <w:tc>
          <w:tcPr>
            <w:tcW w:w="500" w:type="dxa"/>
            <w:vAlign w:val="bottom"/>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20" w:type="dxa"/>
            <w:vAlign w:val="bottom"/>
          </w:tcPr>
          <w:p>
            <w:pPr>
              <w:spacing w:after="0"/>
              <w:rPr>
                <w:sz w:val="11"/>
                <w:szCs w:val="11"/>
                <w:color w:val="auto"/>
              </w:rPr>
            </w:pPr>
          </w:p>
        </w:tc>
        <w:tc>
          <w:tcPr>
            <w:tcW w:w="136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380" w:type="dxa"/>
            <w:vAlign w:val="bottom"/>
          </w:tcPr>
          <w:p>
            <w:pPr>
              <w:ind w:left="80"/>
              <w:spacing w:after="0"/>
              <w:rPr>
                <w:sz w:val="20"/>
                <w:szCs w:val="20"/>
                <w:color w:val="auto"/>
              </w:rPr>
            </w:pPr>
            <w:r>
              <w:rPr>
                <w:rFonts w:ascii="Arial" w:cs="Arial" w:eastAsia="Arial" w:hAnsi="Arial"/>
                <w:sz w:val="12"/>
                <w:szCs w:val="12"/>
                <w:color w:val="auto"/>
              </w:rPr>
              <w:t>DIRECTORS</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0075C9"/>
              </w:rPr>
              <w:t>COMPENSATION</w:t>
            </w:r>
          </w:p>
        </w:tc>
        <w:tc>
          <w:tcPr>
            <w:tcW w:w="740" w:type="dxa"/>
            <w:vAlign w:val="bottom"/>
          </w:tcPr>
          <w:p>
            <w:pPr>
              <w:spacing w:after="0"/>
              <w:rPr>
                <w:sz w:val="12"/>
                <w:szCs w:val="12"/>
                <w:color w:val="auto"/>
              </w:rPr>
            </w:pPr>
          </w:p>
        </w:tc>
        <w:tc>
          <w:tcPr>
            <w:tcW w:w="1020" w:type="dxa"/>
            <w:vAlign w:val="bottom"/>
          </w:tcPr>
          <w:p>
            <w:pPr>
              <w:ind w:left="60"/>
              <w:spacing w:after="0"/>
              <w:rPr>
                <w:sz w:val="20"/>
                <w:szCs w:val="20"/>
                <w:color w:val="auto"/>
              </w:rPr>
            </w:pPr>
            <w:r>
              <w:rPr>
                <w:rFonts w:ascii="Arial" w:cs="Arial" w:eastAsia="Arial" w:hAnsi="Arial"/>
                <w:sz w:val="12"/>
                <w:szCs w:val="12"/>
                <w:color w:val="auto"/>
              </w:rPr>
              <w:t>MATTERS</w:t>
            </w:r>
          </w:p>
        </w:tc>
        <w:tc>
          <w:tcPr>
            <w:tcW w:w="500" w:type="dxa"/>
            <w:vAlign w:val="bottom"/>
          </w:tcPr>
          <w:p>
            <w:pPr>
              <w:spacing w:after="0"/>
              <w:rPr>
                <w:sz w:val="12"/>
                <w:szCs w:val="12"/>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20" w:type="dxa"/>
            <w:vAlign w:val="bottom"/>
          </w:tcPr>
          <w:p>
            <w:pPr>
              <w:spacing w:after="0"/>
              <w:rPr>
                <w:sz w:val="12"/>
                <w:szCs w:val="12"/>
                <w:color w:val="auto"/>
              </w:rPr>
            </w:pPr>
          </w:p>
        </w:tc>
        <w:tc>
          <w:tcPr>
            <w:tcW w:w="136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280" w:type="dxa"/>
            <w:vAlign w:val="bottom"/>
            <w:tcBorders>
              <w:bottom w:val="single" w:sz="8" w:color="0075C9"/>
            </w:tcBorders>
          </w:tcPr>
          <w:p>
            <w:pPr>
              <w:spacing w:after="0"/>
              <w:rPr>
                <w:sz w:val="24"/>
                <w:szCs w:val="24"/>
                <w:color w:val="auto"/>
              </w:rPr>
            </w:pPr>
          </w:p>
        </w:tc>
        <w:tc>
          <w:tcPr>
            <w:tcW w:w="1380" w:type="dxa"/>
            <w:vAlign w:val="bottom"/>
            <w:tcBorders>
              <w:bottom w:val="single" w:sz="8" w:color="0075C9"/>
            </w:tcBorders>
          </w:tcPr>
          <w:p>
            <w:pPr>
              <w:spacing w:after="0"/>
              <w:rPr>
                <w:sz w:val="24"/>
                <w:szCs w:val="24"/>
                <w:color w:val="auto"/>
              </w:rPr>
            </w:pPr>
          </w:p>
        </w:tc>
        <w:tc>
          <w:tcPr>
            <w:tcW w:w="160" w:type="dxa"/>
            <w:vAlign w:val="bottom"/>
            <w:tcBorders>
              <w:bottom w:val="single" w:sz="8" w:color="0075C9"/>
            </w:tcBorders>
          </w:tcPr>
          <w:p>
            <w:pPr>
              <w:spacing w:after="0"/>
              <w:rPr>
                <w:sz w:val="24"/>
                <w:szCs w:val="24"/>
                <w:color w:val="auto"/>
              </w:rPr>
            </w:pPr>
          </w:p>
        </w:tc>
        <w:tc>
          <w:tcPr>
            <w:tcW w:w="280" w:type="dxa"/>
            <w:vAlign w:val="bottom"/>
            <w:tcBorders>
              <w:bottom w:val="single" w:sz="8" w:color="0075C9"/>
            </w:tcBorders>
          </w:tcPr>
          <w:p>
            <w:pPr>
              <w:spacing w:after="0"/>
              <w:rPr>
                <w:sz w:val="24"/>
                <w:szCs w:val="24"/>
                <w:color w:val="auto"/>
              </w:rPr>
            </w:pPr>
          </w:p>
        </w:tc>
        <w:tc>
          <w:tcPr>
            <w:tcW w:w="1320" w:type="dxa"/>
            <w:vAlign w:val="bottom"/>
            <w:tcBorders>
              <w:bottom w:val="single" w:sz="8" w:color="0075C9"/>
            </w:tcBorders>
          </w:tcPr>
          <w:p>
            <w:pPr>
              <w:spacing w:after="0"/>
              <w:rPr>
                <w:sz w:val="24"/>
                <w:szCs w:val="24"/>
                <w:color w:val="auto"/>
              </w:rPr>
            </w:pPr>
          </w:p>
        </w:tc>
        <w:tc>
          <w:tcPr>
            <w:tcW w:w="740" w:type="dxa"/>
            <w:vAlign w:val="bottom"/>
            <w:tcBorders>
              <w:bottom w:val="single" w:sz="8" w:color="0075C9"/>
            </w:tcBorders>
          </w:tcPr>
          <w:p>
            <w:pPr>
              <w:spacing w:after="0"/>
              <w:rPr>
                <w:sz w:val="24"/>
                <w:szCs w:val="24"/>
                <w:color w:val="auto"/>
              </w:rPr>
            </w:pPr>
          </w:p>
        </w:tc>
        <w:tc>
          <w:tcPr>
            <w:tcW w:w="1020" w:type="dxa"/>
            <w:vAlign w:val="bottom"/>
            <w:tcBorders>
              <w:bottom w:val="single" w:sz="8" w:color="0075C9"/>
            </w:tcBorders>
          </w:tcPr>
          <w:p>
            <w:pPr>
              <w:spacing w:after="0"/>
              <w:rPr>
                <w:sz w:val="24"/>
                <w:szCs w:val="24"/>
                <w:color w:val="auto"/>
              </w:rPr>
            </w:pPr>
          </w:p>
        </w:tc>
        <w:tc>
          <w:tcPr>
            <w:tcW w:w="500" w:type="dxa"/>
            <w:vAlign w:val="bottom"/>
            <w:tcBorders>
              <w:bottom w:val="single" w:sz="8" w:color="0075C9"/>
            </w:tcBorders>
          </w:tcPr>
          <w:p>
            <w:pPr>
              <w:spacing w:after="0"/>
              <w:rPr>
                <w:sz w:val="24"/>
                <w:szCs w:val="24"/>
                <w:color w:val="auto"/>
              </w:rPr>
            </w:pPr>
          </w:p>
        </w:tc>
        <w:tc>
          <w:tcPr>
            <w:tcW w:w="1580" w:type="dxa"/>
            <w:vAlign w:val="bottom"/>
            <w:tcBorders>
              <w:bottom w:val="single" w:sz="8" w:color="0075C9"/>
            </w:tcBorders>
          </w:tcPr>
          <w:p>
            <w:pPr>
              <w:spacing w:after="0"/>
              <w:rPr>
                <w:sz w:val="24"/>
                <w:szCs w:val="24"/>
                <w:color w:val="auto"/>
              </w:rPr>
            </w:pPr>
          </w:p>
        </w:tc>
        <w:tc>
          <w:tcPr>
            <w:tcW w:w="420" w:type="dxa"/>
            <w:vAlign w:val="bottom"/>
            <w:tcBorders>
              <w:bottom w:val="single" w:sz="8" w:color="0075C9"/>
            </w:tcBorders>
          </w:tcPr>
          <w:p>
            <w:pPr>
              <w:spacing w:after="0"/>
              <w:rPr>
                <w:sz w:val="24"/>
                <w:szCs w:val="24"/>
                <w:color w:val="auto"/>
              </w:rPr>
            </w:pPr>
          </w:p>
        </w:tc>
        <w:tc>
          <w:tcPr>
            <w:tcW w:w="1360" w:type="dxa"/>
            <w:vAlign w:val="bottom"/>
            <w:tcBorders>
              <w:bottom w:val="single" w:sz="8" w:color="0075C9"/>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Section 4 – Fiscal Year 2021 Compensation Program Design</w:t>
      </w:r>
    </w:p>
    <w:p>
      <w:pPr>
        <w:spacing w:after="0" w:line="143" w:lineRule="exact"/>
        <w:rPr>
          <w:sz w:val="20"/>
          <w:szCs w:val="20"/>
          <w:color w:val="auto"/>
        </w:rPr>
      </w:pPr>
    </w:p>
    <w:p>
      <w:pPr>
        <w:ind w:left="1100" w:right="420"/>
        <w:spacing w:after="0" w:line="239" w:lineRule="auto"/>
        <w:rPr>
          <w:sz w:val="20"/>
          <w:szCs w:val="20"/>
          <w:color w:val="auto"/>
        </w:rPr>
      </w:pPr>
      <w:r>
        <w:rPr>
          <w:rFonts w:ascii="Arial" w:cs="Arial" w:eastAsia="Arial" w:hAnsi="Arial"/>
          <w:sz w:val="16"/>
          <w:szCs w:val="16"/>
          <w:color w:val="auto"/>
        </w:rPr>
        <w:t>Consistent with our philosophy, the compensation program for our Named Executives in fiscal year 2021 consisted of an annual base salary plus annual cash and equity incentives awarded under our Executive Incentive Plan (“Incentive Plan”).</w:t>
      </w:r>
    </w:p>
    <w:p>
      <w:pPr>
        <w:spacing w:after="0" w:line="100" w:lineRule="exact"/>
        <w:rPr>
          <w:sz w:val="20"/>
          <w:szCs w:val="20"/>
          <w:color w:val="auto"/>
        </w:rPr>
      </w:pPr>
    </w:p>
    <w:p>
      <w:pPr>
        <w:ind w:left="1100" w:right="220"/>
        <w:spacing w:after="0" w:line="237" w:lineRule="auto"/>
        <w:rPr>
          <w:sz w:val="20"/>
          <w:szCs w:val="20"/>
          <w:color w:val="auto"/>
        </w:rPr>
      </w:pPr>
      <w:r>
        <w:rPr>
          <w:rFonts w:ascii="Arial" w:cs="Arial" w:eastAsia="Arial" w:hAnsi="Arial"/>
          <w:sz w:val="16"/>
          <w:szCs w:val="16"/>
          <w:color w:val="auto"/>
        </w:rPr>
        <w:t>Annual cash incentives were performance-based, with 50% determined formulaically based on achievement against pre-established financial targets (70% in the case of our CEO) and 50% determined based on operational performance in three weighted performance categories (30% in the case of our CEO). Our Compensation Committee and the independent members of our Board believe this strengthens our CEO’s accountability to achieving results on the objective financial metrics that most closely align with our business strategy.</w:t>
      </w:r>
    </w:p>
    <w:p>
      <w:pPr>
        <w:spacing w:after="0" w:line="102" w:lineRule="exact"/>
        <w:rPr>
          <w:sz w:val="20"/>
          <w:szCs w:val="20"/>
          <w:color w:val="auto"/>
        </w:rPr>
      </w:pPr>
    </w:p>
    <w:p>
      <w:pPr>
        <w:ind w:left="1100" w:right="140"/>
        <w:spacing w:after="0" w:line="237" w:lineRule="auto"/>
        <w:rPr>
          <w:sz w:val="20"/>
          <w:szCs w:val="20"/>
          <w:color w:val="auto"/>
        </w:rPr>
      </w:pPr>
      <w:r>
        <w:rPr>
          <w:rFonts w:ascii="Arial" w:cs="Arial" w:eastAsia="Arial" w:hAnsi="Arial"/>
          <w:sz w:val="16"/>
          <w:szCs w:val="16"/>
          <w:color w:val="auto"/>
        </w:rPr>
        <w:t>Equity incentives under the Incentive Plan were allocated 50% to target performance stock awards (“PSAs”) (70% in the case of our CEO) and 50% to stock awards with four-year vesting (“SAs”) (30% in the case of our CEO). Our Compensation Committee and the independent members of our Board believed the 70/30 balance between PSAs and SAs for our CEO will strengthen the alignment of his pay and performance, while the 50/50 balance between PSAs and SAs appropriately supported our long-term business goals and long-term retention incentives for our other Named Executives.</w:t>
      </w:r>
    </w:p>
    <w:p>
      <w:pPr>
        <w:spacing w:after="0" w:line="102" w:lineRule="exact"/>
        <w:rPr>
          <w:sz w:val="20"/>
          <w:szCs w:val="20"/>
          <w:color w:val="auto"/>
        </w:rPr>
      </w:pPr>
    </w:p>
    <w:p>
      <w:pPr>
        <w:ind w:left="1100" w:right="280"/>
        <w:spacing w:after="0" w:line="279" w:lineRule="auto"/>
        <w:rPr>
          <w:sz w:val="20"/>
          <w:szCs w:val="20"/>
          <w:color w:val="auto"/>
        </w:rPr>
      </w:pPr>
      <w:r>
        <w:rPr>
          <w:rFonts w:ascii="Arial" w:cs="Arial" w:eastAsia="Arial" w:hAnsi="Arial"/>
          <w:sz w:val="14"/>
          <w:szCs w:val="14"/>
          <w:color w:val="auto"/>
        </w:rPr>
        <w:t>For fiscal year 2021, we made a one-time decision to use semi-annual goals for the financial metrics used in both our cash incentive and performance stock award portions of our Executive Incentive Plan. This change was consistent with the goal-setting process used for our Company’s broad-based sales incentive programs and was made to mitigate some of the uncertainty in the marketplace. We did not make other changes to our Executive Incentive Plan due to COVID-19, such as granting discretionary awards, shifting to more time-based awards, reducing target incentive opportunities, or adjusting previously granted awards.</w:t>
      </w:r>
    </w:p>
    <w:p>
      <w:pPr>
        <w:spacing w:after="0" w:line="144"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Base Salaries</w:t>
      </w:r>
    </w:p>
    <w:p>
      <w:pPr>
        <w:spacing w:after="0" w:line="129" w:lineRule="exact"/>
        <w:rPr>
          <w:sz w:val="20"/>
          <w:szCs w:val="20"/>
          <w:color w:val="auto"/>
        </w:rPr>
      </w:pPr>
    </w:p>
    <w:p>
      <w:pPr>
        <w:ind w:left="1100" w:right="620"/>
        <w:spacing w:after="0" w:line="239" w:lineRule="auto"/>
        <w:rPr>
          <w:sz w:val="20"/>
          <w:szCs w:val="20"/>
          <w:color w:val="auto"/>
        </w:rPr>
      </w:pPr>
      <w:r>
        <w:rPr>
          <w:rFonts w:ascii="Arial" w:cs="Arial" w:eastAsia="Arial" w:hAnsi="Arial"/>
          <w:sz w:val="16"/>
          <w:szCs w:val="16"/>
          <w:color w:val="auto"/>
        </w:rPr>
        <w:t>Our Named Executives’ base salaries align with the scope and complexity of their roles, their capabilities, and with prevailing market conditions.</w:t>
      </w:r>
    </w:p>
    <w:p>
      <w:pPr>
        <w:spacing w:after="0" w:line="169"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Annual Cash Incentives</w:t>
      </w:r>
    </w:p>
    <w:p>
      <w:pPr>
        <w:spacing w:after="0" w:line="12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Cash incentives are determined in two performance categories, as follows.</w:t>
      </w:r>
    </w:p>
    <w:p>
      <w:pPr>
        <w:spacing w:after="0" w:line="101"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For our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145415</wp:posOffset>
            </wp:positionV>
            <wp:extent cx="5814060" cy="12827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814060" cy="128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For other Named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145415</wp:posOffset>
            </wp:positionV>
            <wp:extent cx="5814060" cy="12827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814060" cy="128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100"/>
        <w:spacing w:after="0"/>
        <w:tabs>
          <w:tab w:leader="none" w:pos="126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“Incentive Plan Revenue” and “Incentive Plan Operating Income” are non-GAAP financial measures defined on pages 45-46.</w:t>
      </w:r>
    </w:p>
    <w:p>
      <w:pPr>
        <w:sectPr>
          <w:pgSz w:w="11900" w:h="16838" w:orient="portrait"/>
          <w:cols w:equalWidth="0" w:num="1">
            <w:col w:w="10280"/>
          </w:cols>
          <w:pgMar w:left="320" w:top="445" w:right="129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ind w:left="8240"/>
        <w:spacing w:after="0"/>
        <w:tabs>
          <w:tab w:leader="none" w:pos="10120" w:val="left"/>
        </w:tabs>
        <w:rPr>
          <w:sz w:val="20"/>
          <w:szCs w:val="20"/>
          <w:color w:val="auto"/>
        </w:rPr>
      </w:pPr>
      <w:r>
        <w:rPr>
          <w:rFonts w:ascii="Arial" w:cs="Arial" w:eastAsia="Arial" w:hAnsi="Arial"/>
          <w:sz w:val="14"/>
          <w:szCs w:val="14"/>
          <w:color w:val="auto"/>
        </w:rPr>
        <w:t>2021 PROXY STATEMENT</w:t>
      </w:r>
      <w:r>
        <w:rPr>
          <w:sz w:val="20"/>
          <w:szCs w:val="20"/>
          <w:color w:val="auto"/>
        </w:rPr>
        <w:tab/>
      </w:r>
      <w:r>
        <w:rPr>
          <w:rFonts w:ascii="Arial" w:cs="Arial" w:eastAsia="Arial" w:hAnsi="Arial"/>
          <w:sz w:val="12"/>
          <w:szCs w:val="12"/>
          <w:b w:val="1"/>
          <w:bCs w:val="1"/>
          <w:color w:val="0075C9"/>
        </w:rPr>
        <w:t>41</w:t>
      </w:r>
    </w:p>
    <w:p>
      <w:pPr>
        <w:sectPr>
          <w:pgSz w:w="11900" w:h="16838" w:orient="portrait"/>
          <w:cols w:equalWidth="0" w:num="1">
            <w:col w:w="10280"/>
          </w:cols>
          <w:pgMar w:left="320" w:top="445" w:right="1299" w:bottom="1440" w:gutter="0" w:footer="0" w:header="0"/>
          <w:type w:val="continuous"/>
        </w:sectPr>
      </w:pPr>
    </w:p>
    <w:bookmarkStart w:id="49" w:name="page50"/>
    <w:bookmarkEnd w:id="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auto"/>
                <w:w w:val="89"/>
              </w:rPr>
              <w:t>1</w:t>
            </w:r>
          </w:p>
        </w:tc>
        <w:tc>
          <w:tcPr>
            <w:tcW w:w="1380" w:type="dxa"/>
            <w:vAlign w:val="bottom"/>
            <w:vMerge w:val="restart"/>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gridSpan w:val="2"/>
          </w:tcPr>
          <w:p>
            <w:pPr>
              <w:jc w:val="right"/>
              <w:ind w:right="80"/>
              <w:spacing w:after="0"/>
              <w:rPr>
                <w:sz w:val="20"/>
                <w:szCs w:val="20"/>
                <w:color w:val="auto"/>
              </w:rPr>
            </w:pPr>
            <w:r>
              <w:rPr>
                <w:rFonts w:ascii="Arial" w:cs="Arial" w:eastAsia="Arial" w:hAnsi="Arial"/>
                <w:sz w:val="36"/>
                <w:szCs w:val="36"/>
                <w:color w:val="0075C9"/>
              </w:rPr>
              <w:t>2</w:t>
            </w:r>
          </w:p>
        </w:tc>
        <w:tc>
          <w:tcPr>
            <w:tcW w:w="1320" w:type="dxa"/>
            <w:vAlign w:val="bottom"/>
            <w:vMerge w:val="restart"/>
          </w:tcPr>
          <w:p>
            <w:pPr>
              <w:ind w:left="60"/>
              <w:spacing w:after="0"/>
              <w:rPr>
                <w:sz w:val="20"/>
                <w:szCs w:val="20"/>
                <w:color w:val="auto"/>
              </w:rPr>
            </w:pPr>
            <w:r>
              <w:rPr>
                <w:rFonts w:ascii="Arial" w:cs="Arial" w:eastAsia="Arial" w:hAnsi="Arial"/>
                <w:sz w:val="12"/>
                <w:szCs w:val="12"/>
                <w:color w:val="0075C9"/>
              </w:rPr>
              <w:t>NAMED</w:t>
            </w:r>
          </w:p>
        </w:tc>
        <w:tc>
          <w:tcPr>
            <w:tcW w:w="740" w:type="dxa"/>
            <w:vAlign w:val="bottom"/>
          </w:tcPr>
          <w:p>
            <w:pPr>
              <w:jc w:val="right"/>
              <w:spacing w:after="0"/>
              <w:rPr>
                <w:sz w:val="20"/>
                <w:szCs w:val="20"/>
                <w:color w:val="auto"/>
              </w:rPr>
            </w:pPr>
            <w:r>
              <w:rPr>
                <w:rFonts w:ascii="Arial" w:cs="Arial" w:eastAsia="Arial" w:hAnsi="Arial"/>
                <w:sz w:val="36"/>
                <w:szCs w:val="36"/>
                <w:color w:val="auto"/>
              </w:rPr>
              <w:t>3</w:t>
            </w:r>
          </w:p>
        </w:tc>
        <w:tc>
          <w:tcPr>
            <w:tcW w:w="1020" w:type="dxa"/>
            <w:vAlign w:val="bottom"/>
            <w:vMerge w:val="restart"/>
          </w:tcPr>
          <w:p>
            <w:pPr>
              <w:ind w:left="60"/>
              <w:spacing w:after="0"/>
              <w:rPr>
                <w:sz w:val="20"/>
                <w:szCs w:val="20"/>
                <w:color w:val="auto"/>
              </w:rPr>
            </w:pPr>
            <w:r>
              <w:rPr>
                <w:rFonts w:ascii="Arial" w:cs="Arial" w:eastAsia="Arial" w:hAnsi="Arial"/>
                <w:sz w:val="12"/>
                <w:szCs w:val="12"/>
                <w:color w:val="auto"/>
              </w:rPr>
              <w:t>AUDIT</w:t>
            </w:r>
          </w:p>
        </w:tc>
        <w:tc>
          <w:tcPr>
            <w:tcW w:w="500" w:type="dxa"/>
            <w:vAlign w:val="bottom"/>
          </w:tcPr>
          <w:p>
            <w:pPr>
              <w:jc w:val="right"/>
              <w:spacing w:after="0"/>
              <w:rPr>
                <w:sz w:val="20"/>
                <w:szCs w:val="20"/>
                <w:color w:val="auto"/>
              </w:rPr>
            </w:pPr>
            <w:r>
              <w:rPr>
                <w:rFonts w:ascii="Arial" w:cs="Arial" w:eastAsia="Arial" w:hAnsi="Arial"/>
                <w:sz w:val="36"/>
                <w:szCs w:val="36"/>
                <w:color w:val="auto"/>
              </w:rPr>
              <w:t>4</w:t>
            </w:r>
          </w:p>
        </w:tc>
        <w:tc>
          <w:tcPr>
            <w:tcW w:w="1580" w:type="dxa"/>
            <w:vAlign w:val="bottom"/>
            <w:vMerge w:val="restart"/>
          </w:tcPr>
          <w:p>
            <w:pPr>
              <w:ind w:left="80"/>
              <w:spacing w:after="0"/>
              <w:rPr>
                <w:sz w:val="20"/>
                <w:szCs w:val="20"/>
                <w:color w:val="auto"/>
              </w:rPr>
            </w:pPr>
            <w:r>
              <w:rPr>
                <w:rFonts w:ascii="Arial" w:cs="Arial" w:eastAsia="Arial" w:hAnsi="Arial"/>
                <w:sz w:val="12"/>
                <w:szCs w:val="12"/>
                <w:color w:val="auto"/>
              </w:rPr>
              <w:t>PROPOSALS TO</w:t>
            </w:r>
          </w:p>
        </w:tc>
        <w:tc>
          <w:tcPr>
            <w:tcW w:w="420" w:type="dxa"/>
            <w:vAlign w:val="bottom"/>
          </w:tcPr>
          <w:p>
            <w:pPr>
              <w:jc w:val="right"/>
              <w:spacing w:after="0"/>
              <w:rPr>
                <w:sz w:val="20"/>
                <w:szCs w:val="20"/>
                <w:color w:val="auto"/>
              </w:rPr>
            </w:pPr>
            <w:r>
              <w:rPr>
                <w:rFonts w:ascii="Arial" w:cs="Arial" w:eastAsia="Arial" w:hAnsi="Arial"/>
                <w:sz w:val="36"/>
                <w:szCs w:val="36"/>
                <w:color w:val="auto"/>
              </w:rPr>
              <w:t>5</w:t>
            </w:r>
          </w:p>
        </w:tc>
        <w:tc>
          <w:tcPr>
            <w:tcW w:w="920" w:type="dxa"/>
            <w:vAlign w:val="bottom"/>
            <w:vMerge w:val="restart"/>
          </w:tcPr>
          <w:p>
            <w:pPr>
              <w:ind w:left="8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38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tcPr>
          <w:p>
            <w:pPr>
              <w:ind w:left="60"/>
              <w:spacing w:after="0" w:line="130" w:lineRule="exact"/>
              <w:rPr>
                <w:sz w:val="20"/>
                <w:szCs w:val="20"/>
                <w:color w:val="auto"/>
              </w:rPr>
            </w:pPr>
            <w:r>
              <w:rPr>
                <w:rFonts w:ascii="Arial" w:cs="Arial" w:eastAsia="Arial" w:hAnsi="Arial"/>
                <w:sz w:val="12"/>
                <w:szCs w:val="12"/>
                <w:color w:val="0075C9"/>
                <w:w w:val="99"/>
              </w:rPr>
              <w:t>EXECUTIVE OFFICER</w:t>
            </w:r>
          </w:p>
        </w:tc>
        <w:tc>
          <w:tcPr>
            <w:tcW w:w="740" w:type="dxa"/>
            <w:vAlign w:val="bottom"/>
          </w:tcPr>
          <w:p>
            <w:pPr>
              <w:spacing w:after="0"/>
              <w:rPr>
                <w:sz w:val="11"/>
                <w:szCs w:val="11"/>
                <w:color w:val="auto"/>
              </w:rPr>
            </w:pPr>
          </w:p>
        </w:tc>
        <w:tc>
          <w:tcPr>
            <w:tcW w:w="1020" w:type="dxa"/>
            <w:vAlign w:val="bottom"/>
          </w:tcPr>
          <w:p>
            <w:pPr>
              <w:ind w:left="60"/>
              <w:spacing w:after="0" w:line="130" w:lineRule="exact"/>
              <w:rPr>
                <w:sz w:val="20"/>
                <w:szCs w:val="20"/>
                <w:color w:val="auto"/>
              </w:rPr>
            </w:pPr>
            <w:r>
              <w:rPr>
                <w:rFonts w:ascii="Arial" w:cs="Arial" w:eastAsia="Arial" w:hAnsi="Arial"/>
                <w:sz w:val="12"/>
                <w:szCs w:val="12"/>
                <w:color w:val="auto"/>
              </w:rPr>
              <w:t>COMMITTEE</w:t>
            </w:r>
          </w:p>
        </w:tc>
        <w:tc>
          <w:tcPr>
            <w:tcW w:w="500" w:type="dxa"/>
            <w:vAlign w:val="bottom"/>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20" w:type="dxa"/>
            <w:vAlign w:val="bottom"/>
          </w:tcPr>
          <w:p>
            <w:pPr>
              <w:spacing w:after="0"/>
              <w:rPr>
                <w:sz w:val="11"/>
                <w:szCs w:val="11"/>
                <w:color w:val="auto"/>
              </w:rPr>
            </w:pPr>
          </w:p>
        </w:tc>
        <w:tc>
          <w:tcPr>
            <w:tcW w:w="92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380" w:type="dxa"/>
            <w:vAlign w:val="bottom"/>
          </w:tcPr>
          <w:p>
            <w:pPr>
              <w:ind w:left="80"/>
              <w:spacing w:after="0"/>
              <w:rPr>
                <w:sz w:val="20"/>
                <w:szCs w:val="20"/>
                <w:color w:val="auto"/>
              </w:rPr>
            </w:pPr>
            <w:r>
              <w:rPr>
                <w:rFonts w:ascii="Arial" w:cs="Arial" w:eastAsia="Arial" w:hAnsi="Arial"/>
                <w:sz w:val="12"/>
                <w:szCs w:val="12"/>
                <w:color w:val="auto"/>
              </w:rPr>
              <w:t>DIRECTORS</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0075C9"/>
              </w:rPr>
              <w:t>COMPENSATION</w:t>
            </w:r>
          </w:p>
        </w:tc>
        <w:tc>
          <w:tcPr>
            <w:tcW w:w="740" w:type="dxa"/>
            <w:vAlign w:val="bottom"/>
          </w:tcPr>
          <w:p>
            <w:pPr>
              <w:spacing w:after="0"/>
              <w:rPr>
                <w:sz w:val="12"/>
                <w:szCs w:val="12"/>
                <w:color w:val="auto"/>
              </w:rPr>
            </w:pPr>
          </w:p>
        </w:tc>
        <w:tc>
          <w:tcPr>
            <w:tcW w:w="1020" w:type="dxa"/>
            <w:vAlign w:val="bottom"/>
          </w:tcPr>
          <w:p>
            <w:pPr>
              <w:ind w:left="60"/>
              <w:spacing w:after="0"/>
              <w:rPr>
                <w:sz w:val="20"/>
                <w:szCs w:val="20"/>
                <w:color w:val="auto"/>
              </w:rPr>
            </w:pPr>
            <w:r>
              <w:rPr>
                <w:rFonts w:ascii="Arial" w:cs="Arial" w:eastAsia="Arial" w:hAnsi="Arial"/>
                <w:sz w:val="12"/>
                <w:szCs w:val="12"/>
                <w:color w:val="auto"/>
              </w:rPr>
              <w:t>MATTERS</w:t>
            </w:r>
          </w:p>
        </w:tc>
        <w:tc>
          <w:tcPr>
            <w:tcW w:w="500" w:type="dxa"/>
            <w:vAlign w:val="bottom"/>
          </w:tcPr>
          <w:p>
            <w:pPr>
              <w:spacing w:after="0"/>
              <w:rPr>
                <w:sz w:val="12"/>
                <w:szCs w:val="12"/>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20" w:type="dxa"/>
            <w:vAlign w:val="bottom"/>
          </w:tcPr>
          <w:p>
            <w:pPr>
              <w:spacing w:after="0"/>
              <w:rPr>
                <w:sz w:val="12"/>
                <w:szCs w:val="12"/>
                <w:color w:val="auto"/>
              </w:rPr>
            </w:pPr>
          </w:p>
        </w:tc>
        <w:tc>
          <w:tcPr>
            <w:tcW w:w="92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0075C9"/>
        </w:rPr>
        <w:t>Financial</w:t>
      </w:r>
    </w:p>
    <w:p>
      <w:pPr>
        <w:spacing w:after="0" w:line="127" w:lineRule="exact"/>
        <w:rPr>
          <w:sz w:val="20"/>
          <w:szCs w:val="20"/>
          <w:color w:val="auto"/>
        </w:rPr>
      </w:pPr>
    </w:p>
    <w:p>
      <w:pPr>
        <w:ind w:left="1100" w:right="20"/>
        <w:spacing w:after="0" w:line="239" w:lineRule="auto"/>
        <w:rPr>
          <w:sz w:val="20"/>
          <w:szCs w:val="20"/>
          <w:color w:val="auto"/>
        </w:rPr>
      </w:pPr>
      <w:r>
        <w:rPr>
          <w:rFonts w:ascii="Arial" w:cs="Arial" w:eastAsia="Arial" w:hAnsi="Arial"/>
          <w:sz w:val="16"/>
          <w:szCs w:val="16"/>
          <w:color w:val="auto"/>
        </w:rPr>
        <w:t>We include financial results in our cash incentive to measure our success in meeting internal annual financial performance goals for revenue and profitability that we believe drive long-term value creation.</w:t>
      </w:r>
    </w:p>
    <w:p>
      <w:pPr>
        <w:spacing w:after="0" w:line="100" w:lineRule="exact"/>
        <w:rPr>
          <w:sz w:val="20"/>
          <w:szCs w:val="20"/>
          <w:color w:val="auto"/>
        </w:rPr>
      </w:pPr>
    </w:p>
    <w:p>
      <w:pPr>
        <w:ind w:left="1100"/>
        <w:spacing w:after="0" w:line="238" w:lineRule="auto"/>
        <w:rPr>
          <w:sz w:val="20"/>
          <w:szCs w:val="20"/>
          <w:color w:val="auto"/>
        </w:rPr>
      </w:pPr>
      <w:r>
        <w:rPr>
          <w:rFonts w:ascii="Arial" w:cs="Arial" w:eastAsia="Arial" w:hAnsi="Arial"/>
          <w:sz w:val="16"/>
          <w:szCs w:val="16"/>
          <w:color w:val="auto"/>
        </w:rPr>
        <w:t>For fiscal year 2021, the financial formulaic portion of the annual cash incentives was determined based on meeting pre-established performance targets for Incentive Plan Revenue and Incentive Plan Operating Income. The fiscal year 2021 Incentive Plan Revenue and Incentive Plan Operating Income performance targets were based on meeting the Company’s fiscal year 2021 internal operating budget.</w:t>
      </w:r>
    </w:p>
    <w:p>
      <w:pPr>
        <w:spacing w:after="0" w:line="178"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0075C9"/>
        </w:rPr>
        <w:t>Operational Assessment</w:t>
      </w:r>
    </w:p>
    <w:p>
      <w:pPr>
        <w:spacing w:after="0" w:line="127" w:lineRule="exact"/>
        <w:rPr>
          <w:sz w:val="20"/>
          <w:szCs w:val="20"/>
          <w:color w:val="auto"/>
        </w:rPr>
      </w:pPr>
    </w:p>
    <w:p>
      <w:pPr>
        <w:ind w:left="1100" w:right="40"/>
        <w:spacing w:after="0" w:line="238" w:lineRule="auto"/>
        <w:rPr>
          <w:sz w:val="20"/>
          <w:szCs w:val="20"/>
          <w:color w:val="auto"/>
        </w:rPr>
      </w:pPr>
      <w:r>
        <w:rPr>
          <w:rFonts w:ascii="Arial" w:cs="Arial" w:eastAsia="Arial" w:hAnsi="Arial"/>
          <w:sz w:val="16"/>
          <w:szCs w:val="16"/>
          <w:color w:val="auto"/>
        </w:rPr>
        <w:t>The operational assessment portion of each Named Executive’s fiscal year 2021 annual cash incentives was determined based on evaluation of their individual contributions to the furtherance of financial, operational, and strategic indicators in three performance categories. The performance indicators varied based on the Named Executive’s responsibilities and the function or group he or she leads, and may have included (in alphabetical order in each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4500245</wp:posOffset>
            </wp:positionH>
            <wp:positionV relativeFrom="paragraph">
              <wp:posOffset>300355</wp:posOffset>
            </wp:positionV>
            <wp:extent cx="1948815" cy="15786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948815" cy="157861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1360" w:type="dxa"/>
        <w:tblCellMar>
          <w:top w:w="0" w:type="dxa"/>
          <w:left w:w="0" w:type="dxa"/>
          <w:bottom w:w="0" w:type="dxa"/>
          <w:right w:w="0" w:type="dxa"/>
        </w:tblCellMar>
      </w:tblPr>
      <w:tr>
        <w:trPr>
          <w:trHeight w:val="107"/>
        </w:trPr>
        <w:tc>
          <w:tcPr>
            <w:tcW w:w="100" w:type="dxa"/>
            <w:vAlign w:val="bottom"/>
          </w:tcPr>
          <w:p>
            <w:pPr>
              <w:spacing w:after="0"/>
              <w:rPr>
                <w:sz w:val="9"/>
                <w:szCs w:val="9"/>
                <w:color w:val="auto"/>
              </w:rPr>
            </w:pPr>
          </w:p>
        </w:tc>
        <w:tc>
          <w:tcPr>
            <w:tcW w:w="2100" w:type="dxa"/>
            <w:vAlign w:val="bottom"/>
            <w:vMerge w:val="restart"/>
          </w:tcPr>
          <w:p>
            <w:pPr>
              <w:ind w:left="480"/>
              <w:spacing w:after="0"/>
              <w:rPr>
                <w:sz w:val="20"/>
                <w:szCs w:val="20"/>
                <w:color w:val="auto"/>
              </w:rPr>
            </w:pPr>
            <w:r>
              <w:rPr>
                <w:rFonts w:ascii="Arial" w:cs="Arial" w:eastAsia="Arial" w:hAnsi="Arial"/>
                <w:sz w:val="16"/>
                <w:szCs w:val="16"/>
                <w:b w:val="1"/>
                <w:bCs w:val="1"/>
                <w:color w:val="0075C9"/>
              </w:rPr>
              <w:t>Product &amp; Strategy</w:t>
            </w:r>
          </w:p>
        </w:tc>
        <w:tc>
          <w:tcPr>
            <w:tcW w:w="240" w:type="dxa"/>
            <w:vAlign w:val="bottom"/>
            <w:tcBorders>
              <w:bottom w:val="single" w:sz="8" w:color="999999"/>
            </w:tcBorders>
          </w:tcPr>
          <w:p>
            <w:pPr>
              <w:spacing w:after="0"/>
              <w:rPr>
                <w:sz w:val="9"/>
                <w:szCs w:val="9"/>
                <w:color w:val="auto"/>
              </w:rPr>
            </w:pPr>
          </w:p>
        </w:tc>
        <w:tc>
          <w:tcPr>
            <w:tcW w:w="160" w:type="dxa"/>
            <w:vAlign w:val="bottom"/>
            <w:vMerge w:val="restart"/>
          </w:tcPr>
          <w:p>
            <w:pPr>
              <w:spacing w:after="0"/>
              <w:rPr>
                <w:sz w:val="9"/>
                <w:szCs w:val="9"/>
                <w:color w:val="auto"/>
              </w:rPr>
            </w:pPr>
          </w:p>
        </w:tc>
        <w:tc>
          <w:tcPr>
            <w:tcW w:w="140" w:type="dxa"/>
            <w:vAlign w:val="bottom"/>
            <w:tcBorders>
              <w:bottom w:val="single" w:sz="8" w:color="999999"/>
            </w:tcBorders>
          </w:tcPr>
          <w:p>
            <w:pPr>
              <w:spacing w:after="0"/>
              <w:rPr>
                <w:sz w:val="9"/>
                <w:szCs w:val="9"/>
                <w:color w:val="auto"/>
              </w:rPr>
            </w:pPr>
          </w:p>
        </w:tc>
        <w:tc>
          <w:tcPr>
            <w:tcW w:w="340" w:type="dxa"/>
            <w:vAlign w:val="bottom"/>
          </w:tcPr>
          <w:p>
            <w:pPr>
              <w:spacing w:after="0"/>
              <w:rPr>
                <w:sz w:val="9"/>
                <w:szCs w:val="9"/>
                <w:color w:val="auto"/>
              </w:rPr>
            </w:pPr>
          </w:p>
        </w:tc>
        <w:tc>
          <w:tcPr>
            <w:tcW w:w="2380" w:type="dxa"/>
            <w:vAlign w:val="bottom"/>
            <w:vMerge w:val="restart"/>
          </w:tcPr>
          <w:p>
            <w:pPr>
              <w:ind w:left="200"/>
              <w:spacing w:after="0"/>
              <w:rPr>
                <w:sz w:val="20"/>
                <w:szCs w:val="20"/>
                <w:color w:val="auto"/>
              </w:rPr>
            </w:pPr>
            <w:r>
              <w:rPr>
                <w:rFonts w:ascii="Arial" w:cs="Arial" w:eastAsia="Arial" w:hAnsi="Arial"/>
                <w:sz w:val="16"/>
                <w:szCs w:val="16"/>
                <w:b w:val="1"/>
                <w:bCs w:val="1"/>
                <w:color w:val="0075C9"/>
              </w:rPr>
              <w:t>Customers &amp; Stakeholders</w:t>
            </w:r>
          </w:p>
        </w:tc>
        <w:tc>
          <w:tcPr>
            <w:tcW w:w="160" w:type="dxa"/>
            <w:vAlign w:val="bottom"/>
            <w:tcBorders>
              <w:bottom w:val="single" w:sz="8" w:color="999999"/>
            </w:tcBorders>
          </w:tcPr>
          <w:p>
            <w:pPr>
              <w:spacing w:after="0"/>
              <w:rPr>
                <w:sz w:val="9"/>
                <w:szCs w:val="9"/>
                <w:color w:val="auto"/>
              </w:rPr>
            </w:pPr>
          </w:p>
        </w:tc>
        <w:tc>
          <w:tcPr>
            <w:tcW w:w="100" w:type="dxa"/>
            <w:vAlign w:val="bottom"/>
            <w:vMerge w:val="restart"/>
          </w:tcPr>
          <w:p>
            <w:pPr>
              <w:spacing w:after="0"/>
              <w:rPr>
                <w:sz w:val="9"/>
                <w:szCs w:val="9"/>
                <w:color w:val="auto"/>
              </w:rPr>
            </w:pPr>
          </w:p>
        </w:tc>
        <w:tc>
          <w:tcPr>
            <w:tcW w:w="160" w:type="dxa"/>
            <w:vAlign w:val="bottom"/>
            <w:tcBorders>
              <w:bottom w:val="single" w:sz="8" w:color="999999"/>
            </w:tcBorders>
          </w:tcPr>
          <w:p>
            <w:pPr>
              <w:spacing w:after="0"/>
              <w:rPr>
                <w:sz w:val="9"/>
                <w:szCs w:val="9"/>
                <w:color w:val="auto"/>
              </w:rPr>
            </w:pPr>
          </w:p>
        </w:tc>
        <w:tc>
          <w:tcPr>
            <w:tcW w:w="340" w:type="dxa"/>
            <w:vAlign w:val="bottom"/>
          </w:tcPr>
          <w:p>
            <w:pPr>
              <w:spacing w:after="0"/>
              <w:rPr>
                <w:sz w:val="9"/>
                <w:szCs w:val="9"/>
                <w:color w:val="auto"/>
              </w:rPr>
            </w:pPr>
          </w:p>
        </w:tc>
        <w:tc>
          <w:tcPr>
            <w:tcW w:w="2180" w:type="dxa"/>
            <w:vAlign w:val="bottom"/>
            <w:vMerge w:val="restart"/>
          </w:tcPr>
          <w:p>
            <w:pPr>
              <w:ind w:left="360"/>
              <w:spacing w:after="0"/>
              <w:rPr>
                <w:sz w:val="20"/>
                <w:szCs w:val="20"/>
                <w:color w:val="auto"/>
              </w:rPr>
            </w:pPr>
            <w:r>
              <w:rPr>
                <w:rFonts w:ascii="Arial" w:cs="Arial" w:eastAsia="Arial" w:hAnsi="Arial"/>
                <w:sz w:val="16"/>
                <w:szCs w:val="16"/>
                <w:b w:val="1"/>
                <w:bCs w:val="1"/>
                <w:color w:val="0075C9"/>
                <w:w w:val="95"/>
              </w:rPr>
              <w:t>Culture &amp; Organizational</w:t>
            </w:r>
          </w:p>
        </w:tc>
        <w:tc>
          <w:tcPr>
            <w:tcW w:w="0" w:type="dxa"/>
            <w:vAlign w:val="bottom"/>
          </w:tcPr>
          <w:p>
            <w:pPr>
              <w:spacing w:after="0"/>
              <w:rPr>
                <w:sz w:val="1"/>
                <w:szCs w:val="1"/>
                <w:color w:val="auto"/>
              </w:rPr>
            </w:pPr>
          </w:p>
        </w:tc>
      </w:tr>
      <w:tr>
        <w:trPr>
          <w:trHeight w:val="80"/>
        </w:trPr>
        <w:tc>
          <w:tcPr>
            <w:tcW w:w="100" w:type="dxa"/>
            <w:vAlign w:val="bottom"/>
          </w:tcPr>
          <w:p>
            <w:pPr>
              <w:spacing w:after="0"/>
              <w:rPr>
                <w:sz w:val="6"/>
                <w:szCs w:val="6"/>
                <w:color w:val="auto"/>
              </w:rPr>
            </w:pPr>
          </w:p>
        </w:tc>
        <w:tc>
          <w:tcPr>
            <w:tcW w:w="21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3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80" w:type="dxa"/>
            <w:vAlign w:val="bottom"/>
          </w:tcPr>
          <w:p>
            <w:pPr>
              <w:ind w:left="920"/>
              <w:spacing w:after="0"/>
              <w:rPr>
                <w:sz w:val="20"/>
                <w:szCs w:val="20"/>
                <w:color w:val="auto"/>
              </w:rPr>
            </w:pPr>
            <w:r>
              <w:rPr>
                <w:rFonts w:ascii="Arial" w:cs="Arial" w:eastAsia="Arial" w:hAnsi="Arial"/>
                <w:sz w:val="16"/>
                <w:szCs w:val="16"/>
                <w:b w:val="1"/>
                <w:bCs w:val="1"/>
                <w:color w:val="0075C9"/>
              </w:rPr>
              <w:t>Leadership</w:t>
            </w:r>
          </w:p>
        </w:tc>
        <w:tc>
          <w:tcPr>
            <w:tcW w:w="0" w:type="dxa"/>
            <w:vAlign w:val="bottom"/>
          </w:tcPr>
          <w:p>
            <w:pPr>
              <w:spacing w:after="0"/>
              <w:rPr>
                <w:sz w:val="1"/>
                <w:szCs w:val="1"/>
                <w:color w:val="auto"/>
              </w:rPr>
            </w:pPr>
          </w:p>
        </w:tc>
      </w:tr>
      <w:tr>
        <w:trPr>
          <w:trHeight w:val="383"/>
        </w:trPr>
        <w:tc>
          <w:tcPr>
            <w:tcW w:w="100" w:type="dxa"/>
            <w:vAlign w:val="bottom"/>
          </w:tcPr>
          <w:p>
            <w:pPr>
              <w:spacing w:after="0"/>
              <w:rPr>
                <w:sz w:val="20"/>
                <w:szCs w:val="20"/>
                <w:color w:val="auto"/>
              </w:rPr>
            </w:pPr>
            <w:r>
              <w:rPr>
                <w:rFonts w:ascii="Arial" w:cs="Arial" w:eastAsia="Arial" w:hAnsi="Arial"/>
                <w:sz w:val="16"/>
                <w:szCs w:val="16"/>
                <w:color w:val="auto"/>
              </w:rPr>
              <w:t>•</w:t>
            </w:r>
          </w:p>
        </w:tc>
        <w:tc>
          <w:tcPr>
            <w:tcW w:w="2500" w:type="dxa"/>
            <w:vAlign w:val="bottom"/>
            <w:gridSpan w:val="3"/>
          </w:tcPr>
          <w:p>
            <w:pPr>
              <w:ind w:left="40"/>
              <w:spacing w:after="0"/>
              <w:rPr>
                <w:sz w:val="20"/>
                <w:szCs w:val="20"/>
                <w:color w:val="auto"/>
              </w:rPr>
            </w:pPr>
            <w:r>
              <w:rPr>
                <w:rFonts w:ascii="Arial" w:cs="Arial" w:eastAsia="Arial" w:hAnsi="Arial"/>
                <w:sz w:val="16"/>
                <w:szCs w:val="16"/>
                <w:color w:val="auto"/>
              </w:rPr>
              <w:t>Efficiency and productivity</w:t>
            </w:r>
          </w:p>
        </w:tc>
        <w:tc>
          <w:tcPr>
            <w:tcW w:w="140" w:type="dxa"/>
            <w:vAlign w:val="bottom"/>
          </w:tcPr>
          <w:p>
            <w:pPr>
              <w:spacing w:after="0"/>
              <w:rPr>
                <w:sz w:val="24"/>
                <w:szCs w:val="24"/>
                <w:color w:val="auto"/>
              </w:rPr>
            </w:pPr>
          </w:p>
        </w:tc>
        <w:tc>
          <w:tcPr>
            <w:tcW w:w="340" w:type="dxa"/>
            <w:vAlign w:val="bottom"/>
          </w:tcPr>
          <w:p>
            <w:pPr>
              <w:ind w:left="220"/>
              <w:spacing w:after="0"/>
              <w:rPr>
                <w:sz w:val="20"/>
                <w:szCs w:val="20"/>
                <w:color w:val="auto"/>
              </w:rPr>
            </w:pPr>
            <w:r>
              <w:rPr>
                <w:rFonts w:ascii="Arial" w:cs="Arial" w:eastAsia="Arial" w:hAnsi="Arial"/>
                <w:sz w:val="16"/>
                <w:szCs w:val="16"/>
                <w:color w:val="auto"/>
              </w:rPr>
              <w:t>•</w:t>
            </w:r>
          </w:p>
        </w:tc>
        <w:tc>
          <w:tcPr>
            <w:tcW w:w="2640" w:type="dxa"/>
            <w:vAlign w:val="bottom"/>
            <w:gridSpan w:val="3"/>
          </w:tcPr>
          <w:p>
            <w:pPr>
              <w:ind w:left="40"/>
              <w:spacing w:after="0"/>
              <w:rPr>
                <w:sz w:val="20"/>
                <w:szCs w:val="20"/>
                <w:color w:val="auto"/>
              </w:rPr>
            </w:pPr>
            <w:r>
              <w:rPr>
                <w:rFonts w:ascii="Arial" w:cs="Arial" w:eastAsia="Arial" w:hAnsi="Arial"/>
                <w:sz w:val="16"/>
                <w:szCs w:val="16"/>
                <w:color w:val="auto"/>
              </w:rPr>
              <w:t>Customer and partner</w:t>
            </w:r>
          </w:p>
        </w:tc>
        <w:tc>
          <w:tcPr>
            <w:tcW w:w="160" w:type="dxa"/>
            <w:vAlign w:val="bottom"/>
          </w:tcPr>
          <w:p>
            <w:pPr>
              <w:spacing w:after="0"/>
              <w:rPr>
                <w:sz w:val="24"/>
                <w:szCs w:val="24"/>
                <w:color w:val="auto"/>
              </w:rPr>
            </w:pPr>
          </w:p>
        </w:tc>
        <w:tc>
          <w:tcPr>
            <w:tcW w:w="340" w:type="dxa"/>
            <w:vAlign w:val="bottom"/>
          </w:tcPr>
          <w:p>
            <w:pPr>
              <w:ind w:left="240"/>
              <w:spacing w:after="0"/>
              <w:rPr>
                <w:sz w:val="20"/>
                <w:szCs w:val="20"/>
                <w:color w:val="auto"/>
              </w:rPr>
            </w:pPr>
            <w:r>
              <w:rPr>
                <w:rFonts w:ascii="Arial" w:cs="Arial" w:eastAsia="Arial" w:hAnsi="Arial"/>
                <w:sz w:val="16"/>
                <w:szCs w:val="16"/>
                <w:color w:val="auto"/>
              </w:rPr>
              <w:t>•</w:t>
            </w:r>
          </w:p>
        </w:tc>
        <w:tc>
          <w:tcPr>
            <w:tcW w:w="2180" w:type="dxa"/>
            <w:vAlign w:val="bottom"/>
          </w:tcPr>
          <w:p>
            <w:pPr>
              <w:ind w:left="60"/>
              <w:spacing w:after="0"/>
              <w:rPr>
                <w:sz w:val="20"/>
                <w:szCs w:val="20"/>
                <w:color w:val="auto"/>
              </w:rPr>
            </w:pPr>
            <w:r>
              <w:rPr>
                <w:rFonts w:ascii="Arial" w:cs="Arial" w:eastAsia="Arial" w:hAnsi="Arial"/>
                <w:sz w:val="16"/>
                <w:szCs w:val="16"/>
                <w:color w:val="auto"/>
              </w:rPr>
              <w:t>Compliance and integrity</w:t>
            </w:r>
          </w:p>
        </w:tc>
        <w:tc>
          <w:tcPr>
            <w:tcW w:w="0" w:type="dxa"/>
            <w:vAlign w:val="bottom"/>
          </w:tcPr>
          <w:p>
            <w:pPr>
              <w:spacing w:after="0"/>
              <w:rPr>
                <w:sz w:val="1"/>
                <w:szCs w:val="1"/>
                <w:color w:val="auto"/>
              </w:rPr>
            </w:pPr>
          </w:p>
        </w:tc>
      </w:tr>
      <w:tr>
        <w:trPr>
          <w:trHeight w:val="220"/>
        </w:trPr>
        <w:tc>
          <w:tcPr>
            <w:tcW w:w="100" w:type="dxa"/>
            <w:vAlign w:val="bottom"/>
          </w:tcPr>
          <w:p>
            <w:pPr>
              <w:spacing w:after="0"/>
              <w:rPr>
                <w:sz w:val="20"/>
                <w:szCs w:val="20"/>
                <w:color w:val="auto"/>
              </w:rPr>
            </w:pPr>
            <w:r>
              <w:rPr>
                <w:rFonts w:ascii="Arial" w:cs="Arial" w:eastAsia="Arial" w:hAnsi="Arial"/>
                <w:sz w:val="16"/>
                <w:szCs w:val="16"/>
                <w:color w:val="auto"/>
              </w:rPr>
              <w:t>•</w:t>
            </w:r>
          </w:p>
        </w:tc>
        <w:tc>
          <w:tcPr>
            <w:tcW w:w="2500" w:type="dxa"/>
            <w:vAlign w:val="bottom"/>
            <w:gridSpan w:val="3"/>
          </w:tcPr>
          <w:p>
            <w:pPr>
              <w:ind w:left="40"/>
              <w:spacing w:after="0"/>
              <w:rPr>
                <w:sz w:val="20"/>
                <w:szCs w:val="20"/>
                <w:color w:val="auto"/>
              </w:rPr>
            </w:pPr>
            <w:r>
              <w:rPr>
                <w:rFonts w:ascii="Arial" w:cs="Arial" w:eastAsia="Arial" w:hAnsi="Arial"/>
                <w:sz w:val="16"/>
                <w:szCs w:val="16"/>
                <w:color w:val="auto"/>
              </w:rPr>
              <w:t>Innovation</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40" w:type="dxa"/>
            <w:vAlign w:val="bottom"/>
            <w:gridSpan w:val="3"/>
          </w:tcPr>
          <w:p>
            <w:pPr>
              <w:ind w:left="40"/>
              <w:spacing w:after="0"/>
              <w:rPr>
                <w:sz w:val="20"/>
                <w:szCs w:val="20"/>
                <w:color w:val="auto"/>
              </w:rPr>
            </w:pPr>
            <w:r>
              <w:rPr>
                <w:rFonts w:ascii="Arial" w:cs="Arial" w:eastAsia="Arial" w:hAnsi="Arial"/>
                <w:sz w:val="16"/>
                <w:szCs w:val="16"/>
                <w:color w:val="auto"/>
              </w:rPr>
              <w:t>engagement and outreach</w:t>
            </w:r>
          </w:p>
        </w:tc>
        <w:tc>
          <w:tcPr>
            <w:tcW w:w="160" w:type="dxa"/>
            <w:vAlign w:val="bottom"/>
          </w:tcPr>
          <w:p>
            <w:pPr>
              <w:spacing w:after="0"/>
              <w:rPr>
                <w:sz w:val="19"/>
                <w:szCs w:val="19"/>
                <w:color w:val="auto"/>
              </w:rPr>
            </w:pPr>
          </w:p>
        </w:tc>
        <w:tc>
          <w:tcPr>
            <w:tcW w:w="340" w:type="dxa"/>
            <w:vAlign w:val="bottom"/>
          </w:tcPr>
          <w:p>
            <w:pPr>
              <w:ind w:left="240"/>
              <w:spacing w:after="0"/>
              <w:rPr>
                <w:sz w:val="20"/>
                <w:szCs w:val="20"/>
                <w:color w:val="auto"/>
              </w:rPr>
            </w:pPr>
            <w:r>
              <w:rPr>
                <w:rFonts w:ascii="Arial" w:cs="Arial" w:eastAsia="Arial" w:hAnsi="Arial"/>
                <w:sz w:val="16"/>
                <w:szCs w:val="16"/>
                <w:color w:val="auto"/>
              </w:rPr>
              <w:t>•</w:t>
            </w:r>
          </w:p>
        </w:tc>
        <w:tc>
          <w:tcPr>
            <w:tcW w:w="2180" w:type="dxa"/>
            <w:vAlign w:val="bottom"/>
          </w:tcPr>
          <w:p>
            <w:pPr>
              <w:ind w:left="60"/>
              <w:spacing w:after="0"/>
              <w:rPr>
                <w:sz w:val="20"/>
                <w:szCs w:val="20"/>
                <w:color w:val="auto"/>
              </w:rPr>
            </w:pPr>
            <w:r>
              <w:rPr>
                <w:rFonts w:ascii="Arial" w:cs="Arial" w:eastAsia="Arial" w:hAnsi="Arial"/>
                <w:sz w:val="16"/>
                <w:szCs w:val="16"/>
                <w:color w:val="auto"/>
              </w:rPr>
              <w:t>Culture</w:t>
            </w:r>
          </w:p>
        </w:tc>
        <w:tc>
          <w:tcPr>
            <w:tcW w:w="0" w:type="dxa"/>
            <w:vAlign w:val="bottom"/>
          </w:tcPr>
          <w:p>
            <w:pPr>
              <w:spacing w:after="0"/>
              <w:rPr>
                <w:sz w:val="1"/>
                <w:szCs w:val="1"/>
                <w:color w:val="auto"/>
              </w:rPr>
            </w:pPr>
          </w:p>
        </w:tc>
      </w:tr>
      <w:tr>
        <w:trPr>
          <w:trHeight w:val="220"/>
        </w:trPr>
        <w:tc>
          <w:tcPr>
            <w:tcW w:w="100" w:type="dxa"/>
            <w:vAlign w:val="bottom"/>
          </w:tcPr>
          <w:p>
            <w:pPr>
              <w:spacing w:after="0"/>
              <w:rPr>
                <w:sz w:val="20"/>
                <w:szCs w:val="20"/>
                <w:color w:val="auto"/>
              </w:rPr>
            </w:pPr>
            <w:r>
              <w:rPr>
                <w:rFonts w:ascii="Arial" w:cs="Arial" w:eastAsia="Arial" w:hAnsi="Arial"/>
                <w:sz w:val="16"/>
                <w:szCs w:val="16"/>
                <w:color w:val="auto"/>
              </w:rPr>
              <w:t>•</w:t>
            </w:r>
          </w:p>
        </w:tc>
        <w:tc>
          <w:tcPr>
            <w:tcW w:w="2500" w:type="dxa"/>
            <w:vAlign w:val="bottom"/>
            <w:gridSpan w:val="3"/>
          </w:tcPr>
          <w:p>
            <w:pPr>
              <w:ind w:left="40"/>
              <w:spacing w:after="0"/>
              <w:rPr>
                <w:sz w:val="20"/>
                <w:szCs w:val="20"/>
                <w:color w:val="auto"/>
              </w:rPr>
            </w:pPr>
            <w:r>
              <w:rPr>
                <w:rFonts w:ascii="Arial" w:cs="Arial" w:eastAsia="Arial" w:hAnsi="Arial"/>
                <w:sz w:val="16"/>
                <w:szCs w:val="16"/>
                <w:color w:val="auto"/>
              </w:rPr>
              <w:t>Product development and</w:t>
            </w:r>
          </w:p>
        </w:tc>
        <w:tc>
          <w:tcPr>
            <w:tcW w:w="140" w:type="dxa"/>
            <w:vAlign w:val="bottom"/>
          </w:tcPr>
          <w:p>
            <w:pPr>
              <w:spacing w:after="0"/>
              <w:rPr>
                <w:sz w:val="19"/>
                <w:szCs w:val="19"/>
                <w:color w:val="auto"/>
              </w:rPr>
            </w:pPr>
          </w:p>
        </w:tc>
        <w:tc>
          <w:tcPr>
            <w:tcW w:w="340" w:type="dxa"/>
            <w:vAlign w:val="bottom"/>
          </w:tcPr>
          <w:p>
            <w:pPr>
              <w:ind w:left="220"/>
              <w:spacing w:after="0"/>
              <w:rPr>
                <w:sz w:val="20"/>
                <w:szCs w:val="20"/>
                <w:color w:val="auto"/>
              </w:rPr>
            </w:pPr>
            <w:r>
              <w:rPr>
                <w:rFonts w:ascii="Arial" w:cs="Arial" w:eastAsia="Arial" w:hAnsi="Arial"/>
                <w:sz w:val="16"/>
                <w:szCs w:val="16"/>
                <w:color w:val="auto"/>
              </w:rPr>
              <w:t>•</w:t>
            </w:r>
          </w:p>
        </w:tc>
        <w:tc>
          <w:tcPr>
            <w:tcW w:w="2640" w:type="dxa"/>
            <w:vAlign w:val="bottom"/>
            <w:gridSpan w:val="3"/>
          </w:tcPr>
          <w:p>
            <w:pPr>
              <w:ind w:left="40"/>
              <w:spacing w:after="0"/>
              <w:rPr>
                <w:sz w:val="20"/>
                <w:szCs w:val="20"/>
                <w:color w:val="auto"/>
              </w:rPr>
            </w:pPr>
            <w:r>
              <w:rPr>
                <w:rFonts w:ascii="Arial" w:cs="Arial" w:eastAsia="Arial" w:hAnsi="Arial"/>
                <w:sz w:val="16"/>
                <w:szCs w:val="16"/>
                <w:color w:val="auto"/>
              </w:rPr>
              <w:t>Customer satisfaction</w:t>
            </w:r>
          </w:p>
        </w:tc>
        <w:tc>
          <w:tcPr>
            <w:tcW w:w="160" w:type="dxa"/>
            <w:vAlign w:val="bottom"/>
          </w:tcPr>
          <w:p>
            <w:pPr>
              <w:spacing w:after="0"/>
              <w:rPr>
                <w:sz w:val="19"/>
                <w:szCs w:val="19"/>
                <w:color w:val="auto"/>
              </w:rPr>
            </w:pPr>
          </w:p>
        </w:tc>
        <w:tc>
          <w:tcPr>
            <w:tcW w:w="340" w:type="dxa"/>
            <w:vAlign w:val="bottom"/>
          </w:tcPr>
          <w:p>
            <w:pPr>
              <w:ind w:left="240"/>
              <w:spacing w:after="0"/>
              <w:rPr>
                <w:sz w:val="20"/>
                <w:szCs w:val="20"/>
                <w:color w:val="auto"/>
              </w:rPr>
            </w:pPr>
            <w:r>
              <w:rPr>
                <w:rFonts w:ascii="Arial" w:cs="Arial" w:eastAsia="Arial" w:hAnsi="Arial"/>
                <w:sz w:val="16"/>
                <w:szCs w:val="16"/>
                <w:color w:val="auto"/>
              </w:rPr>
              <w:t>•</w:t>
            </w:r>
          </w:p>
        </w:tc>
        <w:tc>
          <w:tcPr>
            <w:tcW w:w="2180" w:type="dxa"/>
            <w:vAlign w:val="bottom"/>
          </w:tcPr>
          <w:p>
            <w:pPr>
              <w:ind w:left="60"/>
              <w:spacing w:after="0"/>
              <w:rPr>
                <w:sz w:val="20"/>
                <w:szCs w:val="20"/>
                <w:color w:val="auto"/>
              </w:rPr>
            </w:pPr>
            <w:r>
              <w:rPr>
                <w:rFonts w:ascii="Arial" w:cs="Arial" w:eastAsia="Arial" w:hAnsi="Arial"/>
                <w:sz w:val="16"/>
                <w:szCs w:val="16"/>
                <w:color w:val="auto"/>
              </w:rPr>
              <w:t>Diversity and inclusion</w:t>
            </w:r>
          </w:p>
        </w:tc>
        <w:tc>
          <w:tcPr>
            <w:tcW w:w="0" w:type="dxa"/>
            <w:vAlign w:val="bottom"/>
          </w:tcPr>
          <w:p>
            <w:pPr>
              <w:spacing w:after="0"/>
              <w:rPr>
                <w:sz w:val="1"/>
                <w:szCs w:val="1"/>
                <w:color w:val="auto"/>
              </w:rPr>
            </w:pPr>
          </w:p>
        </w:tc>
      </w:tr>
      <w:tr>
        <w:trPr>
          <w:trHeight w:val="181"/>
        </w:trPr>
        <w:tc>
          <w:tcPr>
            <w:tcW w:w="100" w:type="dxa"/>
            <w:vAlign w:val="bottom"/>
          </w:tcPr>
          <w:p>
            <w:pPr>
              <w:spacing w:after="0"/>
              <w:rPr>
                <w:sz w:val="15"/>
                <w:szCs w:val="15"/>
                <w:color w:val="auto"/>
              </w:rPr>
            </w:pPr>
          </w:p>
        </w:tc>
        <w:tc>
          <w:tcPr>
            <w:tcW w:w="2500" w:type="dxa"/>
            <w:vAlign w:val="bottom"/>
            <w:gridSpan w:val="3"/>
          </w:tcPr>
          <w:p>
            <w:pPr>
              <w:ind w:left="40"/>
              <w:spacing w:after="0" w:line="181" w:lineRule="exact"/>
              <w:rPr>
                <w:sz w:val="20"/>
                <w:szCs w:val="20"/>
                <w:color w:val="auto"/>
              </w:rPr>
            </w:pPr>
            <w:r>
              <w:rPr>
                <w:rFonts w:ascii="Arial" w:cs="Arial" w:eastAsia="Arial" w:hAnsi="Arial"/>
                <w:sz w:val="16"/>
                <w:szCs w:val="16"/>
                <w:color w:val="auto"/>
              </w:rPr>
              <w:t>implementation of strategic</w:t>
            </w:r>
          </w:p>
        </w:tc>
        <w:tc>
          <w:tcPr>
            <w:tcW w:w="140" w:type="dxa"/>
            <w:vAlign w:val="bottom"/>
          </w:tcPr>
          <w:p>
            <w:pPr>
              <w:spacing w:after="0"/>
              <w:rPr>
                <w:sz w:val="15"/>
                <w:szCs w:val="15"/>
                <w:color w:val="auto"/>
              </w:rPr>
            </w:pPr>
          </w:p>
        </w:tc>
        <w:tc>
          <w:tcPr>
            <w:tcW w:w="340" w:type="dxa"/>
            <w:vAlign w:val="bottom"/>
          </w:tcPr>
          <w:p>
            <w:pPr>
              <w:ind w:left="220"/>
              <w:spacing w:after="0" w:line="181" w:lineRule="exact"/>
              <w:rPr>
                <w:sz w:val="20"/>
                <w:szCs w:val="20"/>
                <w:color w:val="auto"/>
              </w:rPr>
            </w:pPr>
            <w:r>
              <w:rPr>
                <w:rFonts w:ascii="Arial" w:cs="Arial" w:eastAsia="Arial" w:hAnsi="Arial"/>
                <w:sz w:val="16"/>
                <w:szCs w:val="16"/>
                <w:color w:val="auto"/>
              </w:rPr>
              <w:t>•</w:t>
            </w:r>
          </w:p>
        </w:tc>
        <w:tc>
          <w:tcPr>
            <w:tcW w:w="2640" w:type="dxa"/>
            <w:vAlign w:val="bottom"/>
            <w:gridSpan w:val="3"/>
          </w:tcPr>
          <w:p>
            <w:pPr>
              <w:ind w:left="40"/>
              <w:spacing w:after="0" w:line="181" w:lineRule="exact"/>
              <w:rPr>
                <w:sz w:val="20"/>
                <w:szCs w:val="20"/>
                <w:color w:val="auto"/>
              </w:rPr>
            </w:pPr>
            <w:r>
              <w:rPr>
                <w:rFonts w:ascii="Arial" w:cs="Arial" w:eastAsia="Arial" w:hAnsi="Arial"/>
                <w:sz w:val="16"/>
                <w:szCs w:val="16"/>
                <w:color w:val="auto"/>
              </w:rPr>
              <w:t>Developer engagement</w:t>
            </w:r>
          </w:p>
        </w:tc>
        <w:tc>
          <w:tcPr>
            <w:tcW w:w="160" w:type="dxa"/>
            <w:vAlign w:val="bottom"/>
          </w:tcPr>
          <w:p>
            <w:pPr>
              <w:spacing w:after="0"/>
              <w:rPr>
                <w:sz w:val="15"/>
                <w:szCs w:val="15"/>
                <w:color w:val="auto"/>
              </w:rPr>
            </w:pPr>
          </w:p>
        </w:tc>
        <w:tc>
          <w:tcPr>
            <w:tcW w:w="340" w:type="dxa"/>
            <w:vAlign w:val="bottom"/>
          </w:tcPr>
          <w:p>
            <w:pPr>
              <w:ind w:left="240"/>
              <w:spacing w:after="0" w:line="181" w:lineRule="exact"/>
              <w:rPr>
                <w:sz w:val="20"/>
                <w:szCs w:val="20"/>
                <w:color w:val="auto"/>
              </w:rPr>
            </w:pPr>
            <w:r>
              <w:rPr>
                <w:rFonts w:ascii="Arial" w:cs="Arial" w:eastAsia="Arial" w:hAnsi="Arial"/>
                <w:sz w:val="16"/>
                <w:szCs w:val="16"/>
                <w:color w:val="auto"/>
              </w:rPr>
              <w:t>•</w:t>
            </w:r>
          </w:p>
        </w:tc>
        <w:tc>
          <w:tcPr>
            <w:tcW w:w="2180" w:type="dxa"/>
            <w:vAlign w:val="bottom"/>
          </w:tcPr>
          <w:p>
            <w:pPr>
              <w:ind w:left="60"/>
              <w:spacing w:after="0" w:line="181" w:lineRule="exact"/>
              <w:rPr>
                <w:sz w:val="20"/>
                <w:szCs w:val="20"/>
                <w:color w:val="auto"/>
              </w:rPr>
            </w:pPr>
            <w:r>
              <w:rPr>
                <w:rFonts w:ascii="Arial" w:cs="Arial" w:eastAsia="Arial" w:hAnsi="Arial"/>
                <w:sz w:val="16"/>
                <w:szCs w:val="16"/>
                <w:color w:val="auto"/>
              </w:rPr>
              <w:t>Organizational health</w:t>
            </w: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2500" w:type="dxa"/>
            <w:vAlign w:val="bottom"/>
            <w:gridSpan w:val="3"/>
          </w:tcPr>
          <w:p>
            <w:pPr>
              <w:ind w:left="40"/>
              <w:spacing w:after="0"/>
              <w:rPr>
                <w:sz w:val="20"/>
                <w:szCs w:val="20"/>
                <w:color w:val="auto"/>
              </w:rPr>
            </w:pPr>
            <w:r>
              <w:rPr>
                <w:rFonts w:ascii="Arial" w:cs="Arial" w:eastAsia="Arial" w:hAnsi="Arial"/>
                <w:sz w:val="16"/>
                <w:szCs w:val="16"/>
                <w:color w:val="auto"/>
              </w:rPr>
              <w:t>roadmap</w:t>
            </w:r>
          </w:p>
        </w:tc>
        <w:tc>
          <w:tcPr>
            <w:tcW w:w="140" w:type="dxa"/>
            <w:vAlign w:val="bottom"/>
          </w:tcPr>
          <w:p>
            <w:pPr>
              <w:spacing w:after="0"/>
              <w:rPr>
                <w:sz w:val="19"/>
                <w:szCs w:val="19"/>
                <w:color w:val="auto"/>
              </w:rPr>
            </w:pPr>
          </w:p>
        </w:tc>
        <w:tc>
          <w:tcPr>
            <w:tcW w:w="340" w:type="dxa"/>
            <w:vAlign w:val="bottom"/>
          </w:tcPr>
          <w:p>
            <w:pPr>
              <w:ind w:left="220"/>
              <w:spacing w:after="0"/>
              <w:rPr>
                <w:sz w:val="20"/>
                <w:szCs w:val="20"/>
                <w:color w:val="auto"/>
              </w:rPr>
            </w:pPr>
            <w:r>
              <w:rPr>
                <w:rFonts w:ascii="Arial" w:cs="Arial" w:eastAsia="Arial" w:hAnsi="Arial"/>
                <w:sz w:val="16"/>
                <w:szCs w:val="16"/>
                <w:color w:val="auto"/>
              </w:rPr>
              <w:t>•</w:t>
            </w:r>
          </w:p>
        </w:tc>
        <w:tc>
          <w:tcPr>
            <w:tcW w:w="2640" w:type="dxa"/>
            <w:vAlign w:val="bottom"/>
            <w:gridSpan w:val="3"/>
          </w:tcPr>
          <w:p>
            <w:pPr>
              <w:ind w:left="60"/>
              <w:spacing w:after="0"/>
              <w:rPr>
                <w:sz w:val="20"/>
                <w:szCs w:val="20"/>
                <w:color w:val="auto"/>
              </w:rPr>
            </w:pPr>
            <w:r>
              <w:rPr>
                <w:rFonts w:ascii="Arial" w:cs="Arial" w:eastAsia="Arial" w:hAnsi="Arial"/>
                <w:sz w:val="16"/>
                <w:szCs w:val="16"/>
                <w:color w:val="auto"/>
              </w:rPr>
              <w:t>Progress on Environmental,</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00" w:type="dxa"/>
            <w:vAlign w:val="bottom"/>
          </w:tcPr>
          <w:p>
            <w:pPr>
              <w:spacing w:after="0"/>
              <w:rPr>
                <w:sz w:val="20"/>
                <w:szCs w:val="20"/>
                <w:color w:val="auto"/>
              </w:rPr>
            </w:pPr>
            <w:r>
              <w:rPr>
                <w:rFonts w:ascii="Arial" w:cs="Arial" w:eastAsia="Arial" w:hAnsi="Arial"/>
                <w:sz w:val="16"/>
                <w:szCs w:val="16"/>
                <w:color w:val="auto"/>
              </w:rPr>
              <w:t>•</w:t>
            </w:r>
          </w:p>
        </w:tc>
        <w:tc>
          <w:tcPr>
            <w:tcW w:w="2500" w:type="dxa"/>
            <w:vAlign w:val="bottom"/>
            <w:gridSpan w:val="3"/>
          </w:tcPr>
          <w:p>
            <w:pPr>
              <w:ind w:left="40"/>
              <w:spacing w:after="0"/>
              <w:rPr>
                <w:sz w:val="20"/>
                <w:szCs w:val="20"/>
                <w:color w:val="auto"/>
              </w:rPr>
            </w:pPr>
            <w:r>
              <w:rPr>
                <w:rFonts w:ascii="Arial" w:cs="Arial" w:eastAsia="Arial" w:hAnsi="Arial"/>
                <w:sz w:val="16"/>
                <w:szCs w:val="16"/>
                <w:color w:val="auto"/>
              </w:rPr>
              <w:t>Quality</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3"/>
          </w:tcPr>
          <w:p>
            <w:pPr>
              <w:ind w:left="40"/>
              <w:spacing w:after="0"/>
              <w:rPr>
                <w:sz w:val="20"/>
                <w:szCs w:val="20"/>
                <w:color w:val="auto"/>
              </w:rPr>
            </w:pPr>
            <w:r>
              <w:rPr>
                <w:rFonts w:ascii="Arial" w:cs="Arial" w:eastAsia="Arial" w:hAnsi="Arial"/>
                <w:sz w:val="16"/>
                <w:szCs w:val="16"/>
                <w:color w:val="auto"/>
              </w:rPr>
              <w:t>Social, and Governance goals</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-1138555</wp:posOffset>
            </wp:positionV>
            <wp:extent cx="3733165" cy="15544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733165" cy="1554480"/>
                    </a:xfrm>
                    <a:prstGeom prst="rect">
                      <a:avLst/>
                    </a:prstGeom>
                    <a:noFill/>
                  </pic:spPr>
                </pic:pic>
              </a:graphicData>
            </a:graphic>
          </wp:anchor>
        </w:drawing>
      </w:r>
    </w:p>
    <w:p>
      <w:pPr>
        <w:spacing w:after="0" w:line="14" w:lineRule="exact"/>
        <w:rPr>
          <w:sz w:val="20"/>
          <w:szCs w:val="20"/>
          <w:color w:val="auto"/>
        </w:rPr>
      </w:pPr>
    </w:p>
    <w:p>
      <w:pPr>
        <w:ind w:left="1500" w:right="6700" w:hanging="150"/>
        <w:spacing w:after="0" w:line="239" w:lineRule="auto"/>
        <w:tabs>
          <w:tab w:leader="none" w:pos="1503" w:val="left"/>
        </w:tabs>
        <w:numPr>
          <w:ilvl w:val="0"/>
          <w:numId w:val="75"/>
        </w:numPr>
        <w:rPr>
          <w:rFonts w:ascii="Arial" w:cs="Arial" w:eastAsia="Arial" w:hAnsi="Arial"/>
          <w:sz w:val="16"/>
          <w:szCs w:val="16"/>
          <w:color w:val="auto"/>
        </w:rPr>
      </w:pPr>
      <w:r>
        <w:rPr>
          <w:rFonts w:ascii="Arial" w:cs="Arial" w:eastAsia="Arial" w:hAnsi="Arial"/>
          <w:sz w:val="16"/>
          <w:szCs w:val="16"/>
          <w:color w:val="auto"/>
        </w:rPr>
        <w:t>Revenue, consumption, and market share</w:t>
      </w:r>
    </w:p>
    <w:p>
      <w:pPr>
        <w:spacing w:after="0" w:line="200" w:lineRule="exact"/>
        <w:rPr>
          <w:sz w:val="20"/>
          <w:szCs w:val="20"/>
          <w:color w:val="auto"/>
        </w:rPr>
      </w:pPr>
    </w:p>
    <w:p>
      <w:pPr>
        <w:spacing w:after="0" w:line="262"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For Mr. Nadella, the independent members of our Board also considered:</w:t>
      </w:r>
    </w:p>
    <w:p>
      <w:pPr>
        <w:spacing w:after="0" w:line="114" w:lineRule="exact"/>
        <w:rPr>
          <w:sz w:val="20"/>
          <w:szCs w:val="20"/>
          <w:color w:val="auto"/>
        </w:rPr>
      </w:pPr>
    </w:p>
    <w:p>
      <w:pPr>
        <w:ind w:left="1260" w:hanging="158"/>
        <w:spacing w:after="0"/>
        <w:tabs>
          <w:tab w:leader="none" w:pos="12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Input from Microsoft’s senior executives about Mr. Nadella’s leadership</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scorecard we use to measure performance against Microsoft’s annual business plan</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Mr. Nadella’s evaluation of Microsoft’s and his individual performance over the past fiscal year</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Equity Compensation</w:t>
      </w:r>
    </w:p>
    <w:p>
      <w:pPr>
        <w:spacing w:after="0" w:line="12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Under the Incentive Plan, each year our Named Executives receive both PSAs and SAs.</w:t>
      </w:r>
    </w:p>
    <w:p>
      <w:pPr>
        <w:spacing w:after="0" w:line="180"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0075C9"/>
        </w:rPr>
        <w:t>Performance Stock Awards</w:t>
      </w:r>
    </w:p>
    <w:p>
      <w:pPr>
        <w:spacing w:after="0" w:line="127" w:lineRule="exact"/>
        <w:rPr>
          <w:sz w:val="20"/>
          <w:szCs w:val="20"/>
          <w:color w:val="auto"/>
        </w:rPr>
      </w:pPr>
    </w:p>
    <w:p>
      <w:pPr>
        <w:ind w:left="1100" w:right="780"/>
        <w:spacing w:after="0" w:line="239" w:lineRule="auto"/>
        <w:rPr>
          <w:sz w:val="20"/>
          <w:szCs w:val="20"/>
          <w:color w:val="auto"/>
        </w:rPr>
      </w:pPr>
      <w:r>
        <w:rPr>
          <w:rFonts w:ascii="Arial" w:cs="Arial" w:eastAsia="Arial" w:hAnsi="Arial"/>
          <w:sz w:val="16"/>
          <w:szCs w:val="16"/>
          <w:color w:val="auto"/>
        </w:rPr>
        <w:t>PSAs are designed to encourage our executives to achieve rigorous goals in key performance metrics to drive long-term performance and value creation.</w:t>
      </w:r>
    </w:p>
    <w:p>
      <w:pPr>
        <w:spacing w:after="0" w:line="100" w:lineRule="exact"/>
        <w:rPr>
          <w:sz w:val="20"/>
          <w:szCs w:val="20"/>
          <w:color w:val="auto"/>
        </w:rPr>
      </w:pPr>
    </w:p>
    <w:p>
      <w:pPr>
        <w:ind w:left="1100" w:right="60"/>
        <w:spacing w:after="0" w:line="289" w:lineRule="auto"/>
        <w:rPr>
          <w:sz w:val="20"/>
          <w:szCs w:val="20"/>
          <w:color w:val="auto"/>
        </w:rPr>
      </w:pPr>
      <w:r>
        <w:rPr>
          <w:rFonts w:ascii="Arial" w:cs="Arial" w:eastAsia="Arial" w:hAnsi="Arial"/>
          <w:sz w:val="14"/>
          <w:szCs w:val="14"/>
          <w:color w:val="auto"/>
        </w:rPr>
        <w:t>Due to the dynamic nature of our business and the specificity in the performance metrics that are chosen under our PSA program, we believe that measuring performance annually over our three-year performance period and modifying awards based on our three-year relative TSR provides the most accurate assessment of Microsoft’s long-term trajectory and performance achievements.</w:t>
      </w:r>
    </w:p>
    <w:p>
      <w:pPr>
        <w:spacing w:after="0" w:line="200" w:lineRule="exact"/>
        <w:rPr>
          <w:sz w:val="20"/>
          <w:szCs w:val="20"/>
          <w:color w:val="auto"/>
        </w:rPr>
      </w:pPr>
    </w:p>
    <w:p>
      <w:pPr>
        <w:spacing w:after="0" w:line="267"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-94615</wp:posOffset>
            </wp:positionV>
            <wp:extent cx="485140" cy="9842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45" w:right="1439" w:bottom="1440" w:gutter="0" w:footer="0" w:header="0"/>
        </w:sectPr>
      </w:pPr>
    </w:p>
    <w:bookmarkStart w:id="50" w:name="page51"/>
    <w:bookmarkEnd w:id="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auto"/>
                <w:w w:val="89"/>
              </w:rPr>
              <w:t>1</w:t>
            </w:r>
          </w:p>
        </w:tc>
        <w:tc>
          <w:tcPr>
            <w:tcW w:w="1380" w:type="dxa"/>
            <w:vAlign w:val="bottom"/>
            <w:vMerge w:val="restart"/>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gridSpan w:val="2"/>
          </w:tcPr>
          <w:p>
            <w:pPr>
              <w:jc w:val="right"/>
              <w:ind w:right="80"/>
              <w:spacing w:after="0"/>
              <w:rPr>
                <w:sz w:val="20"/>
                <w:szCs w:val="20"/>
                <w:color w:val="auto"/>
              </w:rPr>
            </w:pPr>
            <w:r>
              <w:rPr>
                <w:rFonts w:ascii="Arial" w:cs="Arial" w:eastAsia="Arial" w:hAnsi="Arial"/>
                <w:sz w:val="36"/>
                <w:szCs w:val="36"/>
                <w:color w:val="0075C9"/>
              </w:rPr>
              <w:t>2</w:t>
            </w:r>
          </w:p>
        </w:tc>
        <w:tc>
          <w:tcPr>
            <w:tcW w:w="1320" w:type="dxa"/>
            <w:vAlign w:val="bottom"/>
            <w:vMerge w:val="restart"/>
          </w:tcPr>
          <w:p>
            <w:pPr>
              <w:ind w:left="60"/>
              <w:spacing w:after="0"/>
              <w:rPr>
                <w:sz w:val="20"/>
                <w:szCs w:val="20"/>
                <w:color w:val="auto"/>
              </w:rPr>
            </w:pPr>
            <w:r>
              <w:rPr>
                <w:rFonts w:ascii="Arial" w:cs="Arial" w:eastAsia="Arial" w:hAnsi="Arial"/>
                <w:sz w:val="12"/>
                <w:szCs w:val="12"/>
                <w:color w:val="0075C9"/>
              </w:rPr>
              <w:t>NAMED</w:t>
            </w:r>
          </w:p>
        </w:tc>
        <w:tc>
          <w:tcPr>
            <w:tcW w:w="740" w:type="dxa"/>
            <w:vAlign w:val="bottom"/>
          </w:tcPr>
          <w:p>
            <w:pPr>
              <w:jc w:val="right"/>
              <w:spacing w:after="0"/>
              <w:rPr>
                <w:sz w:val="20"/>
                <w:szCs w:val="20"/>
                <w:color w:val="auto"/>
              </w:rPr>
            </w:pPr>
            <w:r>
              <w:rPr>
                <w:rFonts w:ascii="Arial" w:cs="Arial" w:eastAsia="Arial" w:hAnsi="Arial"/>
                <w:sz w:val="36"/>
                <w:szCs w:val="36"/>
                <w:color w:val="auto"/>
              </w:rPr>
              <w:t>3</w:t>
            </w:r>
          </w:p>
        </w:tc>
        <w:tc>
          <w:tcPr>
            <w:tcW w:w="1020" w:type="dxa"/>
            <w:vAlign w:val="bottom"/>
            <w:vMerge w:val="restart"/>
          </w:tcPr>
          <w:p>
            <w:pPr>
              <w:ind w:left="60"/>
              <w:spacing w:after="0"/>
              <w:rPr>
                <w:sz w:val="20"/>
                <w:szCs w:val="20"/>
                <w:color w:val="auto"/>
              </w:rPr>
            </w:pPr>
            <w:r>
              <w:rPr>
                <w:rFonts w:ascii="Arial" w:cs="Arial" w:eastAsia="Arial" w:hAnsi="Arial"/>
                <w:sz w:val="12"/>
                <w:szCs w:val="12"/>
                <w:color w:val="auto"/>
              </w:rPr>
              <w:t>AUDIT</w:t>
            </w:r>
          </w:p>
        </w:tc>
        <w:tc>
          <w:tcPr>
            <w:tcW w:w="500" w:type="dxa"/>
            <w:vAlign w:val="bottom"/>
          </w:tcPr>
          <w:p>
            <w:pPr>
              <w:jc w:val="right"/>
              <w:spacing w:after="0"/>
              <w:rPr>
                <w:sz w:val="20"/>
                <w:szCs w:val="20"/>
                <w:color w:val="auto"/>
              </w:rPr>
            </w:pPr>
            <w:r>
              <w:rPr>
                <w:rFonts w:ascii="Arial" w:cs="Arial" w:eastAsia="Arial" w:hAnsi="Arial"/>
                <w:sz w:val="36"/>
                <w:szCs w:val="36"/>
                <w:color w:val="auto"/>
              </w:rPr>
              <w:t>4</w:t>
            </w:r>
          </w:p>
        </w:tc>
        <w:tc>
          <w:tcPr>
            <w:tcW w:w="1580" w:type="dxa"/>
            <w:vAlign w:val="bottom"/>
            <w:vMerge w:val="restart"/>
          </w:tcPr>
          <w:p>
            <w:pPr>
              <w:ind w:left="80"/>
              <w:spacing w:after="0"/>
              <w:rPr>
                <w:sz w:val="20"/>
                <w:szCs w:val="20"/>
                <w:color w:val="auto"/>
              </w:rPr>
            </w:pPr>
            <w:r>
              <w:rPr>
                <w:rFonts w:ascii="Arial" w:cs="Arial" w:eastAsia="Arial" w:hAnsi="Arial"/>
                <w:sz w:val="12"/>
                <w:szCs w:val="12"/>
                <w:color w:val="auto"/>
              </w:rPr>
              <w:t>PROPOSALS TO</w:t>
            </w:r>
          </w:p>
        </w:tc>
        <w:tc>
          <w:tcPr>
            <w:tcW w:w="420" w:type="dxa"/>
            <w:vAlign w:val="bottom"/>
          </w:tcPr>
          <w:p>
            <w:pPr>
              <w:jc w:val="right"/>
              <w:spacing w:after="0"/>
              <w:rPr>
                <w:sz w:val="20"/>
                <w:szCs w:val="20"/>
                <w:color w:val="auto"/>
              </w:rPr>
            </w:pPr>
            <w:r>
              <w:rPr>
                <w:rFonts w:ascii="Arial" w:cs="Arial" w:eastAsia="Arial" w:hAnsi="Arial"/>
                <w:sz w:val="36"/>
                <w:szCs w:val="36"/>
                <w:color w:val="auto"/>
              </w:rPr>
              <w:t>5</w:t>
            </w:r>
          </w:p>
        </w:tc>
        <w:tc>
          <w:tcPr>
            <w:tcW w:w="920" w:type="dxa"/>
            <w:vAlign w:val="bottom"/>
            <w:vMerge w:val="restart"/>
          </w:tcPr>
          <w:p>
            <w:pPr>
              <w:ind w:left="8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38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tcPr>
          <w:p>
            <w:pPr>
              <w:ind w:left="60"/>
              <w:spacing w:after="0" w:line="130" w:lineRule="exact"/>
              <w:rPr>
                <w:sz w:val="20"/>
                <w:szCs w:val="20"/>
                <w:color w:val="auto"/>
              </w:rPr>
            </w:pPr>
            <w:r>
              <w:rPr>
                <w:rFonts w:ascii="Arial" w:cs="Arial" w:eastAsia="Arial" w:hAnsi="Arial"/>
                <w:sz w:val="12"/>
                <w:szCs w:val="12"/>
                <w:color w:val="0075C9"/>
                <w:w w:val="99"/>
              </w:rPr>
              <w:t>EXECUTIVE OFFICER</w:t>
            </w:r>
          </w:p>
        </w:tc>
        <w:tc>
          <w:tcPr>
            <w:tcW w:w="740" w:type="dxa"/>
            <w:vAlign w:val="bottom"/>
          </w:tcPr>
          <w:p>
            <w:pPr>
              <w:spacing w:after="0"/>
              <w:rPr>
                <w:sz w:val="11"/>
                <w:szCs w:val="11"/>
                <w:color w:val="auto"/>
              </w:rPr>
            </w:pPr>
          </w:p>
        </w:tc>
        <w:tc>
          <w:tcPr>
            <w:tcW w:w="1020" w:type="dxa"/>
            <w:vAlign w:val="bottom"/>
          </w:tcPr>
          <w:p>
            <w:pPr>
              <w:ind w:left="60"/>
              <w:spacing w:after="0" w:line="130" w:lineRule="exact"/>
              <w:rPr>
                <w:sz w:val="20"/>
                <w:szCs w:val="20"/>
                <w:color w:val="auto"/>
              </w:rPr>
            </w:pPr>
            <w:r>
              <w:rPr>
                <w:rFonts w:ascii="Arial" w:cs="Arial" w:eastAsia="Arial" w:hAnsi="Arial"/>
                <w:sz w:val="12"/>
                <w:szCs w:val="12"/>
                <w:color w:val="auto"/>
              </w:rPr>
              <w:t>COMMITTEE</w:t>
            </w:r>
          </w:p>
        </w:tc>
        <w:tc>
          <w:tcPr>
            <w:tcW w:w="500" w:type="dxa"/>
            <w:vAlign w:val="bottom"/>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20" w:type="dxa"/>
            <w:vAlign w:val="bottom"/>
          </w:tcPr>
          <w:p>
            <w:pPr>
              <w:spacing w:after="0"/>
              <w:rPr>
                <w:sz w:val="11"/>
                <w:szCs w:val="11"/>
                <w:color w:val="auto"/>
              </w:rPr>
            </w:pPr>
          </w:p>
        </w:tc>
        <w:tc>
          <w:tcPr>
            <w:tcW w:w="92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380" w:type="dxa"/>
            <w:vAlign w:val="bottom"/>
          </w:tcPr>
          <w:p>
            <w:pPr>
              <w:ind w:left="80"/>
              <w:spacing w:after="0"/>
              <w:rPr>
                <w:sz w:val="20"/>
                <w:szCs w:val="20"/>
                <w:color w:val="auto"/>
              </w:rPr>
            </w:pPr>
            <w:r>
              <w:rPr>
                <w:rFonts w:ascii="Arial" w:cs="Arial" w:eastAsia="Arial" w:hAnsi="Arial"/>
                <w:sz w:val="12"/>
                <w:szCs w:val="12"/>
                <w:color w:val="auto"/>
              </w:rPr>
              <w:t>DIRECTORS</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0075C9"/>
              </w:rPr>
              <w:t>COMPENSATION</w:t>
            </w:r>
          </w:p>
        </w:tc>
        <w:tc>
          <w:tcPr>
            <w:tcW w:w="740" w:type="dxa"/>
            <w:vAlign w:val="bottom"/>
          </w:tcPr>
          <w:p>
            <w:pPr>
              <w:spacing w:after="0"/>
              <w:rPr>
                <w:sz w:val="12"/>
                <w:szCs w:val="12"/>
                <w:color w:val="auto"/>
              </w:rPr>
            </w:pPr>
          </w:p>
        </w:tc>
        <w:tc>
          <w:tcPr>
            <w:tcW w:w="1020" w:type="dxa"/>
            <w:vAlign w:val="bottom"/>
          </w:tcPr>
          <w:p>
            <w:pPr>
              <w:ind w:left="60"/>
              <w:spacing w:after="0"/>
              <w:rPr>
                <w:sz w:val="20"/>
                <w:szCs w:val="20"/>
                <w:color w:val="auto"/>
              </w:rPr>
            </w:pPr>
            <w:r>
              <w:rPr>
                <w:rFonts w:ascii="Arial" w:cs="Arial" w:eastAsia="Arial" w:hAnsi="Arial"/>
                <w:sz w:val="12"/>
                <w:szCs w:val="12"/>
                <w:color w:val="auto"/>
              </w:rPr>
              <w:t>MATTERS</w:t>
            </w:r>
          </w:p>
        </w:tc>
        <w:tc>
          <w:tcPr>
            <w:tcW w:w="500" w:type="dxa"/>
            <w:vAlign w:val="bottom"/>
          </w:tcPr>
          <w:p>
            <w:pPr>
              <w:spacing w:after="0"/>
              <w:rPr>
                <w:sz w:val="12"/>
                <w:szCs w:val="12"/>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20" w:type="dxa"/>
            <w:vAlign w:val="bottom"/>
          </w:tcPr>
          <w:p>
            <w:pPr>
              <w:spacing w:after="0"/>
              <w:rPr>
                <w:sz w:val="12"/>
                <w:szCs w:val="12"/>
                <w:color w:val="auto"/>
              </w:rPr>
            </w:pPr>
          </w:p>
        </w:tc>
        <w:tc>
          <w:tcPr>
            <w:tcW w:w="92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0075C9"/>
        </w:rPr>
        <w:t>Fiscal Year 2021 Performance Stock Award Metrics and Weights</w:t>
      </w:r>
    </w:p>
    <w:p>
      <w:pPr>
        <w:spacing w:after="0" w:line="127" w:lineRule="exact"/>
        <w:rPr>
          <w:sz w:val="20"/>
          <w:szCs w:val="20"/>
          <w:color w:val="auto"/>
        </w:rPr>
      </w:pPr>
    </w:p>
    <w:p>
      <w:pPr>
        <w:ind w:left="1100" w:right="420"/>
        <w:spacing w:after="0" w:line="238" w:lineRule="auto"/>
        <w:rPr>
          <w:sz w:val="20"/>
          <w:szCs w:val="20"/>
          <w:color w:val="auto"/>
        </w:rPr>
      </w:pPr>
      <w:r>
        <w:rPr>
          <w:rFonts w:ascii="Arial" w:cs="Arial" w:eastAsia="Arial" w:hAnsi="Arial"/>
          <w:sz w:val="16"/>
          <w:szCs w:val="16"/>
          <w:color w:val="auto"/>
        </w:rPr>
        <w:t>Fiscal year 2021 PSA metrics are strategic measures that drive long-term performance and value creation. Targets for the PSA metrics are set at the target levels established under Microsoft’s fiscal year business plan and are intended to be difficult but attainable, and additional information about our goal-setting process is on page 39. The metrics and weights used for fiscal year 2021 are in the table below.</w:t>
      </w:r>
    </w:p>
    <w:p>
      <w:pPr>
        <w:spacing w:after="0" w:line="311" w:lineRule="exact"/>
        <w:rPr>
          <w:sz w:val="20"/>
          <w:szCs w:val="20"/>
          <w:color w:val="auto"/>
        </w:rPr>
      </w:pPr>
    </w:p>
    <w:p>
      <w:pPr>
        <w:ind w:left="4220"/>
        <w:spacing w:after="0"/>
        <w:rPr>
          <w:sz w:val="20"/>
          <w:szCs w:val="20"/>
          <w:color w:val="auto"/>
        </w:rPr>
      </w:pPr>
      <w:r>
        <w:rPr>
          <w:rFonts w:ascii="Arial" w:cs="Arial" w:eastAsia="Arial" w:hAnsi="Arial"/>
          <w:sz w:val="21"/>
          <w:szCs w:val="21"/>
          <w:b w:val="1"/>
          <w:bCs w:val="1"/>
          <w:color w:val="auto"/>
        </w:rPr>
        <w:t>Fiscal Year 2021 PSA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-58420</wp:posOffset>
            </wp:positionV>
            <wp:extent cx="5748020" cy="24504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748020" cy="2450465"/>
                    </a:xfrm>
                    <a:prstGeom prst="rect">
                      <a:avLst/>
                    </a:prstGeom>
                    <a:noFill/>
                  </pic:spPr>
                </pic:pic>
              </a:graphicData>
            </a:graphic>
          </wp:anchor>
        </w:drawing>
      </w:r>
    </w:p>
    <w:p>
      <w:pPr>
        <w:spacing w:after="0" w:line="65" w:lineRule="exact"/>
        <w:rPr>
          <w:sz w:val="20"/>
          <w:szCs w:val="20"/>
          <w:color w:val="auto"/>
        </w:rPr>
      </w:pPr>
    </w:p>
    <w:tbl>
      <w:tblPr>
        <w:tblLayout w:type="fixed"/>
        <w:tblInd w:w="1300" w:type="dxa"/>
        <w:tblCellMar>
          <w:top w:w="0" w:type="dxa"/>
          <w:left w:w="0" w:type="dxa"/>
          <w:bottom w:w="0" w:type="dxa"/>
          <w:right w:w="0" w:type="dxa"/>
        </w:tblCellMar>
      </w:tblPr>
      <w:tr>
        <w:trPr>
          <w:trHeight w:val="197"/>
        </w:trPr>
        <w:tc>
          <w:tcPr>
            <w:tcW w:w="250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Performance Metrics</w:t>
            </w:r>
          </w:p>
        </w:tc>
        <w:tc>
          <w:tcPr>
            <w:tcW w:w="540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Description</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Weights</w:t>
            </w:r>
          </w:p>
        </w:tc>
        <w:tc>
          <w:tcPr>
            <w:tcW w:w="0" w:type="dxa"/>
            <w:vAlign w:val="bottom"/>
          </w:tcPr>
          <w:p>
            <w:pPr>
              <w:spacing w:after="0"/>
              <w:rPr>
                <w:sz w:val="1"/>
                <w:szCs w:val="1"/>
                <w:color w:val="auto"/>
              </w:rPr>
            </w:pPr>
          </w:p>
        </w:tc>
      </w:tr>
      <w:tr>
        <w:trPr>
          <w:trHeight w:val="241"/>
        </w:trPr>
        <w:tc>
          <w:tcPr>
            <w:tcW w:w="2500" w:type="dxa"/>
            <w:vAlign w:val="bottom"/>
          </w:tcPr>
          <w:p>
            <w:pPr>
              <w:ind w:left="160"/>
              <w:spacing w:after="0"/>
              <w:rPr>
                <w:sz w:val="20"/>
                <w:szCs w:val="20"/>
                <w:color w:val="auto"/>
              </w:rPr>
            </w:pPr>
            <w:r>
              <w:rPr>
                <w:rFonts w:ascii="Arial" w:cs="Arial" w:eastAsia="Arial" w:hAnsi="Arial"/>
                <w:sz w:val="16"/>
                <w:szCs w:val="16"/>
                <w:b w:val="1"/>
                <w:bCs w:val="1"/>
                <w:color w:val="0075C9"/>
              </w:rPr>
              <w:t>Commercial Cloud Revenue*</w:t>
            </w:r>
          </w:p>
        </w:tc>
        <w:tc>
          <w:tcPr>
            <w:tcW w:w="5400" w:type="dxa"/>
            <w:vAlign w:val="bottom"/>
          </w:tcPr>
          <w:p>
            <w:pPr>
              <w:ind w:left="160"/>
              <w:spacing w:after="0"/>
              <w:rPr>
                <w:sz w:val="20"/>
                <w:szCs w:val="20"/>
                <w:color w:val="auto"/>
              </w:rPr>
            </w:pPr>
            <w:r>
              <w:rPr>
                <w:rFonts w:ascii="Arial" w:cs="Arial" w:eastAsia="Arial" w:hAnsi="Arial"/>
                <w:sz w:val="16"/>
                <w:szCs w:val="16"/>
                <w:color w:val="auto"/>
                <w:w w:val="97"/>
              </w:rPr>
              <w:t>Revenue from our commercial cloud business, which includes Azure, Office</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500" w:type="dxa"/>
            <w:vAlign w:val="bottom"/>
          </w:tcPr>
          <w:p>
            <w:pPr>
              <w:spacing w:after="0"/>
              <w:rPr>
                <w:sz w:val="15"/>
                <w:szCs w:val="15"/>
                <w:color w:val="auto"/>
              </w:rPr>
            </w:pPr>
          </w:p>
        </w:tc>
        <w:tc>
          <w:tcPr>
            <w:tcW w:w="5400" w:type="dxa"/>
            <w:vAlign w:val="bottom"/>
          </w:tcPr>
          <w:p>
            <w:pPr>
              <w:ind w:left="160"/>
              <w:spacing w:after="0" w:line="181" w:lineRule="exact"/>
              <w:rPr>
                <w:sz w:val="20"/>
                <w:szCs w:val="20"/>
                <w:color w:val="auto"/>
              </w:rPr>
            </w:pPr>
            <w:r>
              <w:rPr>
                <w:rFonts w:ascii="Arial" w:cs="Arial" w:eastAsia="Arial" w:hAnsi="Arial"/>
                <w:sz w:val="16"/>
                <w:szCs w:val="16"/>
                <w:color w:val="auto"/>
              </w:rPr>
              <w:t>365 Commercial, the commercial portion of LinkedIn, Dynamics 365, and</w:t>
            </w:r>
          </w:p>
        </w:tc>
        <w:tc>
          <w:tcPr>
            <w:tcW w:w="700" w:type="dxa"/>
            <w:vAlign w:val="bottom"/>
          </w:tcPr>
          <w:p>
            <w:pPr>
              <w:jc w:val="right"/>
              <w:spacing w:after="0" w:line="181" w:lineRule="exact"/>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87"/>
        </w:trPr>
        <w:tc>
          <w:tcPr>
            <w:tcW w:w="2500" w:type="dxa"/>
            <w:vAlign w:val="bottom"/>
          </w:tcPr>
          <w:p>
            <w:pPr>
              <w:spacing w:after="0"/>
              <w:rPr>
                <w:sz w:val="16"/>
                <w:szCs w:val="16"/>
                <w:color w:val="auto"/>
              </w:rPr>
            </w:pPr>
          </w:p>
        </w:tc>
        <w:tc>
          <w:tcPr>
            <w:tcW w:w="5400" w:type="dxa"/>
            <w:vAlign w:val="bottom"/>
          </w:tcPr>
          <w:p>
            <w:pPr>
              <w:ind w:left="160"/>
              <w:spacing w:after="0"/>
              <w:rPr>
                <w:sz w:val="20"/>
                <w:szCs w:val="20"/>
                <w:color w:val="auto"/>
              </w:rPr>
            </w:pPr>
            <w:r>
              <w:rPr>
                <w:rFonts w:ascii="Arial" w:cs="Arial" w:eastAsia="Arial" w:hAnsi="Arial"/>
                <w:sz w:val="16"/>
                <w:szCs w:val="16"/>
                <w:color w:val="auto"/>
              </w:rPr>
              <w:t>other commercial cloud properties</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500" w:type="dxa"/>
            <w:vAlign w:val="bottom"/>
            <w:tcBorders>
              <w:bottom w:val="single" w:sz="8" w:color="0075C9"/>
            </w:tcBorders>
          </w:tcPr>
          <w:p>
            <w:pPr>
              <w:spacing w:after="0"/>
              <w:rPr>
                <w:sz w:val="3"/>
                <w:szCs w:val="3"/>
                <w:color w:val="auto"/>
              </w:rPr>
            </w:pPr>
          </w:p>
        </w:tc>
        <w:tc>
          <w:tcPr>
            <w:tcW w:w="5400" w:type="dxa"/>
            <w:vAlign w:val="bottom"/>
            <w:tcBorders>
              <w:bottom w:val="single" w:sz="8" w:color="0075C9"/>
            </w:tcBorders>
          </w:tcPr>
          <w:p>
            <w:pPr>
              <w:spacing w:after="0"/>
              <w:rPr>
                <w:sz w:val="3"/>
                <w:szCs w:val="3"/>
                <w:color w:val="auto"/>
              </w:rPr>
            </w:pPr>
          </w:p>
        </w:tc>
        <w:tc>
          <w:tcPr>
            <w:tcW w:w="700" w:type="dxa"/>
            <w:vAlign w:val="bottom"/>
            <w:tcBorders>
              <w:bottom w:val="single" w:sz="8" w:color="0075C9"/>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500" w:type="dxa"/>
            <w:vAlign w:val="bottom"/>
          </w:tcPr>
          <w:p>
            <w:pPr>
              <w:ind w:left="160"/>
              <w:spacing w:after="0"/>
              <w:rPr>
                <w:sz w:val="20"/>
                <w:szCs w:val="20"/>
                <w:color w:val="auto"/>
              </w:rPr>
            </w:pPr>
            <w:r>
              <w:rPr>
                <w:rFonts w:ascii="Arial" w:cs="Arial" w:eastAsia="Arial" w:hAnsi="Arial"/>
                <w:sz w:val="16"/>
                <w:szCs w:val="16"/>
                <w:b w:val="1"/>
                <w:bCs w:val="1"/>
                <w:color w:val="0075C9"/>
              </w:rPr>
              <w:t>Commercial Cloud</w:t>
            </w:r>
          </w:p>
        </w:tc>
        <w:tc>
          <w:tcPr>
            <w:tcW w:w="5400" w:type="dxa"/>
            <w:vAlign w:val="bottom"/>
          </w:tcPr>
          <w:p>
            <w:pPr>
              <w:ind w:left="160"/>
              <w:spacing w:after="0"/>
              <w:rPr>
                <w:sz w:val="20"/>
                <w:szCs w:val="20"/>
                <w:color w:val="auto"/>
              </w:rPr>
            </w:pPr>
            <w:r>
              <w:rPr>
                <w:rFonts w:ascii="Arial" w:cs="Arial" w:eastAsia="Arial" w:hAnsi="Arial"/>
                <w:sz w:val="16"/>
                <w:szCs w:val="16"/>
                <w:color w:val="auto"/>
              </w:rPr>
              <w:t>Paid seats for current or new per-user SaaS cloud services primarily in</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14"/>
        </w:trPr>
        <w:tc>
          <w:tcPr>
            <w:tcW w:w="2500" w:type="dxa"/>
            <w:vAlign w:val="bottom"/>
            <w:vMerge w:val="restart"/>
          </w:tcPr>
          <w:p>
            <w:pPr>
              <w:ind w:left="160"/>
              <w:spacing w:after="0"/>
              <w:rPr>
                <w:sz w:val="20"/>
                <w:szCs w:val="20"/>
                <w:color w:val="auto"/>
              </w:rPr>
            </w:pPr>
            <w:r>
              <w:rPr>
                <w:rFonts w:ascii="Arial" w:cs="Arial" w:eastAsia="Arial" w:hAnsi="Arial"/>
                <w:sz w:val="16"/>
                <w:szCs w:val="16"/>
                <w:b w:val="1"/>
                <w:bCs w:val="1"/>
                <w:color w:val="0075C9"/>
              </w:rPr>
              <w:t>Subscribers</w:t>
            </w:r>
          </w:p>
        </w:tc>
        <w:tc>
          <w:tcPr>
            <w:tcW w:w="5400" w:type="dxa"/>
            <w:vAlign w:val="bottom"/>
            <w:vMerge w:val="restart"/>
          </w:tcPr>
          <w:p>
            <w:pPr>
              <w:ind w:left="160"/>
              <w:spacing w:after="0"/>
              <w:rPr>
                <w:sz w:val="20"/>
                <w:szCs w:val="20"/>
                <w:color w:val="auto"/>
              </w:rPr>
            </w:pPr>
            <w:r>
              <w:rPr>
                <w:rFonts w:ascii="Arial" w:cs="Arial" w:eastAsia="Arial" w:hAnsi="Arial"/>
                <w:sz w:val="16"/>
                <w:szCs w:val="16"/>
                <w:color w:val="auto"/>
              </w:rPr>
              <w:t>commercial customer segment</w:t>
            </w: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2500" w:type="dxa"/>
            <w:vAlign w:val="bottom"/>
            <w:vMerge w:val="continue"/>
          </w:tcPr>
          <w:p>
            <w:pPr>
              <w:spacing w:after="0"/>
              <w:rPr>
                <w:sz w:val="7"/>
                <w:szCs w:val="7"/>
                <w:color w:val="auto"/>
              </w:rPr>
            </w:pPr>
          </w:p>
        </w:tc>
        <w:tc>
          <w:tcPr>
            <w:tcW w:w="540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2500" w:type="dxa"/>
            <w:vAlign w:val="bottom"/>
            <w:tcBorders>
              <w:bottom w:val="single" w:sz="8" w:color="0075C9"/>
            </w:tcBorders>
          </w:tcPr>
          <w:p>
            <w:pPr>
              <w:spacing w:after="0"/>
              <w:rPr>
                <w:sz w:val="3"/>
                <w:szCs w:val="3"/>
                <w:color w:val="auto"/>
              </w:rPr>
            </w:pPr>
          </w:p>
        </w:tc>
        <w:tc>
          <w:tcPr>
            <w:tcW w:w="5400" w:type="dxa"/>
            <w:vAlign w:val="bottom"/>
            <w:tcBorders>
              <w:bottom w:val="single" w:sz="8" w:color="0075C9"/>
            </w:tcBorders>
          </w:tcPr>
          <w:p>
            <w:pPr>
              <w:spacing w:after="0"/>
              <w:rPr>
                <w:sz w:val="3"/>
                <w:szCs w:val="3"/>
                <w:color w:val="auto"/>
              </w:rPr>
            </w:pPr>
          </w:p>
        </w:tc>
        <w:tc>
          <w:tcPr>
            <w:tcW w:w="700" w:type="dxa"/>
            <w:vAlign w:val="bottom"/>
            <w:tcBorders>
              <w:bottom w:val="single" w:sz="8" w:color="0075C9"/>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500" w:type="dxa"/>
            <w:vAlign w:val="bottom"/>
          </w:tcPr>
          <w:p>
            <w:pPr>
              <w:ind w:left="160"/>
              <w:spacing w:after="0"/>
              <w:rPr>
                <w:sz w:val="20"/>
                <w:szCs w:val="20"/>
                <w:color w:val="auto"/>
              </w:rPr>
            </w:pPr>
            <w:r>
              <w:rPr>
                <w:rFonts w:ascii="Arial" w:cs="Arial" w:eastAsia="Arial" w:hAnsi="Arial"/>
                <w:sz w:val="16"/>
                <w:szCs w:val="16"/>
                <w:b w:val="1"/>
                <w:bCs w:val="1"/>
                <w:color w:val="0075C9"/>
              </w:rPr>
              <w:t>Teams Monthly Active Usage</w:t>
            </w:r>
          </w:p>
        </w:tc>
        <w:tc>
          <w:tcPr>
            <w:tcW w:w="5400" w:type="dxa"/>
            <w:vAlign w:val="bottom"/>
          </w:tcPr>
          <w:p>
            <w:pPr>
              <w:ind w:left="160"/>
              <w:spacing w:after="0"/>
              <w:rPr>
                <w:sz w:val="20"/>
                <w:szCs w:val="20"/>
                <w:color w:val="auto"/>
              </w:rPr>
            </w:pPr>
            <w:r>
              <w:rPr>
                <w:rFonts w:ascii="Arial" w:cs="Arial" w:eastAsia="Arial" w:hAnsi="Arial"/>
                <w:sz w:val="16"/>
                <w:szCs w:val="16"/>
                <w:color w:val="auto"/>
                <w:w w:val="99"/>
              </w:rPr>
              <w:t>Unique monthly active users of Teams in Enterprise, Corporate, Small and</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96"/>
        </w:trPr>
        <w:tc>
          <w:tcPr>
            <w:tcW w:w="2500" w:type="dxa"/>
            <w:vAlign w:val="bottom"/>
          </w:tcPr>
          <w:p>
            <w:pPr>
              <w:spacing w:after="0"/>
              <w:rPr>
                <w:sz w:val="8"/>
                <w:szCs w:val="8"/>
                <w:color w:val="auto"/>
              </w:rPr>
            </w:pPr>
          </w:p>
        </w:tc>
        <w:tc>
          <w:tcPr>
            <w:tcW w:w="5400" w:type="dxa"/>
            <w:vAlign w:val="bottom"/>
            <w:vMerge w:val="restart"/>
          </w:tcPr>
          <w:p>
            <w:pPr>
              <w:ind w:left="160"/>
              <w:spacing w:after="0"/>
              <w:rPr>
                <w:sz w:val="20"/>
                <w:szCs w:val="20"/>
                <w:color w:val="auto"/>
              </w:rPr>
            </w:pPr>
            <w:r>
              <w:rPr>
                <w:rFonts w:ascii="Arial" w:cs="Arial" w:eastAsia="Arial" w:hAnsi="Arial"/>
                <w:sz w:val="16"/>
                <w:szCs w:val="16"/>
                <w:color w:val="auto"/>
              </w:rPr>
              <w:t>Medium Business, and Education</w:t>
            </w: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500" w:type="dxa"/>
            <w:vAlign w:val="bottom"/>
          </w:tcPr>
          <w:p>
            <w:pPr>
              <w:spacing w:after="0"/>
              <w:rPr>
                <w:sz w:val="7"/>
                <w:szCs w:val="7"/>
                <w:color w:val="auto"/>
              </w:rPr>
            </w:pPr>
          </w:p>
        </w:tc>
        <w:tc>
          <w:tcPr>
            <w:tcW w:w="540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2500" w:type="dxa"/>
            <w:vAlign w:val="bottom"/>
            <w:tcBorders>
              <w:bottom w:val="single" w:sz="8" w:color="0075C9"/>
            </w:tcBorders>
          </w:tcPr>
          <w:p>
            <w:pPr>
              <w:spacing w:after="0"/>
              <w:rPr>
                <w:sz w:val="3"/>
                <w:szCs w:val="3"/>
                <w:color w:val="auto"/>
              </w:rPr>
            </w:pPr>
          </w:p>
        </w:tc>
        <w:tc>
          <w:tcPr>
            <w:tcW w:w="5400" w:type="dxa"/>
            <w:vAlign w:val="bottom"/>
            <w:tcBorders>
              <w:bottom w:val="single" w:sz="8" w:color="0075C9"/>
            </w:tcBorders>
          </w:tcPr>
          <w:p>
            <w:pPr>
              <w:spacing w:after="0"/>
              <w:rPr>
                <w:sz w:val="3"/>
                <w:szCs w:val="3"/>
                <w:color w:val="auto"/>
              </w:rPr>
            </w:pPr>
          </w:p>
        </w:tc>
        <w:tc>
          <w:tcPr>
            <w:tcW w:w="700" w:type="dxa"/>
            <w:vAlign w:val="bottom"/>
            <w:tcBorders>
              <w:bottom w:val="single" w:sz="8" w:color="0075C9"/>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500" w:type="dxa"/>
            <w:vAlign w:val="bottom"/>
          </w:tcPr>
          <w:p>
            <w:pPr>
              <w:ind w:left="160"/>
              <w:spacing w:after="0"/>
              <w:rPr>
                <w:sz w:val="20"/>
                <w:szCs w:val="20"/>
                <w:color w:val="auto"/>
              </w:rPr>
            </w:pPr>
            <w:r>
              <w:rPr>
                <w:rFonts w:ascii="Arial" w:cs="Arial" w:eastAsia="Arial" w:hAnsi="Arial"/>
                <w:sz w:val="16"/>
                <w:szCs w:val="16"/>
                <w:b w:val="1"/>
                <w:bCs w:val="1"/>
                <w:color w:val="0075C9"/>
              </w:rPr>
              <w:t>Xbox Game Pass Subscribers</w:t>
            </w:r>
          </w:p>
        </w:tc>
        <w:tc>
          <w:tcPr>
            <w:tcW w:w="5400" w:type="dxa"/>
            <w:vAlign w:val="bottom"/>
          </w:tcPr>
          <w:p>
            <w:pPr>
              <w:ind w:left="160"/>
              <w:spacing w:after="0"/>
              <w:rPr>
                <w:sz w:val="20"/>
                <w:szCs w:val="20"/>
                <w:color w:val="auto"/>
              </w:rPr>
            </w:pPr>
            <w:r>
              <w:rPr>
                <w:rFonts w:ascii="Arial" w:cs="Arial" w:eastAsia="Arial" w:hAnsi="Arial"/>
                <w:sz w:val="16"/>
                <w:szCs w:val="16"/>
                <w:color w:val="auto"/>
                <w:w w:val="99"/>
              </w:rPr>
              <w:t>Current number of paid Game Pass Subscriptions (Console, PC, Ultimate)</w:t>
            </w:r>
          </w:p>
        </w:tc>
        <w:tc>
          <w:tcPr>
            <w:tcW w:w="70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41"/>
        </w:trPr>
        <w:tc>
          <w:tcPr>
            <w:tcW w:w="2500" w:type="dxa"/>
            <w:vAlign w:val="bottom"/>
            <w:tcBorders>
              <w:bottom w:val="single" w:sz="8" w:color="0075C9"/>
            </w:tcBorders>
          </w:tcPr>
          <w:p>
            <w:pPr>
              <w:spacing w:after="0"/>
              <w:rPr>
                <w:sz w:val="3"/>
                <w:szCs w:val="3"/>
                <w:color w:val="auto"/>
              </w:rPr>
            </w:pPr>
          </w:p>
        </w:tc>
        <w:tc>
          <w:tcPr>
            <w:tcW w:w="5400" w:type="dxa"/>
            <w:vAlign w:val="bottom"/>
            <w:tcBorders>
              <w:bottom w:val="single" w:sz="8" w:color="0075C9"/>
            </w:tcBorders>
          </w:tcPr>
          <w:p>
            <w:pPr>
              <w:spacing w:after="0"/>
              <w:rPr>
                <w:sz w:val="3"/>
                <w:szCs w:val="3"/>
                <w:color w:val="auto"/>
              </w:rPr>
            </w:pPr>
          </w:p>
        </w:tc>
        <w:tc>
          <w:tcPr>
            <w:tcW w:w="700" w:type="dxa"/>
            <w:vAlign w:val="bottom"/>
            <w:tcBorders>
              <w:bottom w:val="single" w:sz="8" w:color="0075C9"/>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500" w:type="dxa"/>
            <w:vAlign w:val="bottom"/>
          </w:tcPr>
          <w:p>
            <w:pPr>
              <w:ind w:left="160"/>
              <w:spacing w:after="0"/>
              <w:rPr>
                <w:sz w:val="20"/>
                <w:szCs w:val="20"/>
                <w:color w:val="auto"/>
              </w:rPr>
            </w:pPr>
            <w:r>
              <w:rPr>
                <w:rFonts w:ascii="Arial" w:cs="Arial" w:eastAsia="Arial" w:hAnsi="Arial"/>
                <w:sz w:val="16"/>
                <w:szCs w:val="16"/>
                <w:b w:val="1"/>
                <w:bCs w:val="1"/>
                <w:color w:val="0075C9"/>
              </w:rPr>
              <w:t>Surface Revenue*</w:t>
            </w:r>
          </w:p>
        </w:tc>
        <w:tc>
          <w:tcPr>
            <w:tcW w:w="5400" w:type="dxa"/>
            <w:vAlign w:val="bottom"/>
          </w:tcPr>
          <w:p>
            <w:pPr>
              <w:ind w:left="160"/>
              <w:spacing w:after="0"/>
              <w:rPr>
                <w:sz w:val="20"/>
                <w:szCs w:val="20"/>
                <w:color w:val="auto"/>
              </w:rPr>
            </w:pPr>
            <w:r>
              <w:rPr>
                <w:rFonts w:ascii="Arial" w:cs="Arial" w:eastAsia="Arial" w:hAnsi="Arial"/>
                <w:sz w:val="16"/>
                <w:szCs w:val="16"/>
                <w:color w:val="auto"/>
              </w:rPr>
              <w:t>Revenue from Surface devices and accessories</w:t>
            </w:r>
          </w:p>
        </w:tc>
        <w:tc>
          <w:tcPr>
            <w:tcW w:w="70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45"/>
        </w:trPr>
        <w:tc>
          <w:tcPr>
            <w:tcW w:w="2500" w:type="dxa"/>
            <w:vAlign w:val="bottom"/>
            <w:tcBorders>
              <w:bottom w:val="single" w:sz="8" w:color="0075C9"/>
            </w:tcBorders>
          </w:tcPr>
          <w:p>
            <w:pPr>
              <w:spacing w:after="0"/>
              <w:rPr>
                <w:sz w:val="3"/>
                <w:szCs w:val="3"/>
                <w:color w:val="auto"/>
              </w:rPr>
            </w:pPr>
          </w:p>
        </w:tc>
        <w:tc>
          <w:tcPr>
            <w:tcW w:w="5400" w:type="dxa"/>
            <w:vAlign w:val="bottom"/>
            <w:tcBorders>
              <w:bottom w:val="single" w:sz="8" w:color="0075C9"/>
            </w:tcBorders>
          </w:tcPr>
          <w:p>
            <w:pPr>
              <w:spacing w:after="0"/>
              <w:rPr>
                <w:sz w:val="3"/>
                <w:szCs w:val="3"/>
                <w:color w:val="auto"/>
              </w:rPr>
            </w:pPr>
          </w:p>
        </w:tc>
        <w:tc>
          <w:tcPr>
            <w:tcW w:w="700" w:type="dxa"/>
            <w:vAlign w:val="bottom"/>
            <w:tcBorders>
              <w:bottom w:val="single" w:sz="8" w:color="0075C9"/>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2500" w:type="dxa"/>
            <w:vAlign w:val="bottom"/>
          </w:tcPr>
          <w:p>
            <w:pPr>
              <w:ind w:left="160"/>
              <w:spacing w:after="0"/>
              <w:rPr>
                <w:sz w:val="20"/>
                <w:szCs w:val="20"/>
                <w:color w:val="auto"/>
              </w:rPr>
            </w:pPr>
            <w:r>
              <w:rPr>
                <w:rFonts w:ascii="Arial" w:cs="Arial" w:eastAsia="Arial" w:hAnsi="Arial"/>
                <w:sz w:val="16"/>
                <w:szCs w:val="16"/>
                <w:b w:val="1"/>
                <w:bCs w:val="1"/>
                <w:color w:val="0075C9"/>
              </w:rPr>
              <w:t>LinkedIn Sessions</w:t>
            </w:r>
          </w:p>
        </w:tc>
        <w:tc>
          <w:tcPr>
            <w:tcW w:w="5400" w:type="dxa"/>
            <w:vAlign w:val="bottom"/>
          </w:tcPr>
          <w:p>
            <w:pPr>
              <w:ind w:left="160"/>
              <w:spacing w:after="0"/>
              <w:rPr>
                <w:sz w:val="20"/>
                <w:szCs w:val="20"/>
                <w:color w:val="auto"/>
              </w:rPr>
            </w:pPr>
            <w:r>
              <w:rPr>
                <w:rFonts w:ascii="Arial" w:cs="Arial" w:eastAsia="Arial" w:hAnsi="Arial"/>
                <w:sz w:val="16"/>
                <w:szCs w:val="16"/>
                <w:color w:val="auto"/>
                <w:w w:val="98"/>
              </w:rPr>
              <w:t>Measure of member visits as a leading indicator of the overall quality of the</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500" w:type="dxa"/>
            <w:vAlign w:val="bottom"/>
          </w:tcPr>
          <w:p>
            <w:pPr>
              <w:spacing w:after="0"/>
              <w:rPr>
                <w:sz w:val="15"/>
                <w:szCs w:val="15"/>
                <w:color w:val="auto"/>
              </w:rPr>
            </w:pPr>
          </w:p>
        </w:tc>
        <w:tc>
          <w:tcPr>
            <w:tcW w:w="5400" w:type="dxa"/>
            <w:vAlign w:val="bottom"/>
          </w:tcPr>
          <w:p>
            <w:pPr>
              <w:ind w:left="160"/>
              <w:spacing w:after="0" w:line="181" w:lineRule="exact"/>
              <w:rPr>
                <w:sz w:val="20"/>
                <w:szCs w:val="20"/>
                <w:color w:val="auto"/>
              </w:rPr>
            </w:pPr>
            <w:r>
              <w:rPr>
                <w:rFonts w:ascii="Arial" w:cs="Arial" w:eastAsia="Arial" w:hAnsi="Arial"/>
                <w:sz w:val="16"/>
                <w:szCs w:val="16"/>
                <w:color w:val="auto"/>
              </w:rPr>
              <w:t>LinkedIn member experience and opportunity for members to realize their</w:t>
            </w:r>
          </w:p>
        </w:tc>
        <w:tc>
          <w:tcPr>
            <w:tcW w:w="700" w:type="dxa"/>
            <w:vAlign w:val="bottom"/>
          </w:tcPr>
          <w:p>
            <w:pPr>
              <w:jc w:val="right"/>
              <w:spacing w:after="0" w:line="181" w:lineRule="exact"/>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87"/>
        </w:trPr>
        <w:tc>
          <w:tcPr>
            <w:tcW w:w="2500" w:type="dxa"/>
            <w:vAlign w:val="bottom"/>
          </w:tcPr>
          <w:p>
            <w:pPr>
              <w:spacing w:after="0"/>
              <w:rPr>
                <w:sz w:val="16"/>
                <w:szCs w:val="16"/>
                <w:color w:val="auto"/>
              </w:rPr>
            </w:pPr>
          </w:p>
        </w:tc>
        <w:tc>
          <w:tcPr>
            <w:tcW w:w="5400" w:type="dxa"/>
            <w:vAlign w:val="bottom"/>
          </w:tcPr>
          <w:p>
            <w:pPr>
              <w:ind w:left="160"/>
              <w:spacing w:after="0"/>
              <w:rPr>
                <w:sz w:val="20"/>
                <w:szCs w:val="20"/>
                <w:color w:val="auto"/>
              </w:rPr>
            </w:pPr>
            <w:r>
              <w:rPr>
                <w:rFonts w:ascii="Arial" w:cs="Arial" w:eastAsia="Arial" w:hAnsi="Arial"/>
                <w:sz w:val="16"/>
                <w:szCs w:val="16"/>
                <w:color w:val="auto"/>
              </w:rPr>
              <w:t>economic opportunity</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1540" w:right="520" w:hanging="164"/>
        <w:spacing w:after="0" w:line="239" w:lineRule="auto"/>
        <w:tabs>
          <w:tab w:leader="none" w:pos="1535" w:val="left"/>
        </w:tabs>
        <w:numPr>
          <w:ilvl w:val="0"/>
          <w:numId w:val="77"/>
        </w:numPr>
        <w:rPr>
          <w:rFonts w:ascii="Arial" w:cs="Arial" w:eastAsia="Arial" w:hAnsi="Arial"/>
          <w:sz w:val="12"/>
          <w:szCs w:val="12"/>
          <w:color w:val="auto"/>
        </w:rPr>
      </w:pPr>
      <w:r>
        <w:rPr>
          <w:rFonts w:ascii="Arial" w:cs="Arial" w:eastAsia="Arial" w:hAnsi="Arial"/>
          <w:sz w:val="12"/>
          <w:szCs w:val="12"/>
          <w:color w:val="auto"/>
        </w:rPr>
        <w:t>“Commercial Cloud Revenue” and “Surface Revenue”, when used as PSA metrics in this Compensation Discussion and Analysis, are non-GAAP financial measures defined on page 51.</w:t>
      </w:r>
    </w:p>
    <w:p>
      <w:pPr>
        <w:spacing w:after="0" w:line="354" w:lineRule="exact"/>
        <w:rPr>
          <w:sz w:val="20"/>
          <w:szCs w:val="20"/>
          <w:color w:val="auto"/>
        </w:rPr>
      </w:pPr>
    </w:p>
    <w:p>
      <w:pPr>
        <w:ind w:left="1100" w:right="200"/>
        <w:spacing w:after="0" w:line="239" w:lineRule="auto"/>
        <w:rPr>
          <w:sz w:val="20"/>
          <w:szCs w:val="20"/>
          <w:color w:val="auto"/>
        </w:rPr>
      </w:pPr>
      <w:r>
        <w:rPr>
          <w:rFonts w:ascii="Arial" w:cs="Arial" w:eastAsia="Arial" w:hAnsi="Arial"/>
          <w:sz w:val="16"/>
          <w:szCs w:val="16"/>
          <w:color w:val="auto"/>
        </w:rPr>
        <w:t>The fiscal year 2021 PSA metrics were used to establish performance goals for (1) year 3 of the 2019 PSAs, (2) year 2 of the 2020 PSAs, and (3) year 1 of the 2021 PSAs, as shown below.</w:t>
      </w:r>
    </w:p>
    <w:p>
      <w:pPr>
        <w:spacing w:after="0" w:line="338" w:lineRule="exact"/>
        <w:rPr>
          <w:sz w:val="20"/>
          <w:szCs w:val="20"/>
          <w:color w:val="auto"/>
        </w:rPr>
      </w:pPr>
    </w:p>
    <w:p>
      <w:pPr>
        <w:ind w:left="5020"/>
        <w:spacing w:after="0"/>
        <w:rPr>
          <w:sz w:val="20"/>
          <w:szCs w:val="20"/>
          <w:color w:val="auto"/>
        </w:rPr>
      </w:pPr>
      <w:r>
        <w:rPr>
          <w:rFonts w:ascii="Arial" w:cs="Arial" w:eastAsia="Arial" w:hAnsi="Arial"/>
          <w:sz w:val="21"/>
          <w:szCs w:val="21"/>
          <w:b w:val="1"/>
          <w:bCs w:val="1"/>
          <w:color w:val="auto"/>
        </w:rPr>
        <w:t>PSA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-74930</wp:posOffset>
            </wp:positionV>
            <wp:extent cx="5690870" cy="22777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690870" cy="2277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Our fiscal year 2021 PSA metric results can be found on pages 50-51 below.</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2021 PROXY STATEMENT</w:t>
      </w:r>
      <w:r>
        <w:rPr>
          <w:sz w:val="20"/>
          <w:szCs w:val="20"/>
          <w:color w:val="auto"/>
        </w:rPr>
        <w:tab/>
      </w:r>
      <w:r>
        <w:rPr>
          <w:rFonts w:ascii="Arial" w:cs="Arial" w:eastAsia="Arial" w:hAnsi="Arial"/>
          <w:sz w:val="12"/>
          <w:szCs w:val="12"/>
          <w:b w:val="1"/>
          <w:bCs w:val="1"/>
          <w:color w:val="0075C9"/>
        </w:rPr>
        <w:t>43</w:t>
      </w:r>
    </w:p>
    <w:p>
      <w:pPr>
        <w:sectPr>
          <w:pgSz w:w="11900" w:h="16838" w:orient="portrait"/>
          <w:cols w:equalWidth="0" w:num="1">
            <w:col w:w="10280"/>
          </w:cols>
          <w:pgMar w:left="320" w:top="445" w:right="1299" w:bottom="1440" w:gutter="0" w:footer="0" w:header="0"/>
        </w:sectPr>
      </w:pPr>
    </w:p>
    <w:bookmarkStart w:id="51" w:name="page52"/>
    <w:bookmarkEnd w:id="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auto"/>
                <w:w w:val="89"/>
              </w:rPr>
              <w:t>1</w:t>
            </w:r>
          </w:p>
        </w:tc>
        <w:tc>
          <w:tcPr>
            <w:tcW w:w="1380" w:type="dxa"/>
            <w:vAlign w:val="bottom"/>
            <w:vMerge w:val="restart"/>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gridSpan w:val="2"/>
          </w:tcPr>
          <w:p>
            <w:pPr>
              <w:jc w:val="right"/>
              <w:ind w:right="80"/>
              <w:spacing w:after="0"/>
              <w:rPr>
                <w:sz w:val="20"/>
                <w:szCs w:val="20"/>
                <w:color w:val="auto"/>
              </w:rPr>
            </w:pPr>
            <w:r>
              <w:rPr>
                <w:rFonts w:ascii="Arial" w:cs="Arial" w:eastAsia="Arial" w:hAnsi="Arial"/>
                <w:sz w:val="36"/>
                <w:szCs w:val="36"/>
                <w:color w:val="0075C9"/>
              </w:rPr>
              <w:t>2</w:t>
            </w:r>
          </w:p>
        </w:tc>
        <w:tc>
          <w:tcPr>
            <w:tcW w:w="1320" w:type="dxa"/>
            <w:vAlign w:val="bottom"/>
            <w:vMerge w:val="restart"/>
          </w:tcPr>
          <w:p>
            <w:pPr>
              <w:ind w:left="60"/>
              <w:spacing w:after="0"/>
              <w:rPr>
                <w:sz w:val="20"/>
                <w:szCs w:val="20"/>
                <w:color w:val="auto"/>
              </w:rPr>
            </w:pPr>
            <w:r>
              <w:rPr>
                <w:rFonts w:ascii="Arial" w:cs="Arial" w:eastAsia="Arial" w:hAnsi="Arial"/>
                <w:sz w:val="12"/>
                <w:szCs w:val="12"/>
                <w:color w:val="0075C9"/>
              </w:rPr>
              <w:t>NAMED</w:t>
            </w:r>
          </w:p>
        </w:tc>
        <w:tc>
          <w:tcPr>
            <w:tcW w:w="740" w:type="dxa"/>
            <w:vAlign w:val="bottom"/>
          </w:tcPr>
          <w:p>
            <w:pPr>
              <w:jc w:val="right"/>
              <w:spacing w:after="0"/>
              <w:rPr>
                <w:sz w:val="20"/>
                <w:szCs w:val="20"/>
                <w:color w:val="auto"/>
              </w:rPr>
            </w:pPr>
            <w:r>
              <w:rPr>
                <w:rFonts w:ascii="Arial" w:cs="Arial" w:eastAsia="Arial" w:hAnsi="Arial"/>
                <w:sz w:val="36"/>
                <w:szCs w:val="36"/>
                <w:color w:val="auto"/>
              </w:rPr>
              <w:t>3</w:t>
            </w:r>
          </w:p>
        </w:tc>
        <w:tc>
          <w:tcPr>
            <w:tcW w:w="1020" w:type="dxa"/>
            <w:vAlign w:val="bottom"/>
            <w:vMerge w:val="restart"/>
          </w:tcPr>
          <w:p>
            <w:pPr>
              <w:ind w:left="60"/>
              <w:spacing w:after="0"/>
              <w:rPr>
                <w:sz w:val="20"/>
                <w:szCs w:val="20"/>
                <w:color w:val="auto"/>
              </w:rPr>
            </w:pPr>
            <w:r>
              <w:rPr>
                <w:rFonts w:ascii="Arial" w:cs="Arial" w:eastAsia="Arial" w:hAnsi="Arial"/>
                <w:sz w:val="12"/>
                <w:szCs w:val="12"/>
                <w:color w:val="auto"/>
              </w:rPr>
              <w:t>AUDIT</w:t>
            </w:r>
          </w:p>
        </w:tc>
        <w:tc>
          <w:tcPr>
            <w:tcW w:w="500" w:type="dxa"/>
            <w:vAlign w:val="bottom"/>
          </w:tcPr>
          <w:p>
            <w:pPr>
              <w:jc w:val="right"/>
              <w:spacing w:after="0"/>
              <w:rPr>
                <w:sz w:val="20"/>
                <w:szCs w:val="20"/>
                <w:color w:val="auto"/>
              </w:rPr>
            </w:pPr>
            <w:r>
              <w:rPr>
                <w:rFonts w:ascii="Arial" w:cs="Arial" w:eastAsia="Arial" w:hAnsi="Arial"/>
                <w:sz w:val="36"/>
                <w:szCs w:val="36"/>
                <w:color w:val="auto"/>
              </w:rPr>
              <w:t>4</w:t>
            </w:r>
          </w:p>
        </w:tc>
        <w:tc>
          <w:tcPr>
            <w:tcW w:w="1580" w:type="dxa"/>
            <w:vAlign w:val="bottom"/>
            <w:vMerge w:val="restart"/>
          </w:tcPr>
          <w:p>
            <w:pPr>
              <w:ind w:left="80"/>
              <w:spacing w:after="0"/>
              <w:rPr>
                <w:sz w:val="20"/>
                <w:szCs w:val="20"/>
                <w:color w:val="auto"/>
              </w:rPr>
            </w:pPr>
            <w:r>
              <w:rPr>
                <w:rFonts w:ascii="Arial" w:cs="Arial" w:eastAsia="Arial" w:hAnsi="Arial"/>
                <w:sz w:val="12"/>
                <w:szCs w:val="12"/>
                <w:color w:val="auto"/>
              </w:rPr>
              <w:t>PROPOSALS TO</w:t>
            </w:r>
          </w:p>
        </w:tc>
        <w:tc>
          <w:tcPr>
            <w:tcW w:w="420" w:type="dxa"/>
            <w:vAlign w:val="bottom"/>
          </w:tcPr>
          <w:p>
            <w:pPr>
              <w:jc w:val="right"/>
              <w:spacing w:after="0"/>
              <w:rPr>
                <w:sz w:val="20"/>
                <w:szCs w:val="20"/>
                <w:color w:val="auto"/>
              </w:rPr>
            </w:pPr>
            <w:r>
              <w:rPr>
                <w:rFonts w:ascii="Arial" w:cs="Arial" w:eastAsia="Arial" w:hAnsi="Arial"/>
                <w:sz w:val="36"/>
                <w:szCs w:val="36"/>
                <w:color w:val="auto"/>
              </w:rPr>
              <w:t>5</w:t>
            </w:r>
          </w:p>
        </w:tc>
        <w:tc>
          <w:tcPr>
            <w:tcW w:w="920" w:type="dxa"/>
            <w:vAlign w:val="bottom"/>
            <w:vMerge w:val="restart"/>
          </w:tcPr>
          <w:p>
            <w:pPr>
              <w:ind w:left="8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38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tcPr>
          <w:p>
            <w:pPr>
              <w:ind w:left="60"/>
              <w:spacing w:after="0" w:line="130" w:lineRule="exact"/>
              <w:rPr>
                <w:sz w:val="20"/>
                <w:szCs w:val="20"/>
                <w:color w:val="auto"/>
              </w:rPr>
            </w:pPr>
            <w:r>
              <w:rPr>
                <w:rFonts w:ascii="Arial" w:cs="Arial" w:eastAsia="Arial" w:hAnsi="Arial"/>
                <w:sz w:val="12"/>
                <w:szCs w:val="12"/>
                <w:color w:val="0075C9"/>
                <w:w w:val="99"/>
              </w:rPr>
              <w:t>EXECUTIVE OFFICER</w:t>
            </w:r>
          </w:p>
        </w:tc>
        <w:tc>
          <w:tcPr>
            <w:tcW w:w="740" w:type="dxa"/>
            <w:vAlign w:val="bottom"/>
          </w:tcPr>
          <w:p>
            <w:pPr>
              <w:spacing w:after="0"/>
              <w:rPr>
                <w:sz w:val="11"/>
                <w:szCs w:val="11"/>
                <w:color w:val="auto"/>
              </w:rPr>
            </w:pPr>
          </w:p>
        </w:tc>
        <w:tc>
          <w:tcPr>
            <w:tcW w:w="1020" w:type="dxa"/>
            <w:vAlign w:val="bottom"/>
          </w:tcPr>
          <w:p>
            <w:pPr>
              <w:ind w:left="60"/>
              <w:spacing w:after="0" w:line="130" w:lineRule="exact"/>
              <w:rPr>
                <w:sz w:val="20"/>
                <w:szCs w:val="20"/>
                <w:color w:val="auto"/>
              </w:rPr>
            </w:pPr>
            <w:r>
              <w:rPr>
                <w:rFonts w:ascii="Arial" w:cs="Arial" w:eastAsia="Arial" w:hAnsi="Arial"/>
                <w:sz w:val="12"/>
                <w:szCs w:val="12"/>
                <w:color w:val="auto"/>
              </w:rPr>
              <w:t>COMMITTEE</w:t>
            </w:r>
          </w:p>
        </w:tc>
        <w:tc>
          <w:tcPr>
            <w:tcW w:w="500" w:type="dxa"/>
            <w:vAlign w:val="bottom"/>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20" w:type="dxa"/>
            <w:vAlign w:val="bottom"/>
          </w:tcPr>
          <w:p>
            <w:pPr>
              <w:spacing w:after="0"/>
              <w:rPr>
                <w:sz w:val="11"/>
                <w:szCs w:val="11"/>
                <w:color w:val="auto"/>
              </w:rPr>
            </w:pPr>
          </w:p>
        </w:tc>
        <w:tc>
          <w:tcPr>
            <w:tcW w:w="92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380" w:type="dxa"/>
            <w:vAlign w:val="bottom"/>
          </w:tcPr>
          <w:p>
            <w:pPr>
              <w:ind w:left="80"/>
              <w:spacing w:after="0"/>
              <w:rPr>
                <w:sz w:val="20"/>
                <w:szCs w:val="20"/>
                <w:color w:val="auto"/>
              </w:rPr>
            </w:pPr>
            <w:r>
              <w:rPr>
                <w:rFonts w:ascii="Arial" w:cs="Arial" w:eastAsia="Arial" w:hAnsi="Arial"/>
                <w:sz w:val="12"/>
                <w:szCs w:val="12"/>
                <w:color w:val="auto"/>
              </w:rPr>
              <w:t>DIRECTORS</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0075C9"/>
              </w:rPr>
              <w:t>COMPENSATION</w:t>
            </w:r>
          </w:p>
        </w:tc>
        <w:tc>
          <w:tcPr>
            <w:tcW w:w="740" w:type="dxa"/>
            <w:vAlign w:val="bottom"/>
          </w:tcPr>
          <w:p>
            <w:pPr>
              <w:spacing w:after="0"/>
              <w:rPr>
                <w:sz w:val="12"/>
                <w:szCs w:val="12"/>
                <w:color w:val="auto"/>
              </w:rPr>
            </w:pPr>
          </w:p>
        </w:tc>
        <w:tc>
          <w:tcPr>
            <w:tcW w:w="1020" w:type="dxa"/>
            <w:vAlign w:val="bottom"/>
          </w:tcPr>
          <w:p>
            <w:pPr>
              <w:ind w:left="60"/>
              <w:spacing w:after="0"/>
              <w:rPr>
                <w:sz w:val="20"/>
                <w:szCs w:val="20"/>
                <w:color w:val="auto"/>
              </w:rPr>
            </w:pPr>
            <w:r>
              <w:rPr>
                <w:rFonts w:ascii="Arial" w:cs="Arial" w:eastAsia="Arial" w:hAnsi="Arial"/>
                <w:sz w:val="12"/>
                <w:szCs w:val="12"/>
                <w:color w:val="auto"/>
              </w:rPr>
              <w:t>MATTERS</w:t>
            </w:r>
          </w:p>
        </w:tc>
        <w:tc>
          <w:tcPr>
            <w:tcW w:w="500" w:type="dxa"/>
            <w:vAlign w:val="bottom"/>
          </w:tcPr>
          <w:p>
            <w:pPr>
              <w:spacing w:after="0"/>
              <w:rPr>
                <w:sz w:val="12"/>
                <w:szCs w:val="12"/>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20" w:type="dxa"/>
            <w:vAlign w:val="bottom"/>
          </w:tcPr>
          <w:p>
            <w:pPr>
              <w:spacing w:after="0"/>
              <w:rPr>
                <w:sz w:val="12"/>
                <w:szCs w:val="12"/>
                <w:color w:val="auto"/>
              </w:rPr>
            </w:pPr>
          </w:p>
        </w:tc>
        <w:tc>
          <w:tcPr>
            <w:tcW w:w="92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0075C9"/>
        </w:rPr>
        <w:t>Stock Awards</w:t>
      </w:r>
    </w:p>
    <w:p>
      <w:pPr>
        <w:spacing w:after="0" w:line="127" w:lineRule="exact"/>
        <w:rPr>
          <w:sz w:val="20"/>
          <w:szCs w:val="20"/>
          <w:color w:val="auto"/>
        </w:rPr>
      </w:pPr>
    </w:p>
    <w:p>
      <w:pPr>
        <w:ind w:left="1100" w:right="99"/>
        <w:spacing w:after="0" w:line="236" w:lineRule="auto"/>
        <w:rPr>
          <w:sz w:val="20"/>
          <w:szCs w:val="20"/>
          <w:color w:val="auto"/>
        </w:rPr>
      </w:pPr>
      <w:r>
        <w:rPr>
          <w:rFonts w:ascii="Arial" w:cs="Arial" w:eastAsia="Arial" w:hAnsi="Arial"/>
          <w:sz w:val="16"/>
          <w:szCs w:val="16"/>
          <w:color w:val="auto"/>
        </w:rPr>
        <w:t>Stock awards were granted under the Incentive Plan in September 2020 for shares of Microsoft common stock (in November 2020 for Mr. Young). These stock awards vest over four years, with 25% vesting on August 31, 2021 (September 14, 2021 for</w:t>
      </w:r>
    </w:p>
    <w:p>
      <w:pPr>
        <w:spacing w:after="0" w:line="1" w:lineRule="exact"/>
        <w:rPr>
          <w:sz w:val="20"/>
          <w:szCs w:val="20"/>
          <w:color w:val="auto"/>
        </w:rPr>
      </w:pPr>
    </w:p>
    <w:p>
      <w:pPr>
        <w:ind w:left="1100" w:right="259"/>
        <w:spacing w:after="0" w:line="239" w:lineRule="auto"/>
        <w:rPr>
          <w:sz w:val="20"/>
          <w:szCs w:val="20"/>
          <w:color w:val="auto"/>
        </w:rPr>
      </w:pPr>
      <w:r>
        <w:rPr>
          <w:rFonts w:ascii="Arial" w:cs="Arial" w:eastAsia="Arial" w:hAnsi="Arial"/>
          <w:sz w:val="16"/>
          <w:szCs w:val="16"/>
          <w:color w:val="auto"/>
        </w:rPr>
        <w:t>Mr. Courtois) and 12.5% each six-months thereafter, to support long-term focus and align with shareholders’ interests. Vesting is subject to continued employment except as described on pages 52-53 below.</w:t>
      </w:r>
    </w:p>
    <w:p>
      <w:pPr>
        <w:spacing w:after="0" w:line="169"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On-Hire Compensation</w:t>
      </w:r>
    </w:p>
    <w:p>
      <w:pPr>
        <w:spacing w:after="0" w:line="127"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In connection with his employment as our Executive Vice President, Business Development, Strategy, and Ventures on</w:t>
      </w:r>
    </w:p>
    <w:p>
      <w:pPr>
        <w:ind w:left="1100"/>
        <w:spacing w:after="0" w:line="236" w:lineRule="auto"/>
        <w:rPr>
          <w:sz w:val="20"/>
          <w:szCs w:val="20"/>
          <w:color w:val="auto"/>
        </w:rPr>
      </w:pPr>
      <w:r>
        <w:rPr>
          <w:rFonts w:ascii="Arial" w:cs="Arial" w:eastAsia="Arial" w:hAnsi="Arial"/>
          <w:sz w:val="16"/>
          <w:szCs w:val="16"/>
          <w:color w:val="auto"/>
        </w:rPr>
        <w:t>November 11, 2020, our Compensation Committee determined to award Mr. Young an on-hire cash bonus in the amount of</w:t>
      </w:r>
    </w:p>
    <w:p>
      <w:pPr>
        <w:ind w:left="1100"/>
        <w:spacing w:after="0"/>
        <w:rPr>
          <w:sz w:val="20"/>
          <w:szCs w:val="20"/>
          <w:color w:val="auto"/>
        </w:rPr>
      </w:pPr>
      <w:r>
        <w:rPr>
          <w:rFonts w:ascii="Arial" w:cs="Arial" w:eastAsia="Arial" w:hAnsi="Arial"/>
          <w:sz w:val="14"/>
          <w:szCs w:val="14"/>
          <w:color w:val="auto"/>
        </w:rPr>
        <w:t>$5,000,000, with the first installment of $3,500,000 payable within 30 days after his employment start date in fiscal year 2021 and</w:t>
      </w:r>
    </w:p>
    <w:p>
      <w:pPr>
        <w:spacing w:after="0" w:line="20"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the second $1,500,000 installment payable within 30 days after the first anniversary of his employment start date. Each installment</w:t>
      </w:r>
    </w:p>
    <w:p>
      <w:pPr>
        <w:spacing w:after="0" w:line="20"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is repayable to Microsoft if Mr. Young resigns his employment, or his employment is terminated for “misconduct” prior to the first</w:t>
      </w:r>
    </w:p>
    <w:p>
      <w:pPr>
        <w:spacing w:after="0" w:line="20"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anniversary of his employment start date (for the first installment) or the second anniversary of his employment start date (for the</w:t>
      </w:r>
    </w:p>
    <w:p>
      <w:pPr>
        <w:spacing w:after="0" w:line="20"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second installment). In addition, Mr. Young received an on-hire stock award with a value of $18,000,000 that has a 4-year ratable</w:t>
      </w:r>
    </w:p>
    <w:p>
      <w:pPr>
        <w:spacing w:after="0" w:line="18"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vesting, 25% 12 months from the award date and 25% every 12 months thereafter. This on-hire cash and stock award</w:t>
      </w:r>
    </w:p>
    <w:p>
      <w:pPr>
        <w:ind w:left="1100"/>
        <w:spacing w:after="0"/>
        <w:rPr>
          <w:sz w:val="20"/>
          <w:szCs w:val="20"/>
          <w:color w:val="auto"/>
        </w:rPr>
      </w:pPr>
      <w:r>
        <w:rPr>
          <w:rFonts w:ascii="Arial" w:cs="Arial" w:eastAsia="Arial" w:hAnsi="Arial"/>
          <w:sz w:val="14"/>
          <w:szCs w:val="14"/>
          <w:color w:val="auto"/>
        </w:rPr>
        <w:t>compensation was granted with consideration of Mr. Young’s most recent position as CEO of global technology company McAfee</w:t>
      </w:r>
    </w:p>
    <w:p>
      <w:pPr>
        <w:spacing w:after="0" w:line="20"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and in response to competitive offers for chief executive officer roles to attract Mr. Young. The Compensation Committee believes</w:t>
      </w:r>
    </w:p>
    <w:p>
      <w:pPr>
        <w:spacing w:after="0" w:line="20"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Mr. Young’s employment terms and compensation are appropriate due to his experience as a chief executive officer and his unique</w:t>
      </w:r>
    </w:p>
    <w:p>
      <w:pPr>
        <w:spacing w:after="0" w:line="20"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skill set leading complex technology businesses in both private and public companies, and were necessary to encourage Mr. Young</w:t>
      </w:r>
    </w:p>
    <w:p>
      <w:pPr>
        <w:spacing w:after="0" w:line="20"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to join the Company.</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No Other Fiscal Year 2021 Compensation</w:t>
      </w:r>
    </w:p>
    <w:p>
      <w:pPr>
        <w:spacing w:after="0" w:line="12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During fiscal year 2021, no other compensation was awarded to our Named Executives.</w:t>
      </w:r>
    </w:p>
    <w:p>
      <w:pPr>
        <w:spacing w:after="0" w:line="200" w:lineRule="exact"/>
        <w:rPr>
          <w:sz w:val="20"/>
          <w:szCs w:val="20"/>
          <w:color w:val="auto"/>
        </w:rPr>
      </w:pPr>
    </w:p>
    <w:p>
      <w:pPr>
        <w:spacing w:after="0" w:line="302"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-94615</wp:posOffset>
            </wp:positionV>
            <wp:extent cx="485140" cy="9842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39"/>
          </w:cols>
          <w:pgMar w:left="320" w:top="445" w:right="1440" w:bottom="1440" w:gutter="0" w:footer="0" w:header="0"/>
        </w:sectPr>
      </w:pPr>
    </w:p>
    <w:bookmarkStart w:id="52" w:name="page53"/>
    <w:bookmarkEnd w:id="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auto"/>
                <w:w w:val="89"/>
              </w:rPr>
              <w:t>1</w:t>
            </w:r>
          </w:p>
        </w:tc>
        <w:tc>
          <w:tcPr>
            <w:tcW w:w="1380" w:type="dxa"/>
            <w:vAlign w:val="bottom"/>
            <w:vMerge w:val="restart"/>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gridSpan w:val="2"/>
          </w:tcPr>
          <w:p>
            <w:pPr>
              <w:jc w:val="right"/>
              <w:ind w:right="80"/>
              <w:spacing w:after="0"/>
              <w:rPr>
                <w:sz w:val="20"/>
                <w:szCs w:val="20"/>
                <w:color w:val="auto"/>
              </w:rPr>
            </w:pPr>
            <w:r>
              <w:rPr>
                <w:rFonts w:ascii="Arial" w:cs="Arial" w:eastAsia="Arial" w:hAnsi="Arial"/>
                <w:sz w:val="36"/>
                <w:szCs w:val="36"/>
                <w:color w:val="0075C9"/>
              </w:rPr>
              <w:t>2</w:t>
            </w:r>
          </w:p>
        </w:tc>
        <w:tc>
          <w:tcPr>
            <w:tcW w:w="1320" w:type="dxa"/>
            <w:vAlign w:val="bottom"/>
            <w:vMerge w:val="restart"/>
          </w:tcPr>
          <w:p>
            <w:pPr>
              <w:ind w:left="60"/>
              <w:spacing w:after="0"/>
              <w:rPr>
                <w:sz w:val="20"/>
                <w:szCs w:val="20"/>
                <w:color w:val="auto"/>
              </w:rPr>
            </w:pPr>
            <w:r>
              <w:rPr>
                <w:rFonts w:ascii="Arial" w:cs="Arial" w:eastAsia="Arial" w:hAnsi="Arial"/>
                <w:sz w:val="12"/>
                <w:szCs w:val="12"/>
                <w:color w:val="0075C9"/>
              </w:rPr>
              <w:t>NAMED</w:t>
            </w:r>
          </w:p>
        </w:tc>
        <w:tc>
          <w:tcPr>
            <w:tcW w:w="740" w:type="dxa"/>
            <w:vAlign w:val="bottom"/>
          </w:tcPr>
          <w:p>
            <w:pPr>
              <w:jc w:val="right"/>
              <w:spacing w:after="0"/>
              <w:rPr>
                <w:sz w:val="20"/>
                <w:szCs w:val="20"/>
                <w:color w:val="auto"/>
              </w:rPr>
            </w:pPr>
            <w:r>
              <w:rPr>
                <w:rFonts w:ascii="Arial" w:cs="Arial" w:eastAsia="Arial" w:hAnsi="Arial"/>
                <w:sz w:val="36"/>
                <w:szCs w:val="36"/>
                <w:color w:val="auto"/>
              </w:rPr>
              <w:t>3</w:t>
            </w:r>
          </w:p>
        </w:tc>
        <w:tc>
          <w:tcPr>
            <w:tcW w:w="1020" w:type="dxa"/>
            <w:vAlign w:val="bottom"/>
            <w:vMerge w:val="restart"/>
          </w:tcPr>
          <w:p>
            <w:pPr>
              <w:ind w:left="60"/>
              <w:spacing w:after="0"/>
              <w:rPr>
                <w:sz w:val="20"/>
                <w:szCs w:val="20"/>
                <w:color w:val="auto"/>
              </w:rPr>
            </w:pPr>
            <w:r>
              <w:rPr>
                <w:rFonts w:ascii="Arial" w:cs="Arial" w:eastAsia="Arial" w:hAnsi="Arial"/>
                <w:sz w:val="12"/>
                <w:szCs w:val="12"/>
                <w:color w:val="auto"/>
              </w:rPr>
              <w:t>AUDIT</w:t>
            </w:r>
          </w:p>
        </w:tc>
        <w:tc>
          <w:tcPr>
            <w:tcW w:w="500" w:type="dxa"/>
            <w:vAlign w:val="bottom"/>
          </w:tcPr>
          <w:p>
            <w:pPr>
              <w:jc w:val="right"/>
              <w:spacing w:after="0"/>
              <w:rPr>
                <w:sz w:val="20"/>
                <w:szCs w:val="20"/>
                <w:color w:val="auto"/>
              </w:rPr>
            </w:pPr>
            <w:r>
              <w:rPr>
                <w:rFonts w:ascii="Arial" w:cs="Arial" w:eastAsia="Arial" w:hAnsi="Arial"/>
                <w:sz w:val="36"/>
                <w:szCs w:val="36"/>
                <w:color w:val="auto"/>
              </w:rPr>
              <w:t>4</w:t>
            </w:r>
          </w:p>
        </w:tc>
        <w:tc>
          <w:tcPr>
            <w:tcW w:w="1580" w:type="dxa"/>
            <w:vAlign w:val="bottom"/>
            <w:vMerge w:val="restart"/>
          </w:tcPr>
          <w:p>
            <w:pPr>
              <w:ind w:left="80"/>
              <w:spacing w:after="0"/>
              <w:rPr>
                <w:sz w:val="20"/>
                <w:szCs w:val="20"/>
                <w:color w:val="auto"/>
              </w:rPr>
            </w:pPr>
            <w:r>
              <w:rPr>
                <w:rFonts w:ascii="Arial" w:cs="Arial" w:eastAsia="Arial" w:hAnsi="Arial"/>
                <w:sz w:val="12"/>
                <w:szCs w:val="12"/>
                <w:color w:val="auto"/>
              </w:rPr>
              <w:t>PROPOSALS TO</w:t>
            </w:r>
          </w:p>
        </w:tc>
        <w:tc>
          <w:tcPr>
            <w:tcW w:w="420" w:type="dxa"/>
            <w:vAlign w:val="bottom"/>
          </w:tcPr>
          <w:p>
            <w:pPr>
              <w:jc w:val="right"/>
              <w:spacing w:after="0"/>
              <w:rPr>
                <w:sz w:val="20"/>
                <w:szCs w:val="20"/>
                <w:color w:val="auto"/>
              </w:rPr>
            </w:pPr>
            <w:r>
              <w:rPr>
                <w:rFonts w:ascii="Arial" w:cs="Arial" w:eastAsia="Arial" w:hAnsi="Arial"/>
                <w:sz w:val="36"/>
                <w:szCs w:val="36"/>
                <w:color w:val="auto"/>
              </w:rPr>
              <w:t>5</w:t>
            </w:r>
          </w:p>
        </w:tc>
        <w:tc>
          <w:tcPr>
            <w:tcW w:w="1360" w:type="dxa"/>
            <w:vAlign w:val="bottom"/>
            <w:vMerge w:val="restart"/>
          </w:tcPr>
          <w:p>
            <w:pPr>
              <w:ind w:left="80"/>
              <w:spacing w:after="0"/>
              <w:rPr>
                <w:sz w:val="20"/>
                <w:szCs w:val="20"/>
                <w:color w:val="auto"/>
              </w:rPr>
            </w:pPr>
            <w:r>
              <w:rPr>
                <w:rFonts w:ascii="Arial" w:cs="Arial" w:eastAsia="Arial" w:hAnsi="Arial"/>
                <w:sz w:val="12"/>
                <w:szCs w:val="12"/>
                <w:color w:val="auto"/>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38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tcPr>
          <w:p>
            <w:pPr>
              <w:ind w:left="60"/>
              <w:spacing w:after="0" w:line="130" w:lineRule="exact"/>
              <w:rPr>
                <w:sz w:val="20"/>
                <w:szCs w:val="20"/>
                <w:color w:val="auto"/>
              </w:rPr>
            </w:pPr>
            <w:r>
              <w:rPr>
                <w:rFonts w:ascii="Arial" w:cs="Arial" w:eastAsia="Arial" w:hAnsi="Arial"/>
                <w:sz w:val="12"/>
                <w:szCs w:val="12"/>
                <w:color w:val="0075C9"/>
                <w:w w:val="99"/>
              </w:rPr>
              <w:t>EXECUTIVE OFFICER</w:t>
            </w:r>
          </w:p>
        </w:tc>
        <w:tc>
          <w:tcPr>
            <w:tcW w:w="740" w:type="dxa"/>
            <w:vAlign w:val="bottom"/>
          </w:tcPr>
          <w:p>
            <w:pPr>
              <w:spacing w:after="0"/>
              <w:rPr>
                <w:sz w:val="11"/>
                <w:szCs w:val="11"/>
                <w:color w:val="auto"/>
              </w:rPr>
            </w:pPr>
          </w:p>
        </w:tc>
        <w:tc>
          <w:tcPr>
            <w:tcW w:w="1020" w:type="dxa"/>
            <w:vAlign w:val="bottom"/>
          </w:tcPr>
          <w:p>
            <w:pPr>
              <w:ind w:left="60"/>
              <w:spacing w:after="0" w:line="130" w:lineRule="exact"/>
              <w:rPr>
                <w:sz w:val="20"/>
                <w:szCs w:val="20"/>
                <w:color w:val="auto"/>
              </w:rPr>
            </w:pPr>
            <w:r>
              <w:rPr>
                <w:rFonts w:ascii="Arial" w:cs="Arial" w:eastAsia="Arial" w:hAnsi="Arial"/>
                <w:sz w:val="12"/>
                <w:szCs w:val="12"/>
                <w:color w:val="auto"/>
              </w:rPr>
              <w:t>COMMITTEE</w:t>
            </w:r>
          </w:p>
        </w:tc>
        <w:tc>
          <w:tcPr>
            <w:tcW w:w="500" w:type="dxa"/>
            <w:vAlign w:val="bottom"/>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20" w:type="dxa"/>
            <w:vAlign w:val="bottom"/>
          </w:tcPr>
          <w:p>
            <w:pPr>
              <w:spacing w:after="0"/>
              <w:rPr>
                <w:sz w:val="11"/>
                <w:szCs w:val="11"/>
                <w:color w:val="auto"/>
              </w:rPr>
            </w:pPr>
          </w:p>
        </w:tc>
        <w:tc>
          <w:tcPr>
            <w:tcW w:w="136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380" w:type="dxa"/>
            <w:vAlign w:val="bottom"/>
          </w:tcPr>
          <w:p>
            <w:pPr>
              <w:ind w:left="80"/>
              <w:spacing w:after="0"/>
              <w:rPr>
                <w:sz w:val="20"/>
                <w:szCs w:val="20"/>
                <w:color w:val="auto"/>
              </w:rPr>
            </w:pPr>
            <w:r>
              <w:rPr>
                <w:rFonts w:ascii="Arial" w:cs="Arial" w:eastAsia="Arial" w:hAnsi="Arial"/>
                <w:sz w:val="12"/>
                <w:szCs w:val="12"/>
                <w:color w:val="auto"/>
              </w:rPr>
              <w:t>DIRECTORS</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0075C9"/>
              </w:rPr>
              <w:t>COMPENSATION</w:t>
            </w:r>
          </w:p>
        </w:tc>
        <w:tc>
          <w:tcPr>
            <w:tcW w:w="740" w:type="dxa"/>
            <w:vAlign w:val="bottom"/>
          </w:tcPr>
          <w:p>
            <w:pPr>
              <w:spacing w:after="0"/>
              <w:rPr>
                <w:sz w:val="12"/>
                <w:szCs w:val="12"/>
                <w:color w:val="auto"/>
              </w:rPr>
            </w:pPr>
          </w:p>
        </w:tc>
        <w:tc>
          <w:tcPr>
            <w:tcW w:w="1020" w:type="dxa"/>
            <w:vAlign w:val="bottom"/>
          </w:tcPr>
          <w:p>
            <w:pPr>
              <w:ind w:left="60"/>
              <w:spacing w:after="0"/>
              <w:rPr>
                <w:sz w:val="20"/>
                <w:szCs w:val="20"/>
                <w:color w:val="auto"/>
              </w:rPr>
            </w:pPr>
            <w:r>
              <w:rPr>
                <w:rFonts w:ascii="Arial" w:cs="Arial" w:eastAsia="Arial" w:hAnsi="Arial"/>
                <w:sz w:val="12"/>
                <w:szCs w:val="12"/>
                <w:color w:val="auto"/>
              </w:rPr>
              <w:t>MATTERS</w:t>
            </w:r>
          </w:p>
        </w:tc>
        <w:tc>
          <w:tcPr>
            <w:tcW w:w="500" w:type="dxa"/>
            <w:vAlign w:val="bottom"/>
          </w:tcPr>
          <w:p>
            <w:pPr>
              <w:spacing w:after="0"/>
              <w:rPr>
                <w:sz w:val="12"/>
                <w:szCs w:val="12"/>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20" w:type="dxa"/>
            <w:vAlign w:val="bottom"/>
          </w:tcPr>
          <w:p>
            <w:pPr>
              <w:spacing w:after="0"/>
              <w:rPr>
                <w:sz w:val="12"/>
                <w:szCs w:val="12"/>
                <w:color w:val="auto"/>
              </w:rPr>
            </w:pPr>
          </w:p>
        </w:tc>
        <w:tc>
          <w:tcPr>
            <w:tcW w:w="136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280" w:type="dxa"/>
            <w:vAlign w:val="bottom"/>
            <w:tcBorders>
              <w:bottom w:val="single" w:sz="8" w:color="0075C9"/>
            </w:tcBorders>
          </w:tcPr>
          <w:p>
            <w:pPr>
              <w:spacing w:after="0"/>
              <w:rPr>
                <w:sz w:val="24"/>
                <w:szCs w:val="24"/>
                <w:color w:val="auto"/>
              </w:rPr>
            </w:pPr>
          </w:p>
        </w:tc>
        <w:tc>
          <w:tcPr>
            <w:tcW w:w="1380" w:type="dxa"/>
            <w:vAlign w:val="bottom"/>
            <w:tcBorders>
              <w:bottom w:val="single" w:sz="8" w:color="0075C9"/>
            </w:tcBorders>
          </w:tcPr>
          <w:p>
            <w:pPr>
              <w:spacing w:after="0"/>
              <w:rPr>
                <w:sz w:val="24"/>
                <w:szCs w:val="24"/>
                <w:color w:val="auto"/>
              </w:rPr>
            </w:pPr>
          </w:p>
        </w:tc>
        <w:tc>
          <w:tcPr>
            <w:tcW w:w="160" w:type="dxa"/>
            <w:vAlign w:val="bottom"/>
            <w:tcBorders>
              <w:bottom w:val="single" w:sz="8" w:color="0075C9"/>
            </w:tcBorders>
          </w:tcPr>
          <w:p>
            <w:pPr>
              <w:spacing w:after="0"/>
              <w:rPr>
                <w:sz w:val="24"/>
                <w:szCs w:val="24"/>
                <w:color w:val="auto"/>
              </w:rPr>
            </w:pPr>
          </w:p>
        </w:tc>
        <w:tc>
          <w:tcPr>
            <w:tcW w:w="280" w:type="dxa"/>
            <w:vAlign w:val="bottom"/>
            <w:tcBorders>
              <w:bottom w:val="single" w:sz="8" w:color="0075C9"/>
            </w:tcBorders>
          </w:tcPr>
          <w:p>
            <w:pPr>
              <w:spacing w:after="0"/>
              <w:rPr>
                <w:sz w:val="24"/>
                <w:szCs w:val="24"/>
                <w:color w:val="auto"/>
              </w:rPr>
            </w:pPr>
          </w:p>
        </w:tc>
        <w:tc>
          <w:tcPr>
            <w:tcW w:w="1320" w:type="dxa"/>
            <w:vAlign w:val="bottom"/>
            <w:tcBorders>
              <w:bottom w:val="single" w:sz="8" w:color="0075C9"/>
            </w:tcBorders>
          </w:tcPr>
          <w:p>
            <w:pPr>
              <w:spacing w:after="0"/>
              <w:rPr>
                <w:sz w:val="24"/>
                <w:szCs w:val="24"/>
                <w:color w:val="auto"/>
              </w:rPr>
            </w:pPr>
          </w:p>
        </w:tc>
        <w:tc>
          <w:tcPr>
            <w:tcW w:w="740" w:type="dxa"/>
            <w:vAlign w:val="bottom"/>
            <w:tcBorders>
              <w:bottom w:val="single" w:sz="8" w:color="0075C9"/>
            </w:tcBorders>
          </w:tcPr>
          <w:p>
            <w:pPr>
              <w:spacing w:after="0"/>
              <w:rPr>
                <w:sz w:val="24"/>
                <w:szCs w:val="24"/>
                <w:color w:val="auto"/>
              </w:rPr>
            </w:pPr>
          </w:p>
        </w:tc>
        <w:tc>
          <w:tcPr>
            <w:tcW w:w="1020" w:type="dxa"/>
            <w:vAlign w:val="bottom"/>
            <w:tcBorders>
              <w:bottom w:val="single" w:sz="8" w:color="0075C9"/>
            </w:tcBorders>
          </w:tcPr>
          <w:p>
            <w:pPr>
              <w:spacing w:after="0"/>
              <w:rPr>
                <w:sz w:val="24"/>
                <w:szCs w:val="24"/>
                <w:color w:val="auto"/>
              </w:rPr>
            </w:pPr>
          </w:p>
        </w:tc>
        <w:tc>
          <w:tcPr>
            <w:tcW w:w="500" w:type="dxa"/>
            <w:vAlign w:val="bottom"/>
            <w:tcBorders>
              <w:bottom w:val="single" w:sz="8" w:color="0075C9"/>
            </w:tcBorders>
          </w:tcPr>
          <w:p>
            <w:pPr>
              <w:spacing w:after="0"/>
              <w:rPr>
                <w:sz w:val="24"/>
                <w:szCs w:val="24"/>
                <w:color w:val="auto"/>
              </w:rPr>
            </w:pPr>
          </w:p>
        </w:tc>
        <w:tc>
          <w:tcPr>
            <w:tcW w:w="1580" w:type="dxa"/>
            <w:vAlign w:val="bottom"/>
            <w:tcBorders>
              <w:bottom w:val="single" w:sz="8" w:color="0075C9"/>
            </w:tcBorders>
          </w:tcPr>
          <w:p>
            <w:pPr>
              <w:spacing w:after="0"/>
              <w:rPr>
                <w:sz w:val="24"/>
                <w:szCs w:val="24"/>
                <w:color w:val="auto"/>
              </w:rPr>
            </w:pPr>
          </w:p>
        </w:tc>
        <w:tc>
          <w:tcPr>
            <w:tcW w:w="420" w:type="dxa"/>
            <w:vAlign w:val="bottom"/>
            <w:tcBorders>
              <w:bottom w:val="single" w:sz="8" w:color="0075C9"/>
            </w:tcBorders>
          </w:tcPr>
          <w:p>
            <w:pPr>
              <w:spacing w:after="0"/>
              <w:rPr>
                <w:sz w:val="24"/>
                <w:szCs w:val="24"/>
                <w:color w:val="auto"/>
              </w:rPr>
            </w:pPr>
          </w:p>
        </w:tc>
        <w:tc>
          <w:tcPr>
            <w:tcW w:w="1360" w:type="dxa"/>
            <w:vAlign w:val="bottom"/>
            <w:tcBorders>
              <w:bottom w:val="single" w:sz="8" w:color="0075C9"/>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Section 5 – Fiscal Year 2021 Compensation Decisions</w:t>
      </w:r>
    </w:p>
    <w:p>
      <w:pPr>
        <w:spacing w:after="0" w:line="143"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Our Named Executives were awarded the following compensation in fiscal year 2021:</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Fiscal Year 2021 Base Salaries</w:t>
      </w:r>
    </w:p>
    <w:p>
      <w:pPr>
        <w:spacing w:after="0" w:line="129" w:lineRule="exact"/>
        <w:rPr>
          <w:sz w:val="20"/>
          <w:szCs w:val="20"/>
          <w:color w:val="auto"/>
        </w:rPr>
      </w:pPr>
    </w:p>
    <w:p>
      <w:pPr>
        <w:ind w:left="1100" w:right="180"/>
        <w:spacing w:after="0" w:line="279" w:lineRule="auto"/>
        <w:rPr>
          <w:sz w:val="20"/>
          <w:szCs w:val="20"/>
          <w:color w:val="auto"/>
        </w:rPr>
      </w:pPr>
      <w:r>
        <w:rPr>
          <w:rFonts w:ascii="Arial" w:cs="Arial" w:eastAsia="Arial" w:hAnsi="Arial"/>
          <w:sz w:val="14"/>
          <w:szCs w:val="14"/>
          <w:color w:val="auto"/>
        </w:rPr>
        <w:t>As part of the annual review of target compensation opportunities, our Compensation Committee and, for Mr. Nadella, the independent members of our Board, reviewed the base salaries of our Named Executives in September 2020. The independent members of our Board did not increase the base salary of $2.5 million for Mr. Nadella, which it continued to believe was reasonable and appropriate given his role, capabilities, and experience. Our Compensation Committee approved base salaries of $1 million for Ms. Hood, $960,000 for Mr. Smith, and €800,000 for Mr. Courtois based on a competitive market review of their roles and contributions over the past several years. In connection with his employment as our Executive Vice President, Business Development, Strategy, and Ventures, the Compensation Committee set Mr. Young’s initial base salary at $850,000.</w:t>
      </w:r>
    </w:p>
    <w:p>
      <w:pPr>
        <w:spacing w:after="0" w:line="145"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Fiscal Year 2021 Cash Incentive Awards</w:t>
      </w:r>
    </w:p>
    <w:p>
      <w:pPr>
        <w:spacing w:after="0" w:line="129" w:lineRule="exact"/>
        <w:rPr>
          <w:sz w:val="20"/>
          <w:szCs w:val="20"/>
          <w:color w:val="auto"/>
        </w:rPr>
      </w:pPr>
    </w:p>
    <w:p>
      <w:pPr>
        <w:ind w:left="1100" w:right="340"/>
        <w:spacing w:after="0" w:line="283" w:lineRule="auto"/>
        <w:rPr>
          <w:sz w:val="20"/>
          <w:szCs w:val="20"/>
          <w:color w:val="auto"/>
        </w:rPr>
      </w:pPr>
      <w:r>
        <w:rPr>
          <w:rFonts w:ascii="Arial" w:cs="Arial" w:eastAsia="Arial" w:hAnsi="Arial"/>
          <w:sz w:val="14"/>
          <w:szCs w:val="14"/>
          <w:color w:val="auto"/>
        </w:rPr>
        <w:t>We did not increase our target cash incentive opportunities in fiscal year 2021, which are defined as a percentage of base salary. For fiscal year 2021, these opportunities were: Mr. Nadella – 300%; Ms. Hood – 250%; Mr. Courtois – 225%; and Mr. Smith – 250%. In connection with his employment as our Executive Vice President, Business Development, Strategy, and Ventures, the Compensation Committee set Mr. Young’s target percentage for a cash incentive in fiscal year 2021 of 200% of his base salary.</w:t>
      </w:r>
    </w:p>
    <w:p>
      <w:pPr>
        <w:spacing w:after="0" w:line="69" w:lineRule="exact"/>
        <w:rPr>
          <w:sz w:val="20"/>
          <w:szCs w:val="20"/>
          <w:color w:val="auto"/>
        </w:rPr>
      </w:pPr>
    </w:p>
    <w:p>
      <w:pPr>
        <w:jc w:val="both"/>
        <w:ind w:left="1100" w:right="240"/>
        <w:spacing w:after="0" w:line="238" w:lineRule="auto"/>
        <w:rPr>
          <w:sz w:val="20"/>
          <w:szCs w:val="20"/>
          <w:color w:val="auto"/>
        </w:rPr>
      </w:pPr>
      <w:r>
        <w:rPr>
          <w:rFonts w:ascii="Arial" w:cs="Arial" w:eastAsia="Arial" w:hAnsi="Arial"/>
          <w:sz w:val="16"/>
          <w:szCs w:val="16"/>
          <w:color w:val="auto"/>
        </w:rPr>
        <w:t>In fiscal year 2021, in connection with the disruptions of COVID-19, we made a one-time decision to use semi-annual goals for the financial metrics used in our cash incentive program. This change was consistent with the goal-setting process used for our broad-based sales incentive programs.</w:t>
      </w:r>
    </w:p>
    <w:p>
      <w:pPr>
        <w:spacing w:after="0" w:line="100" w:lineRule="exact"/>
        <w:rPr>
          <w:sz w:val="20"/>
          <w:szCs w:val="20"/>
          <w:color w:val="auto"/>
        </w:rPr>
      </w:pPr>
    </w:p>
    <w:p>
      <w:pPr>
        <w:ind w:left="1100" w:right="260"/>
        <w:spacing w:after="0" w:line="308" w:lineRule="auto"/>
        <w:rPr>
          <w:sz w:val="20"/>
          <w:szCs w:val="20"/>
          <w:color w:val="auto"/>
        </w:rPr>
      </w:pPr>
      <w:r>
        <w:rPr>
          <w:rFonts w:ascii="Arial" w:cs="Arial" w:eastAsia="Arial" w:hAnsi="Arial"/>
          <w:sz w:val="14"/>
          <w:szCs w:val="14"/>
          <w:color w:val="auto"/>
        </w:rPr>
        <w:t>Our Compensation Committee and, for Mr. Nadella, the independent members of our Board, determined the fiscal year 2021 cash incentive awards. These were based on two performance categories: financial results and operational performance results.</w:t>
      </w:r>
    </w:p>
    <w:p>
      <w:pPr>
        <w:spacing w:after="0" w:line="53"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Final results under each portion of the cash incentive, and the resulting awards, were as follows:</w:t>
      </w:r>
    </w:p>
    <w:p>
      <w:pPr>
        <w:spacing w:after="0" w:line="225"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36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Nadella</w:t>
            </w: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Hood</w:t>
            </w:r>
          </w:p>
        </w:tc>
        <w:tc>
          <w:tcPr>
            <w:tcW w:w="10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Courtois</w:t>
            </w: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Smith</w:t>
            </w: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Young</w:t>
            </w:r>
          </w:p>
        </w:tc>
      </w:tr>
      <w:tr>
        <w:trPr>
          <w:trHeight w:val="252"/>
        </w:trPr>
        <w:tc>
          <w:tcPr>
            <w:tcW w:w="362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auto"/>
              </w:rPr>
              <w:t>Financial results (50%) (70% for the CEO)</w:t>
            </w:r>
          </w:p>
        </w:tc>
        <w:tc>
          <w:tcPr>
            <w:tcW w:w="1440" w:type="dxa"/>
            <w:vAlign w:val="bottom"/>
            <w:tcBorders>
              <w:bottom w:val="single" w:sz="8" w:color="0075C9"/>
            </w:tcBorders>
          </w:tcPr>
          <w:p>
            <w:pPr>
              <w:jc w:val="right"/>
              <w:ind w:right="22"/>
              <w:spacing w:after="0"/>
              <w:rPr>
                <w:sz w:val="20"/>
                <w:szCs w:val="20"/>
                <w:color w:val="auto"/>
              </w:rPr>
            </w:pPr>
            <w:r>
              <w:rPr>
                <w:rFonts w:ascii="Arial" w:cs="Arial" w:eastAsia="Arial" w:hAnsi="Arial"/>
                <w:sz w:val="16"/>
                <w:szCs w:val="16"/>
                <w:color w:val="auto"/>
              </w:rPr>
              <w:t>200.00%</w:t>
            </w:r>
          </w:p>
        </w:tc>
        <w:tc>
          <w:tcPr>
            <w:tcW w:w="980" w:type="dxa"/>
            <w:vAlign w:val="bottom"/>
            <w:tcBorders>
              <w:bottom w:val="single" w:sz="8" w:color="0075C9"/>
            </w:tcBorders>
          </w:tcPr>
          <w:p>
            <w:pPr>
              <w:jc w:val="right"/>
              <w:ind w:right="22"/>
              <w:spacing w:after="0"/>
              <w:rPr>
                <w:sz w:val="20"/>
                <w:szCs w:val="20"/>
                <w:color w:val="auto"/>
              </w:rPr>
            </w:pPr>
            <w:r>
              <w:rPr>
                <w:rFonts w:ascii="Arial" w:cs="Arial" w:eastAsia="Arial" w:hAnsi="Arial"/>
                <w:sz w:val="16"/>
                <w:szCs w:val="16"/>
                <w:color w:val="auto"/>
              </w:rPr>
              <w:t>200.00%</w:t>
            </w:r>
          </w:p>
        </w:tc>
        <w:tc>
          <w:tcPr>
            <w:tcW w:w="1060" w:type="dxa"/>
            <w:vAlign w:val="bottom"/>
            <w:tcBorders>
              <w:bottom w:val="single" w:sz="8" w:color="0075C9"/>
            </w:tcBorders>
          </w:tcPr>
          <w:p>
            <w:pPr>
              <w:jc w:val="right"/>
              <w:ind w:right="22"/>
              <w:spacing w:after="0"/>
              <w:rPr>
                <w:sz w:val="20"/>
                <w:szCs w:val="20"/>
                <w:color w:val="auto"/>
              </w:rPr>
            </w:pPr>
            <w:r>
              <w:rPr>
                <w:rFonts w:ascii="Arial" w:cs="Arial" w:eastAsia="Arial" w:hAnsi="Arial"/>
                <w:sz w:val="16"/>
                <w:szCs w:val="16"/>
                <w:color w:val="auto"/>
              </w:rPr>
              <w:t>200.00%</w:t>
            </w:r>
          </w:p>
        </w:tc>
        <w:tc>
          <w:tcPr>
            <w:tcW w:w="980" w:type="dxa"/>
            <w:vAlign w:val="bottom"/>
            <w:tcBorders>
              <w:bottom w:val="single" w:sz="8" w:color="0075C9"/>
            </w:tcBorders>
          </w:tcPr>
          <w:p>
            <w:pPr>
              <w:jc w:val="right"/>
              <w:ind w:right="22"/>
              <w:spacing w:after="0"/>
              <w:rPr>
                <w:sz w:val="20"/>
                <w:szCs w:val="20"/>
                <w:color w:val="auto"/>
              </w:rPr>
            </w:pPr>
            <w:r>
              <w:rPr>
                <w:rFonts w:ascii="Arial" w:cs="Arial" w:eastAsia="Arial" w:hAnsi="Arial"/>
                <w:sz w:val="16"/>
                <w:szCs w:val="16"/>
                <w:color w:val="auto"/>
              </w:rPr>
              <w:t>200.00%</w:t>
            </w:r>
          </w:p>
        </w:tc>
        <w:tc>
          <w:tcPr>
            <w:tcW w:w="96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200.00%</w:t>
            </w:r>
          </w:p>
        </w:tc>
      </w:tr>
      <w:tr>
        <w:trPr>
          <w:trHeight w:val="252"/>
        </w:trPr>
        <w:tc>
          <w:tcPr>
            <w:tcW w:w="362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auto"/>
              </w:rPr>
              <w:t>Operational results (50%) (30% for the CEO)</w:t>
            </w:r>
          </w:p>
        </w:tc>
        <w:tc>
          <w:tcPr>
            <w:tcW w:w="1440" w:type="dxa"/>
            <w:vAlign w:val="bottom"/>
            <w:tcBorders>
              <w:bottom w:val="single" w:sz="8" w:color="0075C9"/>
            </w:tcBorders>
          </w:tcPr>
          <w:p>
            <w:pPr>
              <w:jc w:val="right"/>
              <w:ind w:right="22"/>
              <w:spacing w:after="0"/>
              <w:rPr>
                <w:sz w:val="20"/>
                <w:szCs w:val="20"/>
                <w:color w:val="auto"/>
              </w:rPr>
            </w:pPr>
            <w:r>
              <w:rPr>
                <w:rFonts w:ascii="Arial" w:cs="Arial" w:eastAsia="Arial" w:hAnsi="Arial"/>
                <w:sz w:val="16"/>
                <w:szCs w:val="16"/>
                <w:color w:val="auto"/>
              </w:rPr>
              <w:t>165.00%</w:t>
            </w:r>
          </w:p>
        </w:tc>
        <w:tc>
          <w:tcPr>
            <w:tcW w:w="980" w:type="dxa"/>
            <w:vAlign w:val="bottom"/>
            <w:tcBorders>
              <w:bottom w:val="single" w:sz="8" w:color="0075C9"/>
            </w:tcBorders>
          </w:tcPr>
          <w:p>
            <w:pPr>
              <w:jc w:val="right"/>
              <w:ind w:right="22"/>
              <w:spacing w:after="0"/>
              <w:rPr>
                <w:sz w:val="20"/>
                <w:szCs w:val="20"/>
                <w:color w:val="auto"/>
              </w:rPr>
            </w:pPr>
            <w:r>
              <w:rPr>
                <w:rFonts w:ascii="Arial" w:cs="Arial" w:eastAsia="Arial" w:hAnsi="Arial"/>
                <w:sz w:val="16"/>
                <w:szCs w:val="16"/>
                <w:color w:val="auto"/>
              </w:rPr>
              <w:t>165.00%</w:t>
            </w:r>
          </w:p>
        </w:tc>
        <w:tc>
          <w:tcPr>
            <w:tcW w:w="1060" w:type="dxa"/>
            <w:vAlign w:val="bottom"/>
            <w:tcBorders>
              <w:bottom w:val="single" w:sz="8" w:color="0075C9"/>
            </w:tcBorders>
          </w:tcPr>
          <w:p>
            <w:pPr>
              <w:jc w:val="right"/>
              <w:ind w:right="22"/>
              <w:spacing w:after="0"/>
              <w:rPr>
                <w:sz w:val="20"/>
                <w:szCs w:val="20"/>
                <w:color w:val="auto"/>
              </w:rPr>
            </w:pPr>
            <w:r>
              <w:rPr>
                <w:rFonts w:ascii="Arial" w:cs="Arial" w:eastAsia="Arial" w:hAnsi="Arial"/>
                <w:sz w:val="16"/>
                <w:szCs w:val="16"/>
                <w:color w:val="auto"/>
              </w:rPr>
              <w:t>150.00%</w:t>
            </w:r>
          </w:p>
        </w:tc>
        <w:tc>
          <w:tcPr>
            <w:tcW w:w="980" w:type="dxa"/>
            <w:vAlign w:val="bottom"/>
            <w:tcBorders>
              <w:bottom w:val="single" w:sz="8" w:color="0075C9"/>
            </w:tcBorders>
          </w:tcPr>
          <w:p>
            <w:pPr>
              <w:jc w:val="right"/>
              <w:ind w:right="22"/>
              <w:spacing w:after="0"/>
              <w:rPr>
                <w:sz w:val="20"/>
                <w:szCs w:val="20"/>
                <w:color w:val="auto"/>
              </w:rPr>
            </w:pPr>
            <w:r>
              <w:rPr>
                <w:rFonts w:ascii="Arial" w:cs="Arial" w:eastAsia="Arial" w:hAnsi="Arial"/>
                <w:sz w:val="16"/>
                <w:szCs w:val="16"/>
                <w:color w:val="auto"/>
              </w:rPr>
              <w:t>165.00%</w:t>
            </w:r>
          </w:p>
        </w:tc>
        <w:tc>
          <w:tcPr>
            <w:tcW w:w="96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130.00%</w:t>
            </w:r>
          </w:p>
        </w:tc>
      </w:tr>
      <w:tr>
        <w:trPr>
          <w:trHeight w:val="252"/>
        </w:trPr>
        <w:tc>
          <w:tcPr>
            <w:tcW w:w="362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auto"/>
              </w:rPr>
              <w:t>Total FY21 cash incentive (% of target)</w:t>
            </w:r>
          </w:p>
        </w:tc>
        <w:tc>
          <w:tcPr>
            <w:tcW w:w="1440" w:type="dxa"/>
            <w:vAlign w:val="bottom"/>
            <w:tcBorders>
              <w:bottom w:val="single" w:sz="8" w:color="0075C9"/>
            </w:tcBorders>
          </w:tcPr>
          <w:p>
            <w:pPr>
              <w:jc w:val="right"/>
              <w:ind w:right="22"/>
              <w:spacing w:after="0"/>
              <w:rPr>
                <w:sz w:val="20"/>
                <w:szCs w:val="20"/>
                <w:color w:val="auto"/>
              </w:rPr>
            </w:pPr>
            <w:r>
              <w:rPr>
                <w:rFonts w:ascii="Arial" w:cs="Arial" w:eastAsia="Arial" w:hAnsi="Arial"/>
                <w:sz w:val="16"/>
                <w:szCs w:val="16"/>
                <w:color w:val="auto"/>
              </w:rPr>
              <w:t>189.50%</w:t>
            </w:r>
          </w:p>
        </w:tc>
        <w:tc>
          <w:tcPr>
            <w:tcW w:w="980" w:type="dxa"/>
            <w:vAlign w:val="bottom"/>
            <w:tcBorders>
              <w:bottom w:val="single" w:sz="8" w:color="0075C9"/>
            </w:tcBorders>
          </w:tcPr>
          <w:p>
            <w:pPr>
              <w:jc w:val="right"/>
              <w:ind w:right="22"/>
              <w:spacing w:after="0"/>
              <w:rPr>
                <w:sz w:val="20"/>
                <w:szCs w:val="20"/>
                <w:color w:val="auto"/>
              </w:rPr>
            </w:pPr>
            <w:r>
              <w:rPr>
                <w:rFonts w:ascii="Arial" w:cs="Arial" w:eastAsia="Arial" w:hAnsi="Arial"/>
                <w:sz w:val="16"/>
                <w:szCs w:val="16"/>
                <w:color w:val="auto"/>
              </w:rPr>
              <w:t>182.50%</w:t>
            </w:r>
          </w:p>
        </w:tc>
        <w:tc>
          <w:tcPr>
            <w:tcW w:w="1060" w:type="dxa"/>
            <w:vAlign w:val="bottom"/>
            <w:tcBorders>
              <w:bottom w:val="single" w:sz="8" w:color="0075C9"/>
            </w:tcBorders>
          </w:tcPr>
          <w:p>
            <w:pPr>
              <w:jc w:val="right"/>
              <w:ind w:right="22"/>
              <w:spacing w:after="0"/>
              <w:rPr>
                <w:sz w:val="20"/>
                <w:szCs w:val="20"/>
                <w:color w:val="auto"/>
              </w:rPr>
            </w:pPr>
            <w:r>
              <w:rPr>
                <w:rFonts w:ascii="Arial" w:cs="Arial" w:eastAsia="Arial" w:hAnsi="Arial"/>
                <w:sz w:val="16"/>
                <w:szCs w:val="16"/>
                <w:color w:val="auto"/>
              </w:rPr>
              <w:t>175.00%</w:t>
            </w:r>
          </w:p>
        </w:tc>
        <w:tc>
          <w:tcPr>
            <w:tcW w:w="980" w:type="dxa"/>
            <w:vAlign w:val="bottom"/>
            <w:tcBorders>
              <w:bottom w:val="single" w:sz="8" w:color="0075C9"/>
            </w:tcBorders>
          </w:tcPr>
          <w:p>
            <w:pPr>
              <w:jc w:val="right"/>
              <w:ind w:right="22"/>
              <w:spacing w:after="0"/>
              <w:rPr>
                <w:sz w:val="20"/>
                <w:szCs w:val="20"/>
                <w:color w:val="auto"/>
              </w:rPr>
            </w:pPr>
            <w:r>
              <w:rPr>
                <w:rFonts w:ascii="Arial" w:cs="Arial" w:eastAsia="Arial" w:hAnsi="Arial"/>
                <w:sz w:val="16"/>
                <w:szCs w:val="16"/>
                <w:color w:val="auto"/>
              </w:rPr>
              <w:t>182.50%</w:t>
            </w:r>
          </w:p>
        </w:tc>
        <w:tc>
          <w:tcPr>
            <w:tcW w:w="96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165.00%</w:t>
            </w:r>
          </w:p>
        </w:tc>
      </w:tr>
      <w:tr>
        <w:trPr>
          <w:trHeight w:val="259"/>
        </w:trPr>
        <w:tc>
          <w:tcPr>
            <w:tcW w:w="362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auto"/>
              </w:rPr>
              <w:t>Total FY21 cash incentive ($)</w:t>
            </w:r>
          </w:p>
        </w:tc>
        <w:tc>
          <w:tcPr>
            <w:tcW w:w="1440" w:type="dxa"/>
            <w:vAlign w:val="bottom"/>
            <w:tcBorders>
              <w:bottom w:val="single" w:sz="8" w:color="0075C9"/>
            </w:tcBorders>
          </w:tcPr>
          <w:p>
            <w:pPr>
              <w:jc w:val="right"/>
              <w:ind w:right="22"/>
              <w:spacing w:after="0"/>
              <w:rPr>
                <w:sz w:val="20"/>
                <w:szCs w:val="20"/>
                <w:color w:val="auto"/>
              </w:rPr>
            </w:pPr>
            <w:r>
              <w:rPr>
                <w:rFonts w:ascii="Arial" w:cs="Arial" w:eastAsia="Arial" w:hAnsi="Arial"/>
                <w:sz w:val="16"/>
                <w:szCs w:val="16"/>
                <w:color w:val="auto"/>
              </w:rPr>
              <w:t>$14,212,500</w:t>
            </w:r>
          </w:p>
        </w:tc>
        <w:tc>
          <w:tcPr>
            <w:tcW w:w="980" w:type="dxa"/>
            <w:vAlign w:val="bottom"/>
            <w:tcBorders>
              <w:bottom w:val="single" w:sz="8" w:color="0075C9"/>
            </w:tcBorders>
          </w:tcPr>
          <w:p>
            <w:pPr>
              <w:jc w:val="right"/>
              <w:ind w:right="22"/>
              <w:spacing w:after="0"/>
              <w:rPr>
                <w:sz w:val="20"/>
                <w:szCs w:val="20"/>
                <w:color w:val="auto"/>
              </w:rPr>
            </w:pPr>
            <w:r>
              <w:rPr>
                <w:rFonts w:ascii="Arial" w:cs="Arial" w:eastAsia="Arial" w:hAnsi="Arial"/>
                <w:sz w:val="16"/>
                <w:szCs w:val="16"/>
                <w:color w:val="auto"/>
              </w:rPr>
              <w:t>$4,543,490</w:t>
            </w:r>
          </w:p>
        </w:tc>
        <w:tc>
          <w:tcPr>
            <w:tcW w:w="1060" w:type="dxa"/>
            <w:vAlign w:val="bottom"/>
            <w:tcBorders>
              <w:bottom w:val="single" w:sz="8" w:color="0075C9"/>
            </w:tcBorders>
          </w:tcPr>
          <w:p>
            <w:pPr>
              <w:jc w:val="right"/>
              <w:ind w:right="22"/>
              <w:spacing w:after="0" w:line="258" w:lineRule="exact"/>
              <w:rPr>
                <w:sz w:val="20"/>
                <w:szCs w:val="20"/>
                <w:color w:val="auto"/>
              </w:rPr>
            </w:pPr>
            <w:r>
              <w:rPr>
                <w:rFonts w:ascii="Arial" w:cs="Arial" w:eastAsia="Arial" w:hAnsi="Arial"/>
                <w:sz w:val="16"/>
                <w:szCs w:val="16"/>
                <w:color w:val="auto"/>
              </w:rPr>
              <w:t>$3,670,406</w:t>
            </w:r>
            <w:r>
              <w:rPr>
                <w:rFonts w:ascii="Arial" w:cs="Arial" w:eastAsia="Arial" w:hAnsi="Arial"/>
                <w:sz w:val="26"/>
                <w:szCs w:val="26"/>
                <w:color w:val="auto"/>
                <w:vertAlign w:val="superscript"/>
              </w:rPr>
              <w:t>1</w:t>
            </w:r>
          </w:p>
        </w:tc>
        <w:tc>
          <w:tcPr>
            <w:tcW w:w="980" w:type="dxa"/>
            <w:vAlign w:val="bottom"/>
            <w:tcBorders>
              <w:bottom w:val="single" w:sz="8" w:color="0075C9"/>
            </w:tcBorders>
          </w:tcPr>
          <w:p>
            <w:pPr>
              <w:jc w:val="right"/>
              <w:ind w:right="22"/>
              <w:spacing w:after="0"/>
              <w:rPr>
                <w:sz w:val="20"/>
                <w:szCs w:val="20"/>
                <w:color w:val="auto"/>
              </w:rPr>
            </w:pPr>
            <w:r>
              <w:rPr>
                <w:rFonts w:ascii="Arial" w:cs="Arial" w:eastAsia="Arial" w:hAnsi="Arial"/>
                <w:sz w:val="16"/>
                <w:szCs w:val="16"/>
                <w:color w:val="auto"/>
              </w:rPr>
              <w:t>$4,303,958</w:t>
            </w:r>
          </w:p>
        </w:tc>
        <w:tc>
          <w:tcPr>
            <w:tcW w:w="96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$1,788,188</w:t>
            </w:r>
          </w:p>
        </w:tc>
      </w:tr>
    </w:tbl>
    <w:p>
      <w:pPr>
        <w:spacing w:after="0" w:line="64" w:lineRule="exact"/>
        <w:rPr>
          <w:sz w:val="20"/>
          <w:szCs w:val="20"/>
          <w:color w:val="auto"/>
        </w:rPr>
      </w:pPr>
    </w:p>
    <w:p>
      <w:pPr>
        <w:ind w:left="1100"/>
        <w:spacing w:after="0"/>
        <w:tabs>
          <w:tab w:leader="none" w:pos="1340" w:val="left"/>
        </w:tabs>
        <w:rPr>
          <w:sz w:val="20"/>
          <w:szCs w:val="20"/>
          <w:color w:val="auto"/>
        </w:rPr>
      </w:pPr>
      <w:r>
        <w:rPr>
          <w:rFonts w:ascii="Arial" w:cs="Arial" w:eastAsia="Arial" w:hAnsi="Arial"/>
          <w:sz w:val="12"/>
          <w:szCs w:val="12"/>
          <w:color w:val="auto"/>
        </w:rPr>
        <w:t>(1)</w:t>
        <w:tab/>
        <w:t>Amounts paid in Euros have been converted to U.S. dollars using the average daily exchange rates from July 1, 2020 to June 30, 2021 of €1 to $1.19.</w:t>
      </w:r>
    </w:p>
    <w:p>
      <w:pPr>
        <w:spacing w:after="0" w:line="181"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Financial Results</w:t>
      </w:r>
    </w:p>
    <w:p>
      <w:pPr>
        <w:spacing w:after="0" w:line="129" w:lineRule="exact"/>
        <w:rPr>
          <w:sz w:val="20"/>
          <w:szCs w:val="20"/>
          <w:color w:val="auto"/>
        </w:rPr>
      </w:pPr>
    </w:p>
    <w:p>
      <w:pPr>
        <w:ind w:left="1100" w:right="280"/>
        <w:spacing w:after="0" w:line="239" w:lineRule="auto"/>
        <w:rPr>
          <w:sz w:val="20"/>
          <w:szCs w:val="20"/>
          <w:color w:val="auto"/>
        </w:rPr>
      </w:pPr>
      <w:r>
        <w:rPr>
          <w:rFonts w:ascii="Arial" w:cs="Arial" w:eastAsia="Arial" w:hAnsi="Arial"/>
          <w:sz w:val="16"/>
          <w:szCs w:val="16"/>
          <w:color w:val="auto"/>
        </w:rPr>
        <w:t>We achieved greater than target performance on the fiscal year 2021 financial performance measures shown below, resulting in a weighted payout of 200%.</w:t>
      </w:r>
    </w:p>
    <w:p>
      <w:pPr>
        <w:spacing w:after="0" w:line="209" w:lineRule="exact"/>
        <w:rPr>
          <w:sz w:val="20"/>
          <w:szCs w:val="20"/>
          <w:color w:val="auto"/>
        </w:rPr>
      </w:pPr>
    </w:p>
    <w:tbl>
      <w:tblPr>
        <w:tblLayout w:type="fixed"/>
        <w:tblInd w:w="1100" w:type="dxa"/>
        <w:tblCellMar>
          <w:top w:w="0" w:type="dxa"/>
          <w:left w:w="0" w:type="dxa"/>
          <w:bottom w:w="0" w:type="dxa"/>
          <w:right w:w="0" w:type="dxa"/>
        </w:tblCellMar>
      </w:tblPr>
      <w:tr>
        <w:trPr>
          <w:trHeight w:val="184"/>
        </w:trPr>
        <w:tc>
          <w:tcPr>
            <w:tcW w:w="7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jc w:val="right"/>
              <w:ind w:right="62"/>
              <w:spacing w:after="0"/>
              <w:rPr>
                <w:sz w:val="20"/>
                <w:szCs w:val="20"/>
                <w:color w:val="auto"/>
              </w:rPr>
            </w:pPr>
            <w:r>
              <w:rPr>
                <w:rFonts w:ascii="Arial" w:cs="Arial" w:eastAsia="Arial" w:hAnsi="Arial"/>
                <w:sz w:val="16"/>
                <w:szCs w:val="16"/>
                <w:b w:val="1"/>
                <w:bCs w:val="1"/>
                <w:color w:val="auto"/>
              </w:rPr>
              <w:t>FY21</w:t>
            </w:r>
          </w:p>
        </w:tc>
      </w:tr>
      <w:tr>
        <w:trPr>
          <w:trHeight w:val="178"/>
        </w:trPr>
        <w:tc>
          <w:tcPr>
            <w:tcW w:w="3600" w:type="dxa"/>
            <w:vAlign w:val="bottom"/>
            <w:gridSpan w:val="2"/>
          </w:tcPr>
          <w:p>
            <w:pPr>
              <w:ind w:left="80"/>
              <w:spacing w:after="0" w:line="178" w:lineRule="exact"/>
              <w:rPr>
                <w:sz w:val="20"/>
                <w:szCs w:val="20"/>
                <w:color w:val="auto"/>
              </w:rPr>
            </w:pPr>
            <w:r>
              <w:rPr>
                <w:rFonts w:ascii="Arial" w:cs="Arial" w:eastAsia="Arial" w:hAnsi="Arial"/>
                <w:sz w:val="16"/>
                <w:szCs w:val="16"/>
                <w:b w:val="1"/>
                <w:bCs w:val="1"/>
                <w:color w:val="auto"/>
              </w:rPr>
              <w:t>Financial Results</w:t>
            </w:r>
          </w:p>
        </w:tc>
        <w:tc>
          <w:tcPr>
            <w:tcW w:w="1280" w:type="dxa"/>
            <w:vAlign w:val="bottom"/>
          </w:tcPr>
          <w:p>
            <w:pPr>
              <w:jc w:val="right"/>
              <w:ind w:right="42"/>
              <w:spacing w:after="0" w:line="178" w:lineRule="exact"/>
              <w:rPr>
                <w:sz w:val="20"/>
                <w:szCs w:val="20"/>
                <w:color w:val="auto"/>
              </w:rPr>
            </w:pPr>
            <w:r>
              <w:rPr>
                <w:rFonts w:ascii="Arial" w:cs="Arial" w:eastAsia="Arial" w:hAnsi="Arial"/>
                <w:sz w:val="16"/>
                <w:szCs w:val="16"/>
                <w:b w:val="1"/>
                <w:bCs w:val="1"/>
                <w:color w:val="auto"/>
              </w:rPr>
              <w:t>FY20</w:t>
            </w:r>
          </w:p>
        </w:tc>
        <w:tc>
          <w:tcPr>
            <w:tcW w:w="1000" w:type="dxa"/>
            <w:vAlign w:val="bottom"/>
          </w:tcPr>
          <w:p>
            <w:pPr>
              <w:jc w:val="right"/>
              <w:ind w:right="62"/>
              <w:spacing w:after="0" w:line="178" w:lineRule="exact"/>
              <w:rPr>
                <w:sz w:val="20"/>
                <w:szCs w:val="20"/>
                <w:color w:val="auto"/>
              </w:rPr>
            </w:pPr>
            <w:r>
              <w:rPr>
                <w:rFonts w:ascii="Arial" w:cs="Arial" w:eastAsia="Arial" w:hAnsi="Arial"/>
                <w:sz w:val="16"/>
                <w:szCs w:val="16"/>
                <w:b w:val="1"/>
                <w:bCs w:val="1"/>
                <w:color w:val="auto"/>
              </w:rPr>
              <w:t>FY21</w:t>
            </w:r>
          </w:p>
        </w:tc>
        <w:tc>
          <w:tcPr>
            <w:tcW w:w="700" w:type="dxa"/>
            <w:vAlign w:val="bottom"/>
          </w:tcPr>
          <w:p>
            <w:pPr>
              <w:jc w:val="right"/>
              <w:ind w:right="22"/>
              <w:spacing w:after="0" w:line="178" w:lineRule="exact"/>
              <w:rPr>
                <w:sz w:val="20"/>
                <w:szCs w:val="20"/>
                <w:color w:val="auto"/>
              </w:rPr>
            </w:pPr>
            <w:r>
              <w:rPr>
                <w:rFonts w:ascii="Arial" w:cs="Arial" w:eastAsia="Arial" w:hAnsi="Arial"/>
                <w:sz w:val="16"/>
                <w:szCs w:val="16"/>
                <w:b w:val="1"/>
                <w:bCs w:val="1"/>
                <w:color w:val="auto"/>
              </w:rPr>
              <w:t>FY21</w:t>
            </w:r>
          </w:p>
        </w:tc>
        <w:tc>
          <w:tcPr>
            <w:tcW w:w="920" w:type="dxa"/>
            <w:vAlign w:val="bottom"/>
          </w:tcPr>
          <w:p>
            <w:pPr>
              <w:jc w:val="right"/>
              <w:ind w:right="22"/>
              <w:spacing w:after="0" w:line="178" w:lineRule="exact"/>
              <w:rPr>
                <w:sz w:val="20"/>
                <w:szCs w:val="20"/>
                <w:color w:val="auto"/>
              </w:rPr>
            </w:pPr>
            <w:r>
              <w:rPr>
                <w:rFonts w:ascii="Arial" w:cs="Arial" w:eastAsia="Arial" w:hAnsi="Arial"/>
                <w:sz w:val="16"/>
                <w:szCs w:val="16"/>
                <w:b w:val="1"/>
                <w:bCs w:val="1"/>
                <w:color w:val="auto"/>
              </w:rPr>
              <w:t>FY21</w:t>
            </w:r>
          </w:p>
        </w:tc>
        <w:tc>
          <w:tcPr>
            <w:tcW w:w="720" w:type="dxa"/>
            <w:vAlign w:val="bottom"/>
          </w:tcPr>
          <w:p>
            <w:pPr>
              <w:jc w:val="right"/>
              <w:ind w:right="62"/>
              <w:spacing w:after="0" w:line="178" w:lineRule="exact"/>
              <w:rPr>
                <w:sz w:val="20"/>
                <w:szCs w:val="20"/>
                <w:color w:val="auto"/>
              </w:rPr>
            </w:pPr>
            <w:r>
              <w:rPr>
                <w:rFonts w:ascii="Arial" w:cs="Arial" w:eastAsia="Arial" w:hAnsi="Arial"/>
                <w:sz w:val="16"/>
                <w:szCs w:val="16"/>
                <w:b w:val="1"/>
                <w:bCs w:val="1"/>
                <w:color w:val="auto"/>
              </w:rPr>
              <w:t>FY21</w:t>
            </w:r>
          </w:p>
        </w:tc>
        <w:tc>
          <w:tcPr>
            <w:tcW w:w="820" w:type="dxa"/>
            <w:vAlign w:val="bottom"/>
          </w:tcPr>
          <w:p>
            <w:pPr>
              <w:jc w:val="right"/>
              <w:ind w:right="62"/>
              <w:spacing w:after="0" w:line="178" w:lineRule="exact"/>
              <w:rPr>
                <w:sz w:val="20"/>
                <w:szCs w:val="20"/>
                <w:color w:val="auto"/>
              </w:rPr>
            </w:pPr>
            <w:r>
              <w:rPr>
                <w:rFonts w:ascii="Arial" w:cs="Arial" w:eastAsia="Arial" w:hAnsi="Arial"/>
                <w:sz w:val="16"/>
                <w:szCs w:val="16"/>
                <w:b w:val="1"/>
                <w:bCs w:val="1"/>
                <w:color w:val="auto"/>
              </w:rPr>
              <w:t>Growth</w:t>
            </w:r>
          </w:p>
        </w:tc>
      </w:tr>
      <w:tr>
        <w:trPr>
          <w:trHeight w:val="239"/>
        </w:trPr>
        <w:tc>
          <w:tcPr>
            <w:tcW w:w="360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 in billions)</w:t>
            </w:r>
          </w:p>
        </w:tc>
        <w:tc>
          <w:tcPr>
            <w:tcW w:w="1280" w:type="dxa"/>
            <w:vAlign w:val="bottom"/>
            <w:tcBorders>
              <w:bottom w:val="single" w:sz="8" w:color="auto"/>
            </w:tcBorders>
          </w:tcPr>
          <w:p>
            <w:pPr>
              <w:jc w:val="right"/>
              <w:ind w:right="42"/>
              <w:spacing w:after="0" w:line="238" w:lineRule="exact"/>
              <w:rPr>
                <w:sz w:val="20"/>
                <w:szCs w:val="20"/>
                <w:color w:val="auto"/>
              </w:rPr>
            </w:pPr>
            <w:r>
              <w:rPr>
                <w:rFonts w:ascii="Arial" w:cs="Arial" w:eastAsia="Arial" w:hAnsi="Arial"/>
                <w:sz w:val="16"/>
                <w:szCs w:val="16"/>
                <w:b w:val="1"/>
                <w:bCs w:val="1"/>
                <w:color w:val="auto"/>
              </w:rPr>
              <w:t>Actual</w:t>
            </w:r>
            <w:r>
              <w:rPr>
                <w:rFonts w:ascii="Arial" w:cs="Arial" w:eastAsia="Arial" w:hAnsi="Arial"/>
                <w:sz w:val="26"/>
                <w:szCs w:val="26"/>
                <w:b w:val="1"/>
                <w:bCs w:val="1"/>
                <w:color w:val="auto"/>
                <w:vertAlign w:val="superscript"/>
              </w:rPr>
              <w:t>1</w:t>
            </w:r>
          </w:p>
        </w:tc>
        <w:tc>
          <w:tcPr>
            <w:tcW w:w="10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Threshold</w:t>
            </w:r>
          </w:p>
        </w:tc>
        <w:tc>
          <w:tcPr>
            <w:tcW w:w="7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Target</w:t>
            </w:r>
          </w:p>
        </w:tc>
        <w:tc>
          <w:tcPr>
            <w:tcW w:w="9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Maximum</w:t>
            </w:r>
          </w:p>
        </w:tc>
        <w:tc>
          <w:tcPr>
            <w:tcW w:w="7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Actual</w:t>
            </w:r>
          </w:p>
        </w:tc>
        <w:tc>
          <w:tcPr>
            <w:tcW w:w="8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Rate</w:t>
            </w:r>
          </w:p>
        </w:tc>
      </w:tr>
      <w:tr>
        <w:trPr>
          <w:trHeight w:val="245"/>
        </w:trPr>
        <w:tc>
          <w:tcPr>
            <w:tcW w:w="70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auto"/>
                <w:w w:val="94"/>
              </w:rPr>
              <w:t>FY21 H1</w:t>
            </w:r>
          </w:p>
        </w:tc>
        <w:tc>
          <w:tcPr>
            <w:tcW w:w="2900" w:type="dxa"/>
            <w:vAlign w:val="bottom"/>
            <w:tcBorders>
              <w:bottom w:val="single" w:sz="8" w:color="0075C9"/>
            </w:tcBorders>
          </w:tcPr>
          <w:p>
            <w:pPr>
              <w:ind w:left="20"/>
              <w:spacing w:after="0"/>
              <w:rPr>
                <w:sz w:val="20"/>
                <w:szCs w:val="20"/>
                <w:color w:val="auto"/>
              </w:rPr>
            </w:pPr>
            <w:r>
              <w:rPr>
                <w:rFonts w:ascii="Arial" w:cs="Arial" w:eastAsia="Arial" w:hAnsi="Arial"/>
                <w:sz w:val="16"/>
                <w:szCs w:val="16"/>
                <w:color w:val="auto"/>
              </w:rPr>
              <w:t>Incentive Plan Revenue</w:t>
            </w:r>
          </w:p>
        </w:tc>
        <w:tc>
          <w:tcPr>
            <w:tcW w:w="1280" w:type="dxa"/>
            <w:vAlign w:val="bottom"/>
            <w:tcBorders>
              <w:bottom w:val="single" w:sz="8" w:color="0075C9"/>
            </w:tcBorders>
          </w:tcPr>
          <w:p>
            <w:pPr>
              <w:jc w:val="right"/>
              <w:ind w:right="42"/>
              <w:spacing w:after="0"/>
              <w:rPr>
                <w:sz w:val="20"/>
                <w:szCs w:val="20"/>
                <w:color w:val="auto"/>
              </w:rPr>
            </w:pPr>
            <w:r>
              <w:rPr>
                <w:rFonts w:ascii="Arial" w:cs="Arial" w:eastAsia="Arial" w:hAnsi="Arial"/>
                <w:sz w:val="16"/>
                <w:szCs w:val="16"/>
                <w:color w:val="auto"/>
              </w:rPr>
              <w:t>$65.49</w:t>
            </w:r>
          </w:p>
        </w:tc>
        <w:tc>
          <w:tcPr>
            <w:tcW w:w="1000" w:type="dxa"/>
            <w:vAlign w:val="bottom"/>
            <w:tcBorders>
              <w:bottom w:val="single" w:sz="8" w:color="0075C9"/>
            </w:tcBorders>
          </w:tcPr>
          <w:p>
            <w:pPr>
              <w:jc w:val="right"/>
              <w:ind w:right="62"/>
              <w:spacing w:after="0"/>
              <w:rPr>
                <w:sz w:val="20"/>
                <w:szCs w:val="20"/>
                <w:color w:val="auto"/>
              </w:rPr>
            </w:pPr>
            <w:r>
              <w:rPr>
                <w:rFonts w:ascii="Arial" w:cs="Arial" w:eastAsia="Arial" w:hAnsi="Arial"/>
                <w:sz w:val="16"/>
                <w:szCs w:val="16"/>
                <w:color w:val="auto"/>
              </w:rPr>
              <w:t>$65.19</w:t>
            </w:r>
          </w:p>
        </w:tc>
        <w:tc>
          <w:tcPr>
            <w:tcW w:w="700" w:type="dxa"/>
            <w:vAlign w:val="bottom"/>
            <w:tcBorders>
              <w:bottom w:val="single" w:sz="8" w:color="0075C9"/>
            </w:tcBorders>
          </w:tcPr>
          <w:p>
            <w:pPr>
              <w:jc w:val="right"/>
              <w:ind w:right="22"/>
              <w:spacing w:after="0"/>
              <w:rPr>
                <w:sz w:val="20"/>
                <w:szCs w:val="20"/>
                <w:color w:val="auto"/>
              </w:rPr>
            </w:pPr>
            <w:r>
              <w:rPr>
                <w:rFonts w:ascii="Arial" w:cs="Arial" w:eastAsia="Arial" w:hAnsi="Arial"/>
                <w:sz w:val="16"/>
                <w:szCs w:val="16"/>
                <w:color w:val="auto"/>
              </w:rPr>
              <w:t>$68.55</w:t>
            </w:r>
          </w:p>
        </w:tc>
        <w:tc>
          <w:tcPr>
            <w:tcW w:w="920" w:type="dxa"/>
            <w:vAlign w:val="bottom"/>
            <w:tcBorders>
              <w:bottom w:val="single" w:sz="8" w:color="0075C9"/>
            </w:tcBorders>
          </w:tcPr>
          <w:p>
            <w:pPr>
              <w:jc w:val="right"/>
              <w:ind w:right="22"/>
              <w:spacing w:after="0"/>
              <w:rPr>
                <w:sz w:val="20"/>
                <w:szCs w:val="20"/>
                <w:color w:val="auto"/>
              </w:rPr>
            </w:pPr>
            <w:r>
              <w:rPr>
                <w:rFonts w:ascii="Arial" w:cs="Arial" w:eastAsia="Arial" w:hAnsi="Arial"/>
                <w:sz w:val="16"/>
                <w:szCs w:val="16"/>
                <w:color w:val="auto"/>
              </w:rPr>
              <w:t>$71.57</w:t>
            </w:r>
          </w:p>
        </w:tc>
        <w:tc>
          <w:tcPr>
            <w:tcW w:w="720" w:type="dxa"/>
            <w:vAlign w:val="bottom"/>
            <w:tcBorders>
              <w:bottom w:val="single" w:sz="8" w:color="0075C9"/>
            </w:tcBorders>
          </w:tcPr>
          <w:p>
            <w:pPr>
              <w:jc w:val="right"/>
              <w:ind w:right="62"/>
              <w:spacing w:after="0"/>
              <w:rPr>
                <w:sz w:val="20"/>
                <w:szCs w:val="20"/>
                <w:color w:val="auto"/>
              </w:rPr>
            </w:pPr>
            <w:r>
              <w:rPr>
                <w:rFonts w:ascii="Arial" w:cs="Arial" w:eastAsia="Arial" w:hAnsi="Arial"/>
                <w:sz w:val="16"/>
                <w:szCs w:val="16"/>
                <w:color w:val="auto"/>
              </w:rPr>
              <w:t>$74.12</w:t>
            </w:r>
          </w:p>
        </w:tc>
        <w:tc>
          <w:tcPr>
            <w:tcW w:w="820" w:type="dxa"/>
            <w:vAlign w:val="bottom"/>
            <w:tcBorders>
              <w:bottom w:val="single" w:sz="8" w:color="0075C9"/>
            </w:tcBorders>
          </w:tcPr>
          <w:p>
            <w:pPr>
              <w:jc w:val="right"/>
              <w:ind w:right="62"/>
              <w:spacing w:after="0"/>
              <w:rPr>
                <w:sz w:val="20"/>
                <w:szCs w:val="20"/>
                <w:color w:val="auto"/>
              </w:rPr>
            </w:pPr>
            <w:r>
              <w:rPr>
                <w:rFonts w:ascii="Arial" w:cs="Arial" w:eastAsia="Arial" w:hAnsi="Arial"/>
                <w:sz w:val="16"/>
                <w:szCs w:val="16"/>
                <w:color w:val="auto"/>
              </w:rPr>
              <w:t>13.18%</w:t>
            </w:r>
          </w:p>
        </w:tc>
      </w:tr>
      <w:tr>
        <w:trPr>
          <w:trHeight w:val="252"/>
        </w:trPr>
        <w:tc>
          <w:tcPr>
            <w:tcW w:w="70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auto"/>
                <w:w w:val="94"/>
              </w:rPr>
              <w:t>FY21 H2</w:t>
            </w:r>
          </w:p>
        </w:tc>
        <w:tc>
          <w:tcPr>
            <w:tcW w:w="2900" w:type="dxa"/>
            <w:vAlign w:val="bottom"/>
            <w:tcBorders>
              <w:bottom w:val="single" w:sz="8" w:color="0075C9"/>
            </w:tcBorders>
          </w:tcPr>
          <w:p>
            <w:pPr>
              <w:ind w:left="20"/>
              <w:spacing w:after="0"/>
              <w:rPr>
                <w:sz w:val="20"/>
                <w:szCs w:val="20"/>
                <w:color w:val="auto"/>
              </w:rPr>
            </w:pPr>
            <w:r>
              <w:rPr>
                <w:rFonts w:ascii="Arial" w:cs="Arial" w:eastAsia="Arial" w:hAnsi="Arial"/>
                <w:sz w:val="16"/>
                <w:szCs w:val="16"/>
                <w:color w:val="auto"/>
              </w:rPr>
              <w:t>Incentive Plan Revenue</w:t>
            </w:r>
          </w:p>
        </w:tc>
        <w:tc>
          <w:tcPr>
            <w:tcW w:w="1280" w:type="dxa"/>
            <w:vAlign w:val="bottom"/>
            <w:tcBorders>
              <w:bottom w:val="single" w:sz="8" w:color="0075C9"/>
            </w:tcBorders>
          </w:tcPr>
          <w:p>
            <w:pPr>
              <w:jc w:val="right"/>
              <w:ind w:right="42"/>
              <w:spacing w:after="0"/>
              <w:rPr>
                <w:sz w:val="20"/>
                <w:szCs w:val="20"/>
                <w:color w:val="auto"/>
              </w:rPr>
            </w:pPr>
            <w:r>
              <w:rPr>
                <w:rFonts w:ascii="Arial" w:cs="Arial" w:eastAsia="Arial" w:hAnsi="Arial"/>
                <w:sz w:val="16"/>
                <w:szCs w:val="16"/>
                <w:color w:val="auto"/>
              </w:rPr>
              <w:t>$83.15</w:t>
            </w:r>
          </w:p>
        </w:tc>
        <w:tc>
          <w:tcPr>
            <w:tcW w:w="1000" w:type="dxa"/>
            <w:vAlign w:val="bottom"/>
            <w:tcBorders>
              <w:bottom w:val="single" w:sz="8" w:color="0075C9"/>
            </w:tcBorders>
          </w:tcPr>
          <w:p>
            <w:pPr>
              <w:jc w:val="right"/>
              <w:ind w:right="62"/>
              <w:spacing w:after="0"/>
              <w:rPr>
                <w:sz w:val="20"/>
                <w:szCs w:val="20"/>
                <w:color w:val="auto"/>
              </w:rPr>
            </w:pPr>
            <w:r>
              <w:rPr>
                <w:rFonts w:ascii="Arial" w:cs="Arial" w:eastAsia="Arial" w:hAnsi="Arial"/>
                <w:sz w:val="16"/>
                <w:szCs w:val="16"/>
                <w:color w:val="auto"/>
              </w:rPr>
              <w:t>$85.32</w:t>
            </w:r>
          </w:p>
        </w:tc>
        <w:tc>
          <w:tcPr>
            <w:tcW w:w="700" w:type="dxa"/>
            <w:vAlign w:val="bottom"/>
            <w:tcBorders>
              <w:bottom w:val="single" w:sz="8" w:color="0075C9"/>
            </w:tcBorders>
          </w:tcPr>
          <w:p>
            <w:pPr>
              <w:jc w:val="right"/>
              <w:ind w:right="22"/>
              <w:spacing w:after="0"/>
              <w:rPr>
                <w:sz w:val="20"/>
                <w:szCs w:val="20"/>
                <w:color w:val="auto"/>
              </w:rPr>
            </w:pPr>
            <w:r>
              <w:rPr>
                <w:rFonts w:ascii="Arial" w:cs="Arial" w:eastAsia="Arial" w:hAnsi="Arial"/>
                <w:sz w:val="16"/>
                <w:szCs w:val="16"/>
                <w:color w:val="auto"/>
              </w:rPr>
              <w:t>$90.67</w:t>
            </w:r>
          </w:p>
        </w:tc>
        <w:tc>
          <w:tcPr>
            <w:tcW w:w="920" w:type="dxa"/>
            <w:vAlign w:val="bottom"/>
            <w:tcBorders>
              <w:bottom w:val="single" w:sz="8" w:color="0075C9"/>
            </w:tcBorders>
          </w:tcPr>
          <w:p>
            <w:pPr>
              <w:jc w:val="right"/>
              <w:ind w:right="22"/>
              <w:spacing w:after="0"/>
              <w:rPr>
                <w:sz w:val="20"/>
                <w:szCs w:val="20"/>
                <w:color w:val="auto"/>
              </w:rPr>
            </w:pPr>
            <w:r>
              <w:rPr>
                <w:rFonts w:ascii="Arial" w:cs="Arial" w:eastAsia="Arial" w:hAnsi="Arial"/>
                <w:sz w:val="16"/>
                <w:szCs w:val="16"/>
                <w:color w:val="auto"/>
              </w:rPr>
              <w:t>$95.57</w:t>
            </w:r>
          </w:p>
        </w:tc>
        <w:tc>
          <w:tcPr>
            <w:tcW w:w="720" w:type="dxa"/>
            <w:vAlign w:val="bottom"/>
            <w:tcBorders>
              <w:bottom w:val="single" w:sz="8" w:color="0075C9"/>
            </w:tcBorders>
          </w:tcPr>
          <w:p>
            <w:pPr>
              <w:jc w:val="right"/>
              <w:ind w:right="62"/>
              <w:spacing w:after="0"/>
              <w:rPr>
                <w:sz w:val="20"/>
                <w:szCs w:val="20"/>
                <w:color w:val="auto"/>
              </w:rPr>
            </w:pPr>
            <w:r>
              <w:rPr>
                <w:rFonts w:ascii="Arial" w:cs="Arial" w:eastAsia="Arial" w:hAnsi="Arial"/>
                <w:sz w:val="16"/>
                <w:szCs w:val="16"/>
                <w:color w:val="auto"/>
              </w:rPr>
              <w:t>$96.42</w:t>
            </w:r>
          </w:p>
        </w:tc>
        <w:tc>
          <w:tcPr>
            <w:tcW w:w="820" w:type="dxa"/>
            <w:vAlign w:val="bottom"/>
            <w:tcBorders>
              <w:bottom w:val="single" w:sz="8" w:color="0075C9"/>
            </w:tcBorders>
          </w:tcPr>
          <w:p>
            <w:pPr>
              <w:jc w:val="right"/>
              <w:ind w:right="62"/>
              <w:spacing w:after="0"/>
              <w:rPr>
                <w:sz w:val="20"/>
                <w:szCs w:val="20"/>
                <w:color w:val="auto"/>
              </w:rPr>
            </w:pPr>
            <w:r>
              <w:rPr>
                <w:rFonts w:ascii="Arial" w:cs="Arial" w:eastAsia="Arial" w:hAnsi="Arial"/>
                <w:sz w:val="16"/>
                <w:szCs w:val="16"/>
                <w:color w:val="auto"/>
              </w:rPr>
              <w:t>15.96%</w:t>
            </w:r>
          </w:p>
        </w:tc>
      </w:tr>
      <w:tr>
        <w:trPr>
          <w:trHeight w:val="252"/>
        </w:trPr>
        <w:tc>
          <w:tcPr>
            <w:tcW w:w="70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auto"/>
                <w:w w:val="94"/>
              </w:rPr>
              <w:t>FY21 H1</w:t>
            </w:r>
          </w:p>
        </w:tc>
        <w:tc>
          <w:tcPr>
            <w:tcW w:w="2900" w:type="dxa"/>
            <w:vAlign w:val="bottom"/>
            <w:tcBorders>
              <w:bottom w:val="single" w:sz="8" w:color="0075C9"/>
            </w:tcBorders>
          </w:tcPr>
          <w:p>
            <w:pPr>
              <w:ind w:left="20"/>
              <w:spacing w:after="0"/>
              <w:rPr>
                <w:sz w:val="20"/>
                <w:szCs w:val="20"/>
                <w:color w:val="auto"/>
              </w:rPr>
            </w:pPr>
            <w:r>
              <w:rPr>
                <w:rFonts w:ascii="Arial" w:cs="Arial" w:eastAsia="Arial" w:hAnsi="Arial"/>
                <w:sz w:val="16"/>
                <w:szCs w:val="16"/>
                <w:color w:val="auto"/>
              </w:rPr>
              <w:t>Incentive Plan Operating Income</w:t>
            </w:r>
          </w:p>
        </w:tc>
        <w:tc>
          <w:tcPr>
            <w:tcW w:w="1280" w:type="dxa"/>
            <w:vAlign w:val="bottom"/>
            <w:tcBorders>
              <w:bottom w:val="single" w:sz="8" w:color="0075C9"/>
            </w:tcBorders>
          </w:tcPr>
          <w:p>
            <w:pPr>
              <w:jc w:val="right"/>
              <w:ind w:right="42"/>
              <w:spacing w:after="0"/>
              <w:rPr>
                <w:sz w:val="20"/>
                <w:szCs w:val="20"/>
                <w:color w:val="auto"/>
              </w:rPr>
            </w:pPr>
            <w:r>
              <w:rPr>
                <w:rFonts w:ascii="Arial" w:cs="Arial" w:eastAsia="Arial" w:hAnsi="Arial"/>
                <w:sz w:val="16"/>
                <w:szCs w:val="16"/>
                <w:color w:val="auto"/>
              </w:rPr>
              <w:t>$26.25</w:t>
            </w:r>
          </w:p>
        </w:tc>
        <w:tc>
          <w:tcPr>
            <w:tcW w:w="1000" w:type="dxa"/>
            <w:vAlign w:val="bottom"/>
            <w:tcBorders>
              <w:bottom w:val="single" w:sz="8" w:color="0075C9"/>
            </w:tcBorders>
          </w:tcPr>
          <w:p>
            <w:pPr>
              <w:jc w:val="right"/>
              <w:ind w:right="62"/>
              <w:spacing w:after="0"/>
              <w:rPr>
                <w:sz w:val="20"/>
                <w:szCs w:val="20"/>
                <w:color w:val="auto"/>
              </w:rPr>
            </w:pPr>
            <w:r>
              <w:rPr>
                <w:rFonts w:ascii="Arial" w:cs="Arial" w:eastAsia="Arial" w:hAnsi="Arial"/>
                <w:sz w:val="16"/>
                <w:szCs w:val="16"/>
                <w:color w:val="auto"/>
              </w:rPr>
              <w:t>$25.34</w:t>
            </w:r>
          </w:p>
        </w:tc>
        <w:tc>
          <w:tcPr>
            <w:tcW w:w="700" w:type="dxa"/>
            <w:vAlign w:val="bottom"/>
            <w:tcBorders>
              <w:bottom w:val="single" w:sz="8" w:color="0075C9"/>
            </w:tcBorders>
          </w:tcPr>
          <w:p>
            <w:pPr>
              <w:jc w:val="right"/>
              <w:ind w:right="22"/>
              <w:spacing w:after="0"/>
              <w:rPr>
                <w:sz w:val="20"/>
                <w:szCs w:val="20"/>
                <w:color w:val="auto"/>
              </w:rPr>
            </w:pPr>
            <w:r>
              <w:rPr>
                <w:rFonts w:ascii="Arial" w:cs="Arial" w:eastAsia="Arial" w:hAnsi="Arial"/>
                <w:sz w:val="16"/>
                <w:szCs w:val="16"/>
                <w:color w:val="auto"/>
              </w:rPr>
              <w:t>$27.39</w:t>
            </w:r>
          </w:p>
        </w:tc>
        <w:tc>
          <w:tcPr>
            <w:tcW w:w="920" w:type="dxa"/>
            <w:vAlign w:val="bottom"/>
            <w:tcBorders>
              <w:bottom w:val="single" w:sz="8" w:color="0075C9"/>
            </w:tcBorders>
          </w:tcPr>
          <w:p>
            <w:pPr>
              <w:jc w:val="right"/>
              <w:ind w:right="22"/>
              <w:spacing w:after="0"/>
              <w:rPr>
                <w:sz w:val="20"/>
                <w:szCs w:val="20"/>
                <w:color w:val="auto"/>
              </w:rPr>
            </w:pPr>
            <w:r>
              <w:rPr>
                <w:rFonts w:ascii="Arial" w:cs="Arial" w:eastAsia="Arial" w:hAnsi="Arial"/>
                <w:sz w:val="16"/>
                <w:szCs w:val="16"/>
                <w:color w:val="auto"/>
              </w:rPr>
              <w:t>$30.68</w:t>
            </w:r>
          </w:p>
        </w:tc>
        <w:tc>
          <w:tcPr>
            <w:tcW w:w="720" w:type="dxa"/>
            <w:vAlign w:val="bottom"/>
            <w:tcBorders>
              <w:bottom w:val="single" w:sz="8" w:color="0075C9"/>
            </w:tcBorders>
          </w:tcPr>
          <w:p>
            <w:pPr>
              <w:jc w:val="right"/>
              <w:ind w:right="62"/>
              <w:spacing w:after="0"/>
              <w:rPr>
                <w:sz w:val="20"/>
                <w:szCs w:val="20"/>
                <w:color w:val="auto"/>
              </w:rPr>
            </w:pPr>
            <w:r>
              <w:rPr>
                <w:rFonts w:ascii="Arial" w:cs="Arial" w:eastAsia="Arial" w:hAnsi="Arial"/>
                <w:sz w:val="16"/>
                <w:szCs w:val="16"/>
                <w:color w:val="auto"/>
              </w:rPr>
              <w:t>$32.81</w:t>
            </w:r>
          </w:p>
        </w:tc>
        <w:tc>
          <w:tcPr>
            <w:tcW w:w="820" w:type="dxa"/>
            <w:vAlign w:val="bottom"/>
            <w:tcBorders>
              <w:bottom w:val="single" w:sz="8" w:color="0075C9"/>
            </w:tcBorders>
          </w:tcPr>
          <w:p>
            <w:pPr>
              <w:jc w:val="right"/>
              <w:ind w:right="62"/>
              <w:spacing w:after="0"/>
              <w:rPr>
                <w:sz w:val="20"/>
                <w:szCs w:val="20"/>
                <w:color w:val="auto"/>
              </w:rPr>
            </w:pPr>
            <w:r>
              <w:rPr>
                <w:rFonts w:ascii="Arial" w:cs="Arial" w:eastAsia="Arial" w:hAnsi="Arial"/>
                <w:sz w:val="16"/>
                <w:szCs w:val="16"/>
                <w:color w:val="auto"/>
              </w:rPr>
              <w:t>24.99%</w:t>
            </w:r>
          </w:p>
        </w:tc>
      </w:tr>
      <w:tr>
        <w:trPr>
          <w:trHeight w:val="252"/>
        </w:trPr>
        <w:tc>
          <w:tcPr>
            <w:tcW w:w="70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auto"/>
                <w:w w:val="94"/>
              </w:rPr>
              <w:t>FY21 H2</w:t>
            </w:r>
          </w:p>
        </w:tc>
        <w:tc>
          <w:tcPr>
            <w:tcW w:w="2900" w:type="dxa"/>
            <w:vAlign w:val="bottom"/>
            <w:tcBorders>
              <w:bottom w:val="single" w:sz="8" w:color="0075C9"/>
            </w:tcBorders>
          </w:tcPr>
          <w:p>
            <w:pPr>
              <w:ind w:left="20"/>
              <w:spacing w:after="0"/>
              <w:rPr>
                <w:sz w:val="20"/>
                <w:szCs w:val="20"/>
                <w:color w:val="auto"/>
              </w:rPr>
            </w:pPr>
            <w:r>
              <w:rPr>
                <w:rFonts w:ascii="Arial" w:cs="Arial" w:eastAsia="Arial" w:hAnsi="Arial"/>
                <w:sz w:val="16"/>
                <w:szCs w:val="16"/>
                <w:color w:val="auto"/>
              </w:rPr>
              <w:t>Incentive Plan Operating Income</w:t>
            </w:r>
          </w:p>
        </w:tc>
        <w:tc>
          <w:tcPr>
            <w:tcW w:w="1280" w:type="dxa"/>
            <w:vAlign w:val="bottom"/>
            <w:tcBorders>
              <w:bottom w:val="single" w:sz="8" w:color="0075C9"/>
            </w:tcBorders>
          </w:tcPr>
          <w:p>
            <w:pPr>
              <w:jc w:val="right"/>
              <w:ind w:right="42"/>
              <w:spacing w:after="0"/>
              <w:rPr>
                <w:sz w:val="20"/>
                <w:szCs w:val="20"/>
                <w:color w:val="auto"/>
              </w:rPr>
            </w:pPr>
            <w:r>
              <w:rPr>
                <w:rFonts w:ascii="Arial" w:cs="Arial" w:eastAsia="Arial" w:hAnsi="Arial"/>
                <w:sz w:val="16"/>
                <w:szCs w:val="16"/>
                <w:color w:val="auto"/>
              </w:rPr>
              <w:t>$26.13</w:t>
            </w:r>
          </w:p>
        </w:tc>
        <w:tc>
          <w:tcPr>
            <w:tcW w:w="1000" w:type="dxa"/>
            <w:vAlign w:val="bottom"/>
            <w:tcBorders>
              <w:bottom w:val="single" w:sz="8" w:color="0075C9"/>
            </w:tcBorders>
          </w:tcPr>
          <w:p>
            <w:pPr>
              <w:jc w:val="right"/>
              <w:ind w:right="62"/>
              <w:spacing w:after="0"/>
              <w:rPr>
                <w:sz w:val="20"/>
                <w:szCs w:val="20"/>
                <w:color w:val="auto"/>
              </w:rPr>
            </w:pPr>
            <w:r>
              <w:rPr>
                <w:rFonts w:ascii="Arial" w:cs="Arial" w:eastAsia="Arial" w:hAnsi="Arial"/>
                <w:sz w:val="16"/>
                <w:szCs w:val="16"/>
                <w:color w:val="auto"/>
              </w:rPr>
              <w:t>$27.45</w:t>
            </w:r>
          </w:p>
        </w:tc>
        <w:tc>
          <w:tcPr>
            <w:tcW w:w="700" w:type="dxa"/>
            <w:vAlign w:val="bottom"/>
            <w:tcBorders>
              <w:bottom w:val="single" w:sz="8" w:color="0075C9"/>
            </w:tcBorders>
          </w:tcPr>
          <w:p>
            <w:pPr>
              <w:jc w:val="right"/>
              <w:ind w:right="22"/>
              <w:spacing w:after="0"/>
              <w:rPr>
                <w:sz w:val="20"/>
                <w:szCs w:val="20"/>
                <w:color w:val="auto"/>
              </w:rPr>
            </w:pPr>
            <w:r>
              <w:rPr>
                <w:rFonts w:ascii="Arial" w:cs="Arial" w:eastAsia="Arial" w:hAnsi="Arial"/>
                <w:sz w:val="16"/>
                <w:szCs w:val="16"/>
                <w:color w:val="auto"/>
              </w:rPr>
              <w:t>$30.00</w:t>
            </w:r>
          </w:p>
        </w:tc>
        <w:tc>
          <w:tcPr>
            <w:tcW w:w="920" w:type="dxa"/>
            <w:vAlign w:val="bottom"/>
            <w:tcBorders>
              <w:bottom w:val="single" w:sz="8" w:color="0075C9"/>
            </w:tcBorders>
          </w:tcPr>
          <w:p>
            <w:pPr>
              <w:jc w:val="right"/>
              <w:ind w:right="22"/>
              <w:spacing w:after="0"/>
              <w:rPr>
                <w:sz w:val="20"/>
                <w:szCs w:val="20"/>
                <w:color w:val="auto"/>
              </w:rPr>
            </w:pPr>
            <w:r>
              <w:rPr>
                <w:rFonts w:ascii="Arial" w:cs="Arial" w:eastAsia="Arial" w:hAnsi="Arial"/>
                <w:sz w:val="16"/>
                <w:szCs w:val="16"/>
                <w:color w:val="auto"/>
              </w:rPr>
              <w:t>$33.90</w:t>
            </w:r>
          </w:p>
        </w:tc>
        <w:tc>
          <w:tcPr>
            <w:tcW w:w="720" w:type="dxa"/>
            <w:vAlign w:val="bottom"/>
            <w:tcBorders>
              <w:bottom w:val="single" w:sz="8" w:color="0075C9"/>
            </w:tcBorders>
          </w:tcPr>
          <w:p>
            <w:pPr>
              <w:jc w:val="right"/>
              <w:ind w:right="62"/>
              <w:spacing w:after="0"/>
              <w:rPr>
                <w:sz w:val="20"/>
                <w:szCs w:val="20"/>
                <w:color w:val="auto"/>
              </w:rPr>
            </w:pPr>
            <w:r>
              <w:rPr>
                <w:rFonts w:ascii="Arial" w:cs="Arial" w:eastAsia="Arial" w:hAnsi="Arial"/>
                <w:sz w:val="16"/>
                <w:szCs w:val="16"/>
                <w:color w:val="auto"/>
              </w:rPr>
              <w:t>$34.34</w:t>
            </w:r>
          </w:p>
        </w:tc>
        <w:tc>
          <w:tcPr>
            <w:tcW w:w="820" w:type="dxa"/>
            <w:vAlign w:val="bottom"/>
            <w:tcBorders>
              <w:bottom w:val="single" w:sz="8" w:color="0075C9"/>
            </w:tcBorders>
          </w:tcPr>
          <w:p>
            <w:pPr>
              <w:jc w:val="right"/>
              <w:ind w:right="62"/>
              <w:spacing w:after="0"/>
              <w:rPr>
                <w:sz w:val="20"/>
                <w:szCs w:val="20"/>
                <w:color w:val="auto"/>
              </w:rPr>
            </w:pPr>
            <w:r>
              <w:rPr>
                <w:rFonts w:ascii="Arial" w:cs="Arial" w:eastAsia="Arial" w:hAnsi="Arial"/>
                <w:sz w:val="16"/>
                <w:szCs w:val="16"/>
                <w:color w:val="auto"/>
              </w:rPr>
              <w:t>31.42%</w:t>
            </w:r>
          </w:p>
        </w:tc>
      </w:tr>
    </w:tbl>
    <w:p>
      <w:pPr>
        <w:spacing w:after="0" w:line="72" w:lineRule="exact"/>
        <w:rPr>
          <w:sz w:val="20"/>
          <w:szCs w:val="20"/>
          <w:color w:val="auto"/>
        </w:rPr>
      </w:pPr>
    </w:p>
    <w:p>
      <w:pPr>
        <w:ind w:left="1100"/>
        <w:spacing w:after="0"/>
        <w:tabs>
          <w:tab w:leader="none" w:pos="1340" w:val="left"/>
        </w:tabs>
        <w:rPr>
          <w:sz w:val="20"/>
          <w:szCs w:val="20"/>
          <w:color w:val="auto"/>
        </w:rPr>
      </w:pPr>
      <w:r>
        <w:rPr>
          <w:rFonts w:ascii="Arial" w:cs="Arial" w:eastAsia="Arial" w:hAnsi="Arial"/>
          <w:sz w:val="12"/>
          <w:szCs w:val="12"/>
          <w:color w:val="auto"/>
        </w:rPr>
        <w:t>(1)</w:t>
        <w:tab/>
        <w:t>FY20 actual results are presented in FY21 constant dollar exchange rates, which removes the impact of currency fluctuations from period-over-period comparisons.</w:t>
      </w:r>
    </w:p>
    <w:p>
      <w:pPr>
        <w:spacing w:after="0" w:line="206" w:lineRule="exact"/>
        <w:rPr>
          <w:sz w:val="20"/>
          <w:szCs w:val="20"/>
          <w:color w:val="auto"/>
        </w:rPr>
      </w:pPr>
    </w:p>
    <w:p>
      <w:pPr>
        <w:ind w:left="1100" w:right="160"/>
        <w:spacing w:after="0" w:line="279" w:lineRule="auto"/>
        <w:rPr>
          <w:sz w:val="20"/>
          <w:szCs w:val="20"/>
          <w:color w:val="auto"/>
        </w:rPr>
      </w:pPr>
      <w:r>
        <w:rPr>
          <w:rFonts w:ascii="Arial" w:cs="Arial" w:eastAsia="Arial" w:hAnsi="Arial"/>
          <w:sz w:val="14"/>
          <w:szCs w:val="14"/>
          <w:color w:val="auto"/>
        </w:rPr>
        <w:t>“Incentive Plan Revenue” and “Incentive Plan Operating Income” are non-GAAP financial measures. We calculate Incentive Plan Revenue by adjusting GAAP Revenue for (1) the net impact of revenue deferrals, (2) credits and incentives, and (3) the effect of foreign currency rate fluctuations. We calculate Incentive Plan Operating Income by adjusting GAAP Operating Income for the effect of foreign currency rate fluctuations. We exclude the effect of foreign currency rate fluctuations on a “constant dollar” basis by converting current period non-GAAP (i.e., adjusted for the items in the preceding two sentences) results for entities reporting in</w:t>
      </w:r>
    </w:p>
    <w:p>
      <w:pPr>
        <w:sectPr>
          <w:pgSz w:w="11900" w:h="16838" w:orient="portrait"/>
          <w:cols w:equalWidth="0" w:num="1">
            <w:col w:w="10280"/>
          </w:cols>
          <w:pgMar w:left="320" w:top="446" w:right="129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ind w:left="8240"/>
        <w:spacing w:after="0"/>
        <w:tabs>
          <w:tab w:leader="none" w:pos="10120" w:val="left"/>
        </w:tabs>
        <w:rPr>
          <w:sz w:val="20"/>
          <w:szCs w:val="20"/>
          <w:color w:val="auto"/>
        </w:rPr>
      </w:pPr>
      <w:r>
        <w:rPr>
          <w:rFonts w:ascii="Arial" w:cs="Arial" w:eastAsia="Arial" w:hAnsi="Arial"/>
          <w:sz w:val="14"/>
          <w:szCs w:val="14"/>
          <w:color w:val="auto"/>
        </w:rPr>
        <w:t>2021 PROXY STATEMENT</w:t>
      </w:r>
      <w:r>
        <w:rPr>
          <w:sz w:val="20"/>
          <w:szCs w:val="20"/>
          <w:color w:val="auto"/>
        </w:rPr>
        <w:tab/>
      </w:r>
      <w:r>
        <w:rPr>
          <w:rFonts w:ascii="Arial" w:cs="Arial" w:eastAsia="Arial" w:hAnsi="Arial"/>
          <w:sz w:val="12"/>
          <w:szCs w:val="12"/>
          <w:b w:val="1"/>
          <w:bCs w:val="1"/>
          <w:color w:val="0075C9"/>
        </w:rPr>
        <w:t>45</w:t>
      </w:r>
    </w:p>
    <w:p>
      <w:pPr>
        <w:sectPr>
          <w:pgSz w:w="11900" w:h="16838" w:orient="portrait"/>
          <w:cols w:equalWidth="0" w:num="1">
            <w:col w:w="10280"/>
          </w:cols>
          <w:pgMar w:left="320" w:top="446" w:right="1299" w:bottom="1440" w:gutter="0" w:footer="0" w:header="0"/>
          <w:type w:val="continuous"/>
        </w:sectPr>
      </w:pPr>
    </w:p>
    <w:bookmarkStart w:id="53" w:name="page54"/>
    <w:bookmarkEnd w:id="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auto"/>
                <w:w w:val="89"/>
              </w:rPr>
              <w:t>1</w:t>
            </w:r>
          </w:p>
        </w:tc>
        <w:tc>
          <w:tcPr>
            <w:tcW w:w="1380" w:type="dxa"/>
            <w:vAlign w:val="bottom"/>
            <w:vMerge w:val="restart"/>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gridSpan w:val="2"/>
          </w:tcPr>
          <w:p>
            <w:pPr>
              <w:jc w:val="right"/>
              <w:ind w:right="80"/>
              <w:spacing w:after="0"/>
              <w:rPr>
                <w:sz w:val="20"/>
                <w:szCs w:val="20"/>
                <w:color w:val="auto"/>
              </w:rPr>
            </w:pPr>
            <w:r>
              <w:rPr>
                <w:rFonts w:ascii="Arial" w:cs="Arial" w:eastAsia="Arial" w:hAnsi="Arial"/>
                <w:sz w:val="36"/>
                <w:szCs w:val="36"/>
                <w:color w:val="0075C9"/>
              </w:rPr>
              <w:t>2</w:t>
            </w:r>
          </w:p>
        </w:tc>
        <w:tc>
          <w:tcPr>
            <w:tcW w:w="1320" w:type="dxa"/>
            <w:vAlign w:val="bottom"/>
            <w:vMerge w:val="restart"/>
          </w:tcPr>
          <w:p>
            <w:pPr>
              <w:ind w:left="60"/>
              <w:spacing w:after="0"/>
              <w:rPr>
                <w:sz w:val="20"/>
                <w:szCs w:val="20"/>
                <w:color w:val="auto"/>
              </w:rPr>
            </w:pPr>
            <w:r>
              <w:rPr>
                <w:rFonts w:ascii="Arial" w:cs="Arial" w:eastAsia="Arial" w:hAnsi="Arial"/>
                <w:sz w:val="12"/>
                <w:szCs w:val="12"/>
                <w:color w:val="0075C9"/>
              </w:rPr>
              <w:t>NAMED</w:t>
            </w:r>
          </w:p>
        </w:tc>
        <w:tc>
          <w:tcPr>
            <w:tcW w:w="740" w:type="dxa"/>
            <w:vAlign w:val="bottom"/>
          </w:tcPr>
          <w:p>
            <w:pPr>
              <w:jc w:val="right"/>
              <w:spacing w:after="0"/>
              <w:rPr>
                <w:sz w:val="20"/>
                <w:szCs w:val="20"/>
                <w:color w:val="auto"/>
              </w:rPr>
            </w:pPr>
            <w:r>
              <w:rPr>
                <w:rFonts w:ascii="Arial" w:cs="Arial" w:eastAsia="Arial" w:hAnsi="Arial"/>
                <w:sz w:val="36"/>
                <w:szCs w:val="36"/>
                <w:color w:val="auto"/>
              </w:rPr>
              <w:t>3</w:t>
            </w:r>
          </w:p>
        </w:tc>
        <w:tc>
          <w:tcPr>
            <w:tcW w:w="1020" w:type="dxa"/>
            <w:vAlign w:val="bottom"/>
            <w:vMerge w:val="restart"/>
          </w:tcPr>
          <w:p>
            <w:pPr>
              <w:ind w:left="60"/>
              <w:spacing w:after="0"/>
              <w:rPr>
                <w:sz w:val="20"/>
                <w:szCs w:val="20"/>
                <w:color w:val="auto"/>
              </w:rPr>
            </w:pPr>
            <w:r>
              <w:rPr>
                <w:rFonts w:ascii="Arial" w:cs="Arial" w:eastAsia="Arial" w:hAnsi="Arial"/>
                <w:sz w:val="12"/>
                <w:szCs w:val="12"/>
                <w:color w:val="auto"/>
              </w:rPr>
              <w:t>AUDIT</w:t>
            </w:r>
          </w:p>
        </w:tc>
        <w:tc>
          <w:tcPr>
            <w:tcW w:w="500" w:type="dxa"/>
            <w:vAlign w:val="bottom"/>
          </w:tcPr>
          <w:p>
            <w:pPr>
              <w:jc w:val="right"/>
              <w:spacing w:after="0"/>
              <w:rPr>
                <w:sz w:val="20"/>
                <w:szCs w:val="20"/>
                <w:color w:val="auto"/>
              </w:rPr>
            </w:pPr>
            <w:r>
              <w:rPr>
                <w:rFonts w:ascii="Arial" w:cs="Arial" w:eastAsia="Arial" w:hAnsi="Arial"/>
                <w:sz w:val="36"/>
                <w:szCs w:val="36"/>
                <w:color w:val="auto"/>
              </w:rPr>
              <w:t>4</w:t>
            </w:r>
          </w:p>
        </w:tc>
        <w:tc>
          <w:tcPr>
            <w:tcW w:w="1580" w:type="dxa"/>
            <w:vAlign w:val="bottom"/>
            <w:vMerge w:val="restart"/>
          </w:tcPr>
          <w:p>
            <w:pPr>
              <w:ind w:left="80"/>
              <w:spacing w:after="0"/>
              <w:rPr>
                <w:sz w:val="20"/>
                <w:szCs w:val="20"/>
                <w:color w:val="auto"/>
              </w:rPr>
            </w:pPr>
            <w:r>
              <w:rPr>
                <w:rFonts w:ascii="Arial" w:cs="Arial" w:eastAsia="Arial" w:hAnsi="Arial"/>
                <w:sz w:val="12"/>
                <w:szCs w:val="12"/>
                <w:color w:val="auto"/>
              </w:rPr>
              <w:t>PROPOSALS TO</w:t>
            </w:r>
          </w:p>
        </w:tc>
        <w:tc>
          <w:tcPr>
            <w:tcW w:w="420" w:type="dxa"/>
            <w:vAlign w:val="bottom"/>
          </w:tcPr>
          <w:p>
            <w:pPr>
              <w:jc w:val="right"/>
              <w:spacing w:after="0"/>
              <w:rPr>
                <w:sz w:val="20"/>
                <w:szCs w:val="20"/>
                <w:color w:val="auto"/>
              </w:rPr>
            </w:pPr>
            <w:r>
              <w:rPr>
                <w:rFonts w:ascii="Arial" w:cs="Arial" w:eastAsia="Arial" w:hAnsi="Arial"/>
                <w:sz w:val="36"/>
                <w:szCs w:val="36"/>
                <w:color w:val="auto"/>
              </w:rPr>
              <w:t>5</w:t>
            </w:r>
          </w:p>
        </w:tc>
        <w:tc>
          <w:tcPr>
            <w:tcW w:w="920" w:type="dxa"/>
            <w:vAlign w:val="bottom"/>
            <w:vMerge w:val="restart"/>
          </w:tcPr>
          <w:p>
            <w:pPr>
              <w:ind w:left="8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38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tcPr>
          <w:p>
            <w:pPr>
              <w:ind w:left="60"/>
              <w:spacing w:after="0" w:line="130" w:lineRule="exact"/>
              <w:rPr>
                <w:sz w:val="20"/>
                <w:szCs w:val="20"/>
                <w:color w:val="auto"/>
              </w:rPr>
            </w:pPr>
            <w:r>
              <w:rPr>
                <w:rFonts w:ascii="Arial" w:cs="Arial" w:eastAsia="Arial" w:hAnsi="Arial"/>
                <w:sz w:val="12"/>
                <w:szCs w:val="12"/>
                <w:color w:val="0075C9"/>
                <w:w w:val="99"/>
              </w:rPr>
              <w:t>EXECUTIVE OFFICER</w:t>
            </w:r>
          </w:p>
        </w:tc>
        <w:tc>
          <w:tcPr>
            <w:tcW w:w="740" w:type="dxa"/>
            <w:vAlign w:val="bottom"/>
          </w:tcPr>
          <w:p>
            <w:pPr>
              <w:spacing w:after="0"/>
              <w:rPr>
                <w:sz w:val="11"/>
                <w:szCs w:val="11"/>
                <w:color w:val="auto"/>
              </w:rPr>
            </w:pPr>
          </w:p>
        </w:tc>
        <w:tc>
          <w:tcPr>
            <w:tcW w:w="1020" w:type="dxa"/>
            <w:vAlign w:val="bottom"/>
          </w:tcPr>
          <w:p>
            <w:pPr>
              <w:ind w:left="60"/>
              <w:spacing w:after="0" w:line="130" w:lineRule="exact"/>
              <w:rPr>
                <w:sz w:val="20"/>
                <w:szCs w:val="20"/>
                <w:color w:val="auto"/>
              </w:rPr>
            </w:pPr>
            <w:r>
              <w:rPr>
                <w:rFonts w:ascii="Arial" w:cs="Arial" w:eastAsia="Arial" w:hAnsi="Arial"/>
                <w:sz w:val="12"/>
                <w:szCs w:val="12"/>
                <w:color w:val="auto"/>
              </w:rPr>
              <w:t>COMMITTEE</w:t>
            </w:r>
          </w:p>
        </w:tc>
        <w:tc>
          <w:tcPr>
            <w:tcW w:w="500" w:type="dxa"/>
            <w:vAlign w:val="bottom"/>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20" w:type="dxa"/>
            <w:vAlign w:val="bottom"/>
          </w:tcPr>
          <w:p>
            <w:pPr>
              <w:spacing w:after="0"/>
              <w:rPr>
                <w:sz w:val="11"/>
                <w:szCs w:val="11"/>
                <w:color w:val="auto"/>
              </w:rPr>
            </w:pPr>
          </w:p>
        </w:tc>
        <w:tc>
          <w:tcPr>
            <w:tcW w:w="92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380" w:type="dxa"/>
            <w:vAlign w:val="bottom"/>
          </w:tcPr>
          <w:p>
            <w:pPr>
              <w:ind w:left="80"/>
              <w:spacing w:after="0"/>
              <w:rPr>
                <w:sz w:val="20"/>
                <w:szCs w:val="20"/>
                <w:color w:val="auto"/>
              </w:rPr>
            </w:pPr>
            <w:r>
              <w:rPr>
                <w:rFonts w:ascii="Arial" w:cs="Arial" w:eastAsia="Arial" w:hAnsi="Arial"/>
                <w:sz w:val="12"/>
                <w:szCs w:val="12"/>
                <w:color w:val="auto"/>
              </w:rPr>
              <w:t>DIRECTORS</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0075C9"/>
              </w:rPr>
              <w:t>COMPENSATION</w:t>
            </w:r>
          </w:p>
        </w:tc>
        <w:tc>
          <w:tcPr>
            <w:tcW w:w="740" w:type="dxa"/>
            <w:vAlign w:val="bottom"/>
          </w:tcPr>
          <w:p>
            <w:pPr>
              <w:spacing w:after="0"/>
              <w:rPr>
                <w:sz w:val="12"/>
                <w:szCs w:val="12"/>
                <w:color w:val="auto"/>
              </w:rPr>
            </w:pPr>
          </w:p>
        </w:tc>
        <w:tc>
          <w:tcPr>
            <w:tcW w:w="1020" w:type="dxa"/>
            <w:vAlign w:val="bottom"/>
          </w:tcPr>
          <w:p>
            <w:pPr>
              <w:ind w:left="60"/>
              <w:spacing w:after="0"/>
              <w:rPr>
                <w:sz w:val="20"/>
                <w:szCs w:val="20"/>
                <w:color w:val="auto"/>
              </w:rPr>
            </w:pPr>
            <w:r>
              <w:rPr>
                <w:rFonts w:ascii="Arial" w:cs="Arial" w:eastAsia="Arial" w:hAnsi="Arial"/>
                <w:sz w:val="12"/>
                <w:szCs w:val="12"/>
                <w:color w:val="auto"/>
              </w:rPr>
              <w:t>MATTERS</w:t>
            </w:r>
          </w:p>
        </w:tc>
        <w:tc>
          <w:tcPr>
            <w:tcW w:w="500" w:type="dxa"/>
            <w:vAlign w:val="bottom"/>
          </w:tcPr>
          <w:p>
            <w:pPr>
              <w:spacing w:after="0"/>
              <w:rPr>
                <w:sz w:val="12"/>
                <w:szCs w:val="12"/>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20" w:type="dxa"/>
            <w:vAlign w:val="bottom"/>
          </w:tcPr>
          <w:p>
            <w:pPr>
              <w:spacing w:after="0"/>
              <w:rPr>
                <w:sz w:val="12"/>
                <w:szCs w:val="12"/>
                <w:color w:val="auto"/>
              </w:rPr>
            </w:pPr>
          </w:p>
        </w:tc>
        <w:tc>
          <w:tcPr>
            <w:tcW w:w="92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00" w:lineRule="exact"/>
        <w:rPr>
          <w:sz w:val="20"/>
          <w:szCs w:val="20"/>
          <w:color w:val="auto"/>
        </w:rPr>
      </w:pPr>
    </w:p>
    <w:p>
      <w:pPr>
        <w:ind w:left="1100" w:right="19"/>
        <w:spacing w:after="0" w:line="238" w:lineRule="auto"/>
        <w:rPr>
          <w:sz w:val="20"/>
          <w:szCs w:val="20"/>
          <w:color w:val="auto"/>
        </w:rPr>
      </w:pPr>
      <w:r>
        <w:rPr>
          <w:rFonts w:ascii="Arial" w:cs="Arial" w:eastAsia="Arial" w:hAnsi="Arial"/>
          <w:sz w:val="16"/>
          <w:szCs w:val="16"/>
          <w:color w:val="auto"/>
        </w:rPr>
        <w:t>currencies other than U.S. dollars into U.S. dollars using constant exchange rates, which are determined at the outset of the current period, rather than the actual exchange rates in effect during the respective periods. These Incentive Plan financial metrics differ from the non-GAAP financial results we report in our quarterly earnings release materials. They should not be considered as a substitute for, or superior to, the measures of financial performance prepared in accordance with GAAP.</w:t>
      </w:r>
    </w:p>
    <w:p>
      <w:pPr>
        <w:spacing w:after="0" w:line="169"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Operational Results</w:t>
      </w:r>
    </w:p>
    <w:p>
      <w:pPr>
        <w:spacing w:after="0" w:line="105"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0075C9"/>
        </w:rPr>
        <w:t>Satya Nadella</w:t>
      </w:r>
    </w:p>
    <w:p>
      <w:pPr>
        <w:spacing w:after="0" w:line="127" w:lineRule="exact"/>
        <w:rPr>
          <w:sz w:val="20"/>
          <w:szCs w:val="20"/>
          <w:color w:val="auto"/>
        </w:rPr>
      </w:pPr>
    </w:p>
    <w:p>
      <w:pPr>
        <w:ind w:left="1100" w:right="79"/>
        <w:spacing w:after="0" w:line="308" w:lineRule="auto"/>
        <w:rPr>
          <w:sz w:val="20"/>
          <w:szCs w:val="20"/>
          <w:color w:val="auto"/>
        </w:rPr>
      </w:pPr>
      <w:r>
        <w:rPr>
          <w:rFonts w:ascii="Arial" w:cs="Arial" w:eastAsia="Arial" w:hAnsi="Arial"/>
          <w:sz w:val="14"/>
          <w:szCs w:val="14"/>
          <w:color w:val="auto"/>
        </w:rPr>
        <w:t>The key results influencing the Compensation Committee and the independent members of our Board decisions on the operational performance portion of Mr. Nadella’s cash incentive are set forth below. Results are out of a possible 200% in each category.</w:t>
      </w:r>
    </w:p>
    <w:p>
      <w:pPr>
        <w:spacing w:after="0" w:line="291"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Weighted Performance Categories - Satya Nadella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-74930</wp:posOffset>
            </wp:positionV>
            <wp:extent cx="5690870" cy="47529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690870" cy="4752975"/>
                    </a:xfrm>
                    <a:prstGeom prst="rect">
                      <a:avLst/>
                    </a:prstGeom>
                    <a:noFill/>
                  </pic:spPr>
                </pic:pic>
              </a:graphicData>
            </a:graphic>
          </wp:anchor>
        </w:drawing>
      </w:r>
    </w:p>
    <w:p>
      <w:pPr>
        <w:ind w:left="1320"/>
        <w:spacing w:after="0" w:line="216" w:lineRule="auto"/>
        <w:tabs>
          <w:tab w:leader="none" w:pos="8116" w:val="left"/>
        </w:tabs>
        <w:rPr>
          <w:sz w:val="20"/>
          <w:szCs w:val="20"/>
          <w:color w:val="auto"/>
        </w:rPr>
      </w:pPr>
      <w:r>
        <w:rPr>
          <w:rFonts w:ascii="Arial" w:cs="Arial" w:eastAsia="Arial" w:hAnsi="Arial"/>
          <w:sz w:val="26"/>
          <w:szCs w:val="26"/>
          <w:color w:val="auto"/>
        </w:rPr>
        <w:t>1</w:t>
      </w:r>
      <w:r>
        <w:rPr>
          <w:sz w:val="20"/>
          <w:szCs w:val="20"/>
          <w:color w:val="auto"/>
        </w:rPr>
        <w:tab/>
      </w:r>
      <w:r>
        <w:rPr>
          <w:sz w:val="1"/>
          <w:szCs w:val="1"/>
          <w:color w:val="auto"/>
        </w:rPr>
        <w:drawing>
          <wp:inline distT="0" distB="0" distL="0" distR="0">
            <wp:extent cx="254635" cy="20701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54635" cy="207010"/>
                    </a:xfrm>
                    <a:prstGeom prst="rect">
                      <a:avLst/>
                    </a:prstGeom>
                    <a:noFill/>
                    <a:ln>
                      <a:noFill/>
                    </a:ln>
                  </pic:spPr>
                </pic:pic>
              </a:graphicData>
            </a:graphic>
          </wp:inline>
        </w:drawing>
      </w:r>
      <w:r>
        <w:rPr>
          <w:rFonts w:ascii="Arial" w:cs="Arial" w:eastAsia="Arial" w:hAnsi="Arial"/>
          <w:sz w:val="45"/>
          <w:szCs w:val="45"/>
          <w:color w:val="0075C9"/>
        </w:rPr>
        <w:t xml:space="preserve"> 145%</w:t>
      </w:r>
    </w:p>
    <w:p>
      <w:pPr>
        <w:ind w:left="1500"/>
        <w:spacing w:after="0"/>
        <w:rPr>
          <w:sz w:val="20"/>
          <w:szCs w:val="20"/>
          <w:color w:val="auto"/>
        </w:rPr>
      </w:pPr>
      <w:r>
        <w:rPr>
          <w:rFonts w:ascii="Arial" w:cs="Arial" w:eastAsia="Arial" w:hAnsi="Arial"/>
          <w:sz w:val="16"/>
          <w:szCs w:val="16"/>
          <w:b w:val="1"/>
          <w:bCs w:val="1"/>
          <w:color w:val="auto"/>
        </w:rPr>
        <w:t>Product &amp; Strategy (10.0% weight)</w:t>
      </w:r>
    </w:p>
    <w:p>
      <w:pPr>
        <w:spacing w:after="0" w:line="75" w:lineRule="exact"/>
        <w:rPr>
          <w:sz w:val="20"/>
          <w:szCs w:val="20"/>
          <w:color w:val="auto"/>
        </w:rPr>
      </w:pPr>
    </w:p>
    <w:p>
      <w:pPr>
        <w:ind w:left="1320" w:right="199"/>
        <w:spacing w:after="0" w:line="273" w:lineRule="auto"/>
        <w:rPr>
          <w:sz w:val="20"/>
          <w:szCs w:val="20"/>
          <w:color w:val="auto"/>
        </w:rPr>
      </w:pPr>
      <w:r>
        <w:rPr>
          <w:rFonts w:ascii="Arial" w:cs="Arial" w:eastAsia="Arial" w:hAnsi="Arial"/>
          <w:sz w:val="14"/>
          <w:szCs w:val="14"/>
          <w:color w:val="auto"/>
        </w:rPr>
        <w:t xml:space="preserve">As digital transformation accelerated across all industries in fiscal year 2021, Mr. Nadella led Microsoft to strong growth across our business segments. Full year revenue growth for fiscal year 2021 remained strong </w:t>
      </w:r>
      <w:r>
        <w:rPr>
          <w:rFonts w:ascii="Arial" w:cs="Arial" w:eastAsia="Arial" w:hAnsi="Arial"/>
          <w:sz w:val="14"/>
          <w:szCs w:val="14"/>
          <w:i w:val="1"/>
          <w:iCs w:val="1"/>
          <w:color w:val="auto"/>
        </w:rPr>
        <w:t>(</w:t>
      </w:r>
      <w:r>
        <w:rPr>
          <w:rFonts w:ascii="Arial" w:cs="Arial" w:eastAsia="Arial" w:hAnsi="Arial"/>
          <w:sz w:val="14"/>
          <w:szCs w:val="14"/>
          <w:color w:val="auto"/>
        </w:rPr>
        <w:t>18% year-over-year</w:t>
      </w:r>
      <w:r>
        <w:rPr>
          <w:rFonts w:ascii="Arial" w:cs="Arial" w:eastAsia="Arial" w:hAnsi="Arial"/>
          <w:sz w:val="14"/>
          <w:szCs w:val="14"/>
          <w:i w:val="1"/>
          <w:iCs w:val="1"/>
          <w:color w:val="auto"/>
        </w:rPr>
        <w:t>)</w:t>
      </w:r>
      <w:r>
        <w:rPr>
          <w:rFonts w:ascii="Arial" w:cs="Arial" w:eastAsia="Arial" w:hAnsi="Arial"/>
          <w:sz w:val="14"/>
          <w:szCs w:val="14"/>
          <w:color w:val="auto"/>
        </w:rPr>
        <w:t xml:space="preserve"> despite the significant challenges our business teams have faced during the COVID-19 pandemic. Under Mr. Nadella’s leadership, during fiscal year 2021 Microsoft deepened the differentiation in its commercial business and consumer business portfolios, including significant growth in Office 365 Commercial revenue (22% year-over-year) and Teams monthly active users growth to nearly 250 million. Additionally, we experienced strong engagement and revenue in our Gaming business, and all-time high LinkedIn user engagement with annual revenues exceeding $10 billion. Mr. Nadella delivered on our desire to swiftly bring to market new offerings, including Azure Synapse, Microsoft Viva, additional collaboration features in Teams, and identity, security, compliance, and device management features that helped our security business surpass $10 billion in annual revenue. In addition, Mr. Nadella strengthened and deepened Microsoft’s capabilities across critical offerings including AI, industry-specific solutions, and gaming through strategic acquisitions. Furthermore, he positioned the Company for future growth as customer commitments grew meaningfully in the Azure, Microsoft 365, and Game Pass product areas and development work was completed to launch Windows 11 in fiscal year 2022.</w:t>
      </w:r>
    </w:p>
    <w:p>
      <w:pPr>
        <w:spacing w:after="0" w:line="200" w:lineRule="exact"/>
        <w:rPr>
          <w:sz w:val="20"/>
          <w:szCs w:val="20"/>
          <w:color w:val="auto"/>
        </w:rPr>
      </w:pPr>
    </w:p>
    <w:p>
      <w:pPr>
        <w:spacing w:after="0" w:line="271" w:lineRule="exact"/>
        <w:rPr>
          <w:sz w:val="20"/>
          <w:szCs w:val="20"/>
          <w:color w:val="auto"/>
        </w:rPr>
      </w:pPr>
    </w:p>
    <w:p>
      <w:pPr>
        <w:ind w:left="1320"/>
        <w:spacing w:after="0"/>
        <w:tabs>
          <w:tab w:leader="none" w:pos="8116" w:val="left"/>
        </w:tabs>
        <w:rPr>
          <w:sz w:val="20"/>
          <w:szCs w:val="20"/>
          <w:color w:val="auto"/>
        </w:rPr>
      </w:pPr>
      <w:r>
        <w:rPr>
          <w:rFonts w:ascii="Arial" w:cs="Arial" w:eastAsia="Arial" w:hAnsi="Arial"/>
          <w:sz w:val="26"/>
          <w:szCs w:val="26"/>
          <w:color w:val="auto"/>
        </w:rPr>
        <w:t>2</w:t>
      </w:r>
      <w:r>
        <w:rPr>
          <w:sz w:val="20"/>
          <w:szCs w:val="20"/>
          <w:color w:val="auto"/>
        </w:rPr>
        <w:tab/>
      </w:r>
      <w:r>
        <w:rPr>
          <w:sz w:val="1"/>
          <w:szCs w:val="1"/>
          <w:color w:val="auto"/>
        </w:rPr>
        <w:drawing>
          <wp:inline distT="0" distB="0" distL="0" distR="0">
            <wp:extent cx="230505" cy="222885"/>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30505" cy="222885"/>
                    </a:xfrm>
                    <a:prstGeom prst="rect">
                      <a:avLst/>
                    </a:prstGeom>
                    <a:noFill/>
                    <a:ln>
                      <a:noFill/>
                    </a:ln>
                  </pic:spPr>
                </pic:pic>
              </a:graphicData>
            </a:graphic>
          </wp:inline>
        </w:drawing>
      </w:r>
      <w:r>
        <w:rPr>
          <w:rFonts w:ascii="Arial" w:cs="Arial" w:eastAsia="Arial" w:hAnsi="Arial"/>
          <w:sz w:val="45"/>
          <w:szCs w:val="45"/>
          <w:color w:val="0075C9"/>
        </w:rPr>
        <w:t xml:space="preserve"> 170%</w:t>
      </w:r>
    </w:p>
    <w:p>
      <w:pPr>
        <w:ind w:left="1500"/>
        <w:spacing w:after="0"/>
        <w:rPr>
          <w:sz w:val="20"/>
          <w:szCs w:val="20"/>
          <w:color w:val="auto"/>
        </w:rPr>
      </w:pPr>
      <w:r>
        <w:rPr>
          <w:rFonts w:ascii="Arial" w:cs="Arial" w:eastAsia="Arial" w:hAnsi="Arial"/>
          <w:sz w:val="16"/>
          <w:szCs w:val="16"/>
          <w:b w:val="1"/>
          <w:bCs w:val="1"/>
          <w:color w:val="auto"/>
        </w:rPr>
        <w:t>Customers &amp; Stakeholders (10.0% weight)</w:t>
      </w:r>
    </w:p>
    <w:p>
      <w:pPr>
        <w:spacing w:after="0" w:line="75" w:lineRule="exact"/>
        <w:rPr>
          <w:sz w:val="20"/>
          <w:szCs w:val="20"/>
          <w:color w:val="auto"/>
        </w:rPr>
      </w:pPr>
    </w:p>
    <w:p>
      <w:pPr>
        <w:ind w:left="1320" w:right="279"/>
        <w:spacing w:after="0" w:line="237" w:lineRule="auto"/>
        <w:rPr>
          <w:sz w:val="20"/>
          <w:szCs w:val="20"/>
          <w:color w:val="auto"/>
        </w:rPr>
      </w:pPr>
      <w:r>
        <w:rPr>
          <w:rFonts w:ascii="Arial" w:cs="Arial" w:eastAsia="Arial" w:hAnsi="Arial"/>
          <w:sz w:val="16"/>
          <w:szCs w:val="16"/>
          <w:color w:val="auto"/>
        </w:rPr>
        <w:t>Mr. Nadella led Microsoft in facing the many challenges arising during fiscal year 2021, advancing our mission to provide services and solutions to all people and organizations around the globe, and navigating the Company through the COVID-19 pandemic. Under Mr. Nadella’s leadership, Microsoft continued making progress on issues that matter to customers and governments throughout the world, establishing groundbreaking partnerships across the healthcare, financial services, manufacturing, and public sectors.</w:t>
      </w:r>
    </w:p>
    <w:p>
      <w:pPr>
        <w:spacing w:after="0" w:line="115" w:lineRule="exact"/>
        <w:rPr>
          <w:sz w:val="20"/>
          <w:szCs w:val="20"/>
          <w:color w:val="auto"/>
        </w:rPr>
      </w:pPr>
    </w:p>
    <w:p>
      <w:pPr>
        <w:ind w:left="1320" w:right="279"/>
        <w:spacing w:after="0" w:line="237" w:lineRule="auto"/>
        <w:rPr>
          <w:sz w:val="20"/>
          <w:szCs w:val="20"/>
          <w:color w:val="auto"/>
        </w:rPr>
      </w:pPr>
      <w:r>
        <w:rPr>
          <w:rFonts w:ascii="Arial" w:cs="Arial" w:eastAsia="Arial" w:hAnsi="Arial"/>
          <w:sz w:val="16"/>
          <w:szCs w:val="16"/>
          <w:color w:val="auto"/>
        </w:rPr>
        <w:t>Microsoft has further positioned itself as a leader in cybersecurity, with nearly 600,000 organizations using our security offerings across Azure and Microsoft 365. Under Mr. Nadella’s leadership, Microsoft has continued to advance global cybersecurity policy through its work with governments, the UN, the Paris Peace Forum, the Cybersecurity Tech Accord, and the Company’s Defending Democracy Program. Mr. Nadella also initiated our aggressive ten-year carbon reduction commitment and implemented a variety of internal programs to drive achievement of that commitment, including the largest carbon removal purchase in business history.</w:t>
      </w:r>
    </w:p>
    <w:p>
      <w:pPr>
        <w:spacing w:after="0" w:line="114" w:lineRule="exact"/>
        <w:rPr>
          <w:sz w:val="20"/>
          <w:szCs w:val="20"/>
          <w:color w:val="auto"/>
        </w:rPr>
      </w:pPr>
    </w:p>
    <w:p>
      <w:pPr>
        <w:ind w:left="1320" w:right="259"/>
        <w:spacing w:after="0" w:line="238" w:lineRule="auto"/>
        <w:rPr>
          <w:sz w:val="20"/>
          <w:szCs w:val="20"/>
          <w:color w:val="auto"/>
        </w:rPr>
      </w:pPr>
      <w:r>
        <w:rPr>
          <w:rFonts w:ascii="Arial" w:cs="Arial" w:eastAsia="Arial" w:hAnsi="Arial"/>
          <w:sz w:val="16"/>
          <w:szCs w:val="16"/>
          <w:color w:val="auto"/>
        </w:rPr>
        <w:t>Under Mr. Nadella’s leadership, Microsoft continued to meaningfully impact the lives of users across geographies, expanding efforts to ensure an inclusive economic recovery. In rural and urban settings, Microsoft tools and initiatives have enabled learning and training, including addressing the disability divide in accessibility through investments in technology, workforce, and workplace, and providing access to broadband service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-94615</wp:posOffset>
            </wp:positionV>
            <wp:extent cx="485140" cy="9842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39"/>
          </w:cols>
          <w:pgMar w:left="320" w:top="445" w:right="1440" w:bottom="1440" w:gutter="0" w:footer="0" w:header="0"/>
        </w:sectPr>
      </w:pPr>
    </w:p>
    <w:bookmarkStart w:id="54" w:name="page55"/>
    <w:bookmarkEnd w:id="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20" w:type="dxa"/>
            <w:vAlign w:val="bottom"/>
            <w:gridSpan w:val="2"/>
          </w:tcPr>
          <w:p>
            <w:pPr>
              <w:jc w:val="right"/>
              <w:ind w:right="20"/>
              <w:spacing w:after="0"/>
              <w:rPr>
                <w:sz w:val="20"/>
                <w:szCs w:val="20"/>
                <w:color w:val="auto"/>
              </w:rPr>
            </w:pPr>
            <w:r>
              <w:rPr>
                <w:rFonts w:ascii="Arial" w:cs="Arial" w:eastAsia="Arial" w:hAnsi="Arial"/>
                <w:sz w:val="36"/>
                <w:szCs w:val="36"/>
                <w:color w:val="auto"/>
                <w:w w:val="89"/>
              </w:rPr>
              <w:t>1</w:t>
            </w:r>
          </w:p>
        </w:tc>
        <w:tc>
          <w:tcPr>
            <w:tcW w:w="1440" w:type="dxa"/>
            <w:vAlign w:val="bottom"/>
            <w:vMerge w:val="restart"/>
          </w:tcPr>
          <w:p>
            <w:pPr>
              <w:ind w:left="140"/>
              <w:spacing w:after="0"/>
              <w:rPr>
                <w:sz w:val="20"/>
                <w:szCs w:val="20"/>
                <w:color w:val="auto"/>
              </w:rPr>
            </w:pPr>
            <w:r>
              <w:rPr>
                <w:rFonts w:ascii="Arial" w:cs="Arial" w:eastAsia="Arial" w:hAnsi="Arial"/>
                <w:sz w:val="12"/>
                <w:szCs w:val="12"/>
                <w:color w:val="auto"/>
              </w:rPr>
              <w:t>GOVERNANCE AND</w:t>
            </w:r>
          </w:p>
        </w:tc>
        <w:tc>
          <w:tcPr>
            <w:tcW w:w="440" w:type="dxa"/>
            <w:vAlign w:val="bottom"/>
            <w:gridSpan w:val="2"/>
          </w:tcPr>
          <w:p>
            <w:pPr>
              <w:jc w:val="right"/>
              <w:ind w:right="80"/>
              <w:spacing w:after="0"/>
              <w:rPr>
                <w:sz w:val="20"/>
                <w:szCs w:val="20"/>
                <w:color w:val="auto"/>
              </w:rPr>
            </w:pPr>
            <w:r>
              <w:rPr>
                <w:rFonts w:ascii="Arial" w:cs="Arial" w:eastAsia="Arial" w:hAnsi="Arial"/>
                <w:sz w:val="36"/>
                <w:szCs w:val="36"/>
                <w:color w:val="0075C9"/>
              </w:rPr>
              <w:t>2</w:t>
            </w:r>
          </w:p>
        </w:tc>
        <w:tc>
          <w:tcPr>
            <w:tcW w:w="1320" w:type="dxa"/>
            <w:vAlign w:val="bottom"/>
            <w:vMerge w:val="restart"/>
          </w:tcPr>
          <w:p>
            <w:pPr>
              <w:ind w:left="60"/>
              <w:spacing w:after="0"/>
              <w:rPr>
                <w:sz w:val="20"/>
                <w:szCs w:val="20"/>
                <w:color w:val="auto"/>
              </w:rPr>
            </w:pPr>
            <w:r>
              <w:rPr>
                <w:rFonts w:ascii="Arial" w:cs="Arial" w:eastAsia="Arial" w:hAnsi="Arial"/>
                <w:sz w:val="12"/>
                <w:szCs w:val="12"/>
                <w:color w:val="0075C9"/>
              </w:rPr>
              <w:t>NAMED</w:t>
            </w:r>
          </w:p>
        </w:tc>
        <w:tc>
          <w:tcPr>
            <w:tcW w:w="800" w:type="dxa"/>
            <w:vAlign w:val="bottom"/>
          </w:tcPr>
          <w:p>
            <w:pPr>
              <w:jc w:val="right"/>
              <w:spacing w:after="0"/>
              <w:rPr>
                <w:sz w:val="20"/>
                <w:szCs w:val="20"/>
                <w:color w:val="auto"/>
              </w:rPr>
            </w:pPr>
            <w:r>
              <w:rPr>
                <w:rFonts w:ascii="Arial" w:cs="Arial" w:eastAsia="Arial" w:hAnsi="Arial"/>
                <w:sz w:val="36"/>
                <w:szCs w:val="36"/>
                <w:color w:val="auto"/>
              </w:rPr>
              <w:t>3</w:t>
            </w:r>
          </w:p>
        </w:tc>
        <w:tc>
          <w:tcPr>
            <w:tcW w:w="960" w:type="dxa"/>
            <w:vAlign w:val="bottom"/>
            <w:vMerge w:val="restart"/>
          </w:tcPr>
          <w:p>
            <w:pPr>
              <w:spacing w:after="0"/>
              <w:rPr>
                <w:sz w:val="20"/>
                <w:szCs w:val="20"/>
                <w:color w:val="auto"/>
              </w:rPr>
            </w:pPr>
            <w:r>
              <w:rPr>
                <w:rFonts w:ascii="Arial" w:cs="Arial" w:eastAsia="Arial" w:hAnsi="Arial"/>
                <w:sz w:val="12"/>
                <w:szCs w:val="12"/>
                <w:color w:val="auto"/>
              </w:rPr>
              <w:t>AUDIT</w:t>
            </w:r>
          </w:p>
        </w:tc>
        <w:tc>
          <w:tcPr>
            <w:tcW w:w="500" w:type="dxa"/>
            <w:vAlign w:val="bottom"/>
          </w:tcPr>
          <w:p>
            <w:pPr>
              <w:jc w:val="right"/>
              <w:spacing w:after="0"/>
              <w:rPr>
                <w:sz w:val="20"/>
                <w:szCs w:val="20"/>
                <w:color w:val="auto"/>
              </w:rPr>
            </w:pPr>
            <w:r>
              <w:rPr>
                <w:rFonts w:ascii="Arial" w:cs="Arial" w:eastAsia="Arial" w:hAnsi="Arial"/>
                <w:sz w:val="36"/>
                <w:szCs w:val="36"/>
                <w:color w:val="auto"/>
              </w:rPr>
              <w:t>4</w:t>
            </w:r>
          </w:p>
        </w:tc>
        <w:tc>
          <w:tcPr>
            <w:tcW w:w="1580" w:type="dxa"/>
            <w:vAlign w:val="bottom"/>
            <w:vMerge w:val="restart"/>
          </w:tcPr>
          <w:p>
            <w:pPr>
              <w:ind w:left="80"/>
              <w:spacing w:after="0"/>
              <w:rPr>
                <w:sz w:val="20"/>
                <w:szCs w:val="20"/>
                <w:color w:val="auto"/>
              </w:rPr>
            </w:pPr>
            <w:r>
              <w:rPr>
                <w:rFonts w:ascii="Arial" w:cs="Arial" w:eastAsia="Arial" w:hAnsi="Arial"/>
                <w:sz w:val="12"/>
                <w:szCs w:val="12"/>
                <w:color w:val="auto"/>
              </w:rPr>
              <w:t>PROPOSALS TO</w:t>
            </w:r>
          </w:p>
        </w:tc>
        <w:tc>
          <w:tcPr>
            <w:tcW w:w="420" w:type="dxa"/>
            <w:vAlign w:val="bottom"/>
          </w:tcPr>
          <w:p>
            <w:pPr>
              <w:jc w:val="right"/>
              <w:spacing w:after="0"/>
              <w:rPr>
                <w:sz w:val="20"/>
                <w:szCs w:val="20"/>
                <w:color w:val="auto"/>
              </w:rPr>
            </w:pPr>
            <w:r>
              <w:rPr>
                <w:rFonts w:ascii="Arial" w:cs="Arial" w:eastAsia="Arial" w:hAnsi="Arial"/>
                <w:sz w:val="36"/>
                <w:szCs w:val="36"/>
                <w:color w:val="auto"/>
              </w:rPr>
              <w:t>5</w:t>
            </w:r>
          </w:p>
        </w:tc>
        <w:tc>
          <w:tcPr>
            <w:tcW w:w="1320" w:type="dxa"/>
            <w:vAlign w:val="bottom"/>
            <w:vMerge w:val="restart"/>
          </w:tcPr>
          <w:p>
            <w:pPr>
              <w:ind w:left="80"/>
              <w:spacing w:after="0"/>
              <w:rPr>
                <w:sz w:val="20"/>
                <w:szCs w:val="20"/>
                <w:color w:val="auto"/>
              </w:rPr>
            </w:pPr>
            <w:r>
              <w:rPr>
                <w:rFonts w:ascii="Arial" w:cs="Arial" w:eastAsia="Arial" w:hAnsi="Arial"/>
                <w:sz w:val="12"/>
                <w:szCs w:val="12"/>
                <w:color w:val="auto"/>
              </w:rPr>
              <w:t>INFORMATION</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tcPr>
          <w:p>
            <w:pPr>
              <w:ind w:left="140"/>
              <w:spacing w:after="0" w:line="130" w:lineRule="exact"/>
              <w:rPr>
                <w:sz w:val="20"/>
                <w:szCs w:val="20"/>
                <w:color w:val="auto"/>
              </w:rPr>
            </w:pPr>
            <w:r>
              <w:rPr>
                <w:rFonts w:ascii="Arial" w:cs="Arial" w:eastAsia="Arial" w:hAnsi="Arial"/>
                <w:sz w:val="12"/>
                <w:szCs w:val="12"/>
                <w:color w:val="auto"/>
              </w:rPr>
              <w:t>OUR BOARD OF</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tcPr>
          <w:p>
            <w:pPr>
              <w:ind w:left="60"/>
              <w:spacing w:after="0" w:line="130" w:lineRule="exact"/>
              <w:rPr>
                <w:sz w:val="20"/>
                <w:szCs w:val="20"/>
                <w:color w:val="auto"/>
              </w:rPr>
            </w:pPr>
            <w:r>
              <w:rPr>
                <w:rFonts w:ascii="Arial" w:cs="Arial" w:eastAsia="Arial" w:hAnsi="Arial"/>
                <w:sz w:val="12"/>
                <w:szCs w:val="12"/>
                <w:color w:val="0075C9"/>
                <w:w w:val="99"/>
              </w:rPr>
              <w:t>EXECUTIVE OFFICER</w:t>
            </w:r>
          </w:p>
        </w:tc>
        <w:tc>
          <w:tcPr>
            <w:tcW w:w="800" w:type="dxa"/>
            <w:vAlign w:val="bottom"/>
          </w:tcPr>
          <w:p>
            <w:pPr>
              <w:spacing w:after="0"/>
              <w:rPr>
                <w:sz w:val="11"/>
                <w:szCs w:val="11"/>
                <w:color w:val="auto"/>
              </w:rPr>
            </w:pPr>
          </w:p>
        </w:tc>
        <w:tc>
          <w:tcPr>
            <w:tcW w:w="960" w:type="dxa"/>
            <w:vAlign w:val="bottom"/>
          </w:tcPr>
          <w:p>
            <w:pPr>
              <w:spacing w:after="0" w:line="130" w:lineRule="exact"/>
              <w:rPr>
                <w:sz w:val="20"/>
                <w:szCs w:val="20"/>
                <w:color w:val="auto"/>
              </w:rPr>
            </w:pPr>
            <w:r>
              <w:rPr>
                <w:rFonts w:ascii="Arial" w:cs="Arial" w:eastAsia="Arial" w:hAnsi="Arial"/>
                <w:sz w:val="12"/>
                <w:szCs w:val="12"/>
                <w:color w:val="auto"/>
              </w:rPr>
              <w:t>COMMITTEE</w:t>
            </w:r>
          </w:p>
        </w:tc>
        <w:tc>
          <w:tcPr>
            <w:tcW w:w="500" w:type="dxa"/>
            <w:vAlign w:val="bottom"/>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20" w:type="dxa"/>
            <w:vAlign w:val="bottom"/>
          </w:tcPr>
          <w:p>
            <w:pPr>
              <w:spacing w:after="0"/>
              <w:rPr>
                <w:sz w:val="11"/>
                <w:szCs w:val="11"/>
                <w:color w:val="auto"/>
              </w:rPr>
            </w:pPr>
          </w:p>
        </w:tc>
        <w:tc>
          <w:tcPr>
            <w:tcW w:w="132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ind w:left="140"/>
              <w:spacing w:after="0"/>
              <w:rPr>
                <w:sz w:val="20"/>
                <w:szCs w:val="20"/>
                <w:color w:val="auto"/>
              </w:rPr>
            </w:pPr>
            <w:r>
              <w:rPr>
                <w:rFonts w:ascii="Arial" w:cs="Arial" w:eastAsia="Arial" w:hAnsi="Arial"/>
                <w:sz w:val="12"/>
                <w:szCs w:val="12"/>
                <w:color w:val="auto"/>
              </w:rPr>
              <w:t>DIRECTORS</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0075C9"/>
              </w:rPr>
              <w:t>COMPENSATION</w:t>
            </w:r>
          </w:p>
        </w:tc>
        <w:tc>
          <w:tcPr>
            <w:tcW w:w="800" w:type="dxa"/>
            <w:vAlign w:val="bottom"/>
          </w:tcPr>
          <w:p>
            <w:pPr>
              <w:spacing w:after="0"/>
              <w:rPr>
                <w:sz w:val="12"/>
                <w:szCs w:val="12"/>
                <w:color w:val="auto"/>
              </w:rPr>
            </w:pPr>
          </w:p>
        </w:tc>
        <w:tc>
          <w:tcPr>
            <w:tcW w:w="960" w:type="dxa"/>
            <w:vAlign w:val="bottom"/>
          </w:tcPr>
          <w:p>
            <w:pPr>
              <w:spacing w:after="0"/>
              <w:rPr>
                <w:sz w:val="20"/>
                <w:szCs w:val="20"/>
                <w:color w:val="auto"/>
              </w:rPr>
            </w:pPr>
            <w:r>
              <w:rPr>
                <w:rFonts w:ascii="Arial" w:cs="Arial" w:eastAsia="Arial" w:hAnsi="Arial"/>
                <w:sz w:val="12"/>
                <w:szCs w:val="12"/>
                <w:color w:val="auto"/>
              </w:rPr>
              <w:t>MATTERS</w:t>
            </w:r>
          </w:p>
        </w:tc>
        <w:tc>
          <w:tcPr>
            <w:tcW w:w="500" w:type="dxa"/>
            <w:vAlign w:val="bottom"/>
          </w:tcPr>
          <w:p>
            <w:pPr>
              <w:spacing w:after="0"/>
              <w:rPr>
                <w:sz w:val="12"/>
                <w:szCs w:val="12"/>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20" w:type="dxa"/>
            <w:vAlign w:val="bottom"/>
          </w:tcPr>
          <w:p>
            <w:pPr>
              <w:spacing w:after="0"/>
              <w:rPr>
                <w:sz w:val="12"/>
                <w:szCs w:val="12"/>
                <w:color w:val="auto"/>
              </w:rPr>
            </w:pPr>
          </w:p>
        </w:tc>
        <w:tc>
          <w:tcPr>
            <w:tcW w:w="132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0" w:type="dxa"/>
            <w:vAlign w:val="bottom"/>
            <w:gridSpan w:val="5"/>
          </w:tcPr>
          <w:p>
            <w:pPr>
              <w:spacing w:after="0"/>
              <w:rPr>
                <w:sz w:val="10"/>
                <w:szCs w:val="10"/>
                <w:color w:val="auto"/>
              </w:rPr>
            </w:pPr>
          </w:p>
        </w:tc>
        <w:tc>
          <w:tcPr>
            <w:tcW w:w="9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7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0" w:type="dxa"/>
            <w:vAlign w:val="bottom"/>
            <w:gridSpan w:val="2"/>
          </w:tcPr>
          <w:p>
            <w:pPr>
              <w:spacing w:after="0"/>
              <w:rPr>
                <w:sz w:val="9"/>
                <w:szCs w:val="9"/>
                <w:color w:val="auto"/>
              </w:rPr>
            </w:pPr>
          </w:p>
        </w:tc>
        <w:tc>
          <w:tcPr>
            <w:tcW w:w="1600" w:type="dxa"/>
            <w:vAlign w:val="bottom"/>
            <w:gridSpan w:val="2"/>
            <w:shd w:val="clear" w:color="auto" w:fill="0075C9"/>
          </w:tcPr>
          <w:p>
            <w:pPr>
              <w:spacing w:after="0"/>
              <w:rPr>
                <w:sz w:val="9"/>
                <w:szCs w:val="9"/>
                <w:color w:val="auto"/>
              </w:rPr>
            </w:pPr>
          </w:p>
        </w:tc>
        <w:tc>
          <w:tcPr>
            <w:tcW w:w="800" w:type="dxa"/>
            <w:vAlign w:val="bottom"/>
          </w:tcPr>
          <w:p>
            <w:pPr>
              <w:spacing w:after="0"/>
              <w:rPr>
                <w:sz w:val="9"/>
                <w:szCs w:val="9"/>
                <w:color w:val="auto"/>
              </w:rPr>
            </w:pPr>
          </w:p>
        </w:tc>
        <w:tc>
          <w:tcPr>
            <w:tcW w:w="9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7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98"/>
        </w:trPr>
        <w:tc>
          <w:tcPr>
            <w:tcW w:w="40" w:type="dxa"/>
            <w:vAlign w:val="bottom"/>
          </w:tcPr>
          <w:p>
            <w:pPr>
              <w:spacing w:after="0"/>
              <w:rPr>
                <w:sz w:val="24"/>
                <w:szCs w:val="24"/>
                <w:color w:val="auto"/>
              </w:rPr>
            </w:pPr>
          </w:p>
        </w:tc>
        <w:tc>
          <w:tcPr>
            <w:tcW w:w="180" w:type="dxa"/>
            <w:vAlign w:val="bottom"/>
            <w:tcBorders>
              <w:bottom w:val="single" w:sz="8" w:color="999999"/>
            </w:tcBorders>
          </w:tcPr>
          <w:p>
            <w:pPr>
              <w:spacing w:after="0"/>
              <w:rPr>
                <w:sz w:val="24"/>
                <w:szCs w:val="24"/>
                <w:color w:val="auto"/>
              </w:rPr>
            </w:pPr>
          </w:p>
        </w:tc>
        <w:tc>
          <w:tcPr>
            <w:tcW w:w="4000" w:type="dxa"/>
            <w:vAlign w:val="bottom"/>
            <w:tcBorders>
              <w:bottom w:val="single" w:sz="8" w:color="999999"/>
            </w:tcBorders>
            <w:gridSpan w:val="5"/>
          </w:tcPr>
          <w:p>
            <w:pPr>
              <w:spacing w:after="0"/>
              <w:rPr>
                <w:sz w:val="24"/>
                <w:szCs w:val="24"/>
                <w:color w:val="auto"/>
              </w:rPr>
            </w:pPr>
          </w:p>
        </w:tc>
        <w:tc>
          <w:tcPr>
            <w:tcW w:w="960" w:type="dxa"/>
            <w:vAlign w:val="bottom"/>
            <w:tcBorders>
              <w:bottom w:val="single" w:sz="8" w:color="999999"/>
            </w:tcBorders>
          </w:tcPr>
          <w:p>
            <w:pPr>
              <w:spacing w:after="0"/>
              <w:rPr>
                <w:sz w:val="24"/>
                <w:szCs w:val="24"/>
                <w:color w:val="auto"/>
              </w:rPr>
            </w:pPr>
          </w:p>
        </w:tc>
        <w:tc>
          <w:tcPr>
            <w:tcW w:w="500" w:type="dxa"/>
            <w:vAlign w:val="bottom"/>
            <w:tcBorders>
              <w:bottom w:val="single" w:sz="8" w:color="999999"/>
            </w:tcBorders>
          </w:tcPr>
          <w:p>
            <w:pPr>
              <w:spacing w:after="0"/>
              <w:rPr>
                <w:sz w:val="24"/>
                <w:szCs w:val="24"/>
                <w:color w:val="auto"/>
              </w:rPr>
            </w:pPr>
          </w:p>
        </w:tc>
        <w:tc>
          <w:tcPr>
            <w:tcW w:w="1580" w:type="dxa"/>
            <w:vAlign w:val="bottom"/>
            <w:tcBorders>
              <w:bottom w:val="single" w:sz="8" w:color="999999"/>
            </w:tcBorders>
          </w:tcPr>
          <w:p>
            <w:pPr>
              <w:spacing w:after="0"/>
              <w:rPr>
                <w:sz w:val="24"/>
                <w:szCs w:val="24"/>
                <w:color w:val="auto"/>
              </w:rPr>
            </w:pPr>
          </w:p>
        </w:tc>
        <w:tc>
          <w:tcPr>
            <w:tcW w:w="1740" w:type="dxa"/>
            <w:vAlign w:val="bottom"/>
            <w:tcBorders>
              <w:bottom w:val="single" w:sz="8" w:color="999999"/>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822"/>
        </w:trPr>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0" w:type="dxa"/>
            <w:vAlign w:val="bottom"/>
            <w:gridSpan w:val="5"/>
          </w:tcPr>
          <w:p>
            <w:pPr>
              <w:spacing w:after="0"/>
              <w:rPr>
                <w:sz w:val="20"/>
                <w:szCs w:val="20"/>
                <w:color w:val="auto"/>
              </w:rPr>
            </w:pPr>
            <w:r>
              <w:rPr>
                <w:rFonts w:ascii="Arial" w:cs="Arial" w:eastAsia="Arial" w:hAnsi="Arial"/>
                <w:sz w:val="26"/>
                <w:szCs w:val="26"/>
                <w:color w:val="auto"/>
              </w:rPr>
              <w:t xml:space="preserve">3 </w:t>
            </w:r>
            <w:r>
              <w:rPr>
                <w:rFonts w:ascii="Arial" w:cs="Arial" w:eastAsia="Arial" w:hAnsi="Arial"/>
                <w:sz w:val="15"/>
                <w:szCs w:val="15"/>
                <w:b w:val="1"/>
                <w:bCs w:val="1"/>
                <w:color w:val="auto"/>
              </w:rPr>
              <w:t>Culture &amp; Organizational Leadership (10.0% weight)</w:t>
            </w: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740" w:type="dxa"/>
            <w:vAlign w:val="bottom"/>
            <w:gridSpan w:val="2"/>
          </w:tcPr>
          <w:p>
            <w:pPr>
              <w:jc w:val="right"/>
              <w:ind w:right="260"/>
              <w:spacing w:after="0"/>
              <w:rPr>
                <w:sz w:val="20"/>
                <w:szCs w:val="20"/>
                <w:color w:val="auto"/>
              </w:rPr>
            </w:pPr>
            <w:r>
              <w:rPr>
                <w:rFonts w:ascii="Arial" w:cs="Arial" w:eastAsia="Arial" w:hAnsi="Arial"/>
                <w:sz w:val="45"/>
                <w:szCs w:val="45"/>
                <w:color w:val="0075C9"/>
              </w:rPr>
              <w:t>180%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-534035</wp:posOffset>
            </wp:positionV>
            <wp:extent cx="5690870" cy="25901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690870" cy="2590165"/>
                    </a:xfrm>
                    <a:prstGeom prst="rect">
                      <a:avLst/>
                    </a:prstGeom>
                    <a:noFill/>
                  </pic:spPr>
                </pic:pic>
              </a:graphicData>
            </a:graphic>
          </wp:anchor>
        </w:drawing>
      </w:r>
    </w:p>
    <w:p>
      <w:pPr>
        <w:spacing w:after="0" w:line="20" w:lineRule="exact"/>
        <w:rPr>
          <w:sz w:val="20"/>
          <w:szCs w:val="20"/>
          <w:color w:val="auto"/>
        </w:rPr>
      </w:pPr>
    </w:p>
    <w:p>
      <w:pPr>
        <w:ind w:left="1320" w:right="400"/>
        <w:spacing w:after="0" w:line="270" w:lineRule="auto"/>
        <w:rPr>
          <w:sz w:val="20"/>
          <w:szCs w:val="20"/>
          <w:color w:val="auto"/>
        </w:rPr>
      </w:pPr>
      <w:r>
        <w:rPr>
          <w:rFonts w:ascii="Arial" w:cs="Arial" w:eastAsia="Arial" w:hAnsi="Arial"/>
          <w:sz w:val="14"/>
          <w:szCs w:val="14"/>
          <w:color w:val="auto"/>
        </w:rPr>
        <w:t>Mr. Nadella furthered the Company’s cultural growth and engagement during fiscal year 2021. The living culture and talent of the Company is a core priority for the Board and Mr. Nadella, and his efforts in this area have been exceptional. Under Mr. Nadella’s leadership, Microsoft is well on its way to achieving the company’s commitment to double the representation of Black and African American, and Hispanic and Latinx senior leaders and people mangers by 2025. Additionally, Microsoft achieved a notable increase in representation of women globally in a year of significant employee population growth.</w:t>
      </w:r>
    </w:p>
    <w:p>
      <w:pPr>
        <w:spacing w:after="0" w:line="1" w:lineRule="exact"/>
        <w:rPr>
          <w:sz w:val="20"/>
          <w:szCs w:val="20"/>
          <w:color w:val="auto"/>
        </w:rPr>
      </w:pPr>
    </w:p>
    <w:p>
      <w:pPr>
        <w:ind w:left="1320" w:right="480"/>
        <w:spacing w:after="0" w:line="238" w:lineRule="auto"/>
        <w:rPr>
          <w:sz w:val="20"/>
          <w:szCs w:val="20"/>
          <w:color w:val="auto"/>
        </w:rPr>
      </w:pPr>
      <w:r>
        <w:rPr>
          <w:rFonts w:ascii="Arial" w:cs="Arial" w:eastAsia="Arial" w:hAnsi="Arial"/>
          <w:sz w:val="16"/>
          <w:szCs w:val="16"/>
          <w:color w:val="auto"/>
        </w:rPr>
        <w:t>Mr. Nadella accelerated the execution of the Company’s talent strategy by hiring a number of critical leaders across multiple functions, with a particular focus on the consumer, to best position Microsoft for near-term and longer-term growth and successful executive succession.</w:t>
      </w:r>
    </w:p>
    <w:p>
      <w:pPr>
        <w:spacing w:after="0" w:line="113" w:lineRule="exact"/>
        <w:rPr>
          <w:sz w:val="20"/>
          <w:szCs w:val="20"/>
          <w:color w:val="auto"/>
        </w:rPr>
      </w:pPr>
    </w:p>
    <w:p>
      <w:pPr>
        <w:ind w:left="1320" w:right="340"/>
        <w:spacing w:after="0" w:line="238" w:lineRule="auto"/>
        <w:rPr>
          <w:sz w:val="20"/>
          <w:szCs w:val="20"/>
          <w:color w:val="auto"/>
        </w:rPr>
      </w:pPr>
      <w:r>
        <w:rPr>
          <w:rFonts w:ascii="Arial" w:cs="Arial" w:eastAsia="Arial" w:hAnsi="Arial"/>
          <w:sz w:val="16"/>
          <w:szCs w:val="16"/>
          <w:color w:val="auto"/>
        </w:rPr>
        <w:t>Additionally, during fiscal year 2021, Mr. Nadella led Microsoft’s efforts to expand its employee and community-focused health and wellbeing initiatives, including expanded benefits for working parents, development of high-volume vaccine clinics focused on equitable distribution, and the creation of a hybrid workplace.</w:t>
      </w:r>
    </w:p>
    <w:p>
      <w:pPr>
        <w:spacing w:after="0" w:line="113" w:lineRule="exact"/>
        <w:rPr>
          <w:sz w:val="20"/>
          <w:szCs w:val="20"/>
          <w:color w:val="auto"/>
        </w:rPr>
      </w:pPr>
    </w:p>
    <w:p>
      <w:pPr>
        <w:ind w:left="1320" w:right="340"/>
        <w:spacing w:after="0" w:line="238" w:lineRule="auto"/>
        <w:rPr>
          <w:sz w:val="20"/>
          <w:szCs w:val="20"/>
          <w:color w:val="auto"/>
        </w:rPr>
      </w:pPr>
      <w:r>
        <w:rPr>
          <w:rFonts w:ascii="Arial" w:cs="Arial" w:eastAsia="Arial" w:hAnsi="Arial"/>
          <w:sz w:val="16"/>
          <w:szCs w:val="16"/>
          <w:color w:val="auto"/>
        </w:rPr>
        <w:t>Mr. Nadella has enthusiastically fostered a culture of empowerment. By implementing a manager framework of Model, Coach, Care, at a time when employees were feeling more isolated than ever, Mr. Nadella fostered a culture of employee well-being. Over the course of fiscal year 2021 as we all navigated disrupted work and home environments, employees, through our engagement surveys, provided historically strong ratings for the Company, its values, and its leadership.</w:t>
      </w:r>
    </w:p>
    <w:p>
      <w:pPr>
        <w:spacing w:after="0" w:line="200" w:lineRule="exact"/>
        <w:rPr>
          <w:sz w:val="20"/>
          <w:szCs w:val="20"/>
          <w:color w:val="auto"/>
        </w:rPr>
      </w:pPr>
    </w:p>
    <w:p>
      <w:pPr>
        <w:spacing w:after="0" w:line="224"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0075C9"/>
        </w:rPr>
        <w:t>Other Named Executives</w:t>
      </w:r>
    </w:p>
    <w:p>
      <w:pPr>
        <w:spacing w:after="0" w:line="127" w:lineRule="exact"/>
        <w:rPr>
          <w:sz w:val="20"/>
          <w:szCs w:val="20"/>
          <w:color w:val="auto"/>
        </w:rPr>
      </w:pPr>
    </w:p>
    <w:p>
      <w:pPr>
        <w:ind w:left="1100" w:right="260"/>
        <w:spacing w:after="0" w:line="239" w:lineRule="auto"/>
        <w:rPr>
          <w:sz w:val="20"/>
          <w:szCs w:val="20"/>
          <w:color w:val="auto"/>
        </w:rPr>
      </w:pPr>
      <w:r>
        <w:rPr>
          <w:rFonts w:ascii="Arial" w:cs="Arial" w:eastAsia="Arial" w:hAnsi="Arial"/>
          <w:sz w:val="16"/>
          <w:szCs w:val="16"/>
          <w:color w:val="auto"/>
        </w:rPr>
        <w:t>The key results influencing our Compensation Committee’s decisions on the operational performance category portion of the cash incentive for the other Named Executives are summarized below.</w:t>
      </w:r>
    </w:p>
    <w:p>
      <w:pPr>
        <w:spacing w:after="0" w:line="211"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176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Named Executive</w:t>
            </w:r>
          </w:p>
        </w:tc>
        <w:tc>
          <w:tcPr>
            <w:tcW w:w="728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Key Results</w:t>
            </w:r>
          </w:p>
        </w:tc>
        <w:tc>
          <w:tcPr>
            <w:tcW w:w="140" w:type="dxa"/>
            <w:vAlign w:val="bottom"/>
          </w:tcPr>
          <w:p>
            <w:pPr>
              <w:spacing w:after="0"/>
              <w:rPr>
                <w:sz w:val="18"/>
                <w:szCs w:val="18"/>
                <w:color w:val="auto"/>
              </w:rPr>
            </w:pPr>
          </w:p>
        </w:tc>
      </w:tr>
      <w:tr>
        <w:trPr>
          <w:trHeight w:val="235"/>
        </w:trPr>
        <w:tc>
          <w:tcPr>
            <w:tcW w:w="1760" w:type="dxa"/>
            <w:vAlign w:val="bottom"/>
          </w:tcPr>
          <w:p>
            <w:pPr>
              <w:ind w:left="80"/>
              <w:spacing w:after="0"/>
              <w:rPr>
                <w:sz w:val="20"/>
                <w:szCs w:val="20"/>
                <w:color w:val="auto"/>
              </w:rPr>
            </w:pPr>
            <w:r>
              <w:rPr>
                <w:rFonts w:ascii="Arial" w:cs="Arial" w:eastAsia="Arial" w:hAnsi="Arial"/>
                <w:sz w:val="16"/>
                <w:szCs w:val="16"/>
                <w:b w:val="1"/>
                <w:bCs w:val="1"/>
                <w:color w:val="0075C9"/>
              </w:rPr>
              <w:t>Amy E. Hood</w:t>
            </w:r>
          </w:p>
        </w:tc>
        <w:tc>
          <w:tcPr>
            <w:tcW w:w="7420" w:type="dxa"/>
            <w:vAlign w:val="bottom"/>
            <w:gridSpan w:val="2"/>
          </w:tcPr>
          <w:p>
            <w:pPr>
              <w:ind w:left="420"/>
              <w:spacing w:after="0"/>
              <w:rPr>
                <w:sz w:val="20"/>
                <w:szCs w:val="20"/>
                <w:color w:val="auto"/>
              </w:rPr>
            </w:pPr>
            <w:r>
              <w:rPr>
                <w:rFonts w:ascii="Arial" w:cs="Arial" w:eastAsia="Arial" w:hAnsi="Arial"/>
                <w:sz w:val="16"/>
                <w:szCs w:val="16"/>
                <w:color w:val="auto"/>
              </w:rPr>
              <w:t>•  Strong financial performance and management with accelerated revenue growth of 18% and</w:t>
            </w:r>
          </w:p>
        </w:tc>
      </w:tr>
      <w:tr>
        <w:trPr>
          <w:trHeight w:val="181"/>
        </w:trPr>
        <w:tc>
          <w:tcPr>
            <w:tcW w:w="1760" w:type="dxa"/>
            <w:vAlign w:val="bottom"/>
          </w:tcPr>
          <w:p>
            <w:pPr>
              <w:spacing w:after="0"/>
              <w:rPr>
                <w:sz w:val="15"/>
                <w:szCs w:val="15"/>
                <w:color w:val="auto"/>
              </w:rPr>
            </w:pPr>
          </w:p>
        </w:tc>
        <w:tc>
          <w:tcPr>
            <w:tcW w:w="7420" w:type="dxa"/>
            <w:vAlign w:val="bottom"/>
            <w:gridSpan w:val="2"/>
          </w:tcPr>
          <w:p>
            <w:pPr>
              <w:ind w:left="580"/>
              <w:spacing w:after="0" w:line="181" w:lineRule="exact"/>
              <w:rPr>
                <w:sz w:val="20"/>
                <w:szCs w:val="20"/>
                <w:color w:val="auto"/>
              </w:rPr>
            </w:pPr>
            <w:r>
              <w:rPr>
                <w:rFonts w:ascii="Arial" w:cs="Arial" w:eastAsia="Arial" w:hAnsi="Arial"/>
                <w:sz w:val="16"/>
                <w:szCs w:val="16"/>
                <w:color w:val="auto"/>
              </w:rPr>
              <w:t>operating income growth of 32%, and returned over $39 billion in cash to shareholders in the</w:t>
            </w:r>
          </w:p>
        </w:tc>
      </w:tr>
      <w:tr>
        <w:trPr>
          <w:trHeight w:val="187"/>
        </w:trPr>
        <w:tc>
          <w:tcPr>
            <w:tcW w:w="1760" w:type="dxa"/>
            <w:vAlign w:val="bottom"/>
          </w:tcPr>
          <w:p>
            <w:pPr>
              <w:spacing w:after="0"/>
              <w:rPr>
                <w:sz w:val="16"/>
                <w:szCs w:val="16"/>
                <w:color w:val="auto"/>
              </w:rPr>
            </w:pPr>
          </w:p>
        </w:tc>
        <w:tc>
          <w:tcPr>
            <w:tcW w:w="7420" w:type="dxa"/>
            <w:vAlign w:val="bottom"/>
            <w:gridSpan w:val="2"/>
          </w:tcPr>
          <w:p>
            <w:pPr>
              <w:ind w:left="580"/>
              <w:spacing w:after="0"/>
              <w:rPr>
                <w:sz w:val="20"/>
                <w:szCs w:val="20"/>
                <w:color w:val="auto"/>
              </w:rPr>
            </w:pPr>
            <w:r>
              <w:rPr>
                <w:rFonts w:ascii="Arial" w:cs="Arial" w:eastAsia="Arial" w:hAnsi="Arial"/>
                <w:sz w:val="16"/>
                <w:szCs w:val="16"/>
                <w:color w:val="auto"/>
              </w:rPr>
              <w:t>form of share repurchases and dividends</w:t>
            </w:r>
          </w:p>
        </w:tc>
      </w:tr>
      <w:tr>
        <w:trPr>
          <w:trHeight w:val="254"/>
        </w:trPr>
        <w:tc>
          <w:tcPr>
            <w:tcW w:w="1760" w:type="dxa"/>
            <w:vAlign w:val="bottom"/>
          </w:tcPr>
          <w:p>
            <w:pPr>
              <w:spacing w:after="0"/>
              <w:rPr>
                <w:sz w:val="22"/>
                <w:szCs w:val="22"/>
                <w:color w:val="auto"/>
              </w:rPr>
            </w:pPr>
          </w:p>
        </w:tc>
        <w:tc>
          <w:tcPr>
            <w:tcW w:w="7420" w:type="dxa"/>
            <w:vAlign w:val="bottom"/>
            <w:gridSpan w:val="2"/>
          </w:tcPr>
          <w:p>
            <w:pPr>
              <w:ind w:left="420"/>
              <w:spacing w:after="0"/>
              <w:rPr>
                <w:sz w:val="20"/>
                <w:szCs w:val="20"/>
                <w:color w:val="auto"/>
              </w:rPr>
            </w:pPr>
            <w:r>
              <w:rPr>
                <w:rFonts w:ascii="Arial" w:cs="Arial" w:eastAsia="Arial" w:hAnsi="Arial"/>
                <w:sz w:val="16"/>
                <w:szCs w:val="16"/>
                <w:color w:val="auto"/>
              </w:rPr>
              <w:t>•  Continued investments in large and growing markets, with gaming, security, and now LinkedIn,</w:t>
            </w:r>
          </w:p>
        </w:tc>
      </w:tr>
      <w:tr>
        <w:trPr>
          <w:trHeight w:val="187"/>
        </w:trPr>
        <w:tc>
          <w:tcPr>
            <w:tcW w:w="1760" w:type="dxa"/>
            <w:vAlign w:val="bottom"/>
          </w:tcPr>
          <w:p>
            <w:pPr>
              <w:spacing w:after="0"/>
              <w:rPr>
                <w:sz w:val="16"/>
                <w:szCs w:val="16"/>
                <w:color w:val="auto"/>
              </w:rPr>
            </w:pPr>
          </w:p>
        </w:tc>
        <w:tc>
          <w:tcPr>
            <w:tcW w:w="7420" w:type="dxa"/>
            <w:vAlign w:val="bottom"/>
            <w:gridSpan w:val="2"/>
          </w:tcPr>
          <w:p>
            <w:pPr>
              <w:ind w:left="580"/>
              <w:spacing w:after="0"/>
              <w:rPr>
                <w:sz w:val="20"/>
                <w:szCs w:val="20"/>
                <w:color w:val="auto"/>
              </w:rPr>
            </w:pPr>
            <w:r>
              <w:rPr>
                <w:rFonts w:ascii="Arial" w:cs="Arial" w:eastAsia="Arial" w:hAnsi="Arial"/>
                <w:sz w:val="16"/>
                <w:szCs w:val="16"/>
                <w:color w:val="auto"/>
              </w:rPr>
              <w:t>surpassing $10 billion in annual revenue</w:t>
            </w:r>
          </w:p>
        </w:tc>
      </w:tr>
      <w:tr>
        <w:trPr>
          <w:trHeight w:val="254"/>
        </w:trPr>
        <w:tc>
          <w:tcPr>
            <w:tcW w:w="1760" w:type="dxa"/>
            <w:vAlign w:val="bottom"/>
          </w:tcPr>
          <w:p>
            <w:pPr>
              <w:spacing w:after="0"/>
              <w:rPr>
                <w:sz w:val="22"/>
                <w:szCs w:val="22"/>
                <w:color w:val="auto"/>
              </w:rPr>
            </w:pPr>
          </w:p>
        </w:tc>
        <w:tc>
          <w:tcPr>
            <w:tcW w:w="7420" w:type="dxa"/>
            <w:vAlign w:val="bottom"/>
            <w:gridSpan w:val="2"/>
          </w:tcPr>
          <w:p>
            <w:pPr>
              <w:ind w:left="420"/>
              <w:spacing w:after="0"/>
              <w:rPr>
                <w:sz w:val="20"/>
                <w:szCs w:val="20"/>
                <w:color w:val="auto"/>
              </w:rPr>
            </w:pPr>
            <w:r>
              <w:rPr>
                <w:rFonts w:ascii="Arial" w:cs="Arial" w:eastAsia="Arial" w:hAnsi="Arial"/>
                <w:sz w:val="16"/>
                <w:szCs w:val="16"/>
                <w:color w:val="auto"/>
                <w:w w:val="99"/>
              </w:rPr>
              <w:t>• Accelerated Microsoft’s Racial Equity Initiative efforts around engaging our ecosystem by working</w:t>
            </w:r>
          </w:p>
        </w:tc>
      </w:tr>
      <w:tr>
        <w:trPr>
          <w:trHeight w:val="181"/>
        </w:trPr>
        <w:tc>
          <w:tcPr>
            <w:tcW w:w="1760" w:type="dxa"/>
            <w:vAlign w:val="bottom"/>
          </w:tcPr>
          <w:p>
            <w:pPr>
              <w:spacing w:after="0"/>
              <w:rPr>
                <w:sz w:val="15"/>
                <w:szCs w:val="15"/>
                <w:color w:val="auto"/>
              </w:rPr>
            </w:pPr>
          </w:p>
        </w:tc>
        <w:tc>
          <w:tcPr>
            <w:tcW w:w="7420" w:type="dxa"/>
            <w:vAlign w:val="bottom"/>
            <w:gridSpan w:val="2"/>
          </w:tcPr>
          <w:p>
            <w:pPr>
              <w:ind w:left="580"/>
              <w:spacing w:after="0" w:line="181" w:lineRule="exact"/>
              <w:rPr>
                <w:sz w:val="20"/>
                <w:szCs w:val="20"/>
                <w:color w:val="auto"/>
              </w:rPr>
            </w:pPr>
            <w:r>
              <w:rPr>
                <w:rFonts w:ascii="Arial" w:cs="Arial" w:eastAsia="Arial" w:hAnsi="Arial"/>
                <w:sz w:val="16"/>
                <w:szCs w:val="16"/>
                <w:color w:val="auto"/>
              </w:rPr>
              <w:t>with suppliers and partners to extend the vision for societal change, and served as a champion</w:t>
            </w:r>
          </w:p>
        </w:tc>
      </w:tr>
      <w:tr>
        <w:trPr>
          <w:trHeight w:val="181"/>
        </w:trPr>
        <w:tc>
          <w:tcPr>
            <w:tcW w:w="1760" w:type="dxa"/>
            <w:vAlign w:val="bottom"/>
          </w:tcPr>
          <w:p>
            <w:pPr>
              <w:spacing w:after="0"/>
              <w:rPr>
                <w:sz w:val="15"/>
                <w:szCs w:val="15"/>
                <w:color w:val="auto"/>
              </w:rPr>
            </w:pPr>
          </w:p>
        </w:tc>
        <w:tc>
          <w:tcPr>
            <w:tcW w:w="7420" w:type="dxa"/>
            <w:vAlign w:val="bottom"/>
            <w:gridSpan w:val="2"/>
          </w:tcPr>
          <w:p>
            <w:pPr>
              <w:ind w:left="580"/>
              <w:spacing w:after="0" w:line="181" w:lineRule="exact"/>
              <w:rPr>
                <w:sz w:val="20"/>
                <w:szCs w:val="20"/>
                <w:color w:val="auto"/>
              </w:rPr>
            </w:pPr>
            <w:r>
              <w:rPr>
                <w:rFonts w:ascii="Arial" w:cs="Arial" w:eastAsia="Arial" w:hAnsi="Arial"/>
                <w:sz w:val="16"/>
                <w:szCs w:val="16"/>
                <w:color w:val="auto"/>
                <w:w w:val="98"/>
              </w:rPr>
              <w:t>for diversity and inclusion to drive increased representation within the organization and enhancing</w:t>
            </w:r>
          </w:p>
        </w:tc>
      </w:tr>
      <w:tr>
        <w:trPr>
          <w:trHeight w:val="187"/>
        </w:trPr>
        <w:tc>
          <w:tcPr>
            <w:tcW w:w="1760" w:type="dxa"/>
            <w:vAlign w:val="bottom"/>
          </w:tcPr>
          <w:p>
            <w:pPr>
              <w:spacing w:after="0"/>
              <w:rPr>
                <w:sz w:val="16"/>
                <w:szCs w:val="16"/>
                <w:color w:val="auto"/>
              </w:rPr>
            </w:pPr>
          </w:p>
        </w:tc>
        <w:tc>
          <w:tcPr>
            <w:tcW w:w="7420" w:type="dxa"/>
            <w:vAlign w:val="bottom"/>
            <w:gridSpan w:val="2"/>
          </w:tcPr>
          <w:p>
            <w:pPr>
              <w:ind w:left="580"/>
              <w:spacing w:after="0"/>
              <w:rPr>
                <w:sz w:val="20"/>
                <w:szCs w:val="20"/>
                <w:color w:val="auto"/>
              </w:rPr>
            </w:pPr>
            <w:r>
              <w:rPr>
                <w:rFonts w:ascii="Arial" w:cs="Arial" w:eastAsia="Arial" w:hAnsi="Arial"/>
                <w:sz w:val="16"/>
                <w:szCs w:val="16"/>
                <w:color w:val="auto"/>
              </w:rPr>
              <w:t>employee sentiment year-over-year</w:t>
            </w:r>
          </w:p>
        </w:tc>
      </w:tr>
      <w:tr>
        <w:trPr>
          <w:trHeight w:val="254"/>
        </w:trPr>
        <w:tc>
          <w:tcPr>
            <w:tcW w:w="1760" w:type="dxa"/>
            <w:vAlign w:val="bottom"/>
          </w:tcPr>
          <w:p>
            <w:pPr>
              <w:spacing w:after="0"/>
              <w:rPr>
                <w:sz w:val="22"/>
                <w:szCs w:val="22"/>
                <w:color w:val="auto"/>
              </w:rPr>
            </w:pPr>
          </w:p>
        </w:tc>
        <w:tc>
          <w:tcPr>
            <w:tcW w:w="7420" w:type="dxa"/>
            <w:vAlign w:val="bottom"/>
            <w:gridSpan w:val="2"/>
          </w:tcPr>
          <w:p>
            <w:pPr>
              <w:ind w:left="420"/>
              <w:spacing w:after="0"/>
              <w:rPr>
                <w:sz w:val="20"/>
                <w:szCs w:val="20"/>
                <w:color w:val="auto"/>
              </w:rPr>
            </w:pPr>
            <w:r>
              <w:rPr>
                <w:rFonts w:ascii="Arial" w:cs="Arial" w:eastAsia="Arial" w:hAnsi="Arial"/>
                <w:sz w:val="16"/>
                <w:szCs w:val="16"/>
                <w:color w:val="auto"/>
              </w:rPr>
              <w:t>•  Drove significant progress toward the Company goal to become carbon negative by 2030,</w:t>
            </w:r>
          </w:p>
        </w:tc>
      </w:tr>
      <w:tr>
        <w:trPr>
          <w:trHeight w:val="181"/>
        </w:trPr>
        <w:tc>
          <w:tcPr>
            <w:tcW w:w="1760" w:type="dxa"/>
            <w:vAlign w:val="bottom"/>
          </w:tcPr>
          <w:p>
            <w:pPr>
              <w:spacing w:after="0"/>
              <w:rPr>
                <w:sz w:val="15"/>
                <w:szCs w:val="15"/>
                <w:color w:val="auto"/>
              </w:rPr>
            </w:pPr>
          </w:p>
        </w:tc>
        <w:tc>
          <w:tcPr>
            <w:tcW w:w="7420" w:type="dxa"/>
            <w:vAlign w:val="bottom"/>
            <w:gridSpan w:val="2"/>
          </w:tcPr>
          <w:p>
            <w:pPr>
              <w:ind w:left="580"/>
              <w:spacing w:after="0" w:line="181" w:lineRule="exact"/>
              <w:rPr>
                <w:sz w:val="20"/>
                <w:szCs w:val="20"/>
                <w:color w:val="auto"/>
              </w:rPr>
            </w:pPr>
            <w:r>
              <w:rPr>
                <w:rFonts w:ascii="Arial" w:cs="Arial" w:eastAsia="Arial" w:hAnsi="Arial"/>
                <w:sz w:val="16"/>
                <w:szCs w:val="16"/>
                <w:color w:val="auto"/>
              </w:rPr>
              <w:t>including strong investments with the Climate Investment Fund and enhancements to</w:t>
            </w:r>
          </w:p>
        </w:tc>
      </w:tr>
      <w:tr>
        <w:trPr>
          <w:trHeight w:val="187"/>
        </w:trPr>
        <w:tc>
          <w:tcPr>
            <w:tcW w:w="1760" w:type="dxa"/>
            <w:vAlign w:val="bottom"/>
          </w:tcPr>
          <w:p>
            <w:pPr>
              <w:spacing w:after="0"/>
              <w:rPr>
                <w:sz w:val="16"/>
                <w:szCs w:val="16"/>
                <w:color w:val="auto"/>
              </w:rPr>
            </w:pPr>
          </w:p>
        </w:tc>
        <w:tc>
          <w:tcPr>
            <w:tcW w:w="7420" w:type="dxa"/>
            <w:vAlign w:val="bottom"/>
            <w:gridSpan w:val="2"/>
          </w:tcPr>
          <w:p>
            <w:pPr>
              <w:ind w:left="580"/>
              <w:spacing w:after="0"/>
              <w:rPr>
                <w:sz w:val="20"/>
                <w:szCs w:val="20"/>
                <w:color w:val="auto"/>
              </w:rPr>
            </w:pPr>
            <w:r>
              <w:rPr>
                <w:rFonts w:ascii="Arial" w:cs="Arial" w:eastAsia="Arial" w:hAnsi="Arial"/>
                <w:sz w:val="16"/>
                <w:szCs w:val="16"/>
                <w:color w:val="auto"/>
              </w:rPr>
              <w:t>procurement and real estate practices</w:t>
            </w:r>
          </w:p>
        </w:tc>
      </w:tr>
      <w:tr>
        <w:trPr>
          <w:trHeight w:val="254"/>
        </w:trPr>
        <w:tc>
          <w:tcPr>
            <w:tcW w:w="1760" w:type="dxa"/>
            <w:vAlign w:val="bottom"/>
          </w:tcPr>
          <w:p>
            <w:pPr>
              <w:spacing w:after="0"/>
              <w:rPr>
                <w:sz w:val="22"/>
                <w:szCs w:val="22"/>
                <w:color w:val="auto"/>
              </w:rPr>
            </w:pPr>
          </w:p>
        </w:tc>
        <w:tc>
          <w:tcPr>
            <w:tcW w:w="7420" w:type="dxa"/>
            <w:vAlign w:val="bottom"/>
            <w:gridSpan w:val="2"/>
          </w:tcPr>
          <w:p>
            <w:pPr>
              <w:ind w:left="420"/>
              <w:spacing w:after="0"/>
              <w:rPr>
                <w:sz w:val="20"/>
                <w:szCs w:val="20"/>
                <w:color w:val="auto"/>
              </w:rPr>
            </w:pPr>
            <w:r>
              <w:rPr>
                <w:rFonts w:ascii="Arial" w:cs="Arial" w:eastAsia="Arial" w:hAnsi="Arial"/>
                <w:sz w:val="16"/>
                <w:szCs w:val="16"/>
                <w:color w:val="auto"/>
              </w:rPr>
              <w:t>•  Partnered across the organization to deliver solid impact – reinvigorating Windows as an</w:t>
            </w:r>
          </w:p>
        </w:tc>
      </w:tr>
      <w:tr>
        <w:trPr>
          <w:trHeight w:val="181"/>
        </w:trPr>
        <w:tc>
          <w:tcPr>
            <w:tcW w:w="1760" w:type="dxa"/>
            <w:vAlign w:val="bottom"/>
          </w:tcPr>
          <w:p>
            <w:pPr>
              <w:spacing w:after="0"/>
              <w:rPr>
                <w:sz w:val="15"/>
                <w:szCs w:val="15"/>
                <w:color w:val="auto"/>
              </w:rPr>
            </w:pPr>
          </w:p>
        </w:tc>
        <w:tc>
          <w:tcPr>
            <w:tcW w:w="7420" w:type="dxa"/>
            <w:vAlign w:val="bottom"/>
            <w:gridSpan w:val="2"/>
          </w:tcPr>
          <w:p>
            <w:pPr>
              <w:ind w:left="580"/>
              <w:spacing w:after="0" w:line="181" w:lineRule="exact"/>
              <w:rPr>
                <w:sz w:val="20"/>
                <w:szCs w:val="20"/>
                <w:color w:val="auto"/>
              </w:rPr>
            </w:pPr>
            <w:r>
              <w:rPr>
                <w:rFonts w:ascii="Arial" w:cs="Arial" w:eastAsia="Arial" w:hAnsi="Arial"/>
                <w:sz w:val="16"/>
                <w:szCs w:val="16"/>
                <w:color w:val="auto"/>
              </w:rPr>
              <w:t>important revenue driver, accelerating the pivot to “digital first” in light of changing market</w:t>
            </w:r>
          </w:p>
        </w:tc>
      </w:tr>
      <w:tr>
        <w:trPr>
          <w:trHeight w:val="187"/>
        </w:trPr>
        <w:tc>
          <w:tcPr>
            <w:tcW w:w="1760" w:type="dxa"/>
            <w:vAlign w:val="bottom"/>
          </w:tcPr>
          <w:p>
            <w:pPr>
              <w:spacing w:after="0"/>
              <w:rPr>
                <w:sz w:val="16"/>
                <w:szCs w:val="16"/>
                <w:color w:val="auto"/>
              </w:rPr>
            </w:pPr>
          </w:p>
        </w:tc>
        <w:tc>
          <w:tcPr>
            <w:tcW w:w="7420" w:type="dxa"/>
            <w:vAlign w:val="bottom"/>
            <w:gridSpan w:val="2"/>
          </w:tcPr>
          <w:p>
            <w:pPr>
              <w:ind w:left="580"/>
              <w:spacing w:after="0"/>
              <w:rPr>
                <w:sz w:val="20"/>
                <w:szCs w:val="20"/>
                <w:color w:val="auto"/>
              </w:rPr>
            </w:pPr>
            <w:r>
              <w:rPr>
                <w:rFonts w:ascii="Arial" w:cs="Arial" w:eastAsia="Arial" w:hAnsi="Arial"/>
                <w:sz w:val="16"/>
                <w:szCs w:val="16"/>
                <w:color w:val="auto"/>
              </w:rPr>
              <w:t>conditions, solidifying our commercial strategy, and refining our consumer strategy</w:t>
            </w:r>
          </w:p>
        </w:tc>
      </w:tr>
      <w:tr>
        <w:trPr>
          <w:trHeight w:val="254"/>
        </w:trPr>
        <w:tc>
          <w:tcPr>
            <w:tcW w:w="1760" w:type="dxa"/>
            <w:vAlign w:val="bottom"/>
          </w:tcPr>
          <w:p>
            <w:pPr>
              <w:spacing w:after="0"/>
              <w:rPr>
                <w:sz w:val="22"/>
                <w:szCs w:val="22"/>
                <w:color w:val="auto"/>
              </w:rPr>
            </w:pPr>
          </w:p>
        </w:tc>
        <w:tc>
          <w:tcPr>
            <w:tcW w:w="7420" w:type="dxa"/>
            <w:vAlign w:val="bottom"/>
            <w:gridSpan w:val="2"/>
          </w:tcPr>
          <w:p>
            <w:pPr>
              <w:ind w:left="420"/>
              <w:spacing w:after="0"/>
              <w:rPr>
                <w:sz w:val="20"/>
                <w:szCs w:val="20"/>
                <w:color w:val="auto"/>
              </w:rPr>
            </w:pPr>
            <w:r>
              <w:rPr>
                <w:rFonts w:ascii="Arial" w:cs="Arial" w:eastAsia="Arial" w:hAnsi="Arial"/>
                <w:sz w:val="16"/>
                <w:szCs w:val="16"/>
                <w:color w:val="auto"/>
              </w:rPr>
              <w:t>•  Enabled record level of merger and acquisition activity to optimize growth, strategy, technical fit,</w:t>
            </w:r>
          </w:p>
        </w:tc>
      </w:tr>
      <w:tr>
        <w:trPr>
          <w:trHeight w:val="187"/>
        </w:trPr>
        <w:tc>
          <w:tcPr>
            <w:tcW w:w="1760" w:type="dxa"/>
            <w:vAlign w:val="bottom"/>
          </w:tcPr>
          <w:p>
            <w:pPr>
              <w:spacing w:after="0"/>
              <w:rPr>
                <w:sz w:val="16"/>
                <w:szCs w:val="16"/>
                <w:color w:val="auto"/>
              </w:rPr>
            </w:pPr>
          </w:p>
        </w:tc>
        <w:tc>
          <w:tcPr>
            <w:tcW w:w="7420" w:type="dxa"/>
            <w:vAlign w:val="bottom"/>
            <w:gridSpan w:val="2"/>
          </w:tcPr>
          <w:p>
            <w:pPr>
              <w:ind w:left="580"/>
              <w:spacing w:after="0"/>
              <w:rPr>
                <w:sz w:val="20"/>
                <w:szCs w:val="20"/>
                <w:color w:val="auto"/>
              </w:rPr>
            </w:pPr>
            <w:r>
              <w:rPr>
                <w:rFonts w:ascii="Arial" w:cs="Arial" w:eastAsia="Arial" w:hAnsi="Arial"/>
                <w:sz w:val="16"/>
                <w:szCs w:val="16"/>
                <w:color w:val="auto"/>
              </w:rPr>
              <w:t>and value creation in a fiscally responsible, compliant manner</w:t>
            </w:r>
          </w:p>
        </w:tc>
      </w:tr>
      <w:tr>
        <w:trPr>
          <w:trHeight w:val="32"/>
        </w:trPr>
        <w:tc>
          <w:tcPr>
            <w:tcW w:w="1760" w:type="dxa"/>
            <w:vAlign w:val="bottom"/>
            <w:tcBorders>
              <w:bottom w:val="single" w:sz="8" w:color="0075C9"/>
            </w:tcBorders>
          </w:tcPr>
          <w:p>
            <w:pPr>
              <w:spacing w:after="0"/>
              <w:rPr>
                <w:sz w:val="2"/>
                <w:szCs w:val="2"/>
                <w:color w:val="auto"/>
              </w:rPr>
            </w:pPr>
          </w:p>
        </w:tc>
        <w:tc>
          <w:tcPr>
            <w:tcW w:w="7280" w:type="dxa"/>
            <w:vAlign w:val="bottom"/>
            <w:tcBorders>
              <w:bottom w:val="single" w:sz="8" w:color="0075C9"/>
            </w:tcBorders>
          </w:tcPr>
          <w:p>
            <w:pPr>
              <w:spacing w:after="0"/>
              <w:rPr>
                <w:sz w:val="2"/>
                <w:szCs w:val="2"/>
                <w:color w:val="auto"/>
              </w:rPr>
            </w:pPr>
          </w:p>
        </w:tc>
        <w:tc>
          <w:tcPr>
            <w:tcW w:w="140" w:type="dxa"/>
            <w:vAlign w:val="bottom"/>
          </w:tcPr>
          <w:p>
            <w:pPr>
              <w:spacing w:after="0"/>
              <w:rPr>
                <w:sz w:val="2"/>
                <w:szCs w:val="2"/>
                <w:color w:val="auto"/>
              </w:rPr>
            </w:pPr>
          </w:p>
        </w:tc>
      </w:tr>
      <w:tr>
        <w:trPr>
          <w:trHeight w:val="680"/>
        </w:trPr>
        <w:tc>
          <w:tcPr>
            <w:tcW w:w="1760" w:type="dxa"/>
            <w:vAlign w:val="bottom"/>
          </w:tcPr>
          <w:p>
            <w:pPr>
              <w:spacing w:after="0"/>
              <w:rPr>
                <w:sz w:val="24"/>
                <w:szCs w:val="24"/>
                <w:color w:val="auto"/>
              </w:rPr>
            </w:pPr>
          </w:p>
        </w:tc>
        <w:tc>
          <w:tcPr>
            <w:tcW w:w="7420" w:type="dxa"/>
            <w:vAlign w:val="bottom"/>
            <w:gridSpan w:val="2"/>
          </w:tcPr>
          <w:p>
            <w:pPr>
              <w:ind w:left="5380"/>
              <w:spacing w:after="0"/>
              <w:rPr>
                <w:sz w:val="20"/>
                <w:szCs w:val="20"/>
                <w:color w:val="auto"/>
              </w:rPr>
            </w:pPr>
            <w:r>
              <w:rPr>
                <w:rFonts w:ascii="Arial" w:cs="Arial" w:eastAsia="Arial" w:hAnsi="Arial"/>
                <w:sz w:val="14"/>
                <w:szCs w:val="14"/>
                <w:color w:val="auto"/>
              </w:rPr>
              <w:t xml:space="preserve">2021 PROXY STATEMENT   </w:t>
            </w:r>
            <w:r>
              <w:rPr>
                <w:rFonts w:ascii="Arial" w:cs="Arial" w:eastAsia="Arial" w:hAnsi="Arial"/>
                <w:sz w:val="14"/>
                <w:szCs w:val="14"/>
                <w:b w:val="1"/>
                <w:bCs w:val="1"/>
                <w:color w:val="0075C9"/>
              </w:rPr>
              <w:t>47</w:t>
            </w:r>
          </w:p>
        </w:tc>
      </w:tr>
    </w:tbl>
    <w:p>
      <w:pPr>
        <w:sectPr>
          <w:pgSz w:w="11900" w:h="16838" w:orient="portrait"/>
          <w:cols w:equalWidth="0" w:num="1">
            <w:col w:w="10280"/>
          </w:cols>
          <w:pgMar w:left="320" w:top="445" w:right="1299" w:bottom="1440" w:gutter="0" w:footer="0" w:header="0"/>
        </w:sectPr>
      </w:pPr>
    </w:p>
    <w:bookmarkStart w:id="55" w:name="page56"/>
    <w:bookmarkEnd w:id="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spacing w:after="0"/>
              <w:rPr>
                <w:sz w:val="20"/>
                <w:szCs w:val="20"/>
                <w:color w:val="auto"/>
              </w:rPr>
            </w:pPr>
            <w:r>
              <w:rPr>
                <w:rFonts w:ascii="Arial" w:cs="Arial" w:eastAsia="Arial" w:hAnsi="Arial"/>
                <w:sz w:val="36"/>
                <w:szCs w:val="36"/>
                <w:color w:val="auto"/>
              </w:rPr>
              <w:t>1</w:t>
            </w:r>
          </w:p>
        </w:tc>
        <w:tc>
          <w:tcPr>
            <w:tcW w:w="1500" w:type="dxa"/>
            <w:vAlign w:val="bottom"/>
            <w:vMerge w:val="restart"/>
          </w:tcPr>
          <w:p>
            <w:pPr>
              <w:ind w:left="80"/>
              <w:spacing w:after="0"/>
              <w:rPr>
                <w:sz w:val="20"/>
                <w:szCs w:val="20"/>
                <w:color w:val="auto"/>
              </w:rPr>
            </w:pPr>
            <w:r>
              <w:rPr>
                <w:rFonts w:ascii="Arial" w:cs="Arial" w:eastAsia="Arial" w:hAnsi="Arial"/>
                <w:sz w:val="12"/>
                <w:szCs w:val="12"/>
                <w:color w:val="auto"/>
              </w:rPr>
              <w:t>GOVERNANCE AND</w:t>
            </w:r>
          </w:p>
        </w:tc>
        <w:tc>
          <w:tcPr>
            <w:tcW w:w="320" w:type="dxa"/>
            <w:vAlign w:val="bottom"/>
            <w:gridSpan w:val="2"/>
          </w:tcPr>
          <w:p>
            <w:pPr>
              <w:jc w:val="right"/>
              <w:ind w:right="80"/>
              <w:spacing w:after="0"/>
              <w:rPr>
                <w:sz w:val="20"/>
                <w:szCs w:val="20"/>
                <w:color w:val="auto"/>
              </w:rPr>
            </w:pPr>
            <w:r>
              <w:rPr>
                <w:rFonts w:ascii="Arial" w:cs="Arial" w:eastAsia="Arial" w:hAnsi="Arial"/>
                <w:sz w:val="36"/>
                <w:szCs w:val="36"/>
                <w:color w:val="0075C9"/>
              </w:rPr>
              <w:t>2</w:t>
            </w:r>
          </w:p>
        </w:tc>
        <w:tc>
          <w:tcPr>
            <w:tcW w:w="1580" w:type="dxa"/>
            <w:vAlign w:val="bottom"/>
            <w:gridSpan w:val="2"/>
            <w:vMerge w:val="restart"/>
          </w:tcPr>
          <w:p>
            <w:pPr>
              <w:ind w:left="60"/>
              <w:spacing w:after="0"/>
              <w:rPr>
                <w:sz w:val="20"/>
                <w:szCs w:val="20"/>
                <w:color w:val="auto"/>
              </w:rPr>
            </w:pPr>
            <w:r>
              <w:rPr>
                <w:rFonts w:ascii="Arial" w:cs="Arial" w:eastAsia="Arial" w:hAnsi="Arial"/>
                <w:sz w:val="12"/>
                <w:szCs w:val="12"/>
                <w:color w:val="0075C9"/>
              </w:rPr>
              <w:t>NAMED</w:t>
            </w:r>
          </w:p>
        </w:tc>
        <w:tc>
          <w:tcPr>
            <w:tcW w:w="480" w:type="dxa"/>
            <w:vAlign w:val="bottom"/>
          </w:tcPr>
          <w:p>
            <w:pPr>
              <w:jc w:val="right"/>
              <w:spacing w:after="0"/>
              <w:rPr>
                <w:sz w:val="20"/>
                <w:szCs w:val="20"/>
                <w:color w:val="auto"/>
              </w:rPr>
            </w:pPr>
            <w:r>
              <w:rPr>
                <w:rFonts w:ascii="Arial" w:cs="Arial" w:eastAsia="Arial" w:hAnsi="Arial"/>
                <w:sz w:val="36"/>
                <w:szCs w:val="36"/>
                <w:color w:val="auto"/>
              </w:rPr>
              <w:t>3</w:t>
            </w:r>
          </w:p>
        </w:tc>
        <w:tc>
          <w:tcPr>
            <w:tcW w:w="1020" w:type="dxa"/>
            <w:vAlign w:val="bottom"/>
            <w:vMerge w:val="restart"/>
          </w:tcPr>
          <w:p>
            <w:pPr>
              <w:ind w:left="60"/>
              <w:spacing w:after="0"/>
              <w:rPr>
                <w:sz w:val="20"/>
                <w:szCs w:val="20"/>
                <w:color w:val="auto"/>
              </w:rPr>
            </w:pPr>
            <w:r>
              <w:rPr>
                <w:rFonts w:ascii="Arial" w:cs="Arial" w:eastAsia="Arial" w:hAnsi="Arial"/>
                <w:sz w:val="12"/>
                <w:szCs w:val="12"/>
                <w:color w:val="auto"/>
              </w:rPr>
              <w:t>AUDIT</w:t>
            </w:r>
          </w:p>
        </w:tc>
        <w:tc>
          <w:tcPr>
            <w:tcW w:w="500" w:type="dxa"/>
            <w:vAlign w:val="bottom"/>
          </w:tcPr>
          <w:p>
            <w:pPr>
              <w:jc w:val="right"/>
              <w:spacing w:after="0"/>
              <w:rPr>
                <w:sz w:val="20"/>
                <w:szCs w:val="20"/>
                <w:color w:val="auto"/>
              </w:rPr>
            </w:pPr>
            <w:r>
              <w:rPr>
                <w:rFonts w:ascii="Arial" w:cs="Arial" w:eastAsia="Arial" w:hAnsi="Arial"/>
                <w:sz w:val="36"/>
                <w:szCs w:val="36"/>
                <w:color w:val="auto"/>
              </w:rPr>
              <w:t>4</w:t>
            </w:r>
          </w:p>
        </w:tc>
        <w:tc>
          <w:tcPr>
            <w:tcW w:w="1580" w:type="dxa"/>
            <w:vAlign w:val="bottom"/>
            <w:vMerge w:val="restart"/>
          </w:tcPr>
          <w:p>
            <w:pPr>
              <w:ind w:left="80"/>
              <w:spacing w:after="0"/>
              <w:rPr>
                <w:sz w:val="20"/>
                <w:szCs w:val="20"/>
                <w:color w:val="auto"/>
              </w:rPr>
            </w:pPr>
            <w:r>
              <w:rPr>
                <w:rFonts w:ascii="Arial" w:cs="Arial" w:eastAsia="Arial" w:hAnsi="Arial"/>
                <w:sz w:val="12"/>
                <w:szCs w:val="12"/>
                <w:color w:val="auto"/>
              </w:rPr>
              <w:t>PROPOSALS TO</w:t>
            </w:r>
          </w:p>
        </w:tc>
        <w:tc>
          <w:tcPr>
            <w:tcW w:w="500" w:type="dxa"/>
            <w:vAlign w:val="bottom"/>
          </w:tcPr>
          <w:p>
            <w:pPr>
              <w:jc w:val="right"/>
              <w:spacing w:after="0"/>
              <w:rPr>
                <w:sz w:val="20"/>
                <w:szCs w:val="20"/>
                <w:color w:val="auto"/>
              </w:rPr>
            </w:pPr>
            <w:r>
              <w:rPr>
                <w:rFonts w:ascii="Arial" w:cs="Arial" w:eastAsia="Arial" w:hAnsi="Arial"/>
                <w:sz w:val="36"/>
                <w:szCs w:val="36"/>
                <w:color w:val="auto"/>
              </w:rPr>
              <w:t>5</w:t>
            </w:r>
          </w:p>
        </w:tc>
        <w:tc>
          <w:tcPr>
            <w:tcW w:w="1280" w:type="dxa"/>
            <w:vAlign w:val="bottom"/>
            <w:vMerge w:val="restart"/>
          </w:tcPr>
          <w:p>
            <w:pPr>
              <w:spacing w:after="0"/>
              <w:rPr>
                <w:sz w:val="20"/>
                <w:szCs w:val="20"/>
                <w:color w:val="auto"/>
              </w:rPr>
            </w:pPr>
            <w:r>
              <w:rPr>
                <w:rFonts w:ascii="Arial" w:cs="Arial" w:eastAsia="Arial" w:hAnsi="Arial"/>
                <w:sz w:val="12"/>
                <w:szCs w:val="12"/>
                <w:color w:val="auto"/>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50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gridSpan w:val="2"/>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50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80" w:type="dxa"/>
            <w:vAlign w:val="bottom"/>
            <w:gridSpan w:val="2"/>
          </w:tcPr>
          <w:p>
            <w:pPr>
              <w:ind w:left="60"/>
              <w:spacing w:after="0" w:line="130" w:lineRule="exact"/>
              <w:rPr>
                <w:sz w:val="20"/>
                <w:szCs w:val="20"/>
                <w:color w:val="auto"/>
              </w:rPr>
            </w:pPr>
            <w:r>
              <w:rPr>
                <w:rFonts w:ascii="Arial" w:cs="Arial" w:eastAsia="Arial" w:hAnsi="Arial"/>
                <w:sz w:val="12"/>
                <w:szCs w:val="12"/>
                <w:color w:val="0075C9"/>
              </w:rPr>
              <w:t>EXECUTIVE OFFICER</w:t>
            </w:r>
          </w:p>
        </w:tc>
        <w:tc>
          <w:tcPr>
            <w:tcW w:w="480" w:type="dxa"/>
            <w:vAlign w:val="bottom"/>
          </w:tcPr>
          <w:p>
            <w:pPr>
              <w:spacing w:after="0"/>
              <w:rPr>
                <w:sz w:val="11"/>
                <w:szCs w:val="11"/>
                <w:color w:val="auto"/>
              </w:rPr>
            </w:pPr>
          </w:p>
        </w:tc>
        <w:tc>
          <w:tcPr>
            <w:tcW w:w="1020" w:type="dxa"/>
            <w:vAlign w:val="bottom"/>
          </w:tcPr>
          <w:p>
            <w:pPr>
              <w:ind w:left="60"/>
              <w:spacing w:after="0" w:line="130" w:lineRule="exact"/>
              <w:rPr>
                <w:sz w:val="20"/>
                <w:szCs w:val="20"/>
                <w:color w:val="auto"/>
              </w:rPr>
            </w:pPr>
            <w:r>
              <w:rPr>
                <w:rFonts w:ascii="Arial" w:cs="Arial" w:eastAsia="Arial" w:hAnsi="Arial"/>
                <w:sz w:val="12"/>
                <w:szCs w:val="12"/>
                <w:color w:val="auto"/>
              </w:rPr>
              <w:t>COMMITTEE</w:t>
            </w:r>
          </w:p>
        </w:tc>
        <w:tc>
          <w:tcPr>
            <w:tcW w:w="500" w:type="dxa"/>
            <w:vAlign w:val="bottom"/>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500" w:type="dxa"/>
            <w:vAlign w:val="bottom"/>
          </w:tcPr>
          <w:p>
            <w:pPr>
              <w:spacing w:after="0"/>
              <w:rPr>
                <w:sz w:val="11"/>
                <w:szCs w:val="11"/>
                <w:color w:val="auto"/>
              </w:rPr>
            </w:pPr>
          </w:p>
        </w:tc>
        <w:tc>
          <w:tcPr>
            <w:tcW w:w="1280" w:type="dxa"/>
            <w:vAlign w:val="bottom"/>
          </w:tcPr>
          <w:p>
            <w:pPr>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50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2"/>
          </w:tcPr>
          <w:p>
            <w:pPr>
              <w:ind w:left="60"/>
              <w:spacing w:after="0"/>
              <w:rPr>
                <w:sz w:val="20"/>
                <w:szCs w:val="20"/>
                <w:color w:val="auto"/>
              </w:rPr>
            </w:pPr>
            <w:r>
              <w:rPr>
                <w:rFonts w:ascii="Arial" w:cs="Arial" w:eastAsia="Arial" w:hAnsi="Arial"/>
                <w:sz w:val="12"/>
                <w:szCs w:val="12"/>
                <w:color w:val="0075C9"/>
              </w:rPr>
              <w:t>COMPENSATION</w:t>
            </w:r>
          </w:p>
        </w:tc>
        <w:tc>
          <w:tcPr>
            <w:tcW w:w="480" w:type="dxa"/>
            <w:vAlign w:val="bottom"/>
          </w:tcPr>
          <w:p>
            <w:pPr>
              <w:spacing w:after="0"/>
              <w:rPr>
                <w:sz w:val="12"/>
                <w:szCs w:val="12"/>
                <w:color w:val="auto"/>
              </w:rPr>
            </w:pPr>
          </w:p>
        </w:tc>
        <w:tc>
          <w:tcPr>
            <w:tcW w:w="1020" w:type="dxa"/>
            <w:vAlign w:val="bottom"/>
          </w:tcPr>
          <w:p>
            <w:pPr>
              <w:ind w:left="60"/>
              <w:spacing w:after="0"/>
              <w:rPr>
                <w:sz w:val="20"/>
                <w:szCs w:val="20"/>
                <w:color w:val="auto"/>
              </w:rPr>
            </w:pPr>
            <w:r>
              <w:rPr>
                <w:rFonts w:ascii="Arial" w:cs="Arial" w:eastAsia="Arial" w:hAnsi="Arial"/>
                <w:sz w:val="12"/>
                <w:szCs w:val="12"/>
                <w:color w:val="auto"/>
              </w:rPr>
              <w:t>MATTERS</w:t>
            </w:r>
          </w:p>
        </w:tc>
        <w:tc>
          <w:tcPr>
            <w:tcW w:w="500" w:type="dxa"/>
            <w:vAlign w:val="bottom"/>
          </w:tcPr>
          <w:p>
            <w:pPr>
              <w:spacing w:after="0"/>
              <w:rPr>
                <w:sz w:val="12"/>
                <w:szCs w:val="12"/>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500" w:type="dxa"/>
            <w:vAlign w:val="bottom"/>
          </w:tcPr>
          <w:p>
            <w:pPr>
              <w:spacing w:after="0"/>
              <w:rPr>
                <w:sz w:val="12"/>
                <w:szCs w:val="12"/>
                <w:color w:val="auto"/>
              </w:rPr>
            </w:pPr>
          </w:p>
        </w:tc>
        <w:tc>
          <w:tcPr>
            <w:tcW w:w="1280" w:type="dxa"/>
            <w:vAlign w:val="bottom"/>
          </w:tcPr>
          <w:p>
            <w:pPr>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9"/>
        </w:trPr>
        <w:tc>
          <w:tcPr>
            <w:tcW w:w="178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80" w:type="dxa"/>
            <w:vAlign w:val="bottom"/>
            <w:gridSpan w:val="2"/>
          </w:tcPr>
          <w:p>
            <w:pPr>
              <w:spacing w:after="0"/>
              <w:rPr>
                <w:sz w:val="10"/>
                <w:szCs w:val="10"/>
                <w:color w:val="auto"/>
              </w:rPr>
            </w:pPr>
          </w:p>
        </w:tc>
        <w:tc>
          <w:tcPr>
            <w:tcW w:w="4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178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20" w:type="dxa"/>
            <w:vAlign w:val="bottom"/>
            <w:shd w:val="clear" w:color="auto" w:fill="0075C9"/>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98"/>
        </w:trPr>
        <w:tc>
          <w:tcPr>
            <w:tcW w:w="178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Named Executive</w:t>
            </w: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Key Results</w:t>
            </w:r>
          </w:p>
        </w:tc>
        <w:tc>
          <w:tcPr>
            <w:tcW w:w="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0075C9"/>
                <w:w w:val="96"/>
              </w:rPr>
              <w:t>Jean-Philippe Courtois</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940" w:type="dxa"/>
            <w:vAlign w:val="bottom"/>
            <w:gridSpan w:val="8"/>
          </w:tcPr>
          <w:p>
            <w:pPr>
              <w:ind w:left="80"/>
              <w:spacing w:after="0"/>
              <w:rPr>
                <w:sz w:val="20"/>
                <w:szCs w:val="20"/>
                <w:color w:val="auto"/>
              </w:rPr>
            </w:pPr>
            <w:r>
              <w:rPr>
                <w:rFonts w:ascii="Arial" w:cs="Arial" w:eastAsia="Arial" w:hAnsi="Arial"/>
                <w:sz w:val="16"/>
                <w:szCs w:val="16"/>
                <w:color w:val="auto"/>
              </w:rPr>
              <w:t>•  Led Global Sales, Marketing, and Operations (“GSMO”) groups to deliver strong financial</w:t>
            </w:r>
          </w:p>
        </w:tc>
        <w:tc>
          <w:tcPr>
            <w:tcW w:w="0" w:type="dxa"/>
            <w:vAlign w:val="bottom"/>
          </w:tcPr>
          <w:p>
            <w:pPr>
              <w:spacing w:after="0"/>
              <w:rPr>
                <w:sz w:val="1"/>
                <w:szCs w:val="1"/>
                <w:color w:val="auto"/>
              </w:rPr>
            </w:pPr>
          </w:p>
        </w:tc>
      </w:tr>
      <w:tr>
        <w:trPr>
          <w:trHeight w:val="187"/>
        </w:trPr>
        <w:tc>
          <w:tcPr>
            <w:tcW w:w="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160" w:type="dxa"/>
            <w:vAlign w:val="bottom"/>
            <w:gridSpan w:val="6"/>
          </w:tcPr>
          <w:p>
            <w:pPr>
              <w:ind w:left="240"/>
              <w:spacing w:after="0"/>
              <w:rPr>
                <w:sz w:val="20"/>
                <w:szCs w:val="20"/>
                <w:color w:val="auto"/>
              </w:rPr>
            </w:pPr>
            <w:r>
              <w:rPr>
                <w:rFonts w:ascii="Arial" w:cs="Arial" w:eastAsia="Arial" w:hAnsi="Arial"/>
                <w:sz w:val="16"/>
                <w:szCs w:val="16"/>
                <w:color w:val="auto"/>
              </w:rPr>
              <w:t>performance and contributed to Microsoft’s 18% growth in revenue</w:t>
            </w:r>
          </w:p>
        </w:tc>
        <w:tc>
          <w:tcPr>
            <w:tcW w:w="5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940" w:type="dxa"/>
            <w:vAlign w:val="bottom"/>
            <w:gridSpan w:val="8"/>
          </w:tcPr>
          <w:p>
            <w:pPr>
              <w:ind w:left="80"/>
              <w:spacing w:after="0"/>
              <w:rPr>
                <w:sz w:val="20"/>
                <w:szCs w:val="20"/>
                <w:color w:val="auto"/>
              </w:rPr>
            </w:pPr>
            <w:r>
              <w:rPr>
                <w:rFonts w:ascii="Arial" w:cs="Arial" w:eastAsia="Arial" w:hAnsi="Arial"/>
                <w:sz w:val="16"/>
                <w:szCs w:val="16"/>
                <w:color w:val="auto"/>
                <w:w w:val="98"/>
              </w:rPr>
              <w:t>•  Enhanced Microsoft’s position as not only a technology provider but a strategic partner for global</w:t>
            </w:r>
          </w:p>
        </w:tc>
        <w:tc>
          <w:tcPr>
            <w:tcW w:w="0" w:type="dxa"/>
            <w:vAlign w:val="bottom"/>
          </w:tcPr>
          <w:p>
            <w:pPr>
              <w:spacing w:after="0"/>
              <w:rPr>
                <w:sz w:val="1"/>
                <w:szCs w:val="1"/>
                <w:color w:val="auto"/>
              </w:rPr>
            </w:pPr>
          </w:p>
        </w:tc>
      </w:tr>
      <w:tr>
        <w:trPr>
          <w:trHeight w:val="181"/>
        </w:trPr>
        <w:tc>
          <w:tcPr>
            <w:tcW w:w="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940" w:type="dxa"/>
            <w:vAlign w:val="bottom"/>
            <w:gridSpan w:val="8"/>
          </w:tcPr>
          <w:p>
            <w:pPr>
              <w:ind w:left="240"/>
              <w:spacing w:after="0" w:line="181" w:lineRule="exact"/>
              <w:rPr>
                <w:sz w:val="20"/>
                <w:szCs w:val="20"/>
                <w:color w:val="auto"/>
              </w:rPr>
            </w:pPr>
            <w:r>
              <w:rPr>
                <w:rFonts w:ascii="Arial" w:cs="Arial" w:eastAsia="Arial" w:hAnsi="Arial"/>
                <w:sz w:val="16"/>
                <w:szCs w:val="16"/>
                <w:color w:val="auto"/>
              </w:rPr>
              <w:t>customers across all industries, helping to sustain, reinvent, and improve business models as</w:t>
            </w:r>
          </w:p>
        </w:tc>
        <w:tc>
          <w:tcPr>
            <w:tcW w:w="0" w:type="dxa"/>
            <w:vAlign w:val="bottom"/>
          </w:tcPr>
          <w:p>
            <w:pPr>
              <w:spacing w:after="0"/>
              <w:rPr>
                <w:sz w:val="1"/>
                <w:szCs w:val="1"/>
                <w:color w:val="auto"/>
              </w:rPr>
            </w:pPr>
          </w:p>
        </w:tc>
      </w:tr>
      <w:tr>
        <w:trPr>
          <w:trHeight w:val="187"/>
        </w:trPr>
        <w:tc>
          <w:tcPr>
            <w:tcW w:w="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80" w:type="dxa"/>
            <w:vAlign w:val="bottom"/>
            <w:gridSpan w:val="4"/>
          </w:tcPr>
          <w:p>
            <w:pPr>
              <w:ind w:left="240"/>
              <w:spacing w:after="0"/>
              <w:rPr>
                <w:sz w:val="20"/>
                <w:szCs w:val="20"/>
                <w:color w:val="auto"/>
              </w:rPr>
            </w:pPr>
            <w:r>
              <w:rPr>
                <w:rFonts w:ascii="Arial" w:cs="Arial" w:eastAsia="Arial" w:hAnsi="Arial"/>
                <w:sz w:val="16"/>
                <w:szCs w:val="16"/>
                <w:color w:val="auto"/>
              </w:rPr>
              <w:t>digital transformation was accelerated</w:t>
            </w:r>
          </w:p>
        </w:tc>
        <w:tc>
          <w:tcPr>
            <w:tcW w:w="5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940" w:type="dxa"/>
            <w:vAlign w:val="bottom"/>
            <w:gridSpan w:val="8"/>
          </w:tcPr>
          <w:p>
            <w:pPr>
              <w:ind w:left="80"/>
              <w:spacing w:after="0"/>
              <w:rPr>
                <w:sz w:val="20"/>
                <w:szCs w:val="20"/>
                <w:color w:val="auto"/>
              </w:rPr>
            </w:pPr>
            <w:r>
              <w:rPr>
                <w:rFonts w:ascii="Arial" w:cs="Arial" w:eastAsia="Arial" w:hAnsi="Arial"/>
                <w:sz w:val="16"/>
                <w:szCs w:val="16"/>
                <w:color w:val="auto"/>
              </w:rPr>
              <w:t>•  Built on Microsoft’s strength as the most trusted Cloud and AI enabler to customers,</w:t>
            </w:r>
          </w:p>
        </w:tc>
        <w:tc>
          <w:tcPr>
            <w:tcW w:w="0" w:type="dxa"/>
            <w:vAlign w:val="bottom"/>
          </w:tcPr>
          <w:p>
            <w:pPr>
              <w:spacing w:after="0"/>
              <w:rPr>
                <w:sz w:val="1"/>
                <w:szCs w:val="1"/>
                <w:color w:val="auto"/>
              </w:rPr>
            </w:pPr>
          </w:p>
        </w:tc>
      </w:tr>
      <w:tr>
        <w:trPr>
          <w:trHeight w:val="181"/>
        </w:trPr>
        <w:tc>
          <w:tcPr>
            <w:tcW w:w="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940" w:type="dxa"/>
            <w:vAlign w:val="bottom"/>
            <w:gridSpan w:val="8"/>
          </w:tcPr>
          <w:p>
            <w:pPr>
              <w:ind w:left="240"/>
              <w:spacing w:after="0" w:line="181" w:lineRule="exact"/>
              <w:rPr>
                <w:sz w:val="20"/>
                <w:szCs w:val="20"/>
                <w:color w:val="auto"/>
              </w:rPr>
            </w:pPr>
            <w:r>
              <w:rPr>
                <w:rFonts w:ascii="Arial" w:cs="Arial" w:eastAsia="Arial" w:hAnsi="Arial"/>
                <w:sz w:val="16"/>
                <w:szCs w:val="16"/>
                <w:color w:val="auto"/>
              </w:rPr>
              <w:t>governments, and communities across the globe by collaborating with them to accelerate the</w:t>
            </w:r>
          </w:p>
        </w:tc>
        <w:tc>
          <w:tcPr>
            <w:tcW w:w="0" w:type="dxa"/>
            <w:vAlign w:val="bottom"/>
          </w:tcPr>
          <w:p>
            <w:pPr>
              <w:spacing w:after="0"/>
              <w:rPr>
                <w:sz w:val="1"/>
                <w:szCs w:val="1"/>
                <w:color w:val="auto"/>
              </w:rPr>
            </w:pPr>
          </w:p>
        </w:tc>
      </w:tr>
      <w:tr>
        <w:trPr>
          <w:trHeight w:val="187"/>
        </w:trPr>
        <w:tc>
          <w:tcPr>
            <w:tcW w:w="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60" w:type="dxa"/>
            <w:vAlign w:val="bottom"/>
            <w:gridSpan w:val="7"/>
          </w:tcPr>
          <w:p>
            <w:pPr>
              <w:ind w:left="240"/>
              <w:spacing w:after="0"/>
              <w:rPr>
                <w:sz w:val="20"/>
                <w:szCs w:val="20"/>
                <w:color w:val="auto"/>
              </w:rPr>
            </w:pPr>
            <w:r>
              <w:rPr>
                <w:rFonts w:ascii="Arial" w:cs="Arial" w:eastAsia="Arial" w:hAnsi="Arial"/>
                <w:sz w:val="16"/>
                <w:szCs w:val="16"/>
                <w:color w:val="auto"/>
                <w:w w:val="96"/>
              </w:rPr>
              <w:t>opportunities in those industries that are critical to a country’s economic growth</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940" w:type="dxa"/>
            <w:vAlign w:val="bottom"/>
            <w:gridSpan w:val="8"/>
          </w:tcPr>
          <w:p>
            <w:pPr>
              <w:ind w:left="80"/>
              <w:spacing w:after="0"/>
              <w:rPr>
                <w:sz w:val="20"/>
                <w:szCs w:val="20"/>
                <w:color w:val="auto"/>
              </w:rPr>
            </w:pPr>
            <w:r>
              <w:rPr>
                <w:rFonts w:ascii="Arial" w:cs="Arial" w:eastAsia="Arial" w:hAnsi="Arial"/>
                <w:sz w:val="16"/>
                <w:szCs w:val="16"/>
                <w:color w:val="auto"/>
                <w:w w:val="97"/>
              </w:rPr>
              <w:t>•  Drove strong focus on embedding diversity and inclusion conversations and learning moments in</w:t>
            </w:r>
          </w:p>
        </w:tc>
        <w:tc>
          <w:tcPr>
            <w:tcW w:w="0" w:type="dxa"/>
            <w:vAlign w:val="bottom"/>
          </w:tcPr>
          <w:p>
            <w:pPr>
              <w:spacing w:after="0"/>
              <w:rPr>
                <w:sz w:val="1"/>
                <w:szCs w:val="1"/>
                <w:color w:val="auto"/>
              </w:rPr>
            </w:pPr>
          </w:p>
        </w:tc>
      </w:tr>
      <w:tr>
        <w:trPr>
          <w:trHeight w:val="187"/>
        </w:trPr>
        <w:tc>
          <w:tcPr>
            <w:tcW w:w="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580" w:type="dxa"/>
            <w:vAlign w:val="bottom"/>
            <w:gridSpan w:val="5"/>
          </w:tcPr>
          <w:p>
            <w:pPr>
              <w:ind w:left="240"/>
              <w:spacing w:after="0"/>
              <w:rPr>
                <w:sz w:val="20"/>
                <w:szCs w:val="20"/>
                <w:color w:val="auto"/>
              </w:rPr>
            </w:pPr>
            <w:r>
              <w:rPr>
                <w:rFonts w:ascii="Arial" w:cs="Arial" w:eastAsia="Arial" w:hAnsi="Arial"/>
                <w:sz w:val="16"/>
                <w:szCs w:val="16"/>
                <w:color w:val="auto"/>
                <w:w w:val="98"/>
              </w:rPr>
              <w:t>the global field culture and across the Company</w:t>
            </w:r>
          </w:p>
        </w:tc>
        <w:tc>
          <w:tcPr>
            <w:tcW w:w="1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940" w:type="dxa"/>
            <w:vAlign w:val="bottom"/>
            <w:gridSpan w:val="8"/>
          </w:tcPr>
          <w:p>
            <w:pPr>
              <w:ind w:left="80"/>
              <w:spacing w:after="0"/>
              <w:rPr>
                <w:sz w:val="20"/>
                <w:szCs w:val="20"/>
                <w:color w:val="auto"/>
              </w:rPr>
            </w:pPr>
            <w:r>
              <w:rPr>
                <w:rFonts w:ascii="Arial" w:cs="Arial" w:eastAsia="Arial" w:hAnsi="Arial"/>
                <w:sz w:val="16"/>
                <w:szCs w:val="16"/>
                <w:color w:val="auto"/>
              </w:rPr>
              <w:t>•  Pursued efforts to strengthen net customer satisfaction scores to historically high levels by</w:t>
            </w:r>
          </w:p>
        </w:tc>
        <w:tc>
          <w:tcPr>
            <w:tcW w:w="0" w:type="dxa"/>
            <w:vAlign w:val="bottom"/>
          </w:tcPr>
          <w:p>
            <w:pPr>
              <w:spacing w:after="0"/>
              <w:rPr>
                <w:sz w:val="1"/>
                <w:szCs w:val="1"/>
                <w:color w:val="auto"/>
              </w:rPr>
            </w:pPr>
          </w:p>
        </w:tc>
      </w:tr>
      <w:tr>
        <w:trPr>
          <w:trHeight w:val="181"/>
        </w:trPr>
        <w:tc>
          <w:tcPr>
            <w:tcW w:w="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940" w:type="dxa"/>
            <w:vAlign w:val="bottom"/>
            <w:gridSpan w:val="8"/>
          </w:tcPr>
          <w:p>
            <w:pPr>
              <w:ind w:left="240"/>
              <w:spacing w:after="0" w:line="181" w:lineRule="exact"/>
              <w:rPr>
                <w:sz w:val="20"/>
                <w:szCs w:val="20"/>
                <w:color w:val="auto"/>
              </w:rPr>
            </w:pPr>
            <w:r>
              <w:rPr>
                <w:rFonts w:ascii="Arial" w:cs="Arial" w:eastAsia="Arial" w:hAnsi="Arial"/>
                <w:sz w:val="16"/>
                <w:szCs w:val="16"/>
                <w:color w:val="auto"/>
              </w:rPr>
              <w:t>providing deep industry expertise and enhancing the competitive positioning of Microsoft’s</w:t>
            </w:r>
          </w:p>
        </w:tc>
        <w:tc>
          <w:tcPr>
            <w:tcW w:w="0" w:type="dxa"/>
            <w:vAlign w:val="bottom"/>
          </w:tcPr>
          <w:p>
            <w:pPr>
              <w:spacing w:after="0"/>
              <w:rPr>
                <w:sz w:val="1"/>
                <w:szCs w:val="1"/>
                <w:color w:val="auto"/>
              </w:rPr>
            </w:pPr>
          </w:p>
        </w:tc>
      </w:tr>
      <w:tr>
        <w:trPr>
          <w:trHeight w:val="187"/>
        </w:trPr>
        <w:tc>
          <w:tcPr>
            <w:tcW w:w="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2"/>
          </w:tcPr>
          <w:p>
            <w:pPr>
              <w:ind w:left="240"/>
              <w:spacing w:after="0"/>
              <w:rPr>
                <w:sz w:val="20"/>
                <w:szCs w:val="20"/>
                <w:color w:val="auto"/>
              </w:rPr>
            </w:pPr>
            <w:r>
              <w:rPr>
                <w:rFonts w:ascii="Arial" w:cs="Arial" w:eastAsia="Arial" w:hAnsi="Arial"/>
                <w:sz w:val="16"/>
                <w:szCs w:val="16"/>
                <w:color w:val="auto"/>
              </w:rPr>
              <w:t>services</w:t>
            </w: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940" w:type="dxa"/>
            <w:vAlign w:val="bottom"/>
            <w:gridSpan w:val="8"/>
          </w:tcPr>
          <w:p>
            <w:pPr>
              <w:ind w:left="80"/>
              <w:spacing w:after="0"/>
              <w:rPr>
                <w:sz w:val="20"/>
                <w:szCs w:val="20"/>
                <w:color w:val="auto"/>
              </w:rPr>
            </w:pPr>
            <w:r>
              <w:rPr>
                <w:rFonts w:ascii="Arial" w:cs="Arial" w:eastAsia="Arial" w:hAnsi="Arial"/>
                <w:sz w:val="16"/>
                <w:szCs w:val="16"/>
                <w:color w:val="auto"/>
              </w:rPr>
              <w:t>•  Expanded both breadth and depth of developer engagement through third-party events and</w:t>
            </w:r>
          </w:p>
        </w:tc>
        <w:tc>
          <w:tcPr>
            <w:tcW w:w="0" w:type="dxa"/>
            <w:vAlign w:val="bottom"/>
          </w:tcPr>
          <w:p>
            <w:pPr>
              <w:spacing w:after="0"/>
              <w:rPr>
                <w:sz w:val="1"/>
                <w:szCs w:val="1"/>
                <w:color w:val="auto"/>
              </w:rPr>
            </w:pPr>
          </w:p>
        </w:tc>
      </w:tr>
      <w:tr>
        <w:trPr>
          <w:trHeight w:val="181"/>
        </w:trPr>
        <w:tc>
          <w:tcPr>
            <w:tcW w:w="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940" w:type="dxa"/>
            <w:vAlign w:val="bottom"/>
            <w:gridSpan w:val="8"/>
          </w:tcPr>
          <w:p>
            <w:pPr>
              <w:ind w:left="240"/>
              <w:spacing w:after="0" w:line="181" w:lineRule="exact"/>
              <w:rPr>
                <w:sz w:val="20"/>
                <w:szCs w:val="20"/>
                <w:color w:val="auto"/>
              </w:rPr>
            </w:pPr>
            <w:r>
              <w:rPr>
                <w:rFonts w:ascii="Arial" w:cs="Arial" w:eastAsia="Arial" w:hAnsi="Arial"/>
                <w:sz w:val="16"/>
                <w:szCs w:val="16"/>
                <w:color w:val="auto"/>
              </w:rPr>
              <w:t>meetups, Microsoft Build, and the rollout of the Cloud Skills Challenge to connect with global</w:t>
            </w:r>
          </w:p>
        </w:tc>
        <w:tc>
          <w:tcPr>
            <w:tcW w:w="0" w:type="dxa"/>
            <w:vAlign w:val="bottom"/>
          </w:tcPr>
          <w:p>
            <w:pPr>
              <w:spacing w:after="0"/>
              <w:rPr>
                <w:sz w:val="1"/>
                <w:szCs w:val="1"/>
                <w:color w:val="auto"/>
              </w:rPr>
            </w:pPr>
          </w:p>
        </w:tc>
      </w:tr>
      <w:tr>
        <w:trPr>
          <w:trHeight w:val="187"/>
        </w:trPr>
        <w:tc>
          <w:tcPr>
            <w:tcW w:w="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60" w:type="dxa"/>
            <w:vAlign w:val="bottom"/>
            <w:gridSpan w:val="3"/>
          </w:tcPr>
          <w:p>
            <w:pPr>
              <w:ind w:left="240"/>
              <w:spacing w:after="0"/>
              <w:rPr>
                <w:sz w:val="20"/>
                <w:szCs w:val="20"/>
                <w:color w:val="auto"/>
              </w:rPr>
            </w:pPr>
            <w:r>
              <w:rPr>
                <w:rFonts w:ascii="Arial" w:cs="Arial" w:eastAsia="Arial" w:hAnsi="Arial"/>
                <w:sz w:val="16"/>
                <w:szCs w:val="16"/>
                <w:color w:val="auto"/>
              </w:rPr>
              <w:t>developers in MS Learn</w:t>
            </w:r>
          </w:p>
        </w:tc>
        <w:tc>
          <w:tcPr>
            <w:tcW w:w="10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940" w:type="dxa"/>
            <w:vAlign w:val="bottom"/>
            <w:gridSpan w:val="8"/>
          </w:tcPr>
          <w:p>
            <w:pPr>
              <w:ind w:left="80"/>
              <w:spacing w:after="0"/>
              <w:rPr>
                <w:sz w:val="20"/>
                <w:szCs w:val="20"/>
                <w:color w:val="auto"/>
              </w:rPr>
            </w:pPr>
            <w:r>
              <w:rPr>
                <w:rFonts w:ascii="Arial" w:cs="Arial" w:eastAsia="Arial" w:hAnsi="Arial"/>
                <w:sz w:val="16"/>
                <w:szCs w:val="16"/>
                <w:color w:val="auto"/>
                <w:w w:val="99"/>
              </w:rPr>
              <w:t>•  Championed efforts to elevate the role of the manager, especially through the remote pandemic</w:t>
            </w:r>
          </w:p>
        </w:tc>
        <w:tc>
          <w:tcPr>
            <w:tcW w:w="0" w:type="dxa"/>
            <w:vAlign w:val="bottom"/>
          </w:tcPr>
          <w:p>
            <w:pPr>
              <w:spacing w:after="0"/>
              <w:rPr>
                <w:sz w:val="1"/>
                <w:szCs w:val="1"/>
                <w:color w:val="auto"/>
              </w:rPr>
            </w:pPr>
          </w:p>
        </w:tc>
      </w:tr>
      <w:tr>
        <w:trPr>
          <w:trHeight w:val="181"/>
        </w:trPr>
        <w:tc>
          <w:tcPr>
            <w:tcW w:w="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940" w:type="dxa"/>
            <w:vAlign w:val="bottom"/>
            <w:gridSpan w:val="8"/>
          </w:tcPr>
          <w:p>
            <w:pPr>
              <w:ind w:left="240"/>
              <w:spacing w:after="0" w:line="181" w:lineRule="exact"/>
              <w:rPr>
                <w:sz w:val="20"/>
                <w:szCs w:val="20"/>
                <w:color w:val="auto"/>
              </w:rPr>
            </w:pPr>
            <w:r>
              <w:rPr>
                <w:rFonts w:ascii="Arial" w:cs="Arial" w:eastAsia="Arial" w:hAnsi="Arial"/>
                <w:sz w:val="16"/>
                <w:szCs w:val="16"/>
                <w:color w:val="auto"/>
              </w:rPr>
              <w:t>environment, setting the stage to serve as executive sponsor of The Forum for Partners and</w:t>
            </w:r>
          </w:p>
        </w:tc>
        <w:tc>
          <w:tcPr>
            <w:tcW w:w="0" w:type="dxa"/>
            <w:vAlign w:val="bottom"/>
          </w:tcPr>
          <w:p>
            <w:pPr>
              <w:spacing w:after="0"/>
              <w:rPr>
                <w:sz w:val="1"/>
                <w:szCs w:val="1"/>
                <w:color w:val="auto"/>
              </w:rPr>
            </w:pPr>
          </w:p>
        </w:tc>
      </w:tr>
      <w:tr>
        <w:trPr>
          <w:trHeight w:val="187"/>
        </w:trPr>
        <w:tc>
          <w:tcPr>
            <w:tcW w:w="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940" w:type="dxa"/>
            <w:vAlign w:val="bottom"/>
            <w:gridSpan w:val="8"/>
          </w:tcPr>
          <w:p>
            <w:pPr>
              <w:ind w:left="240"/>
              <w:spacing w:after="0"/>
              <w:rPr>
                <w:sz w:val="20"/>
                <w:szCs w:val="20"/>
                <w:color w:val="auto"/>
              </w:rPr>
            </w:pPr>
            <w:r>
              <w:rPr>
                <w:rFonts w:ascii="Arial" w:cs="Arial" w:eastAsia="Arial" w:hAnsi="Arial"/>
                <w:sz w:val="16"/>
                <w:szCs w:val="16"/>
                <w:color w:val="auto"/>
              </w:rPr>
              <w:t>Manager Coaching to promote our leadership principles and manager framework</w:t>
            </w:r>
          </w:p>
        </w:tc>
        <w:tc>
          <w:tcPr>
            <w:tcW w:w="0" w:type="dxa"/>
            <w:vAlign w:val="bottom"/>
          </w:tcPr>
          <w:p>
            <w:pPr>
              <w:spacing w:after="0"/>
              <w:rPr>
                <w:sz w:val="1"/>
                <w:szCs w:val="1"/>
                <w:color w:val="auto"/>
              </w:rPr>
            </w:pPr>
          </w:p>
        </w:tc>
      </w:tr>
      <w:tr>
        <w:trPr>
          <w:trHeight w:val="32"/>
        </w:trPr>
        <w:tc>
          <w:tcPr>
            <w:tcW w:w="1780" w:type="dxa"/>
            <w:vAlign w:val="bottom"/>
            <w:tcBorders>
              <w:bottom w:val="single" w:sz="8" w:color="0075C9"/>
            </w:tcBorders>
            <w:gridSpan w:val="2"/>
          </w:tcPr>
          <w:p>
            <w:pPr>
              <w:spacing w:after="0"/>
              <w:rPr>
                <w:sz w:val="2"/>
                <w:szCs w:val="2"/>
                <w:color w:val="auto"/>
              </w:rPr>
            </w:pPr>
          </w:p>
        </w:tc>
        <w:tc>
          <w:tcPr>
            <w:tcW w:w="40" w:type="dxa"/>
            <w:vAlign w:val="bottom"/>
            <w:tcBorders>
              <w:bottom w:val="single" w:sz="8" w:color="0075C9"/>
            </w:tcBorders>
          </w:tcPr>
          <w:p>
            <w:pPr>
              <w:spacing w:after="0"/>
              <w:rPr>
                <w:sz w:val="2"/>
                <w:szCs w:val="2"/>
                <w:color w:val="auto"/>
              </w:rPr>
            </w:pPr>
          </w:p>
        </w:tc>
        <w:tc>
          <w:tcPr>
            <w:tcW w:w="280" w:type="dxa"/>
            <w:vAlign w:val="bottom"/>
            <w:tcBorders>
              <w:bottom w:val="single" w:sz="8" w:color="0075C9"/>
            </w:tcBorders>
          </w:tcPr>
          <w:p>
            <w:pPr>
              <w:spacing w:after="0"/>
              <w:rPr>
                <w:sz w:val="2"/>
                <w:szCs w:val="2"/>
                <w:color w:val="auto"/>
              </w:rPr>
            </w:pPr>
          </w:p>
        </w:tc>
        <w:tc>
          <w:tcPr>
            <w:tcW w:w="6940" w:type="dxa"/>
            <w:vAlign w:val="bottom"/>
            <w:tcBorders>
              <w:bottom w:val="single" w:sz="8" w:color="0075C9"/>
            </w:tcBorders>
            <w:gridSpan w:val="8"/>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0075C9"/>
              </w:rPr>
              <w:t>Bradford L. Smith</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940" w:type="dxa"/>
            <w:vAlign w:val="bottom"/>
            <w:gridSpan w:val="8"/>
          </w:tcPr>
          <w:p>
            <w:pPr>
              <w:ind w:left="80"/>
              <w:spacing w:after="0"/>
              <w:rPr>
                <w:sz w:val="20"/>
                <w:szCs w:val="20"/>
                <w:color w:val="auto"/>
              </w:rPr>
            </w:pPr>
            <w:r>
              <w:rPr>
                <w:rFonts w:ascii="Arial" w:cs="Arial" w:eastAsia="Arial" w:hAnsi="Arial"/>
                <w:sz w:val="16"/>
                <w:szCs w:val="16"/>
                <w:color w:val="auto"/>
              </w:rPr>
              <w:t>•  Published the first Microsoft Environmental Sustainability Report announcing strong progress</w:t>
            </w:r>
          </w:p>
        </w:tc>
        <w:tc>
          <w:tcPr>
            <w:tcW w:w="0" w:type="dxa"/>
            <w:vAlign w:val="bottom"/>
          </w:tcPr>
          <w:p>
            <w:pPr>
              <w:spacing w:after="0"/>
              <w:rPr>
                <w:sz w:val="1"/>
                <w:szCs w:val="1"/>
                <w:color w:val="auto"/>
              </w:rPr>
            </w:pPr>
          </w:p>
        </w:tc>
      </w:tr>
      <w:tr>
        <w:trPr>
          <w:trHeight w:val="181"/>
        </w:trPr>
        <w:tc>
          <w:tcPr>
            <w:tcW w:w="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940" w:type="dxa"/>
            <w:vAlign w:val="bottom"/>
            <w:gridSpan w:val="8"/>
          </w:tcPr>
          <w:p>
            <w:pPr>
              <w:ind w:left="240"/>
              <w:spacing w:after="0" w:line="181" w:lineRule="exact"/>
              <w:rPr>
                <w:sz w:val="20"/>
                <w:szCs w:val="20"/>
                <w:color w:val="auto"/>
              </w:rPr>
            </w:pPr>
            <w:r>
              <w:rPr>
                <w:rFonts w:ascii="Arial" w:cs="Arial" w:eastAsia="Arial" w:hAnsi="Arial"/>
                <w:sz w:val="16"/>
                <w:szCs w:val="16"/>
                <w:color w:val="auto"/>
              </w:rPr>
              <w:t>towards our commitment to become carbon negative by 2030, on track to our goal with a</w:t>
            </w:r>
          </w:p>
        </w:tc>
        <w:tc>
          <w:tcPr>
            <w:tcW w:w="0" w:type="dxa"/>
            <w:vAlign w:val="bottom"/>
          </w:tcPr>
          <w:p>
            <w:pPr>
              <w:spacing w:after="0"/>
              <w:rPr>
                <w:sz w:val="1"/>
                <w:szCs w:val="1"/>
                <w:color w:val="auto"/>
              </w:rPr>
            </w:pPr>
          </w:p>
        </w:tc>
      </w:tr>
      <w:tr>
        <w:trPr>
          <w:trHeight w:val="181"/>
        </w:trPr>
        <w:tc>
          <w:tcPr>
            <w:tcW w:w="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940" w:type="dxa"/>
            <w:vAlign w:val="bottom"/>
            <w:gridSpan w:val="8"/>
          </w:tcPr>
          <w:p>
            <w:pPr>
              <w:ind w:left="240"/>
              <w:spacing w:after="0" w:line="181" w:lineRule="exact"/>
              <w:rPr>
                <w:sz w:val="20"/>
                <w:szCs w:val="20"/>
                <w:color w:val="auto"/>
              </w:rPr>
            </w:pPr>
            <w:r>
              <w:rPr>
                <w:rFonts w:ascii="Arial" w:cs="Arial" w:eastAsia="Arial" w:hAnsi="Arial"/>
                <w:sz w:val="16"/>
                <w:szCs w:val="16"/>
                <w:color w:val="auto"/>
                <w:w w:val="97"/>
              </w:rPr>
              <w:t>significant reduction in our emissions during the first year. Completed the largest carbon removal</w:t>
            </w:r>
          </w:p>
        </w:tc>
        <w:tc>
          <w:tcPr>
            <w:tcW w:w="0" w:type="dxa"/>
            <w:vAlign w:val="bottom"/>
          </w:tcPr>
          <w:p>
            <w:pPr>
              <w:spacing w:after="0"/>
              <w:rPr>
                <w:sz w:val="1"/>
                <w:szCs w:val="1"/>
                <w:color w:val="auto"/>
              </w:rPr>
            </w:pPr>
          </w:p>
        </w:tc>
      </w:tr>
      <w:tr>
        <w:trPr>
          <w:trHeight w:val="181"/>
        </w:trPr>
        <w:tc>
          <w:tcPr>
            <w:tcW w:w="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940" w:type="dxa"/>
            <w:vAlign w:val="bottom"/>
            <w:gridSpan w:val="8"/>
          </w:tcPr>
          <w:p>
            <w:pPr>
              <w:ind w:left="240"/>
              <w:spacing w:after="0" w:line="181" w:lineRule="exact"/>
              <w:rPr>
                <w:sz w:val="20"/>
                <w:szCs w:val="20"/>
                <w:color w:val="auto"/>
              </w:rPr>
            </w:pPr>
            <w:r>
              <w:rPr>
                <w:rFonts w:ascii="Arial" w:cs="Arial" w:eastAsia="Arial" w:hAnsi="Arial"/>
                <w:sz w:val="16"/>
                <w:szCs w:val="16"/>
                <w:color w:val="auto"/>
              </w:rPr>
              <w:t>purchase in business history of 1.3 million metric tons and continued to enhance our practices,</w:t>
            </w:r>
          </w:p>
        </w:tc>
        <w:tc>
          <w:tcPr>
            <w:tcW w:w="0" w:type="dxa"/>
            <w:vAlign w:val="bottom"/>
          </w:tcPr>
          <w:p>
            <w:pPr>
              <w:spacing w:after="0"/>
              <w:rPr>
                <w:sz w:val="1"/>
                <w:szCs w:val="1"/>
                <w:color w:val="auto"/>
              </w:rPr>
            </w:pPr>
          </w:p>
        </w:tc>
      </w:tr>
      <w:tr>
        <w:trPr>
          <w:trHeight w:val="181"/>
        </w:trPr>
        <w:tc>
          <w:tcPr>
            <w:tcW w:w="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940" w:type="dxa"/>
            <w:vAlign w:val="bottom"/>
            <w:gridSpan w:val="8"/>
          </w:tcPr>
          <w:p>
            <w:pPr>
              <w:ind w:left="240"/>
              <w:spacing w:after="0" w:line="181" w:lineRule="exact"/>
              <w:rPr>
                <w:sz w:val="20"/>
                <w:szCs w:val="20"/>
                <w:color w:val="auto"/>
              </w:rPr>
            </w:pPr>
            <w:r>
              <w:rPr>
                <w:rFonts w:ascii="Arial" w:cs="Arial" w:eastAsia="Arial" w:hAnsi="Arial"/>
                <w:sz w:val="16"/>
                <w:szCs w:val="16"/>
                <w:color w:val="auto"/>
                <w:w w:val="99"/>
              </w:rPr>
              <w:t>such as expanding our internal carbon tax and launching a more aggressive renewable energy</w:t>
            </w:r>
          </w:p>
        </w:tc>
        <w:tc>
          <w:tcPr>
            <w:tcW w:w="0" w:type="dxa"/>
            <w:vAlign w:val="bottom"/>
          </w:tcPr>
          <w:p>
            <w:pPr>
              <w:spacing w:after="0"/>
              <w:rPr>
                <w:sz w:val="1"/>
                <w:szCs w:val="1"/>
                <w:color w:val="auto"/>
              </w:rPr>
            </w:pPr>
          </w:p>
        </w:tc>
      </w:tr>
      <w:tr>
        <w:trPr>
          <w:trHeight w:val="187"/>
        </w:trPr>
        <w:tc>
          <w:tcPr>
            <w:tcW w:w="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80" w:type="dxa"/>
            <w:vAlign w:val="bottom"/>
            <w:gridSpan w:val="4"/>
          </w:tcPr>
          <w:p>
            <w:pPr>
              <w:ind w:left="240"/>
              <w:spacing w:after="0"/>
              <w:rPr>
                <w:sz w:val="20"/>
                <w:szCs w:val="20"/>
                <w:color w:val="auto"/>
              </w:rPr>
            </w:pPr>
            <w:r>
              <w:rPr>
                <w:rFonts w:ascii="Arial" w:cs="Arial" w:eastAsia="Arial" w:hAnsi="Arial"/>
                <w:sz w:val="16"/>
                <w:szCs w:val="16"/>
                <w:color w:val="auto"/>
              </w:rPr>
              <w:t>strategy for our data centers</w:t>
            </w:r>
          </w:p>
        </w:tc>
        <w:tc>
          <w:tcPr>
            <w:tcW w:w="5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940" w:type="dxa"/>
            <w:vAlign w:val="bottom"/>
            <w:gridSpan w:val="8"/>
          </w:tcPr>
          <w:p>
            <w:pPr>
              <w:ind w:left="80"/>
              <w:spacing w:after="0"/>
              <w:rPr>
                <w:sz w:val="20"/>
                <w:szCs w:val="20"/>
                <w:color w:val="auto"/>
              </w:rPr>
            </w:pPr>
            <w:r>
              <w:rPr>
                <w:rFonts w:ascii="Arial" w:cs="Arial" w:eastAsia="Arial" w:hAnsi="Arial"/>
                <w:sz w:val="16"/>
                <w:szCs w:val="16"/>
                <w:color w:val="auto"/>
              </w:rPr>
              <w:t>•  Launched a 5-year commitment to build on our existing initiatives and bridge the “Disability</w:t>
            </w:r>
          </w:p>
        </w:tc>
        <w:tc>
          <w:tcPr>
            <w:tcW w:w="0" w:type="dxa"/>
            <w:vAlign w:val="bottom"/>
          </w:tcPr>
          <w:p>
            <w:pPr>
              <w:spacing w:after="0"/>
              <w:rPr>
                <w:sz w:val="1"/>
                <w:szCs w:val="1"/>
                <w:color w:val="auto"/>
              </w:rPr>
            </w:pPr>
          </w:p>
        </w:tc>
      </w:tr>
      <w:tr>
        <w:trPr>
          <w:trHeight w:val="181"/>
        </w:trPr>
        <w:tc>
          <w:tcPr>
            <w:tcW w:w="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940" w:type="dxa"/>
            <w:vAlign w:val="bottom"/>
            <w:gridSpan w:val="8"/>
          </w:tcPr>
          <w:p>
            <w:pPr>
              <w:ind w:left="240"/>
              <w:spacing w:after="0" w:line="181" w:lineRule="exact"/>
              <w:rPr>
                <w:sz w:val="20"/>
                <w:szCs w:val="20"/>
                <w:color w:val="auto"/>
              </w:rPr>
            </w:pPr>
            <w:r>
              <w:rPr>
                <w:rFonts w:ascii="Arial" w:cs="Arial" w:eastAsia="Arial" w:hAnsi="Arial"/>
                <w:sz w:val="16"/>
                <w:szCs w:val="16"/>
                <w:color w:val="auto"/>
                <w:w w:val="98"/>
              </w:rPr>
              <w:t>Divide” by opening doors for people with disabilities through investment in technology, workforce</w:t>
            </w:r>
          </w:p>
        </w:tc>
        <w:tc>
          <w:tcPr>
            <w:tcW w:w="0" w:type="dxa"/>
            <w:vAlign w:val="bottom"/>
          </w:tcPr>
          <w:p>
            <w:pPr>
              <w:spacing w:after="0"/>
              <w:rPr>
                <w:sz w:val="1"/>
                <w:szCs w:val="1"/>
                <w:color w:val="auto"/>
              </w:rPr>
            </w:pPr>
          </w:p>
        </w:tc>
      </w:tr>
      <w:tr>
        <w:trPr>
          <w:trHeight w:val="187"/>
        </w:trPr>
        <w:tc>
          <w:tcPr>
            <w:tcW w:w="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2"/>
          </w:tcPr>
          <w:p>
            <w:pPr>
              <w:ind w:left="240"/>
              <w:spacing w:after="0"/>
              <w:rPr>
                <w:sz w:val="20"/>
                <w:szCs w:val="20"/>
                <w:color w:val="auto"/>
              </w:rPr>
            </w:pPr>
            <w:r>
              <w:rPr>
                <w:rFonts w:ascii="Arial" w:cs="Arial" w:eastAsia="Arial" w:hAnsi="Arial"/>
                <w:sz w:val="16"/>
                <w:szCs w:val="16"/>
                <w:color w:val="auto"/>
              </w:rPr>
              <w:t>and workplace</w:t>
            </w: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940" w:type="dxa"/>
            <w:vAlign w:val="bottom"/>
            <w:gridSpan w:val="8"/>
          </w:tcPr>
          <w:p>
            <w:pPr>
              <w:ind w:left="80"/>
              <w:spacing w:after="0"/>
              <w:rPr>
                <w:sz w:val="20"/>
                <w:szCs w:val="20"/>
                <w:color w:val="auto"/>
              </w:rPr>
            </w:pPr>
            <w:r>
              <w:rPr>
                <w:rFonts w:ascii="Arial" w:cs="Arial" w:eastAsia="Arial" w:hAnsi="Arial"/>
                <w:sz w:val="16"/>
                <w:szCs w:val="16"/>
                <w:color w:val="auto"/>
              </w:rPr>
              <w:t>•  Led the Strengthening our Communities pillar of Microsoft’s Racial Equity Initiative across four</w:t>
            </w:r>
          </w:p>
        </w:tc>
        <w:tc>
          <w:tcPr>
            <w:tcW w:w="0" w:type="dxa"/>
            <w:vAlign w:val="bottom"/>
          </w:tcPr>
          <w:p>
            <w:pPr>
              <w:spacing w:after="0"/>
              <w:rPr>
                <w:sz w:val="1"/>
                <w:szCs w:val="1"/>
                <w:color w:val="auto"/>
              </w:rPr>
            </w:pPr>
          </w:p>
        </w:tc>
      </w:tr>
      <w:tr>
        <w:trPr>
          <w:trHeight w:val="187"/>
        </w:trPr>
        <w:tc>
          <w:tcPr>
            <w:tcW w:w="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940" w:type="dxa"/>
            <w:vAlign w:val="bottom"/>
            <w:gridSpan w:val="8"/>
          </w:tcPr>
          <w:p>
            <w:pPr>
              <w:ind w:left="240"/>
              <w:spacing w:after="0"/>
              <w:rPr>
                <w:sz w:val="20"/>
                <w:szCs w:val="20"/>
                <w:color w:val="auto"/>
              </w:rPr>
            </w:pPr>
            <w:r>
              <w:rPr>
                <w:rFonts w:ascii="Arial" w:cs="Arial" w:eastAsia="Arial" w:hAnsi="Arial"/>
                <w:sz w:val="16"/>
                <w:szCs w:val="16"/>
                <w:color w:val="auto"/>
              </w:rPr>
              <w:t>prongs of justice reform, urban broadband, skills and education, and support for nonprofits</w:t>
            </w:r>
          </w:p>
        </w:tc>
        <w:tc>
          <w:tcPr>
            <w:tcW w:w="0" w:type="dxa"/>
            <w:vAlign w:val="bottom"/>
          </w:tcPr>
          <w:p>
            <w:pPr>
              <w:spacing w:after="0"/>
              <w:rPr>
                <w:sz w:val="1"/>
                <w:szCs w:val="1"/>
                <w:color w:val="auto"/>
              </w:rPr>
            </w:pPr>
          </w:p>
        </w:tc>
      </w:tr>
      <w:tr>
        <w:trPr>
          <w:trHeight w:val="254"/>
        </w:trPr>
        <w:tc>
          <w:tcPr>
            <w:tcW w:w="2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940" w:type="dxa"/>
            <w:vAlign w:val="bottom"/>
            <w:gridSpan w:val="8"/>
          </w:tcPr>
          <w:p>
            <w:pPr>
              <w:ind w:left="80"/>
              <w:spacing w:after="0"/>
              <w:rPr>
                <w:sz w:val="20"/>
                <w:szCs w:val="20"/>
                <w:color w:val="auto"/>
              </w:rPr>
            </w:pPr>
            <w:r>
              <w:rPr>
                <w:rFonts w:ascii="Arial" w:cs="Arial" w:eastAsia="Arial" w:hAnsi="Arial"/>
                <w:sz w:val="16"/>
                <w:szCs w:val="16"/>
                <w:color w:val="auto"/>
              </w:rPr>
              <w:t>•  Brought clear focus on the criticality of security, including effective public outreach to</w:t>
            </w:r>
          </w:p>
        </w:tc>
        <w:tc>
          <w:tcPr>
            <w:tcW w:w="0" w:type="dxa"/>
            <w:vAlign w:val="bottom"/>
          </w:tcPr>
          <w:p>
            <w:pPr>
              <w:spacing w:after="0"/>
              <w:rPr>
                <w:sz w:val="1"/>
                <w:szCs w:val="1"/>
                <w:color w:val="auto"/>
              </w:rPr>
            </w:pPr>
          </w:p>
        </w:tc>
      </w:tr>
      <w:tr>
        <w:trPr>
          <w:trHeight w:val="181"/>
        </w:trPr>
        <w:tc>
          <w:tcPr>
            <w:tcW w:w="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940" w:type="dxa"/>
            <w:vAlign w:val="bottom"/>
            <w:gridSpan w:val="8"/>
          </w:tcPr>
          <w:p>
            <w:pPr>
              <w:ind w:left="240"/>
              <w:spacing w:after="0" w:line="181" w:lineRule="exact"/>
              <w:rPr>
                <w:sz w:val="20"/>
                <w:szCs w:val="20"/>
                <w:color w:val="auto"/>
              </w:rPr>
            </w:pPr>
            <w:r>
              <w:rPr>
                <w:rFonts w:ascii="Arial" w:cs="Arial" w:eastAsia="Arial" w:hAnsi="Arial"/>
                <w:sz w:val="16"/>
                <w:szCs w:val="16"/>
                <w:color w:val="auto"/>
                <w:w w:val="98"/>
              </w:rPr>
              <w:t>governments and testimony before multiple congressional committees. Took additional action to</w:t>
            </w:r>
          </w:p>
        </w:tc>
        <w:tc>
          <w:tcPr>
            <w:tcW w:w="0" w:type="dxa"/>
            <w:vAlign w:val="bottom"/>
          </w:tcPr>
          <w:p>
            <w:pPr>
              <w:spacing w:after="0"/>
              <w:rPr>
                <w:sz w:val="1"/>
                <w:szCs w:val="1"/>
                <w:color w:val="auto"/>
              </w:rPr>
            </w:pPr>
          </w:p>
        </w:tc>
      </w:tr>
      <w:tr>
        <w:trPr>
          <w:trHeight w:val="181"/>
        </w:trPr>
        <w:tc>
          <w:tcPr>
            <w:tcW w:w="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940" w:type="dxa"/>
            <w:vAlign w:val="bottom"/>
            <w:gridSpan w:val="8"/>
          </w:tcPr>
          <w:p>
            <w:pPr>
              <w:ind w:left="240"/>
              <w:spacing w:after="0" w:line="181" w:lineRule="exact"/>
              <w:rPr>
                <w:sz w:val="20"/>
                <w:szCs w:val="20"/>
                <w:color w:val="auto"/>
              </w:rPr>
            </w:pPr>
            <w:r>
              <w:rPr>
                <w:rFonts w:ascii="Arial" w:cs="Arial" w:eastAsia="Arial" w:hAnsi="Arial"/>
                <w:sz w:val="16"/>
                <w:szCs w:val="16"/>
                <w:color w:val="auto"/>
              </w:rPr>
              <w:t>disrupt nation-state and criminal activity, advance international norms, and create an internal</w:t>
            </w:r>
          </w:p>
        </w:tc>
        <w:tc>
          <w:tcPr>
            <w:tcW w:w="0" w:type="dxa"/>
            <w:vAlign w:val="bottom"/>
          </w:tcPr>
          <w:p>
            <w:pPr>
              <w:spacing w:after="0"/>
              <w:rPr>
                <w:sz w:val="1"/>
                <w:szCs w:val="1"/>
                <w:color w:val="auto"/>
              </w:rPr>
            </w:pPr>
          </w:p>
        </w:tc>
      </w:tr>
      <w:tr>
        <w:trPr>
          <w:trHeight w:val="187"/>
        </w:trPr>
        <w:tc>
          <w:tcPr>
            <w:tcW w:w="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80" w:type="dxa"/>
            <w:vAlign w:val="bottom"/>
            <w:gridSpan w:val="4"/>
          </w:tcPr>
          <w:p>
            <w:pPr>
              <w:ind w:left="240"/>
              <w:spacing w:after="0"/>
              <w:rPr>
                <w:sz w:val="20"/>
                <w:szCs w:val="20"/>
                <w:color w:val="auto"/>
              </w:rPr>
            </w:pPr>
            <w:r>
              <w:rPr>
                <w:rFonts w:ascii="Arial" w:cs="Arial" w:eastAsia="Arial" w:hAnsi="Arial"/>
                <w:sz w:val="16"/>
                <w:szCs w:val="16"/>
                <w:color w:val="auto"/>
              </w:rPr>
              <w:t>geo-political intelligence capability</w:t>
            </w:r>
          </w:p>
        </w:tc>
        <w:tc>
          <w:tcPr>
            <w:tcW w:w="5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940" w:type="dxa"/>
            <w:vAlign w:val="bottom"/>
            <w:gridSpan w:val="8"/>
          </w:tcPr>
          <w:p>
            <w:pPr>
              <w:ind w:left="80"/>
              <w:spacing w:after="0"/>
              <w:rPr>
                <w:sz w:val="20"/>
                <w:szCs w:val="20"/>
                <w:color w:val="auto"/>
              </w:rPr>
            </w:pPr>
            <w:r>
              <w:rPr>
                <w:rFonts w:ascii="Arial" w:cs="Arial" w:eastAsia="Arial" w:hAnsi="Arial"/>
                <w:sz w:val="16"/>
                <w:szCs w:val="16"/>
                <w:color w:val="auto"/>
              </w:rPr>
              <w:t>• Surpassed Global Skills Initiative goal to bring digital skills to 25 million people worldwide and</w:t>
            </w:r>
          </w:p>
        </w:tc>
        <w:tc>
          <w:tcPr>
            <w:tcW w:w="0" w:type="dxa"/>
            <w:vAlign w:val="bottom"/>
          </w:tcPr>
          <w:p>
            <w:pPr>
              <w:spacing w:after="0"/>
              <w:rPr>
                <w:sz w:val="1"/>
                <w:szCs w:val="1"/>
                <w:color w:val="auto"/>
              </w:rPr>
            </w:pPr>
          </w:p>
        </w:tc>
      </w:tr>
      <w:tr>
        <w:trPr>
          <w:trHeight w:val="181"/>
        </w:trPr>
        <w:tc>
          <w:tcPr>
            <w:tcW w:w="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940" w:type="dxa"/>
            <w:vAlign w:val="bottom"/>
            <w:gridSpan w:val="8"/>
          </w:tcPr>
          <w:p>
            <w:pPr>
              <w:ind w:left="240"/>
              <w:spacing w:after="0" w:line="181" w:lineRule="exact"/>
              <w:rPr>
                <w:sz w:val="20"/>
                <w:szCs w:val="20"/>
                <w:color w:val="auto"/>
              </w:rPr>
            </w:pPr>
            <w:r>
              <w:rPr>
                <w:rFonts w:ascii="Arial" w:cs="Arial" w:eastAsia="Arial" w:hAnsi="Arial"/>
                <w:sz w:val="16"/>
                <w:szCs w:val="16"/>
                <w:color w:val="auto"/>
                <w:w w:val="96"/>
              </w:rPr>
              <w:t>doubled down on efforts to support a more inclusive skills-based labor market, including extended</w:t>
            </w:r>
          </w:p>
        </w:tc>
        <w:tc>
          <w:tcPr>
            <w:tcW w:w="0" w:type="dxa"/>
            <w:vAlign w:val="bottom"/>
          </w:tcPr>
          <w:p>
            <w:pPr>
              <w:spacing w:after="0"/>
              <w:rPr>
                <w:sz w:val="1"/>
                <w:szCs w:val="1"/>
                <w:color w:val="auto"/>
              </w:rPr>
            </w:pPr>
          </w:p>
        </w:tc>
      </w:tr>
      <w:tr>
        <w:trPr>
          <w:trHeight w:val="187"/>
        </w:trPr>
        <w:tc>
          <w:tcPr>
            <w:tcW w:w="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160" w:type="dxa"/>
            <w:vAlign w:val="bottom"/>
            <w:gridSpan w:val="6"/>
          </w:tcPr>
          <w:p>
            <w:pPr>
              <w:ind w:left="240"/>
              <w:spacing w:after="0"/>
              <w:rPr>
                <w:sz w:val="20"/>
                <w:szCs w:val="20"/>
                <w:color w:val="auto"/>
              </w:rPr>
            </w:pPr>
            <w:r>
              <w:rPr>
                <w:rFonts w:ascii="Arial" w:cs="Arial" w:eastAsia="Arial" w:hAnsi="Arial"/>
                <w:sz w:val="16"/>
                <w:szCs w:val="16"/>
                <w:color w:val="auto"/>
              </w:rPr>
              <w:t>free content and certification offerings to the end of 2021</w:t>
            </w:r>
          </w:p>
        </w:tc>
        <w:tc>
          <w:tcPr>
            <w:tcW w:w="5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940" w:type="dxa"/>
            <w:vAlign w:val="bottom"/>
            <w:gridSpan w:val="8"/>
          </w:tcPr>
          <w:p>
            <w:pPr>
              <w:ind w:left="80"/>
              <w:spacing w:after="0"/>
              <w:rPr>
                <w:sz w:val="20"/>
                <w:szCs w:val="20"/>
                <w:color w:val="auto"/>
              </w:rPr>
            </w:pPr>
            <w:r>
              <w:rPr>
                <w:rFonts w:ascii="Arial" w:cs="Arial" w:eastAsia="Arial" w:hAnsi="Arial"/>
                <w:sz w:val="16"/>
                <w:szCs w:val="16"/>
                <w:color w:val="auto"/>
                <w:w w:val="99"/>
              </w:rPr>
              <w:t>•  Pursued enhancements to the Responsible AI Standard and advanced work to integrate further</w:t>
            </w:r>
          </w:p>
        </w:tc>
        <w:tc>
          <w:tcPr>
            <w:tcW w:w="0" w:type="dxa"/>
            <w:vAlign w:val="bottom"/>
          </w:tcPr>
          <w:p>
            <w:pPr>
              <w:spacing w:after="0"/>
              <w:rPr>
                <w:sz w:val="1"/>
                <w:szCs w:val="1"/>
                <w:color w:val="auto"/>
              </w:rPr>
            </w:pPr>
          </w:p>
        </w:tc>
      </w:tr>
      <w:tr>
        <w:trPr>
          <w:trHeight w:val="181"/>
        </w:trPr>
        <w:tc>
          <w:tcPr>
            <w:tcW w:w="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940" w:type="dxa"/>
            <w:vAlign w:val="bottom"/>
            <w:gridSpan w:val="8"/>
          </w:tcPr>
          <w:p>
            <w:pPr>
              <w:ind w:left="240"/>
              <w:spacing w:after="0" w:line="181" w:lineRule="exact"/>
              <w:rPr>
                <w:sz w:val="20"/>
                <w:szCs w:val="20"/>
                <w:color w:val="auto"/>
              </w:rPr>
            </w:pPr>
            <w:r>
              <w:rPr>
                <w:rFonts w:ascii="Arial" w:cs="Arial" w:eastAsia="Arial" w:hAnsi="Arial"/>
                <w:sz w:val="16"/>
                <w:szCs w:val="16"/>
                <w:color w:val="auto"/>
              </w:rPr>
              <w:t>within engineering groups, while continuing to advance Microsoft’s external reputation as an</w:t>
            </w:r>
          </w:p>
        </w:tc>
        <w:tc>
          <w:tcPr>
            <w:tcW w:w="0" w:type="dxa"/>
            <w:vAlign w:val="bottom"/>
          </w:tcPr>
          <w:p>
            <w:pPr>
              <w:spacing w:after="0"/>
              <w:rPr>
                <w:sz w:val="1"/>
                <w:szCs w:val="1"/>
                <w:color w:val="auto"/>
              </w:rPr>
            </w:pPr>
          </w:p>
        </w:tc>
      </w:tr>
      <w:tr>
        <w:trPr>
          <w:trHeight w:val="181"/>
        </w:trPr>
        <w:tc>
          <w:tcPr>
            <w:tcW w:w="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940" w:type="dxa"/>
            <w:vAlign w:val="bottom"/>
            <w:gridSpan w:val="8"/>
          </w:tcPr>
          <w:p>
            <w:pPr>
              <w:ind w:left="240"/>
              <w:spacing w:after="0" w:line="181" w:lineRule="exact"/>
              <w:rPr>
                <w:sz w:val="20"/>
                <w:szCs w:val="20"/>
                <w:color w:val="auto"/>
              </w:rPr>
            </w:pPr>
            <w:r>
              <w:rPr>
                <w:rFonts w:ascii="Arial" w:cs="Arial" w:eastAsia="Arial" w:hAnsi="Arial"/>
                <w:sz w:val="16"/>
                <w:szCs w:val="16"/>
                <w:color w:val="auto"/>
              </w:rPr>
              <w:t>ethical leader in the responsible AI space, including through additional controls on the use of</w:t>
            </w:r>
          </w:p>
        </w:tc>
        <w:tc>
          <w:tcPr>
            <w:tcW w:w="0" w:type="dxa"/>
            <w:vAlign w:val="bottom"/>
          </w:tcPr>
          <w:p>
            <w:pPr>
              <w:spacing w:after="0"/>
              <w:rPr>
                <w:sz w:val="1"/>
                <w:szCs w:val="1"/>
                <w:color w:val="auto"/>
              </w:rPr>
            </w:pPr>
          </w:p>
        </w:tc>
      </w:tr>
      <w:tr>
        <w:trPr>
          <w:trHeight w:val="187"/>
        </w:trPr>
        <w:tc>
          <w:tcPr>
            <w:tcW w:w="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2"/>
          </w:tcPr>
          <w:p>
            <w:pPr>
              <w:ind w:left="240"/>
              <w:spacing w:after="0"/>
              <w:rPr>
                <w:sz w:val="20"/>
                <w:szCs w:val="20"/>
                <w:color w:val="auto"/>
              </w:rPr>
            </w:pPr>
            <w:r>
              <w:rPr>
                <w:rFonts w:ascii="Arial" w:cs="Arial" w:eastAsia="Arial" w:hAnsi="Arial"/>
                <w:sz w:val="16"/>
                <w:szCs w:val="16"/>
                <w:color w:val="auto"/>
              </w:rPr>
              <w:t>facial recognition</w:t>
            </w: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940" w:type="dxa"/>
            <w:vAlign w:val="bottom"/>
            <w:gridSpan w:val="8"/>
          </w:tcPr>
          <w:p>
            <w:pPr>
              <w:ind w:left="80"/>
              <w:spacing w:after="0"/>
              <w:rPr>
                <w:sz w:val="20"/>
                <w:szCs w:val="20"/>
                <w:color w:val="auto"/>
              </w:rPr>
            </w:pPr>
            <w:r>
              <w:rPr>
                <w:rFonts w:ascii="Arial" w:cs="Arial" w:eastAsia="Arial" w:hAnsi="Arial"/>
                <w:sz w:val="16"/>
                <w:szCs w:val="16"/>
                <w:color w:val="auto"/>
              </w:rPr>
              <w:t>•  Introduced a comprehensive annual regulatory review to further strengthen compliance with</w:t>
            </w:r>
          </w:p>
        </w:tc>
        <w:tc>
          <w:tcPr>
            <w:tcW w:w="0" w:type="dxa"/>
            <w:vAlign w:val="bottom"/>
          </w:tcPr>
          <w:p>
            <w:pPr>
              <w:spacing w:after="0"/>
              <w:rPr>
                <w:sz w:val="1"/>
                <w:szCs w:val="1"/>
                <w:color w:val="auto"/>
              </w:rPr>
            </w:pPr>
          </w:p>
        </w:tc>
      </w:tr>
      <w:tr>
        <w:trPr>
          <w:trHeight w:val="181"/>
        </w:trPr>
        <w:tc>
          <w:tcPr>
            <w:tcW w:w="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940" w:type="dxa"/>
            <w:vAlign w:val="bottom"/>
            <w:gridSpan w:val="8"/>
          </w:tcPr>
          <w:p>
            <w:pPr>
              <w:ind w:left="240"/>
              <w:spacing w:after="0" w:line="181" w:lineRule="exact"/>
              <w:rPr>
                <w:sz w:val="20"/>
                <w:szCs w:val="20"/>
                <w:color w:val="auto"/>
              </w:rPr>
            </w:pPr>
            <w:r>
              <w:rPr>
                <w:rFonts w:ascii="Arial" w:cs="Arial" w:eastAsia="Arial" w:hAnsi="Arial"/>
                <w:sz w:val="16"/>
                <w:szCs w:val="16"/>
                <w:color w:val="auto"/>
              </w:rPr>
              <w:t>global regulation in six fields – privacy, cybersecurity, national security, lawful access, digital</w:t>
            </w:r>
          </w:p>
        </w:tc>
        <w:tc>
          <w:tcPr>
            <w:tcW w:w="0" w:type="dxa"/>
            <w:vAlign w:val="bottom"/>
          </w:tcPr>
          <w:p>
            <w:pPr>
              <w:spacing w:after="0"/>
              <w:rPr>
                <w:sz w:val="1"/>
                <w:szCs w:val="1"/>
                <w:color w:val="auto"/>
              </w:rPr>
            </w:pPr>
          </w:p>
        </w:tc>
      </w:tr>
      <w:tr>
        <w:trPr>
          <w:trHeight w:val="187"/>
        </w:trPr>
        <w:tc>
          <w:tcPr>
            <w:tcW w:w="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60" w:type="dxa"/>
            <w:vAlign w:val="bottom"/>
            <w:gridSpan w:val="3"/>
          </w:tcPr>
          <w:p>
            <w:pPr>
              <w:ind w:left="240"/>
              <w:spacing w:after="0"/>
              <w:rPr>
                <w:sz w:val="20"/>
                <w:szCs w:val="20"/>
                <w:color w:val="auto"/>
              </w:rPr>
            </w:pPr>
            <w:r>
              <w:rPr>
                <w:rFonts w:ascii="Arial" w:cs="Arial" w:eastAsia="Arial" w:hAnsi="Arial"/>
                <w:sz w:val="16"/>
                <w:szCs w:val="16"/>
                <w:color w:val="auto"/>
                <w:w w:val="97"/>
              </w:rPr>
              <w:t>safety, and responsible AI</w:t>
            </w:r>
          </w:p>
        </w:tc>
        <w:tc>
          <w:tcPr>
            <w:tcW w:w="10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1780" w:type="dxa"/>
            <w:vAlign w:val="bottom"/>
            <w:tcBorders>
              <w:bottom w:val="single" w:sz="8" w:color="0075C9"/>
            </w:tcBorders>
            <w:gridSpan w:val="2"/>
          </w:tcPr>
          <w:p>
            <w:pPr>
              <w:spacing w:after="0"/>
              <w:rPr>
                <w:sz w:val="2"/>
                <w:szCs w:val="2"/>
                <w:color w:val="auto"/>
              </w:rPr>
            </w:pPr>
          </w:p>
        </w:tc>
        <w:tc>
          <w:tcPr>
            <w:tcW w:w="40" w:type="dxa"/>
            <w:vAlign w:val="bottom"/>
            <w:tcBorders>
              <w:bottom w:val="single" w:sz="8" w:color="0075C9"/>
            </w:tcBorders>
          </w:tcPr>
          <w:p>
            <w:pPr>
              <w:spacing w:after="0"/>
              <w:rPr>
                <w:sz w:val="2"/>
                <w:szCs w:val="2"/>
                <w:color w:val="auto"/>
              </w:rPr>
            </w:pPr>
          </w:p>
        </w:tc>
        <w:tc>
          <w:tcPr>
            <w:tcW w:w="280" w:type="dxa"/>
            <w:vAlign w:val="bottom"/>
            <w:tcBorders>
              <w:bottom w:val="single" w:sz="8" w:color="0075C9"/>
            </w:tcBorders>
          </w:tcPr>
          <w:p>
            <w:pPr>
              <w:spacing w:after="0"/>
              <w:rPr>
                <w:sz w:val="2"/>
                <w:szCs w:val="2"/>
                <w:color w:val="auto"/>
              </w:rPr>
            </w:pPr>
          </w:p>
        </w:tc>
        <w:tc>
          <w:tcPr>
            <w:tcW w:w="6940" w:type="dxa"/>
            <w:vAlign w:val="bottom"/>
            <w:tcBorders>
              <w:bottom w:val="single" w:sz="8" w:color="0075C9"/>
            </w:tcBorders>
            <w:gridSpan w:val="8"/>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0075C9"/>
              </w:rPr>
              <w:t>Christopher D. Young</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940" w:type="dxa"/>
            <w:vAlign w:val="bottom"/>
            <w:gridSpan w:val="8"/>
          </w:tcPr>
          <w:p>
            <w:pPr>
              <w:ind w:left="80"/>
              <w:spacing w:after="0"/>
              <w:rPr>
                <w:sz w:val="20"/>
                <w:szCs w:val="20"/>
                <w:color w:val="auto"/>
              </w:rPr>
            </w:pPr>
            <w:r>
              <w:rPr>
                <w:rFonts w:ascii="Arial" w:cs="Arial" w:eastAsia="Arial" w:hAnsi="Arial"/>
                <w:sz w:val="16"/>
                <w:szCs w:val="16"/>
                <w:color w:val="auto"/>
              </w:rPr>
              <w:t>•  Successfully committed to mid-year onboarding, and quickly established himself as a strong</w:t>
            </w:r>
          </w:p>
        </w:tc>
        <w:tc>
          <w:tcPr>
            <w:tcW w:w="0" w:type="dxa"/>
            <w:vAlign w:val="bottom"/>
          </w:tcPr>
          <w:p>
            <w:pPr>
              <w:spacing w:after="0"/>
              <w:rPr>
                <w:sz w:val="1"/>
                <w:szCs w:val="1"/>
                <w:color w:val="auto"/>
              </w:rPr>
            </w:pPr>
          </w:p>
        </w:tc>
      </w:tr>
      <w:tr>
        <w:trPr>
          <w:trHeight w:val="187"/>
        </w:trPr>
        <w:tc>
          <w:tcPr>
            <w:tcW w:w="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160" w:type="dxa"/>
            <w:vAlign w:val="bottom"/>
            <w:gridSpan w:val="6"/>
          </w:tcPr>
          <w:p>
            <w:pPr>
              <w:ind w:left="240"/>
              <w:spacing w:after="0"/>
              <w:rPr>
                <w:sz w:val="20"/>
                <w:szCs w:val="20"/>
                <w:color w:val="auto"/>
              </w:rPr>
            </w:pPr>
            <w:r>
              <w:rPr>
                <w:rFonts w:ascii="Arial" w:cs="Arial" w:eastAsia="Arial" w:hAnsi="Arial"/>
                <w:sz w:val="16"/>
                <w:szCs w:val="16"/>
                <w:color w:val="auto"/>
              </w:rPr>
              <w:t>business leader demonstrating impact across the organization</w:t>
            </w:r>
          </w:p>
        </w:tc>
        <w:tc>
          <w:tcPr>
            <w:tcW w:w="5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440" w:right="500" w:hanging="154"/>
        <w:spacing w:after="0" w:line="239" w:lineRule="auto"/>
        <w:rPr>
          <w:sz w:val="20"/>
          <w:szCs w:val="20"/>
          <w:color w:val="auto"/>
        </w:rPr>
      </w:pPr>
      <w:r>
        <w:rPr>
          <w:rFonts w:ascii="Arial" w:cs="Arial" w:eastAsia="Arial" w:hAnsi="Arial"/>
          <w:sz w:val="16"/>
          <w:szCs w:val="16"/>
          <w:color w:val="auto"/>
        </w:rPr>
        <w:t>• Leveraged expertise in security products, the external market, and knowledge of customer problem set to further refine our strategy</w:t>
      </w:r>
    </w:p>
    <w:p>
      <w:pPr>
        <w:spacing w:after="0" w:line="74" w:lineRule="exact"/>
        <w:rPr>
          <w:sz w:val="20"/>
          <w:szCs w:val="20"/>
          <w:color w:val="auto"/>
        </w:rPr>
      </w:pPr>
    </w:p>
    <w:p>
      <w:pPr>
        <w:ind w:left="3280"/>
        <w:spacing w:after="0"/>
        <w:rPr>
          <w:sz w:val="20"/>
          <w:szCs w:val="20"/>
          <w:color w:val="auto"/>
        </w:rPr>
      </w:pPr>
      <w:r>
        <w:rPr>
          <w:rFonts w:ascii="Arial" w:cs="Arial" w:eastAsia="Arial" w:hAnsi="Arial"/>
          <w:sz w:val="14"/>
          <w:szCs w:val="14"/>
          <w:color w:val="auto"/>
        </w:rPr>
        <w:t>•  Expanded existing global partnerships while uncovering and unblocking new growth opportunities</w:t>
      </w:r>
    </w:p>
    <w:p>
      <w:pPr>
        <w:spacing w:after="0" w:line="98" w:lineRule="exact"/>
        <w:rPr>
          <w:sz w:val="20"/>
          <w:szCs w:val="20"/>
          <w:color w:val="auto"/>
        </w:rPr>
      </w:pPr>
    </w:p>
    <w:p>
      <w:pPr>
        <w:ind w:left="3440" w:right="40" w:hanging="154"/>
        <w:spacing w:after="0" w:line="308" w:lineRule="auto"/>
        <w:rPr>
          <w:sz w:val="20"/>
          <w:szCs w:val="20"/>
          <w:color w:val="auto"/>
        </w:rPr>
      </w:pPr>
      <w:r>
        <w:rPr>
          <w:rFonts w:ascii="Arial" w:cs="Arial" w:eastAsia="Arial" w:hAnsi="Arial"/>
          <w:sz w:val="14"/>
          <w:szCs w:val="14"/>
          <w:color w:val="auto"/>
        </w:rPr>
        <w:t>• Implemented further rigor into the evaluation and execution of strategic partnership opportunities, including alliances, venture investments, and joint ventures aligned with our corporate strategy</w:t>
      </w:r>
    </w:p>
    <w:p>
      <w:pPr>
        <w:spacing w:after="0" w:line="27" w:lineRule="exact"/>
        <w:rPr>
          <w:sz w:val="20"/>
          <w:szCs w:val="20"/>
          <w:color w:val="auto"/>
        </w:rPr>
      </w:pPr>
    </w:p>
    <w:p>
      <w:pPr>
        <w:ind w:left="3440" w:right="160" w:hanging="154"/>
        <w:spacing w:after="0" w:line="239" w:lineRule="auto"/>
        <w:rPr>
          <w:sz w:val="20"/>
          <w:szCs w:val="20"/>
          <w:color w:val="auto"/>
        </w:rPr>
      </w:pPr>
      <w:r>
        <w:rPr>
          <w:rFonts w:ascii="Arial" w:cs="Arial" w:eastAsia="Arial" w:hAnsi="Arial"/>
          <w:sz w:val="16"/>
          <w:szCs w:val="16"/>
          <w:color w:val="auto"/>
        </w:rPr>
        <w:t>• Led as a champion for inclusion, increased diversity representation within the organization, and served as active ally to employee resource groups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20955</wp:posOffset>
            </wp:positionV>
            <wp:extent cx="573976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-94615</wp:posOffset>
            </wp:positionV>
            <wp:extent cx="485140" cy="9842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45" w:right="1439" w:bottom="1440" w:gutter="0" w:footer="0" w:header="0"/>
        </w:sectPr>
      </w:pPr>
    </w:p>
    <w:bookmarkStart w:id="56" w:name="page57"/>
    <w:bookmarkEnd w:id="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auto"/>
                <w:w w:val="89"/>
              </w:rPr>
              <w:t>1</w:t>
            </w:r>
          </w:p>
        </w:tc>
        <w:tc>
          <w:tcPr>
            <w:tcW w:w="1380" w:type="dxa"/>
            <w:vAlign w:val="bottom"/>
            <w:vMerge w:val="restart"/>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gridSpan w:val="2"/>
          </w:tcPr>
          <w:p>
            <w:pPr>
              <w:jc w:val="right"/>
              <w:ind w:right="80"/>
              <w:spacing w:after="0"/>
              <w:rPr>
                <w:sz w:val="20"/>
                <w:szCs w:val="20"/>
                <w:color w:val="auto"/>
              </w:rPr>
            </w:pPr>
            <w:r>
              <w:rPr>
                <w:rFonts w:ascii="Arial" w:cs="Arial" w:eastAsia="Arial" w:hAnsi="Arial"/>
                <w:sz w:val="36"/>
                <w:szCs w:val="36"/>
                <w:color w:val="0075C9"/>
              </w:rPr>
              <w:t>2</w:t>
            </w:r>
          </w:p>
        </w:tc>
        <w:tc>
          <w:tcPr>
            <w:tcW w:w="1320" w:type="dxa"/>
            <w:vAlign w:val="bottom"/>
            <w:vMerge w:val="restart"/>
          </w:tcPr>
          <w:p>
            <w:pPr>
              <w:ind w:left="60"/>
              <w:spacing w:after="0"/>
              <w:rPr>
                <w:sz w:val="20"/>
                <w:szCs w:val="20"/>
                <w:color w:val="auto"/>
              </w:rPr>
            </w:pPr>
            <w:r>
              <w:rPr>
                <w:rFonts w:ascii="Arial" w:cs="Arial" w:eastAsia="Arial" w:hAnsi="Arial"/>
                <w:sz w:val="12"/>
                <w:szCs w:val="12"/>
                <w:color w:val="0075C9"/>
              </w:rPr>
              <w:t>NAMED</w:t>
            </w:r>
          </w:p>
        </w:tc>
        <w:tc>
          <w:tcPr>
            <w:tcW w:w="740" w:type="dxa"/>
            <w:vAlign w:val="bottom"/>
          </w:tcPr>
          <w:p>
            <w:pPr>
              <w:jc w:val="right"/>
              <w:spacing w:after="0"/>
              <w:rPr>
                <w:sz w:val="20"/>
                <w:szCs w:val="20"/>
                <w:color w:val="auto"/>
              </w:rPr>
            </w:pPr>
            <w:r>
              <w:rPr>
                <w:rFonts w:ascii="Arial" w:cs="Arial" w:eastAsia="Arial" w:hAnsi="Arial"/>
                <w:sz w:val="36"/>
                <w:szCs w:val="36"/>
                <w:color w:val="auto"/>
              </w:rPr>
              <w:t>3</w:t>
            </w:r>
          </w:p>
        </w:tc>
        <w:tc>
          <w:tcPr>
            <w:tcW w:w="1020" w:type="dxa"/>
            <w:vAlign w:val="bottom"/>
            <w:vMerge w:val="restart"/>
          </w:tcPr>
          <w:p>
            <w:pPr>
              <w:ind w:left="60"/>
              <w:spacing w:after="0"/>
              <w:rPr>
                <w:sz w:val="20"/>
                <w:szCs w:val="20"/>
                <w:color w:val="auto"/>
              </w:rPr>
            </w:pPr>
            <w:r>
              <w:rPr>
                <w:rFonts w:ascii="Arial" w:cs="Arial" w:eastAsia="Arial" w:hAnsi="Arial"/>
                <w:sz w:val="12"/>
                <w:szCs w:val="12"/>
                <w:color w:val="auto"/>
              </w:rPr>
              <w:t>AUDIT</w:t>
            </w:r>
          </w:p>
        </w:tc>
        <w:tc>
          <w:tcPr>
            <w:tcW w:w="500" w:type="dxa"/>
            <w:vAlign w:val="bottom"/>
          </w:tcPr>
          <w:p>
            <w:pPr>
              <w:jc w:val="right"/>
              <w:spacing w:after="0"/>
              <w:rPr>
                <w:sz w:val="20"/>
                <w:szCs w:val="20"/>
                <w:color w:val="auto"/>
              </w:rPr>
            </w:pPr>
            <w:r>
              <w:rPr>
                <w:rFonts w:ascii="Arial" w:cs="Arial" w:eastAsia="Arial" w:hAnsi="Arial"/>
                <w:sz w:val="36"/>
                <w:szCs w:val="36"/>
                <w:color w:val="auto"/>
              </w:rPr>
              <w:t>4</w:t>
            </w:r>
          </w:p>
        </w:tc>
        <w:tc>
          <w:tcPr>
            <w:tcW w:w="1580" w:type="dxa"/>
            <w:vAlign w:val="bottom"/>
            <w:vMerge w:val="restart"/>
          </w:tcPr>
          <w:p>
            <w:pPr>
              <w:ind w:left="80"/>
              <w:spacing w:after="0"/>
              <w:rPr>
                <w:sz w:val="20"/>
                <w:szCs w:val="20"/>
                <w:color w:val="auto"/>
              </w:rPr>
            </w:pPr>
            <w:r>
              <w:rPr>
                <w:rFonts w:ascii="Arial" w:cs="Arial" w:eastAsia="Arial" w:hAnsi="Arial"/>
                <w:sz w:val="12"/>
                <w:szCs w:val="12"/>
                <w:color w:val="auto"/>
              </w:rPr>
              <w:t>PROPOSALS TO</w:t>
            </w:r>
          </w:p>
        </w:tc>
        <w:tc>
          <w:tcPr>
            <w:tcW w:w="420" w:type="dxa"/>
            <w:vAlign w:val="bottom"/>
          </w:tcPr>
          <w:p>
            <w:pPr>
              <w:jc w:val="right"/>
              <w:spacing w:after="0"/>
              <w:rPr>
                <w:sz w:val="20"/>
                <w:szCs w:val="20"/>
                <w:color w:val="auto"/>
              </w:rPr>
            </w:pPr>
            <w:r>
              <w:rPr>
                <w:rFonts w:ascii="Arial" w:cs="Arial" w:eastAsia="Arial" w:hAnsi="Arial"/>
                <w:sz w:val="36"/>
                <w:szCs w:val="36"/>
                <w:color w:val="auto"/>
              </w:rPr>
              <w:t>5</w:t>
            </w:r>
          </w:p>
        </w:tc>
        <w:tc>
          <w:tcPr>
            <w:tcW w:w="920" w:type="dxa"/>
            <w:vAlign w:val="bottom"/>
            <w:vMerge w:val="restart"/>
          </w:tcPr>
          <w:p>
            <w:pPr>
              <w:ind w:left="8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38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tcPr>
          <w:p>
            <w:pPr>
              <w:ind w:left="60"/>
              <w:spacing w:after="0" w:line="130" w:lineRule="exact"/>
              <w:rPr>
                <w:sz w:val="20"/>
                <w:szCs w:val="20"/>
                <w:color w:val="auto"/>
              </w:rPr>
            </w:pPr>
            <w:r>
              <w:rPr>
                <w:rFonts w:ascii="Arial" w:cs="Arial" w:eastAsia="Arial" w:hAnsi="Arial"/>
                <w:sz w:val="12"/>
                <w:szCs w:val="12"/>
                <w:color w:val="0075C9"/>
                <w:w w:val="99"/>
              </w:rPr>
              <w:t>EXECUTIVE OFFICER</w:t>
            </w:r>
          </w:p>
        </w:tc>
        <w:tc>
          <w:tcPr>
            <w:tcW w:w="740" w:type="dxa"/>
            <w:vAlign w:val="bottom"/>
          </w:tcPr>
          <w:p>
            <w:pPr>
              <w:spacing w:after="0"/>
              <w:rPr>
                <w:sz w:val="11"/>
                <w:szCs w:val="11"/>
                <w:color w:val="auto"/>
              </w:rPr>
            </w:pPr>
          </w:p>
        </w:tc>
        <w:tc>
          <w:tcPr>
            <w:tcW w:w="1020" w:type="dxa"/>
            <w:vAlign w:val="bottom"/>
          </w:tcPr>
          <w:p>
            <w:pPr>
              <w:ind w:left="60"/>
              <w:spacing w:after="0" w:line="130" w:lineRule="exact"/>
              <w:rPr>
                <w:sz w:val="20"/>
                <w:szCs w:val="20"/>
                <w:color w:val="auto"/>
              </w:rPr>
            </w:pPr>
            <w:r>
              <w:rPr>
                <w:rFonts w:ascii="Arial" w:cs="Arial" w:eastAsia="Arial" w:hAnsi="Arial"/>
                <w:sz w:val="12"/>
                <w:szCs w:val="12"/>
                <w:color w:val="auto"/>
              </w:rPr>
              <w:t>COMMITTEE</w:t>
            </w:r>
          </w:p>
        </w:tc>
        <w:tc>
          <w:tcPr>
            <w:tcW w:w="500" w:type="dxa"/>
            <w:vAlign w:val="bottom"/>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20" w:type="dxa"/>
            <w:vAlign w:val="bottom"/>
          </w:tcPr>
          <w:p>
            <w:pPr>
              <w:spacing w:after="0"/>
              <w:rPr>
                <w:sz w:val="11"/>
                <w:szCs w:val="11"/>
                <w:color w:val="auto"/>
              </w:rPr>
            </w:pPr>
          </w:p>
        </w:tc>
        <w:tc>
          <w:tcPr>
            <w:tcW w:w="92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380" w:type="dxa"/>
            <w:vAlign w:val="bottom"/>
          </w:tcPr>
          <w:p>
            <w:pPr>
              <w:ind w:left="80"/>
              <w:spacing w:after="0"/>
              <w:rPr>
                <w:sz w:val="20"/>
                <w:szCs w:val="20"/>
                <w:color w:val="auto"/>
              </w:rPr>
            </w:pPr>
            <w:r>
              <w:rPr>
                <w:rFonts w:ascii="Arial" w:cs="Arial" w:eastAsia="Arial" w:hAnsi="Arial"/>
                <w:sz w:val="12"/>
                <w:szCs w:val="12"/>
                <w:color w:val="auto"/>
              </w:rPr>
              <w:t>DIRECTORS</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0075C9"/>
              </w:rPr>
              <w:t>COMPENSATION</w:t>
            </w:r>
          </w:p>
        </w:tc>
        <w:tc>
          <w:tcPr>
            <w:tcW w:w="740" w:type="dxa"/>
            <w:vAlign w:val="bottom"/>
          </w:tcPr>
          <w:p>
            <w:pPr>
              <w:spacing w:after="0"/>
              <w:rPr>
                <w:sz w:val="12"/>
                <w:szCs w:val="12"/>
                <w:color w:val="auto"/>
              </w:rPr>
            </w:pPr>
          </w:p>
        </w:tc>
        <w:tc>
          <w:tcPr>
            <w:tcW w:w="1020" w:type="dxa"/>
            <w:vAlign w:val="bottom"/>
          </w:tcPr>
          <w:p>
            <w:pPr>
              <w:ind w:left="60"/>
              <w:spacing w:after="0"/>
              <w:rPr>
                <w:sz w:val="20"/>
                <w:szCs w:val="20"/>
                <w:color w:val="auto"/>
              </w:rPr>
            </w:pPr>
            <w:r>
              <w:rPr>
                <w:rFonts w:ascii="Arial" w:cs="Arial" w:eastAsia="Arial" w:hAnsi="Arial"/>
                <w:sz w:val="12"/>
                <w:szCs w:val="12"/>
                <w:color w:val="auto"/>
              </w:rPr>
              <w:t>MATTERS</w:t>
            </w:r>
          </w:p>
        </w:tc>
        <w:tc>
          <w:tcPr>
            <w:tcW w:w="500" w:type="dxa"/>
            <w:vAlign w:val="bottom"/>
          </w:tcPr>
          <w:p>
            <w:pPr>
              <w:spacing w:after="0"/>
              <w:rPr>
                <w:sz w:val="12"/>
                <w:szCs w:val="12"/>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20" w:type="dxa"/>
            <w:vAlign w:val="bottom"/>
          </w:tcPr>
          <w:p>
            <w:pPr>
              <w:spacing w:after="0"/>
              <w:rPr>
                <w:sz w:val="12"/>
                <w:szCs w:val="12"/>
                <w:color w:val="auto"/>
              </w:rPr>
            </w:pPr>
          </w:p>
        </w:tc>
        <w:tc>
          <w:tcPr>
            <w:tcW w:w="92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Fiscal Year 2021 Stock Awards</w:t>
      </w:r>
    </w:p>
    <w:p>
      <w:pPr>
        <w:spacing w:after="0" w:line="12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 fiscal year 2021 PSAs and SAs granted to our Named Executives under the Incentive Plan are listed below.</w:t>
      </w:r>
    </w:p>
    <w:p>
      <w:pPr>
        <w:spacing w:after="0" w:line="210" w:lineRule="exact"/>
        <w:rPr>
          <w:sz w:val="20"/>
          <w:szCs w:val="20"/>
          <w:color w:val="auto"/>
        </w:rPr>
      </w:pPr>
    </w:p>
    <w:tbl>
      <w:tblPr>
        <w:tblLayout w:type="fixed"/>
        <w:tblInd w:w="1100" w:type="dxa"/>
        <w:tblCellMar>
          <w:top w:w="0" w:type="dxa"/>
          <w:left w:w="0" w:type="dxa"/>
          <w:bottom w:w="0" w:type="dxa"/>
          <w:right w:w="0" w:type="dxa"/>
        </w:tblCellMar>
      </w:tblPr>
      <w:tr>
        <w:trPr>
          <w:trHeight w:val="184"/>
        </w:trPr>
        <w:tc>
          <w:tcPr>
            <w:tcW w:w="34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Aggregate</w:t>
            </w:r>
          </w:p>
        </w:tc>
      </w:tr>
      <w:tr>
        <w:trPr>
          <w:trHeight w:val="181"/>
        </w:trPr>
        <w:tc>
          <w:tcPr>
            <w:tcW w:w="3420" w:type="dxa"/>
            <w:vAlign w:val="bottom"/>
          </w:tcPr>
          <w:p>
            <w:pPr>
              <w:spacing w:after="0"/>
              <w:rPr>
                <w:sz w:val="15"/>
                <w:szCs w:val="15"/>
                <w:color w:val="auto"/>
              </w:rPr>
            </w:pPr>
          </w:p>
        </w:tc>
        <w:tc>
          <w:tcPr>
            <w:tcW w:w="3060" w:type="dxa"/>
            <w:vAlign w:val="bottom"/>
          </w:tcPr>
          <w:p>
            <w:pPr>
              <w:jc w:val="right"/>
              <w:ind w:right="162"/>
              <w:spacing w:after="0" w:line="181" w:lineRule="exact"/>
              <w:rPr>
                <w:sz w:val="20"/>
                <w:szCs w:val="20"/>
                <w:color w:val="auto"/>
              </w:rPr>
            </w:pPr>
            <w:r>
              <w:rPr>
                <w:rFonts w:ascii="Arial" w:cs="Arial" w:eastAsia="Arial" w:hAnsi="Arial"/>
                <w:sz w:val="16"/>
                <w:szCs w:val="16"/>
                <w:b w:val="1"/>
                <w:bCs w:val="1"/>
                <w:color w:val="auto"/>
              </w:rPr>
              <w:t>PSAs</w:t>
            </w:r>
          </w:p>
        </w:tc>
        <w:tc>
          <w:tcPr>
            <w:tcW w:w="1300" w:type="dxa"/>
            <w:vAlign w:val="bottom"/>
          </w:tcPr>
          <w:p>
            <w:pPr>
              <w:jc w:val="right"/>
              <w:ind w:right="182"/>
              <w:spacing w:after="0" w:line="181" w:lineRule="exact"/>
              <w:rPr>
                <w:sz w:val="20"/>
                <w:szCs w:val="20"/>
                <w:color w:val="auto"/>
              </w:rPr>
            </w:pPr>
            <w:r>
              <w:rPr>
                <w:rFonts w:ascii="Arial" w:cs="Arial" w:eastAsia="Arial" w:hAnsi="Arial"/>
                <w:sz w:val="16"/>
                <w:szCs w:val="16"/>
                <w:b w:val="1"/>
                <w:bCs w:val="1"/>
                <w:color w:val="auto"/>
              </w:rPr>
              <w:t>SAs</w:t>
            </w:r>
          </w:p>
        </w:tc>
        <w:tc>
          <w:tcPr>
            <w:tcW w:w="126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Target</w:t>
            </w:r>
          </w:p>
        </w:tc>
      </w:tr>
      <w:tr>
        <w:trPr>
          <w:trHeight w:val="181"/>
        </w:trPr>
        <w:tc>
          <w:tcPr>
            <w:tcW w:w="3420" w:type="dxa"/>
            <w:vAlign w:val="bottom"/>
          </w:tcPr>
          <w:p>
            <w:pPr>
              <w:spacing w:after="0"/>
              <w:rPr>
                <w:sz w:val="15"/>
                <w:szCs w:val="15"/>
                <w:color w:val="auto"/>
              </w:rPr>
            </w:pPr>
          </w:p>
        </w:tc>
        <w:tc>
          <w:tcPr>
            <w:tcW w:w="3060" w:type="dxa"/>
            <w:vAlign w:val="bottom"/>
          </w:tcPr>
          <w:p>
            <w:pPr>
              <w:jc w:val="right"/>
              <w:ind w:right="162"/>
              <w:spacing w:after="0" w:line="181" w:lineRule="exact"/>
              <w:rPr>
                <w:sz w:val="20"/>
                <w:szCs w:val="20"/>
                <w:color w:val="auto"/>
              </w:rPr>
            </w:pPr>
            <w:r>
              <w:rPr>
                <w:rFonts w:ascii="Arial" w:cs="Arial" w:eastAsia="Arial" w:hAnsi="Arial"/>
                <w:sz w:val="16"/>
                <w:szCs w:val="16"/>
                <w:b w:val="1"/>
                <w:bCs w:val="1"/>
                <w:color w:val="auto"/>
              </w:rPr>
              <w:t>(Target Number</w:t>
            </w:r>
          </w:p>
        </w:tc>
        <w:tc>
          <w:tcPr>
            <w:tcW w:w="1300" w:type="dxa"/>
            <w:vAlign w:val="bottom"/>
          </w:tcPr>
          <w:p>
            <w:pPr>
              <w:jc w:val="right"/>
              <w:ind w:right="182"/>
              <w:spacing w:after="0" w:line="181" w:lineRule="exact"/>
              <w:rPr>
                <w:sz w:val="20"/>
                <w:szCs w:val="20"/>
                <w:color w:val="auto"/>
              </w:rPr>
            </w:pPr>
            <w:r>
              <w:rPr>
                <w:rFonts w:ascii="Arial" w:cs="Arial" w:eastAsia="Arial" w:hAnsi="Arial"/>
                <w:sz w:val="16"/>
                <w:szCs w:val="16"/>
                <w:b w:val="1"/>
                <w:bCs w:val="1"/>
                <w:color w:val="auto"/>
              </w:rPr>
              <w:t>(Number</w:t>
            </w:r>
          </w:p>
        </w:tc>
        <w:tc>
          <w:tcPr>
            <w:tcW w:w="126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Award Value³</w:t>
            </w:r>
          </w:p>
        </w:tc>
      </w:tr>
      <w:tr>
        <w:trPr>
          <w:trHeight w:val="229"/>
        </w:trPr>
        <w:tc>
          <w:tcPr>
            <w:tcW w:w="34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Named Executive</w:t>
            </w:r>
          </w:p>
        </w:tc>
        <w:tc>
          <w:tcPr>
            <w:tcW w:w="306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of Shares)¹</w:t>
            </w:r>
          </w:p>
        </w:tc>
        <w:tc>
          <w:tcPr>
            <w:tcW w:w="13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of Shares)²</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52"/>
        </w:trPr>
        <w:tc>
          <w:tcPr>
            <w:tcW w:w="342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Satya Nadella</w:t>
            </w:r>
          </w:p>
        </w:tc>
        <w:tc>
          <w:tcPr>
            <w:tcW w:w="3060" w:type="dxa"/>
            <w:vAlign w:val="bottom"/>
            <w:tcBorders>
              <w:bottom w:val="single" w:sz="8" w:color="0075C9"/>
            </w:tcBorders>
          </w:tcPr>
          <w:p>
            <w:pPr>
              <w:jc w:val="right"/>
              <w:ind w:right="162"/>
              <w:spacing w:after="0"/>
              <w:rPr>
                <w:sz w:val="20"/>
                <w:szCs w:val="20"/>
                <w:color w:val="auto"/>
              </w:rPr>
            </w:pPr>
            <w:r>
              <w:rPr>
                <w:rFonts w:ascii="Arial" w:cs="Arial" w:eastAsia="Arial" w:hAnsi="Arial"/>
                <w:sz w:val="16"/>
                <w:szCs w:val="16"/>
                <w:color w:val="auto"/>
              </w:rPr>
              <w:t>77,595</w:t>
            </w:r>
          </w:p>
        </w:tc>
        <w:tc>
          <w:tcPr>
            <w:tcW w:w="1300" w:type="dxa"/>
            <w:vAlign w:val="bottom"/>
            <w:tcBorders>
              <w:bottom w:val="single" w:sz="8" w:color="0075C9"/>
            </w:tcBorders>
          </w:tcPr>
          <w:p>
            <w:pPr>
              <w:jc w:val="right"/>
              <w:ind w:right="182"/>
              <w:spacing w:after="0"/>
              <w:rPr>
                <w:sz w:val="20"/>
                <w:szCs w:val="20"/>
                <w:color w:val="auto"/>
              </w:rPr>
            </w:pPr>
            <w:r>
              <w:rPr>
                <w:rFonts w:ascii="Arial" w:cs="Arial" w:eastAsia="Arial" w:hAnsi="Arial"/>
                <w:sz w:val="16"/>
                <w:szCs w:val="16"/>
                <w:color w:val="auto"/>
              </w:rPr>
              <w:t>33,255</w:t>
            </w:r>
          </w:p>
        </w:tc>
        <w:tc>
          <w:tcPr>
            <w:tcW w:w="126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25,000,000</w:t>
            </w:r>
          </w:p>
        </w:tc>
      </w:tr>
      <w:tr>
        <w:trPr>
          <w:trHeight w:val="252"/>
        </w:trPr>
        <w:tc>
          <w:tcPr>
            <w:tcW w:w="342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Amy E. Hood</w:t>
            </w:r>
          </w:p>
        </w:tc>
        <w:tc>
          <w:tcPr>
            <w:tcW w:w="3060" w:type="dxa"/>
            <w:vAlign w:val="bottom"/>
            <w:tcBorders>
              <w:bottom w:val="single" w:sz="8" w:color="0075C9"/>
            </w:tcBorders>
          </w:tcPr>
          <w:p>
            <w:pPr>
              <w:jc w:val="right"/>
              <w:ind w:right="162"/>
              <w:spacing w:after="0"/>
              <w:rPr>
                <w:sz w:val="20"/>
                <w:szCs w:val="20"/>
                <w:color w:val="auto"/>
              </w:rPr>
            </w:pPr>
            <w:r>
              <w:rPr>
                <w:rFonts w:ascii="Arial" w:cs="Arial" w:eastAsia="Arial" w:hAnsi="Arial"/>
                <w:sz w:val="16"/>
                <w:szCs w:val="16"/>
                <w:color w:val="auto"/>
              </w:rPr>
              <w:t>32,147</w:t>
            </w:r>
          </w:p>
        </w:tc>
        <w:tc>
          <w:tcPr>
            <w:tcW w:w="1300" w:type="dxa"/>
            <w:vAlign w:val="bottom"/>
            <w:tcBorders>
              <w:bottom w:val="single" w:sz="8" w:color="0075C9"/>
            </w:tcBorders>
          </w:tcPr>
          <w:p>
            <w:pPr>
              <w:jc w:val="right"/>
              <w:ind w:right="182"/>
              <w:spacing w:after="0"/>
              <w:rPr>
                <w:sz w:val="20"/>
                <w:szCs w:val="20"/>
                <w:color w:val="auto"/>
              </w:rPr>
            </w:pPr>
            <w:r>
              <w:rPr>
                <w:rFonts w:ascii="Arial" w:cs="Arial" w:eastAsia="Arial" w:hAnsi="Arial"/>
                <w:sz w:val="16"/>
                <w:szCs w:val="16"/>
                <w:color w:val="auto"/>
              </w:rPr>
              <w:t>32,147</w:t>
            </w:r>
          </w:p>
        </w:tc>
        <w:tc>
          <w:tcPr>
            <w:tcW w:w="126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14,500,000</w:t>
            </w:r>
          </w:p>
        </w:tc>
      </w:tr>
      <w:tr>
        <w:trPr>
          <w:trHeight w:val="252"/>
        </w:trPr>
        <w:tc>
          <w:tcPr>
            <w:tcW w:w="342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Jean-Philippe Courtois</w:t>
            </w:r>
          </w:p>
        </w:tc>
        <w:tc>
          <w:tcPr>
            <w:tcW w:w="3060" w:type="dxa"/>
            <w:vAlign w:val="bottom"/>
            <w:tcBorders>
              <w:bottom w:val="single" w:sz="8" w:color="0075C9"/>
            </w:tcBorders>
          </w:tcPr>
          <w:p>
            <w:pPr>
              <w:jc w:val="right"/>
              <w:ind w:right="162"/>
              <w:spacing w:after="0"/>
              <w:rPr>
                <w:sz w:val="20"/>
                <w:szCs w:val="20"/>
                <w:color w:val="auto"/>
              </w:rPr>
            </w:pPr>
            <w:r>
              <w:rPr>
                <w:rFonts w:ascii="Arial" w:cs="Arial" w:eastAsia="Arial" w:hAnsi="Arial"/>
                <w:sz w:val="16"/>
                <w:szCs w:val="16"/>
                <w:color w:val="auto"/>
              </w:rPr>
              <w:t>22,170</w:t>
            </w:r>
          </w:p>
        </w:tc>
        <w:tc>
          <w:tcPr>
            <w:tcW w:w="1300" w:type="dxa"/>
            <w:vAlign w:val="bottom"/>
            <w:tcBorders>
              <w:bottom w:val="single" w:sz="8" w:color="0075C9"/>
            </w:tcBorders>
          </w:tcPr>
          <w:p>
            <w:pPr>
              <w:jc w:val="right"/>
              <w:ind w:right="182"/>
              <w:spacing w:after="0"/>
              <w:rPr>
                <w:sz w:val="20"/>
                <w:szCs w:val="20"/>
                <w:color w:val="auto"/>
              </w:rPr>
            </w:pPr>
            <w:r>
              <w:rPr>
                <w:rFonts w:ascii="Arial" w:cs="Arial" w:eastAsia="Arial" w:hAnsi="Arial"/>
                <w:sz w:val="16"/>
                <w:szCs w:val="16"/>
                <w:color w:val="auto"/>
              </w:rPr>
              <w:t>22,170</w:t>
            </w:r>
          </w:p>
        </w:tc>
        <w:tc>
          <w:tcPr>
            <w:tcW w:w="126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10,000,000</w:t>
            </w:r>
          </w:p>
        </w:tc>
      </w:tr>
      <w:tr>
        <w:trPr>
          <w:trHeight w:val="252"/>
        </w:trPr>
        <w:tc>
          <w:tcPr>
            <w:tcW w:w="342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Bradford L. Smith</w:t>
            </w:r>
          </w:p>
        </w:tc>
        <w:tc>
          <w:tcPr>
            <w:tcW w:w="3060" w:type="dxa"/>
            <w:vAlign w:val="bottom"/>
            <w:tcBorders>
              <w:bottom w:val="single" w:sz="8" w:color="0075C9"/>
            </w:tcBorders>
          </w:tcPr>
          <w:p>
            <w:pPr>
              <w:jc w:val="right"/>
              <w:ind w:right="162"/>
              <w:spacing w:after="0"/>
              <w:rPr>
                <w:sz w:val="20"/>
                <w:szCs w:val="20"/>
                <w:color w:val="auto"/>
              </w:rPr>
            </w:pPr>
            <w:r>
              <w:rPr>
                <w:rFonts w:ascii="Arial" w:cs="Arial" w:eastAsia="Arial" w:hAnsi="Arial"/>
                <w:sz w:val="16"/>
                <w:szCs w:val="16"/>
                <w:color w:val="auto"/>
              </w:rPr>
              <w:t>27,935</w:t>
            </w:r>
          </w:p>
        </w:tc>
        <w:tc>
          <w:tcPr>
            <w:tcW w:w="1300" w:type="dxa"/>
            <w:vAlign w:val="bottom"/>
            <w:tcBorders>
              <w:bottom w:val="single" w:sz="8" w:color="0075C9"/>
            </w:tcBorders>
          </w:tcPr>
          <w:p>
            <w:pPr>
              <w:jc w:val="right"/>
              <w:ind w:right="182"/>
              <w:spacing w:after="0"/>
              <w:rPr>
                <w:sz w:val="20"/>
                <w:szCs w:val="20"/>
                <w:color w:val="auto"/>
              </w:rPr>
            </w:pPr>
            <w:r>
              <w:rPr>
                <w:rFonts w:ascii="Arial" w:cs="Arial" w:eastAsia="Arial" w:hAnsi="Arial"/>
                <w:sz w:val="16"/>
                <w:szCs w:val="16"/>
                <w:color w:val="auto"/>
              </w:rPr>
              <w:t>27,935</w:t>
            </w:r>
          </w:p>
        </w:tc>
        <w:tc>
          <w:tcPr>
            <w:tcW w:w="126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12,600,000</w:t>
            </w:r>
          </w:p>
        </w:tc>
      </w:tr>
      <w:tr>
        <w:trPr>
          <w:trHeight w:val="252"/>
        </w:trPr>
        <w:tc>
          <w:tcPr>
            <w:tcW w:w="342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Christopher D. Young</w:t>
            </w:r>
          </w:p>
        </w:tc>
        <w:tc>
          <w:tcPr>
            <w:tcW w:w="3060" w:type="dxa"/>
            <w:vAlign w:val="bottom"/>
            <w:tcBorders>
              <w:bottom w:val="single" w:sz="8" w:color="0075C9"/>
            </w:tcBorders>
          </w:tcPr>
          <w:p>
            <w:pPr>
              <w:jc w:val="right"/>
              <w:ind w:right="162"/>
              <w:spacing w:after="0"/>
              <w:rPr>
                <w:sz w:val="20"/>
                <w:szCs w:val="20"/>
                <w:color w:val="auto"/>
              </w:rPr>
            </w:pPr>
            <w:r>
              <w:rPr>
                <w:rFonts w:ascii="Arial" w:cs="Arial" w:eastAsia="Arial" w:hAnsi="Arial"/>
                <w:sz w:val="16"/>
                <w:szCs w:val="16"/>
                <w:color w:val="auto"/>
              </w:rPr>
              <w:t>17,318</w:t>
            </w:r>
          </w:p>
        </w:tc>
        <w:tc>
          <w:tcPr>
            <w:tcW w:w="1300" w:type="dxa"/>
            <w:vAlign w:val="bottom"/>
            <w:tcBorders>
              <w:bottom w:val="single" w:sz="8" w:color="0075C9"/>
            </w:tcBorders>
          </w:tcPr>
          <w:p>
            <w:pPr>
              <w:jc w:val="right"/>
              <w:ind w:right="182"/>
              <w:spacing w:after="0"/>
              <w:rPr>
                <w:sz w:val="20"/>
                <w:szCs w:val="20"/>
                <w:color w:val="auto"/>
              </w:rPr>
            </w:pPr>
            <w:r>
              <w:rPr>
                <w:rFonts w:ascii="Arial" w:cs="Arial" w:eastAsia="Arial" w:hAnsi="Arial"/>
                <w:sz w:val="16"/>
                <w:szCs w:val="16"/>
                <w:color w:val="auto"/>
              </w:rPr>
              <w:t>17,318</w:t>
            </w:r>
          </w:p>
        </w:tc>
        <w:tc>
          <w:tcPr>
            <w:tcW w:w="126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7,500,000</w:t>
            </w:r>
          </w:p>
        </w:tc>
      </w:tr>
    </w:tbl>
    <w:p>
      <w:pPr>
        <w:spacing w:after="0" w:line="72" w:lineRule="exact"/>
        <w:rPr>
          <w:sz w:val="20"/>
          <w:szCs w:val="20"/>
          <w:color w:val="auto"/>
        </w:rPr>
      </w:pPr>
    </w:p>
    <w:p>
      <w:pPr>
        <w:ind w:left="1360" w:right="180" w:hanging="258"/>
        <w:spacing w:after="0" w:line="239" w:lineRule="auto"/>
        <w:tabs>
          <w:tab w:leader="none" w:pos="1360" w:val="left"/>
        </w:tabs>
        <w:numPr>
          <w:ilvl w:val="0"/>
          <w:numId w:val="78"/>
        </w:numPr>
        <w:rPr>
          <w:rFonts w:ascii="Arial" w:cs="Arial" w:eastAsia="Arial" w:hAnsi="Arial"/>
          <w:sz w:val="12"/>
          <w:szCs w:val="12"/>
          <w:color w:val="auto"/>
        </w:rPr>
      </w:pPr>
      <w:r>
        <w:rPr>
          <w:rFonts w:ascii="Arial" w:cs="Arial" w:eastAsia="Arial" w:hAnsi="Arial"/>
          <w:sz w:val="12"/>
          <w:szCs w:val="12"/>
          <w:color w:val="auto"/>
        </w:rPr>
        <w:t>The PSAs vest in full following the end of the three-year performance period, with the number of shares earned determined based on performance against goals set for each year in the period and relative TSR results for the period.</w:t>
      </w:r>
    </w:p>
    <w:p>
      <w:pPr>
        <w:spacing w:after="0" w:line="61" w:lineRule="exact"/>
        <w:rPr>
          <w:rFonts w:ascii="Arial" w:cs="Arial" w:eastAsia="Arial" w:hAnsi="Arial"/>
          <w:sz w:val="12"/>
          <w:szCs w:val="12"/>
          <w:color w:val="auto"/>
        </w:rPr>
      </w:pPr>
    </w:p>
    <w:p>
      <w:pPr>
        <w:ind w:left="1360" w:right="680" w:hanging="258"/>
        <w:spacing w:after="0" w:line="239" w:lineRule="auto"/>
        <w:tabs>
          <w:tab w:leader="none" w:pos="1360" w:val="left"/>
        </w:tabs>
        <w:numPr>
          <w:ilvl w:val="0"/>
          <w:numId w:val="78"/>
        </w:numPr>
        <w:rPr>
          <w:rFonts w:ascii="Arial" w:cs="Arial" w:eastAsia="Arial" w:hAnsi="Arial"/>
          <w:sz w:val="12"/>
          <w:szCs w:val="12"/>
          <w:color w:val="auto"/>
        </w:rPr>
      </w:pPr>
      <w:r>
        <w:rPr>
          <w:rFonts w:ascii="Arial" w:cs="Arial" w:eastAsia="Arial" w:hAnsi="Arial"/>
          <w:sz w:val="12"/>
          <w:szCs w:val="12"/>
          <w:color w:val="auto"/>
        </w:rPr>
        <w:t>The SAs vest 25% on August 31, 2021 (September 14, 2021 for Mr. Courtois) and 12.5% each six months thereafter until fully vested. Vesting is subject to continued employment except as described on pages 52-53 below.</w:t>
      </w:r>
    </w:p>
    <w:p>
      <w:pPr>
        <w:spacing w:after="0" w:line="61" w:lineRule="exact"/>
        <w:rPr>
          <w:rFonts w:ascii="Arial" w:cs="Arial" w:eastAsia="Arial" w:hAnsi="Arial"/>
          <w:sz w:val="12"/>
          <w:szCs w:val="12"/>
          <w:color w:val="auto"/>
        </w:rPr>
      </w:pPr>
    </w:p>
    <w:p>
      <w:pPr>
        <w:ind w:left="1360" w:right="360" w:hanging="258"/>
        <w:spacing w:after="0" w:line="239" w:lineRule="auto"/>
        <w:tabs>
          <w:tab w:leader="none" w:pos="1360" w:val="left"/>
        </w:tabs>
        <w:numPr>
          <w:ilvl w:val="0"/>
          <w:numId w:val="78"/>
        </w:numPr>
        <w:rPr>
          <w:rFonts w:ascii="Arial" w:cs="Arial" w:eastAsia="Arial" w:hAnsi="Arial"/>
          <w:sz w:val="12"/>
          <w:szCs w:val="12"/>
          <w:color w:val="auto"/>
        </w:rPr>
      </w:pPr>
      <w:r>
        <w:rPr>
          <w:rFonts w:ascii="Arial" w:cs="Arial" w:eastAsia="Arial" w:hAnsi="Arial"/>
          <w:sz w:val="12"/>
          <w:szCs w:val="12"/>
          <w:color w:val="auto"/>
        </w:rPr>
        <w:t>Awarded value (in dollars) was converted to shares using the closing share price on August 31, 2020 (November 11, 2020 for Mr. Young), rounded up to a whole number.</w:t>
      </w:r>
    </w:p>
    <w:p>
      <w:pPr>
        <w:spacing w:after="0" w:line="95" w:lineRule="exact"/>
        <w:rPr>
          <w:sz w:val="20"/>
          <w:szCs w:val="20"/>
          <w:color w:val="auto"/>
        </w:rPr>
      </w:pPr>
    </w:p>
    <w:p>
      <w:pPr>
        <w:ind w:left="1100" w:right="140"/>
        <w:spacing w:after="0" w:line="237" w:lineRule="auto"/>
        <w:rPr>
          <w:sz w:val="20"/>
          <w:szCs w:val="20"/>
          <w:color w:val="auto"/>
        </w:rPr>
      </w:pPr>
      <w:r>
        <w:rPr>
          <w:rFonts w:ascii="Arial" w:cs="Arial" w:eastAsia="Arial" w:hAnsi="Arial"/>
          <w:sz w:val="16"/>
          <w:szCs w:val="16"/>
          <w:color w:val="auto"/>
        </w:rPr>
        <w:t>The amounts listed in the table above for fiscal year 2021 PSAs will not match the amounts in the “Stock Awards” column in the Summary Compensation Table or the Grants of Plan-Based Awards table. Because the grant date of a PSA occurs when the performance targets are set, and targets under our PSA awards are established annually, SAs listed in the Summary Compensation Table and Grants of Plan-Based Awards table include portions of current and prior year PSA awards, as described in more detail in Note (2) to the Summary Compensation Table on page 55.</w:t>
      </w:r>
    </w:p>
    <w:p>
      <w:pPr>
        <w:spacing w:after="0" w:line="171"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Fiscal Year 2019 PSAs (Completed Performance Period)</w:t>
      </w:r>
    </w:p>
    <w:p>
      <w:pPr>
        <w:spacing w:after="0" w:line="129" w:lineRule="exact"/>
        <w:rPr>
          <w:sz w:val="20"/>
          <w:szCs w:val="20"/>
          <w:color w:val="auto"/>
        </w:rPr>
      </w:pPr>
    </w:p>
    <w:p>
      <w:pPr>
        <w:ind w:left="1100" w:right="220"/>
        <w:spacing w:after="0" w:line="238" w:lineRule="auto"/>
        <w:rPr>
          <w:sz w:val="20"/>
          <w:szCs w:val="20"/>
          <w:color w:val="auto"/>
        </w:rPr>
      </w:pPr>
      <w:r>
        <w:rPr>
          <w:rFonts w:ascii="Arial" w:cs="Arial" w:eastAsia="Arial" w:hAnsi="Arial"/>
          <w:sz w:val="16"/>
          <w:szCs w:val="16"/>
          <w:color w:val="auto"/>
        </w:rPr>
        <w:t>Our Compensation Committee (and for Mr. Nadella, the independent members of our Board) granted PSAs in fiscal year 2019 that pay out based on specific pre-established, performance goals and strategic performance objectives tied to creating long-term shareholder value as well as our TSR performance relative to the S&amp;P 500. Performance was measured over the three-fiscal year performance period ending June 30, 2021.</w:t>
      </w:r>
    </w:p>
    <w:p>
      <w:pPr>
        <w:spacing w:after="0" w:line="96"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 actual performance under the fiscal year 2019 PSAs reflected the strong business achievement on core metrics and</w:t>
      </w:r>
    </w:p>
    <w:p>
      <w:pPr>
        <w:ind w:left="1100"/>
        <w:spacing w:after="0"/>
        <w:rPr>
          <w:sz w:val="20"/>
          <w:szCs w:val="20"/>
          <w:color w:val="auto"/>
        </w:rPr>
      </w:pPr>
      <w:r>
        <w:rPr>
          <w:rFonts w:ascii="Arial" w:cs="Arial" w:eastAsia="Arial" w:hAnsi="Arial"/>
          <w:sz w:val="16"/>
          <w:szCs w:val="16"/>
          <w:color w:val="auto"/>
        </w:rPr>
        <w:t>Microsoft’s relative TSR during this period. Performance on the core metrics under these PSAs is shown in the following table:</w:t>
      </w:r>
    </w:p>
    <w:p>
      <w:pPr>
        <w:spacing w:after="0" w:line="101" w:lineRule="exact"/>
        <w:rPr>
          <w:sz w:val="20"/>
          <w:szCs w:val="20"/>
          <w:color w:val="auto"/>
        </w:rPr>
      </w:pPr>
    </w:p>
    <w:p>
      <w:pPr>
        <w:ind w:left="1100" w:right="240"/>
        <w:spacing w:after="0" w:line="238" w:lineRule="auto"/>
        <w:rPr>
          <w:sz w:val="20"/>
          <w:szCs w:val="20"/>
          <w:color w:val="auto"/>
        </w:rPr>
      </w:pPr>
      <w:r>
        <w:rPr>
          <w:rFonts w:ascii="Arial" w:cs="Arial" w:eastAsia="Arial" w:hAnsi="Arial"/>
          <w:sz w:val="16"/>
          <w:szCs w:val="16"/>
          <w:color w:val="auto"/>
        </w:rPr>
        <w:t>As a result of COVID-19 disruptions to markets, during fiscal year 2021 we made a one-time decision to use semi-annual goals for the financial metrics used in our cash incentive and performance stock award portions of our Executive Incentive Plan. The goals were weighted equally between the first half of the fiscal year (H1) and the second half (H2). This change was consistent with the goal-setting process used for our broad-based sales incentive programs.</w:t>
      </w:r>
    </w:p>
    <w:p>
      <w:pPr>
        <w:spacing w:after="0" w:line="200" w:lineRule="exact"/>
        <w:rPr>
          <w:sz w:val="20"/>
          <w:szCs w:val="20"/>
          <w:color w:val="auto"/>
        </w:rPr>
      </w:pPr>
    </w:p>
    <w:p>
      <w:pPr>
        <w:spacing w:after="0" w:line="300"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2021 PROXY STATEMENT</w:t>
      </w:r>
      <w:r>
        <w:rPr>
          <w:sz w:val="20"/>
          <w:szCs w:val="20"/>
          <w:color w:val="auto"/>
        </w:rPr>
        <w:tab/>
      </w:r>
      <w:r>
        <w:rPr>
          <w:rFonts w:ascii="Arial" w:cs="Arial" w:eastAsia="Arial" w:hAnsi="Arial"/>
          <w:sz w:val="12"/>
          <w:szCs w:val="12"/>
          <w:b w:val="1"/>
          <w:bCs w:val="1"/>
          <w:color w:val="0075C9"/>
        </w:rPr>
        <w:t>49</w:t>
      </w:r>
    </w:p>
    <w:p>
      <w:pPr>
        <w:sectPr>
          <w:pgSz w:w="11900" w:h="16838" w:orient="portrait"/>
          <w:cols w:equalWidth="0" w:num="1">
            <w:col w:w="10280"/>
          </w:cols>
          <w:pgMar w:left="320" w:top="445" w:right="1299" w:bottom="1440" w:gutter="0" w:footer="0" w:header="0"/>
        </w:sectPr>
      </w:pPr>
    </w:p>
    <w:bookmarkStart w:id="57" w:name="page58"/>
    <w:bookmarkEnd w:id="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auto"/>
                <w:w w:val="89"/>
              </w:rPr>
              <w:t>1</w:t>
            </w:r>
          </w:p>
        </w:tc>
        <w:tc>
          <w:tcPr>
            <w:tcW w:w="1380" w:type="dxa"/>
            <w:vAlign w:val="bottom"/>
            <w:vMerge w:val="restart"/>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gridSpan w:val="2"/>
          </w:tcPr>
          <w:p>
            <w:pPr>
              <w:jc w:val="right"/>
              <w:ind w:right="80"/>
              <w:spacing w:after="0"/>
              <w:rPr>
                <w:sz w:val="20"/>
                <w:szCs w:val="20"/>
                <w:color w:val="auto"/>
              </w:rPr>
            </w:pPr>
            <w:r>
              <w:rPr>
                <w:rFonts w:ascii="Arial" w:cs="Arial" w:eastAsia="Arial" w:hAnsi="Arial"/>
                <w:sz w:val="36"/>
                <w:szCs w:val="36"/>
                <w:color w:val="0075C9"/>
              </w:rPr>
              <w:t>2</w:t>
            </w:r>
          </w:p>
        </w:tc>
        <w:tc>
          <w:tcPr>
            <w:tcW w:w="1320" w:type="dxa"/>
            <w:vAlign w:val="bottom"/>
            <w:vMerge w:val="restart"/>
          </w:tcPr>
          <w:p>
            <w:pPr>
              <w:ind w:left="60"/>
              <w:spacing w:after="0"/>
              <w:rPr>
                <w:sz w:val="20"/>
                <w:szCs w:val="20"/>
                <w:color w:val="auto"/>
              </w:rPr>
            </w:pPr>
            <w:r>
              <w:rPr>
                <w:rFonts w:ascii="Arial" w:cs="Arial" w:eastAsia="Arial" w:hAnsi="Arial"/>
                <w:sz w:val="12"/>
                <w:szCs w:val="12"/>
                <w:color w:val="0075C9"/>
              </w:rPr>
              <w:t>NAMED</w:t>
            </w:r>
          </w:p>
        </w:tc>
        <w:tc>
          <w:tcPr>
            <w:tcW w:w="740" w:type="dxa"/>
            <w:vAlign w:val="bottom"/>
          </w:tcPr>
          <w:p>
            <w:pPr>
              <w:jc w:val="right"/>
              <w:spacing w:after="0"/>
              <w:rPr>
                <w:sz w:val="20"/>
                <w:szCs w:val="20"/>
                <w:color w:val="auto"/>
              </w:rPr>
            </w:pPr>
            <w:r>
              <w:rPr>
                <w:rFonts w:ascii="Arial" w:cs="Arial" w:eastAsia="Arial" w:hAnsi="Arial"/>
                <w:sz w:val="36"/>
                <w:szCs w:val="36"/>
                <w:color w:val="auto"/>
              </w:rPr>
              <w:t>3</w:t>
            </w:r>
          </w:p>
        </w:tc>
        <w:tc>
          <w:tcPr>
            <w:tcW w:w="1020" w:type="dxa"/>
            <w:vAlign w:val="bottom"/>
            <w:vMerge w:val="restart"/>
          </w:tcPr>
          <w:p>
            <w:pPr>
              <w:ind w:left="60"/>
              <w:spacing w:after="0"/>
              <w:rPr>
                <w:sz w:val="20"/>
                <w:szCs w:val="20"/>
                <w:color w:val="auto"/>
              </w:rPr>
            </w:pPr>
            <w:r>
              <w:rPr>
                <w:rFonts w:ascii="Arial" w:cs="Arial" w:eastAsia="Arial" w:hAnsi="Arial"/>
                <w:sz w:val="12"/>
                <w:szCs w:val="12"/>
                <w:color w:val="auto"/>
              </w:rPr>
              <w:t>AUDIT</w:t>
            </w:r>
          </w:p>
        </w:tc>
        <w:tc>
          <w:tcPr>
            <w:tcW w:w="500" w:type="dxa"/>
            <w:vAlign w:val="bottom"/>
          </w:tcPr>
          <w:p>
            <w:pPr>
              <w:jc w:val="right"/>
              <w:spacing w:after="0"/>
              <w:rPr>
                <w:sz w:val="20"/>
                <w:szCs w:val="20"/>
                <w:color w:val="auto"/>
              </w:rPr>
            </w:pPr>
            <w:r>
              <w:rPr>
                <w:rFonts w:ascii="Arial" w:cs="Arial" w:eastAsia="Arial" w:hAnsi="Arial"/>
                <w:sz w:val="36"/>
                <w:szCs w:val="36"/>
                <w:color w:val="auto"/>
              </w:rPr>
              <w:t>4</w:t>
            </w:r>
          </w:p>
        </w:tc>
        <w:tc>
          <w:tcPr>
            <w:tcW w:w="1580" w:type="dxa"/>
            <w:vAlign w:val="bottom"/>
            <w:vMerge w:val="restart"/>
          </w:tcPr>
          <w:p>
            <w:pPr>
              <w:ind w:left="80"/>
              <w:spacing w:after="0"/>
              <w:rPr>
                <w:sz w:val="20"/>
                <w:szCs w:val="20"/>
                <w:color w:val="auto"/>
              </w:rPr>
            </w:pPr>
            <w:r>
              <w:rPr>
                <w:rFonts w:ascii="Arial" w:cs="Arial" w:eastAsia="Arial" w:hAnsi="Arial"/>
                <w:sz w:val="12"/>
                <w:szCs w:val="12"/>
                <w:color w:val="auto"/>
              </w:rPr>
              <w:t>PROPOSALS TO</w:t>
            </w:r>
          </w:p>
        </w:tc>
        <w:tc>
          <w:tcPr>
            <w:tcW w:w="420" w:type="dxa"/>
            <w:vAlign w:val="bottom"/>
          </w:tcPr>
          <w:p>
            <w:pPr>
              <w:jc w:val="right"/>
              <w:spacing w:after="0"/>
              <w:rPr>
                <w:sz w:val="20"/>
                <w:szCs w:val="20"/>
                <w:color w:val="auto"/>
              </w:rPr>
            </w:pPr>
            <w:r>
              <w:rPr>
                <w:rFonts w:ascii="Arial" w:cs="Arial" w:eastAsia="Arial" w:hAnsi="Arial"/>
                <w:sz w:val="36"/>
                <w:szCs w:val="36"/>
                <w:color w:val="auto"/>
              </w:rPr>
              <w:t>5</w:t>
            </w:r>
          </w:p>
        </w:tc>
        <w:tc>
          <w:tcPr>
            <w:tcW w:w="920" w:type="dxa"/>
            <w:vAlign w:val="bottom"/>
            <w:vMerge w:val="restart"/>
          </w:tcPr>
          <w:p>
            <w:pPr>
              <w:ind w:left="8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38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tcPr>
          <w:p>
            <w:pPr>
              <w:ind w:left="60"/>
              <w:spacing w:after="0" w:line="130" w:lineRule="exact"/>
              <w:rPr>
                <w:sz w:val="20"/>
                <w:szCs w:val="20"/>
                <w:color w:val="auto"/>
              </w:rPr>
            </w:pPr>
            <w:r>
              <w:rPr>
                <w:rFonts w:ascii="Arial" w:cs="Arial" w:eastAsia="Arial" w:hAnsi="Arial"/>
                <w:sz w:val="12"/>
                <w:szCs w:val="12"/>
                <w:color w:val="0075C9"/>
                <w:w w:val="99"/>
              </w:rPr>
              <w:t>EXECUTIVE OFFICER</w:t>
            </w:r>
          </w:p>
        </w:tc>
        <w:tc>
          <w:tcPr>
            <w:tcW w:w="740" w:type="dxa"/>
            <w:vAlign w:val="bottom"/>
          </w:tcPr>
          <w:p>
            <w:pPr>
              <w:spacing w:after="0"/>
              <w:rPr>
                <w:sz w:val="11"/>
                <w:szCs w:val="11"/>
                <w:color w:val="auto"/>
              </w:rPr>
            </w:pPr>
          </w:p>
        </w:tc>
        <w:tc>
          <w:tcPr>
            <w:tcW w:w="1020" w:type="dxa"/>
            <w:vAlign w:val="bottom"/>
          </w:tcPr>
          <w:p>
            <w:pPr>
              <w:ind w:left="60"/>
              <w:spacing w:after="0" w:line="130" w:lineRule="exact"/>
              <w:rPr>
                <w:sz w:val="20"/>
                <w:szCs w:val="20"/>
                <w:color w:val="auto"/>
              </w:rPr>
            </w:pPr>
            <w:r>
              <w:rPr>
                <w:rFonts w:ascii="Arial" w:cs="Arial" w:eastAsia="Arial" w:hAnsi="Arial"/>
                <w:sz w:val="12"/>
                <w:szCs w:val="12"/>
                <w:color w:val="auto"/>
              </w:rPr>
              <w:t>COMMITTEE</w:t>
            </w:r>
          </w:p>
        </w:tc>
        <w:tc>
          <w:tcPr>
            <w:tcW w:w="500" w:type="dxa"/>
            <w:vAlign w:val="bottom"/>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20" w:type="dxa"/>
            <w:vAlign w:val="bottom"/>
          </w:tcPr>
          <w:p>
            <w:pPr>
              <w:spacing w:after="0"/>
              <w:rPr>
                <w:sz w:val="11"/>
                <w:szCs w:val="11"/>
                <w:color w:val="auto"/>
              </w:rPr>
            </w:pPr>
          </w:p>
        </w:tc>
        <w:tc>
          <w:tcPr>
            <w:tcW w:w="92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380" w:type="dxa"/>
            <w:vAlign w:val="bottom"/>
          </w:tcPr>
          <w:p>
            <w:pPr>
              <w:ind w:left="80"/>
              <w:spacing w:after="0"/>
              <w:rPr>
                <w:sz w:val="20"/>
                <w:szCs w:val="20"/>
                <w:color w:val="auto"/>
              </w:rPr>
            </w:pPr>
            <w:r>
              <w:rPr>
                <w:rFonts w:ascii="Arial" w:cs="Arial" w:eastAsia="Arial" w:hAnsi="Arial"/>
                <w:sz w:val="12"/>
                <w:szCs w:val="12"/>
                <w:color w:val="auto"/>
              </w:rPr>
              <w:t>DIRECTORS</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0075C9"/>
              </w:rPr>
              <w:t>COMPENSATION</w:t>
            </w:r>
          </w:p>
        </w:tc>
        <w:tc>
          <w:tcPr>
            <w:tcW w:w="740" w:type="dxa"/>
            <w:vAlign w:val="bottom"/>
          </w:tcPr>
          <w:p>
            <w:pPr>
              <w:spacing w:after="0"/>
              <w:rPr>
                <w:sz w:val="12"/>
                <w:szCs w:val="12"/>
                <w:color w:val="auto"/>
              </w:rPr>
            </w:pPr>
          </w:p>
        </w:tc>
        <w:tc>
          <w:tcPr>
            <w:tcW w:w="1020" w:type="dxa"/>
            <w:vAlign w:val="bottom"/>
          </w:tcPr>
          <w:p>
            <w:pPr>
              <w:ind w:left="60"/>
              <w:spacing w:after="0"/>
              <w:rPr>
                <w:sz w:val="20"/>
                <w:szCs w:val="20"/>
                <w:color w:val="auto"/>
              </w:rPr>
            </w:pPr>
            <w:r>
              <w:rPr>
                <w:rFonts w:ascii="Arial" w:cs="Arial" w:eastAsia="Arial" w:hAnsi="Arial"/>
                <w:sz w:val="12"/>
                <w:szCs w:val="12"/>
                <w:color w:val="auto"/>
              </w:rPr>
              <w:t>MATTERS</w:t>
            </w:r>
          </w:p>
        </w:tc>
        <w:tc>
          <w:tcPr>
            <w:tcW w:w="500" w:type="dxa"/>
            <w:vAlign w:val="bottom"/>
          </w:tcPr>
          <w:p>
            <w:pPr>
              <w:spacing w:after="0"/>
              <w:rPr>
                <w:sz w:val="12"/>
                <w:szCs w:val="12"/>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20" w:type="dxa"/>
            <w:vAlign w:val="bottom"/>
          </w:tcPr>
          <w:p>
            <w:pPr>
              <w:spacing w:after="0"/>
              <w:rPr>
                <w:sz w:val="12"/>
                <w:szCs w:val="12"/>
                <w:color w:val="auto"/>
              </w:rPr>
            </w:pPr>
          </w:p>
        </w:tc>
        <w:tc>
          <w:tcPr>
            <w:tcW w:w="92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ind w:left="2960"/>
        <w:spacing w:after="0"/>
        <w:rPr>
          <w:sz w:val="20"/>
          <w:szCs w:val="20"/>
          <w:color w:val="auto"/>
        </w:rPr>
      </w:pPr>
      <w:r>
        <w:rPr>
          <w:rFonts w:ascii="Arial" w:cs="Arial" w:eastAsia="Arial" w:hAnsi="Arial"/>
          <w:sz w:val="21"/>
          <w:szCs w:val="21"/>
          <w:b w:val="1"/>
          <w:bCs w:val="1"/>
          <w:color w:val="auto"/>
        </w:rPr>
        <w:t>Fiscal Year 2019 PSA Core Metric Payout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-74930</wp:posOffset>
            </wp:positionV>
            <wp:extent cx="5748020" cy="25165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748020" cy="2516505"/>
                    </a:xfrm>
                    <a:prstGeom prst="rect">
                      <a:avLst/>
                    </a:prstGeom>
                    <a:noFill/>
                  </pic:spPr>
                </pic:pic>
              </a:graphicData>
            </a:graphic>
          </wp:anchor>
        </w:drawing>
      </w:r>
    </w:p>
    <w:p>
      <w:pPr>
        <w:sectPr>
          <w:pgSz w:w="11900" w:h="16838" w:orient="portrait"/>
          <w:cols w:equalWidth="0" w:num="1">
            <w:col w:w="10139"/>
          </w:cols>
          <w:pgMar w:left="320" w:top="445" w:right="1440" w:bottom="1440" w:gutter="0" w:footer="0" w:header="0"/>
        </w:sectPr>
      </w:pPr>
    </w:p>
    <w:p>
      <w:pPr>
        <w:spacing w:after="0" w:line="59"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FY19</w:t>
            </w:r>
          </w:p>
        </w:tc>
        <w:tc>
          <w:tcPr>
            <w:tcW w:w="0" w:type="dxa"/>
            <w:vAlign w:val="bottom"/>
          </w:tcPr>
          <w:p>
            <w:pPr>
              <w:spacing w:after="0"/>
              <w:rPr>
                <w:sz w:val="1"/>
                <w:szCs w:val="1"/>
                <w:color w:val="auto"/>
              </w:rPr>
            </w:pPr>
          </w:p>
        </w:tc>
      </w:tr>
      <w:tr>
        <w:trPr>
          <w:trHeight w:val="155"/>
        </w:trPr>
        <w:tc>
          <w:tcPr>
            <w:tcW w:w="1720" w:type="dxa"/>
            <w:vAlign w:val="bottom"/>
          </w:tcPr>
          <w:p>
            <w:pPr>
              <w:ind w:left="120"/>
              <w:spacing w:after="0" w:line="155" w:lineRule="exact"/>
              <w:rPr>
                <w:sz w:val="20"/>
                <w:szCs w:val="20"/>
                <w:color w:val="auto"/>
              </w:rPr>
            </w:pPr>
            <w:r>
              <w:rPr>
                <w:rFonts w:ascii="Arial" w:cs="Arial" w:eastAsia="Arial" w:hAnsi="Arial"/>
                <w:sz w:val="14"/>
                <w:szCs w:val="14"/>
                <w:b w:val="1"/>
                <w:bCs w:val="1"/>
                <w:color w:val="auto"/>
              </w:rPr>
              <w:t>Metric</w:t>
            </w:r>
          </w:p>
        </w:tc>
        <w:tc>
          <w:tcPr>
            <w:tcW w:w="68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Payout</w:t>
            </w:r>
          </w:p>
        </w:tc>
        <w:tc>
          <w:tcPr>
            <w:tcW w:w="0" w:type="dxa"/>
            <w:vAlign w:val="bottom"/>
          </w:tcPr>
          <w:p>
            <w:pPr>
              <w:spacing w:after="0"/>
              <w:rPr>
                <w:sz w:val="1"/>
                <w:szCs w:val="1"/>
                <w:color w:val="auto"/>
              </w:rPr>
            </w:pPr>
          </w:p>
        </w:tc>
      </w:tr>
      <w:tr>
        <w:trPr>
          <w:trHeight w:val="200"/>
        </w:trPr>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(FY19)</w:t>
            </w:r>
          </w:p>
        </w:tc>
        <w:tc>
          <w:tcPr>
            <w:tcW w:w="68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b w:val="1"/>
                <w:bCs w:val="1"/>
                <w:color w:val="auto"/>
              </w:rPr>
              <w:t>Weight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2"/>
        </w:trPr>
        <w:tc>
          <w:tcPr>
            <w:tcW w:w="1720" w:type="dxa"/>
            <w:vAlign w:val="bottom"/>
          </w:tcPr>
          <w:p>
            <w:pPr>
              <w:ind w:left="120"/>
              <w:spacing w:after="0"/>
              <w:rPr>
                <w:sz w:val="20"/>
                <w:szCs w:val="20"/>
                <w:color w:val="auto"/>
              </w:rPr>
            </w:pPr>
            <w:r>
              <w:rPr>
                <w:rFonts w:ascii="Arial" w:cs="Arial" w:eastAsia="Arial" w:hAnsi="Arial"/>
                <w:sz w:val="15"/>
                <w:szCs w:val="15"/>
                <w:b w:val="1"/>
                <w:bCs w:val="1"/>
                <w:color w:val="0075C9"/>
              </w:rPr>
              <w:t>Commercial Cloud</w:t>
            </w:r>
          </w:p>
        </w:tc>
        <w:tc>
          <w:tcPr>
            <w:tcW w:w="680" w:type="dxa"/>
            <w:vAlign w:val="bottom"/>
            <w:vMerge w:val="restart"/>
          </w:tcPr>
          <w:p>
            <w:pPr>
              <w:jc w:val="right"/>
              <w:ind w:right="67"/>
              <w:spacing w:after="0"/>
              <w:rPr>
                <w:sz w:val="20"/>
                <w:szCs w:val="20"/>
                <w:color w:val="auto"/>
              </w:rPr>
            </w:pPr>
            <w:r>
              <w:rPr>
                <w:rFonts w:ascii="Arial" w:cs="Arial" w:eastAsia="Arial" w:hAnsi="Arial"/>
                <w:sz w:val="15"/>
                <w:szCs w:val="15"/>
                <w:color w:val="auto"/>
              </w:rPr>
              <w:t>34%</w:t>
            </w: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99.16%</w:t>
            </w:r>
          </w:p>
        </w:tc>
        <w:tc>
          <w:tcPr>
            <w:tcW w:w="0" w:type="dxa"/>
            <w:vAlign w:val="bottom"/>
          </w:tcPr>
          <w:p>
            <w:pPr>
              <w:spacing w:after="0"/>
              <w:rPr>
                <w:sz w:val="1"/>
                <w:szCs w:val="1"/>
                <w:color w:val="auto"/>
              </w:rPr>
            </w:pPr>
          </w:p>
        </w:tc>
      </w:tr>
      <w:tr>
        <w:trPr>
          <w:trHeight w:val="195"/>
        </w:trPr>
        <w:tc>
          <w:tcPr>
            <w:tcW w:w="1720" w:type="dxa"/>
            <w:vAlign w:val="bottom"/>
          </w:tcPr>
          <w:p>
            <w:pPr>
              <w:ind w:left="120"/>
              <w:spacing w:after="0"/>
              <w:rPr>
                <w:sz w:val="20"/>
                <w:szCs w:val="20"/>
                <w:color w:val="auto"/>
              </w:rPr>
            </w:pPr>
            <w:r>
              <w:rPr>
                <w:rFonts w:ascii="Arial" w:cs="Arial" w:eastAsia="Arial" w:hAnsi="Arial"/>
                <w:sz w:val="15"/>
                <w:szCs w:val="15"/>
                <w:b w:val="1"/>
                <w:bCs w:val="1"/>
                <w:color w:val="0075C9"/>
              </w:rPr>
              <w:t>Revenue</w:t>
            </w:r>
          </w:p>
        </w:tc>
        <w:tc>
          <w:tcPr>
            <w:tcW w:w="68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1720" w:type="dxa"/>
            <w:vAlign w:val="bottom"/>
            <w:tcBorders>
              <w:bottom w:val="single" w:sz="8" w:color="0075C9"/>
            </w:tcBorders>
          </w:tcPr>
          <w:p>
            <w:pPr>
              <w:spacing w:after="0"/>
              <w:rPr>
                <w:sz w:val="4"/>
                <w:szCs w:val="4"/>
                <w:color w:val="auto"/>
              </w:rPr>
            </w:pPr>
          </w:p>
        </w:tc>
        <w:tc>
          <w:tcPr>
            <w:tcW w:w="680" w:type="dxa"/>
            <w:vAlign w:val="bottom"/>
            <w:tcBorders>
              <w:bottom w:val="single" w:sz="8" w:color="0075C9"/>
            </w:tcBorders>
          </w:tcPr>
          <w:p>
            <w:pPr>
              <w:spacing w:after="0"/>
              <w:rPr>
                <w:sz w:val="4"/>
                <w:szCs w:val="4"/>
                <w:color w:val="auto"/>
              </w:rPr>
            </w:pPr>
          </w:p>
        </w:tc>
        <w:tc>
          <w:tcPr>
            <w:tcW w:w="700" w:type="dxa"/>
            <w:vAlign w:val="bottom"/>
            <w:tcBorders>
              <w:bottom w:val="single" w:sz="8" w:color="0075C9"/>
            </w:tcBorders>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1720" w:type="dxa"/>
            <w:vAlign w:val="bottom"/>
          </w:tcPr>
          <w:p>
            <w:pPr>
              <w:ind w:left="120"/>
              <w:spacing w:after="0"/>
              <w:rPr>
                <w:sz w:val="20"/>
                <w:szCs w:val="20"/>
                <w:color w:val="auto"/>
              </w:rPr>
            </w:pPr>
            <w:r>
              <w:rPr>
                <w:rFonts w:ascii="Arial" w:cs="Arial" w:eastAsia="Arial" w:hAnsi="Arial"/>
                <w:sz w:val="15"/>
                <w:szCs w:val="15"/>
                <w:b w:val="1"/>
                <w:bCs w:val="1"/>
                <w:color w:val="0075C9"/>
              </w:rPr>
              <w:t>Commercial Cloud</w:t>
            </w: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720" w:type="dxa"/>
            <w:vAlign w:val="bottom"/>
          </w:tcPr>
          <w:p>
            <w:pPr>
              <w:ind w:left="120"/>
              <w:spacing w:after="0"/>
              <w:rPr>
                <w:sz w:val="20"/>
                <w:szCs w:val="20"/>
                <w:color w:val="auto"/>
              </w:rPr>
            </w:pPr>
            <w:r>
              <w:rPr>
                <w:rFonts w:ascii="Arial" w:cs="Arial" w:eastAsia="Arial" w:hAnsi="Arial"/>
                <w:sz w:val="15"/>
                <w:szCs w:val="15"/>
                <w:b w:val="1"/>
                <w:bCs w:val="1"/>
                <w:color w:val="0075C9"/>
              </w:rPr>
              <w:t>Subscribers</w:t>
            </w:r>
          </w:p>
        </w:tc>
        <w:tc>
          <w:tcPr>
            <w:tcW w:w="680" w:type="dxa"/>
            <w:vAlign w:val="bottom"/>
          </w:tcPr>
          <w:p>
            <w:pPr>
              <w:jc w:val="right"/>
              <w:ind w:right="67"/>
              <w:spacing w:after="0"/>
              <w:rPr>
                <w:sz w:val="20"/>
                <w:szCs w:val="20"/>
                <w:color w:val="auto"/>
              </w:rPr>
            </w:pPr>
            <w:r>
              <w:rPr>
                <w:rFonts w:ascii="Arial" w:cs="Arial" w:eastAsia="Arial" w:hAnsi="Arial"/>
                <w:sz w:val="15"/>
                <w:szCs w:val="15"/>
                <w:color w:val="auto"/>
              </w:rPr>
              <w:t>33%</w:t>
            </w:r>
          </w:p>
        </w:tc>
        <w:tc>
          <w:tcPr>
            <w:tcW w:w="700" w:type="dxa"/>
            <w:vAlign w:val="bottom"/>
          </w:tcPr>
          <w:p>
            <w:pPr>
              <w:jc w:val="right"/>
              <w:spacing w:after="0"/>
              <w:rPr>
                <w:sz w:val="20"/>
                <w:szCs w:val="20"/>
                <w:color w:val="auto"/>
              </w:rPr>
            </w:pPr>
            <w:r>
              <w:rPr>
                <w:rFonts w:ascii="Arial" w:cs="Arial" w:eastAsia="Arial" w:hAnsi="Arial"/>
                <w:sz w:val="15"/>
                <w:szCs w:val="15"/>
                <w:color w:val="auto"/>
              </w:rPr>
              <w:t>114.79%</w:t>
            </w:r>
          </w:p>
        </w:tc>
        <w:tc>
          <w:tcPr>
            <w:tcW w:w="0" w:type="dxa"/>
            <w:vAlign w:val="bottom"/>
          </w:tcPr>
          <w:p>
            <w:pPr>
              <w:spacing w:after="0"/>
              <w:rPr>
                <w:sz w:val="1"/>
                <w:szCs w:val="1"/>
                <w:color w:val="auto"/>
              </w:rPr>
            </w:pPr>
          </w:p>
        </w:tc>
      </w:tr>
      <w:tr>
        <w:trPr>
          <w:trHeight w:val="73"/>
        </w:trPr>
        <w:tc>
          <w:tcPr>
            <w:tcW w:w="1720" w:type="dxa"/>
            <w:vAlign w:val="bottom"/>
            <w:tcBorders>
              <w:bottom w:val="single" w:sz="8" w:color="0075C9"/>
            </w:tcBorders>
          </w:tcPr>
          <w:p>
            <w:pPr>
              <w:spacing w:after="0"/>
              <w:rPr>
                <w:sz w:val="6"/>
                <w:szCs w:val="6"/>
                <w:color w:val="auto"/>
              </w:rPr>
            </w:pPr>
          </w:p>
        </w:tc>
        <w:tc>
          <w:tcPr>
            <w:tcW w:w="680" w:type="dxa"/>
            <w:vAlign w:val="bottom"/>
            <w:tcBorders>
              <w:bottom w:val="single" w:sz="8" w:color="0075C9"/>
            </w:tcBorders>
          </w:tcPr>
          <w:p>
            <w:pPr>
              <w:spacing w:after="0"/>
              <w:rPr>
                <w:sz w:val="6"/>
                <w:szCs w:val="6"/>
                <w:color w:val="auto"/>
              </w:rPr>
            </w:pPr>
          </w:p>
        </w:tc>
        <w:tc>
          <w:tcPr>
            <w:tcW w:w="700" w:type="dxa"/>
            <w:vAlign w:val="bottom"/>
            <w:tcBorders>
              <w:bottom w:val="single" w:sz="8" w:color="0075C9"/>
            </w:tcBorders>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1720" w:type="dxa"/>
            <w:vAlign w:val="bottom"/>
          </w:tcPr>
          <w:p>
            <w:pPr>
              <w:ind w:left="120"/>
              <w:spacing w:after="0" w:line="127" w:lineRule="exact"/>
              <w:rPr>
                <w:sz w:val="20"/>
                <w:szCs w:val="20"/>
                <w:color w:val="auto"/>
              </w:rPr>
            </w:pPr>
            <w:r>
              <w:rPr>
                <w:rFonts w:ascii="Arial" w:cs="Arial" w:eastAsia="Arial" w:hAnsi="Arial"/>
                <w:sz w:val="14"/>
                <w:szCs w:val="14"/>
                <w:b w:val="1"/>
                <w:bCs w:val="1"/>
                <w:color w:val="0075C9"/>
              </w:rPr>
              <w:t>Windows 10</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720" w:type="dxa"/>
            <w:vAlign w:val="bottom"/>
          </w:tcPr>
          <w:p>
            <w:pPr>
              <w:ind w:left="120"/>
              <w:spacing w:after="0" w:line="156" w:lineRule="exact"/>
              <w:rPr>
                <w:sz w:val="20"/>
                <w:szCs w:val="20"/>
                <w:color w:val="auto"/>
              </w:rPr>
            </w:pPr>
            <w:r>
              <w:rPr>
                <w:rFonts w:ascii="Arial" w:cs="Arial" w:eastAsia="Arial" w:hAnsi="Arial"/>
                <w:sz w:val="15"/>
                <w:szCs w:val="15"/>
                <w:b w:val="1"/>
                <w:bCs w:val="1"/>
                <w:color w:val="0075C9"/>
              </w:rPr>
              <w:t>Monthly Active</w:t>
            </w:r>
          </w:p>
        </w:tc>
        <w:tc>
          <w:tcPr>
            <w:tcW w:w="680" w:type="dxa"/>
            <w:vAlign w:val="bottom"/>
            <w:vMerge w:val="restart"/>
          </w:tcPr>
          <w:p>
            <w:pPr>
              <w:jc w:val="right"/>
              <w:ind w:right="67"/>
              <w:spacing w:after="0"/>
              <w:rPr>
                <w:sz w:val="20"/>
                <w:szCs w:val="20"/>
                <w:color w:val="auto"/>
              </w:rPr>
            </w:pPr>
            <w:r>
              <w:rPr>
                <w:rFonts w:ascii="Arial" w:cs="Arial" w:eastAsia="Arial" w:hAnsi="Arial"/>
                <w:sz w:val="15"/>
                <w:szCs w:val="15"/>
                <w:color w:val="auto"/>
              </w:rPr>
              <w:t>11%</w:t>
            </w: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129.46%</w:t>
            </w:r>
          </w:p>
        </w:tc>
        <w:tc>
          <w:tcPr>
            <w:tcW w:w="0" w:type="dxa"/>
            <w:vAlign w:val="bottom"/>
          </w:tcPr>
          <w:p>
            <w:pPr>
              <w:spacing w:after="0"/>
              <w:rPr>
                <w:sz w:val="1"/>
                <w:szCs w:val="1"/>
                <w:color w:val="auto"/>
              </w:rPr>
            </w:pPr>
          </w:p>
        </w:tc>
      </w:tr>
      <w:tr>
        <w:trPr>
          <w:trHeight w:val="117"/>
        </w:trPr>
        <w:tc>
          <w:tcPr>
            <w:tcW w:w="1720" w:type="dxa"/>
            <w:vAlign w:val="bottom"/>
            <w:vMerge w:val="restart"/>
          </w:tcPr>
          <w:p>
            <w:pPr>
              <w:ind w:left="120"/>
              <w:spacing w:after="0"/>
              <w:rPr>
                <w:sz w:val="20"/>
                <w:szCs w:val="20"/>
                <w:color w:val="auto"/>
              </w:rPr>
            </w:pPr>
            <w:r>
              <w:rPr>
                <w:rFonts w:ascii="Arial" w:cs="Arial" w:eastAsia="Arial" w:hAnsi="Arial"/>
                <w:sz w:val="15"/>
                <w:szCs w:val="15"/>
                <w:b w:val="1"/>
                <w:bCs w:val="1"/>
                <w:color w:val="0075C9"/>
              </w:rPr>
              <w:t>Devices</w:t>
            </w:r>
          </w:p>
        </w:tc>
        <w:tc>
          <w:tcPr>
            <w:tcW w:w="6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1720" w:type="dxa"/>
            <w:vAlign w:val="bottom"/>
            <w:tcBorders>
              <w:bottom w:val="single" w:sz="8" w:color="0075C9"/>
            </w:tcBorders>
            <w:vMerge w:val="continue"/>
          </w:tcPr>
          <w:p>
            <w:pPr>
              <w:spacing w:after="0"/>
              <w:rPr>
                <w:sz w:val="7"/>
                <w:szCs w:val="7"/>
                <w:color w:val="auto"/>
              </w:rPr>
            </w:pPr>
          </w:p>
        </w:tc>
        <w:tc>
          <w:tcPr>
            <w:tcW w:w="680" w:type="dxa"/>
            <w:vAlign w:val="bottom"/>
            <w:tcBorders>
              <w:bottom w:val="single" w:sz="8" w:color="0075C9"/>
            </w:tcBorders>
          </w:tcPr>
          <w:p>
            <w:pPr>
              <w:spacing w:after="0"/>
              <w:rPr>
                <w:sz w:val="7"/>
                <w:szCs w:val="7"/>
                <w:color w:val="auto"/>
              </w:rPr>
            </w:pPr>
          </w:p>
        </w:tc>
        <w:tc>
          <w:tcPr>
            <w:tcW w:w="700" w:type="dxa"/>
            <w:vAlign w:val="bottom"/>
            <w:tcBorders>
              <w:bottom w:val="single" w:sz="8" w:color="0075C9"/>
            </w:tcBorders>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1720" w:type="dxa"/>
            <w:vAlign w:val="bottom"/>
          </w:tcPr>
          <w:p>
            <w:pPr>
              <w:ind w:left="120"/>
              <w:spacing w:after="0" w:line="131" w:lineRule="exact"/>
              <w:rPr>
                <w:sz w:val="20"/>
                <w:szCs w:val="20"/>
                <w:color w:val="auto"/>
              </w:rPr>
            </w:pPr>
            <w:r>
              <w:rPr>
                <w:rFonts w:ascii="Arial" w:cs="Arial" w:eastAsia="Arial" w:hAnsi="Arial"/>
                <w:sz w:val="15"/>
                <w:szCs w:val="15"/>
                <w:b w:val="1"/>
                <w:bCs w:val="1"/>
                <w:color w:val="0075C9"/>
              </w:rPr>
              <w:t>Consumer Post-</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720" w:type="dxa"/>
            <w:vAlign w:val="bottom"/>
          </w:tcPr>
          <w:p>
            <w:pPr>
              <w:ind w:left="120"/>
              <w:spacing w:after="0" w:line="156" w:lineRule="exact"/>
              <w:rPr>
                <w:sz w:val="20"/>
                <w:szCs w:val="20"/>
                <w:color w:val="auto"/>
              </w:rPr>
            </w:pPr>
            <w:r>
              <w:rPr>
                <w:rFonts w:ascii="Arial" w:cs="Arial" w:eastAsia="Arial" w:hAnsi="Arial"/>
                <w:sz w:val="15"/>
                <w:szCs w:val="15"/>
                <w:b w:val="1"/>
                <w:bCs w:val="1"/>
                <w:color w:val="0075C9"/>
              </w:rPr>
              <w:t>Sales Monetization</w:t>
            </w:r>
          </w:p>
        </w:tc>
        <w:tc>
          <w:tcPr>
            <w:tcW w:w="680" w:type="dxa"/>
            <w:vAlign w:val="bottom"/>
            <w:vMerge w:val="restart"/>
          </w:tcPr>
          <w:p>
            <w:pPr>
              <w:jc w:val="right"/>
              <w:ind w:right="67"/>
              <w:spacing w:after="0"/>
              <w:rPr>
                <w:sz w:val="20"/>
                <w:szCs w:val="20"/>
                <w:color w:val="auto"/>
              </w:rPr>
            </w:pPr>
            <w:r>
              <w:rPr>
                <w:rFonts w:ascii="Arial" w:cs="Arial" w:eastAsia="Arial" w:hAnsi="Arial"/>
                <w:sz w:val="15"/>
                <w:szCs w:val="15"/>
                <w:color w:val="auto"/>
              </w:rPr>
              <w:t>11%</w:t>
            </w: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144.33%</w:t>
            </w:r>
          </w:p>
        </w:tc>
        <w:tc>
          <w:tcPr>
            <w:tcW w:w="0" w:type="dxa"/>
            <w:vAlign w:val="bottom"/>
          </w:tcPr>
          <w:p>
            <w:pPr>
              <w:spacing w:after="0"/>
              <w:rPr>
                <w:sz w:val="1"/>
                <w:szCs w:val="1"/>
                <w:color w:val="auto"/>
              </w:rPr>
            </w:pPr>
          </w:p>
        </w:tc>
      </w:tr>
      <w:tr>
        <w:trPr>
          <w:trHeight w:val="117"/>
        </w:trPr>
        <w:tc>
          <w:tcPr>
            <w:tcW w:w="1720" w:type="dxa"/>
            <w:vAlign w:val="bottom"/>
            <w:vMerge w:val="restart"/>
          </w:tcPr>
          <w:p>
            <w:pPr>
              <w:ind w:left="120"/>
              <w:spacing w:after="0"/>
              <w:rPr>
                <w:sz w:val="20"/>
                <w:szCs w:val="20"/>
                <w:color w:val="auto"/>
              </w:rPr>
            </w:pPr>
            <w:r>
              <w:rPr>
                <w:rFonts w:ascii="Arial" w:cs="Arial" w:eastAsia="Arial" w:hAnsi="Arial"/>
                <w:sz w:val="15"/>
                <w:szCs w:val="15"/>
                <w:b w:val="1"/>
                <w:bCs w:val="1"/>
                <w:color w:val="0075C9"/>
              </w:rPr>
              <w:t>Gross Margin</w:t>
            </w:r>
          </w:p>
        </w:tc>
        <w:tc>
          <w:tcPr>
            <w:tcW w:w="6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1720" w:type="dxa"/>
            <w:vAlign w:val="bottom"/>
            <w:tcBorders>
              <w:bottom w:val="single" w:sz="8" w:color="0075C9"/>
            </w:tcBorders>
            <w:vMerge w:val="continue"/>
          </w:tcPr>
          <w:p>
            <w:pPr>
              <w:spacing w:after="0"/>
              <w:rPr>
                <w:sz w:val="7"/>
                <w:szCs w:val="7"/>
                <w:color w:val="auto"/>
              </w:rPr>
            </w:pPr>
          </w:p>
        </w:tc>
        <w:tc>
          <w:tcPr>
            <w:tcW w:w="680" w:type="dxa"/>
            <w:vAlign w:val="bottom"/>
            <w:tcBorders>
              <w:bottom w:val="single" w:sz="8" w:color="0075C9"/>
            </w:tcBorders>
          </w:tcPr>
          <w:p>
            <w:pPr>
              <w:spacing w:after="0"/>
              <w:rPr>
                <w:sz w:val="7"/>
                <w:szCs w:val="7"/>
                <w:color w:val="auto"/>
              </w:rPr>
            </w:pPr>
          </w:p>
        </w:tc>
        <w:tc>
          <w:tcPr>
            <w:tcW w:w="700" w:type="dxa"/>
            <w:vAlign w:val="bottom"/>
            <w:tcBorders>
              <w:bottom w:val="single" w:sz="8" w:color="0075C9"/>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1720" w:type="dxa"/>
            <w:vAlign w:val="bottom"/>
          </w:tcPr>
          <w:p>
            <w:pPr>
              <w:ind w:left="120"/>
              <w:spacing w:after="0"/>
              <w:rPr>
                <w:sz w:val="20"/>
                <w:szCs w:val="20"/>
                <w:color w:val="auto"/>
              </w:rPr>
            </w:pPr>
            <w:r>
              <w:rPr>
                <w:rFonts w:ascii="Arial" w:cs="Arial" w:eastAsia="Arial" w:hAnsi="Arial"/>
                <w:sz w:val="15"/>
                <w:szCs w:val="15"/>
                <w:b w:val="1"/>
                <w:bCs w:val="1"/>
                <w:color w:val="0075C9"/>
              </w:rPr>
              <w:t>Surface Gross Margin</w:t>
            </w:r>
          </w:p>
        </w:tc>
        <w:tc>
          <w:tcPr>
            <w:tcW w:w="680" w:type="dxa"/>
            <w:vAlign w:val="bottom"/>
            <w:vMerge w:val="restart"/>
          </w:tcPr>
          <w:p>
            <w:pPr>
              <w:jc w:val="right"/>
              <w:ind w:right="67"/>
              <w:spacing w:after="0"/>
              <w:rPr>
                <w:sz w:val="20"/>
                <w:szCs w:val="20"/>
                <w:color w:val="auto"/>
              </w:rPr>
            </w:pPr>
            <w:r>
              <w:rPr>
                <w:rFonts w:ascii="Arial" w:cs="Arial" w:eastAsia="Arial" w:hAnsi="Arial"/>
                <w:sz w:val="15"/>
                <w:szCs w:val="15"/>
                <w:color w:val="auto"/>
              </w:rPr>
              <w:t>5%</w:t>
            </w: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105.41%</w:t>
            </w:r>
          </w:p>
        </w:tc>
        <w:tc>
          <w:tcPr>
            <w:tcW w:w="0" w:type="dxa"/>
            <w:vAlign w:val="bottom"/>
          </w:tcPr>
          <w:p>
            <w:pPr>
              <w:spacing w:after="0"/>
              <w:rPr>
                <w:sz w:val="1"/>
                <w:szCs w:val="1"/>
                <w:color w:val="auto"/>
              </w:rPr>
            </w:pPr>
          </w:p>
        </w:tc>
      </w:tr>
      <w:tr>
        <w:trPr>
          <w:trHeight w:val="117"/>
        </w:trPr>
        <w:tc>
          <w:tcPr>
            <w:tcW w:w="17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FY20</w:t>
            </w:r>
          </w:p>
        </w:tc>
        <w:tc>
          <w:tcPr>
            <w:tcW w:w="10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FY21</w:t>
            </w:r>
          </w:p>
        </w:tc>
        <w:tc>
          <w:tcPr>
            <w:tcW w:w="0" w:type="dxa"/>
            <w:vAlign w:val="bottom"/>
          </w:tcPr>
          <w:p>
            <w:pPr>
              <w:spacing w:after="0"/>
              <w:rPr>
                <w:sz w:val="1"/>
                <w:szCs w:val="1"/>
                <w:color w:val="auto"/>
              </w:rPr>
            </w:pPr>
          </w:p>
        </w:tc>
      </w:tr>
      <w:tr>
        <w:trPr>
          <w:trHeight w:val="155"/>
        </w:trPr>
        <w:tc>
          <w:tcPr>
            <w:tcW w:w="1520" w:type="dxa"/>
            <w:vAlign w:val="bottom"/>
          </w:tcPr>
          <w:p>
            <w:pPr>
              <w:ind w:left="80"/>
              <w:spacing w:after="0" w:line="155" w:lineRule="exact"/>
              <w:rPr>
                <w:sz w:val="20"/>
                <w:szCs w:val="20"/>
                <w:color w:val="auto"/>
              </w:rPr>
            </w:pPr>
            <w:r>
              <w:rPr>
                <w:rFonts w:ascii="Arial" w:cs="Arial" w:eastAsia="Arial" w:hAnsi="Arial"/>
                <w:sz w:val="14"/>
                <w:szCs w:val="14"/>
                <w:b w:val="1"/>
                <w:bCs w:val="1"/>
                <w:color w:val="auto"/>
              </w:rPr>
              <w:t>Metric</w:t>
            </w:r>
          </w:p>
        </w:tc>
        <w:tc>
          <w:tcPr>
            <w:tcW w:w="90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Payout</w:t>
            </w:r>
          </w:p>
        </w:tc>
        <w:tc>
          <w:tcPr>
            <w:tcW w:w="104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Payout</w:t>
            </w:r>
          </w:p>
        </w:tc>
        <w:tc>
          <w:tcPr>
            <w:tcW w:w="0" w:type="dxa"/>
            <w:vAlign w:val="bottom"/>
          </w:tcPr>
          <w:p>
            <w:pPr>
              <w:spacing w:after="0"/>
              <w:rPr>
                <w:sz w:val="1"/>
                <w:szCs w:val="1"/>
                <w:color w:val="auto"/>
              </w:rPr>
            </w:pPr>
          </w:p>
        </w:tc>
      </w:tr>
      <w:tr>
        <w:trPr>
          <w:trHeight w:val="200"/>
        </w:trPr>
        <w:tc>
          <w:tcPr>
            <w:tcW w:w="15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(FY20 and FY21)</w:t>
            </w:r>
          </w:p>
        </w:tc>
        <w:tc>
          <w:tcPr>
            <w:tcW w:w="90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b w:val="1"/>
                <w:bCs w:val="1"/>
                <w:color w:val="auto"/>
              </w:rPr>
              <w:t>Weight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ind w:right="147"/>
              <w:spacing w:after="0"/>
              <w:rPr>
                <w:sz w:val="20"/>
                <w:szCs w:val="20"/>
                <w:color w:val="auto"/>
              </w:rPr>
            </w:pPr>
            <w:r>
              <w:rPr>
                <w:rFonts w:ascii="Arial" w:cs="Arial" w:eastAsia="Arial" w:hAnsi="Arial"/>
                <w:sz w:val="14"/>
                <w:szCs w:val="14"/>
                <w:b w:val="1"/>
                <w:bCs w:val="1"/>
                <w:color w:val="auto"/>
              </w:rPr>
              <w:t>Weight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2"/>
        </w:trPr>
        <w:tc>
          <w:tcPr>
            <w:tcW w:w="1520" w:type="dxa"/>
            <w:vAlign w:val="bottom"/>
          </w:tcPr>
          <w:p>
            <w:pPr>
              <w:ind w:left="80"/>
              <w:spacing w:after="0"/>
              <w:rPr>
                <w:sz w:val="20"/>
                <w:szCs w:val="20"/>
                <w:color w:val="auto"/>
              </w:rPr>
            </w:pPr>
            <w:r>
              <w:rPr>
                <w:rFonts w:ascii="Arial" w:cs="Arial" w:eastAsia="Arial" w:hAnsi="Arial"/>
                <w:sz w:val="15"/>
                <w:szCs w:val="15"/>
                <w:b w:val="1"/>
                <w:bCs w:val="1"/>
                <w:color w:val="0075C9"/>
              </w:rPr>
              <w:t>Commercial</w:t>
            </w:r>
          </w:p>
        </w:tc>
        <w:tc>
          <w:tcPr>
            <w:tcW w:w="900" w:type="dxa"/>
            <w:vAlign w:val="bottom"/>
            <w:vMerge w:val="restart"/>
          </w:tcPr>
          <w:p>
            <w:pPr>
              <w:jc w:val="right"/>
              <w:ind w:right="127"/>
              <w:spacing w:after="0"/>
              <w:rPr>
                <w:sz w:val="20"/>
                <w:szCs w:val="20"/>
                <w:color w:val="auto"/>
              </w:rPr>
            </w:pPr>
            <w:r>
              <w:rPr>
                <w:rFonts w:ascii="Arial" w:cs="Arial" w:eastAsia="Arial" w:hAnsi="Arial"/>
                <w:sz w:val="15"/>
                <w:szCs w:val="15"/>
                <w:color w:val="auto"/>
              </w:rPr>
              <w:t>35%</w:t>
            </w: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98.15%</w:t>
            </w:r>
          </w:p>
        </w:tc>
        <w:tc>
          <w:tcPr>
            <w:tcW w:w="1040" w:type="dxa"/>
            <w:vAlign w:val="bottom"/>
          </w:tcPr>
          <w:p>
            <w:pPr>
              <w:jc w:val="right"/>
              <w:ind w:right="147"/>
              <w:spacing w:after="0"/>
              <w:rPr>
                <w:sz w:val="20"/>
                <w:szCs w:val="20"/>
                <w:color w:val="auto"/>
              </w:rPr>
            </w:pPr>
            <w:r>
              <w:rPr>
                <w:rFonts w:ascii="Arial" w:cs="Arial" w:eastAsia="Arial" w:hAnsi="Arial"/>
                <w:sz w:val="15"/>
                <w:szCs w:val="15"/>
                <w:color w:val="auto"/>
              </w:rPr>
              <w:t>H1 - 16.5%</w:t>
            </w:r>
          </w:p>
        </w:tc>
        <w:tc>
          <w:tcPr>
            <w:tcW w:w="780" w:type="dxa"/>
            <w:vAlign w:val="bottom"/>
          </w:tcPr>
          <w:p>
            <w:pPr>
              <w:jc w:val="right"/>
              <w:spacing w:after="0"/>
              <w:rPr>
                <w:sz w:val="20"/>
                <w:szCs w:val="20"/>
                <w:color w:val="auto"/>
              </w:rPr>
            </w:pPr>
            <w:r>
              <w:rPr>
                <w:rFonts w:ascii="Arial" w:cs="Arial" w:eastAsia="Arial" w:hAnsi="Arial"/>
                <w:sz w:val="15"/>
                <w:szCs w:val="15"/>
                <w:color w:val="auto"/>
              </w:rPr>
              <w:t>121.69%</w:t>
            </w:r>
          </w:p>
        </w:tc>
        <w:tc>
          <w:tcPr>
            <w:tcW w:w="0" w:type="dxa"/>
            <w:vAlign w:val="bottom"/>
          </w:tcPr>
          <w:p>
            <w:pPr>
              <w:spacing w:after="0"/>
              <w:rPr>
                <w:sz w:val="1"/>
                <w:szCs w:val="1"/>
                <w:color w:val="auto"/>
              </w:rPr>
            </w:pPr>
          </w:p>
        </w:tc>
      </w:tr>
      <w:tr>
        <w:trPr>
          <w:trHeight w:val="34"/>
        </w:trPr>
        <w:tc>
          <w:tcPr>
            <w:tcW w:w="1520" w:type="dxa"/>
            <w:vAlign w:val="bottom"/>
            <w:vMerge w:val="restart"/>
          </w:tcPr>
          <w:p>
            <w:pPr>
              <w:ind w:left="80"/>
              <w:spacing w:after="0"/>
              <w:rPr>
                <w:sz w:val="20"/>
                <w:szCs w:val="20"/>
                <w:color w:val="auto"/>
              </w:rPr>
            </w:pPr>
            <w:r>
              <w:rPr>
                <w:rFonts w:ascii="Arial" w:cs="Arial" w:eastAsia="Arial" w:hAnsi="Arial"/>
                <w:sz w:val="15"/>
                <w:szCs w:val="15"/>
                <w:b w:val="1"/>
                <w:bCs w:val="1"/>
                <w:color w:val="0075C9"/>
              </w:rPr>
              <w:t>Cloud Revenue</w:t>
            </w:r>
          </w:p>
        </w:tc>
        <w:tc>
          <w:tcPr>
            <w:tcW w:w="900" w:type="dxa"/>
            <w:vAlign w:val="bottom"/>
            <w:vMerge w:val="continue"/>
          </w:tcPr>
          <w:p>
            <w:pPr>
              <w:spacing w:after="0"/>
              <w:rPr>
                <w:sz w:val="2"/>
                <w:szCs w:val="2"/>
                <w:color w:val="auto"/>
              </w:rPr>
            </w:pPr>
          </w:p>
        </w:tc>
        <w:tc>
          <w:tcPr>
            <w:tcW w:w="840" w:type="dxa"/>
            <w:vAlign w:val="bottom"/>
            <w:vMerge w:val="continue"/>
          </w:tcPr>
          <w:p>
            <w:pPr>
              <w:spacing w:after="0"/>
              <w:rPr>
                <w:sz w:val="2"/>
                <w:szCs w:val="2"/>
                <w:color w:val="auto"/>
              </w:rPr>
            </w:pPr>
          </w:p>
        </w:tc>
        <w:tc>
          <w:tcPr>
            <w:tcW w:w="1040" w:type="dxa"/>
            <w:vAlign w:val="bottom"/>
            <w:tcBorders>
              <w:bottom w:val="single" w:sz="8" w:color="0075C9"/>
            </w:tcBorders>
          </w:tcPr>
          <w:p>
            <w:pPr>
              <w:spacing w:after="0"/>
              <w:rPr>
                <w:sz w:val="2"/>
                <w:szCs w:val="2"/>
                <w:color w:val="auto"/>
              </w:rPr>
            </w:pPr>
          </w:p>
        </w:tc>
        <w:tc>
          <w:tcPr>
            <w:tcW w:w="78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152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040" w:type="dxa"/>
            <w:vAlign w:val="bottom"/>
            <w:vMerge w:val="restart"/>
          </w:tcPr>
          <w:p>
            <w:pPr>
              <w:jc w:val="right"/>
              <w:ind w:right="147"/>
              <w:spacing w:after="0"/>
              <w:rPr>
                <w:sz w:val="20"/>
                <w:szCs w:val="20"/>
                <w:color w:val="auto"/>
              </w:rPr>
            </w:pPr>
            <w:r>
              <w:rPr>
                <w:rFonts w:ascii="Arial" w:cs="Arial" w:eastAsia="Arial" w:hAnsi="Arial"/>
                <w:sz w:val="15"/>
                <w:szCs w:val="15"/>
                <w:color w:val="auto"/>
              </w:rPr>
              <w:t>H2 - 16.5%</w:t>
            </w: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157.07%</w:t>
            </w:r>
          </w:p>
        </w:tc>
        <w:tc>
          <w:tcPr>
            <w:tcW w:w="0" w:type="dxa"/>
            <w:vAlign w:val="bottom"/>
          </w:tcPr>
          <w:p>
            <w:pPr>
              <w:spacing w:after="0"/>
              <w:rPr>
                <w:sz w:val="1"/>
                <w:szCs w:val="1"/>
                <w:color w:val="auto"/>
              </w:rPr>
            </w:pPr>
          </w:p>
        </w:tc>
      </w:tr>
      <w:tr>
        <w:trPr>
          <w:trHeight w:val="47"/>
        </w:trPr>
        <w:tc>
          <w:tcPr>
            <w:tcW w:w="1520" w:type="dxa"/>
            <w:vAlign w:val="bottom"/>
            <w:tcBorders>
              <w:bottom w:val="single" w:sz="8" w:color="0075C9"/>
            </w:tcBorders>
          </w:tcPr>
          <w:p>
            <w:pPr>
              <w:spacing w:after="0"/>
              <w:rPr>
                <w:sz w:val="4"/>
                <w:szCs w:val="4"/>
                <w:color w:val="auto"/>
              </w:rPr>
            </w:pPr>
          </w:p>
        </w:tc>
        <w:tc>
          <w:tcPr>
            <w:tcW w:w="900" w:type="dxa"/>
            <w:vAlign w:val="bottom"/>
            <w:tcBorders>
              <w:bottom w:val="single" w:sz="8" w:color="0075C9"/>
            </w:tcBorders>
          </w:tcPr>
          <w:p>
            <w:pPr>
              <w:spacing w:after="0"/>
              <w:rPr>
                <w:sz w:val="4"/>
                <w:szCs w:val="4"/>
                <w:color w:val="auto"/>
              </w:rPr>
            </w:pPr>
          </w:p>
        </w:tc>
        <w:tc>
          <w:tcPr>
            <w:tcW w:w="840" w:type="dxa"/>
            <w:vAlign w:val="bottom"/>
            <w:tcBorders>
              <w:bottom w:val="single" w:sz="8" w:color="0075C9"/>
            </w:tcBorders>
          </w:tcPr>
          <w:p>
            <w:pPr>
              <w:spacing w:after="0"/>
              <w:rPr>
                <w:sz w:val="4"/>
                <w:szCs w:val="4"/>
                <w:color w:val="auto"/>
              </w:rPr>
            </w:pPr>
          </w:p>
        </w:tc>
        <w:tc>
          <w:tcPr>
            <w:tcW w:w="1040" w:type="dxa"/>
            <w:vAlign w:val="bottom"/>
            <w:tcBorders>
              <w:bottom w:val="single" w:sz="8" w:color="0075C9"/>
            </w:tcBorders>
            <w:vMerge w:val="continue"/>
          </w:tcPr>
          <w:p>
            <w:pPr>
              <w:spacing w:after="0"/>
              <w:rPr>
                <w:sz w:val="4"/>
                <w:szCs w:val="4"/>
                <w:color w:val="auto"/>
              </w:rPr>
            </w:pPr>
          </w:p>
        </w:tc>
        <w:tc>
          <w:tcPr>
            <w:tcW w:w="780" w:type="dxa"/>
            <w:vAlign w:val="bottom"/>
            <w:tcBorders>
              <w:bottom w:val="single" w:sz="8" w:color="0075C9"/>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7"/>
        </w:trPr>
        <w:tc>
          <w:tcPr>
            <w:tcW w:w="1520" w:type="dxa"/>
            <w:vAlign w:val="bottom"/>
          </w:tcPr>
          <w:p>
            <w:pPr>
              <w:ind w:left="80"/>
              <w:spacing w:after="0" w:line="127" w:lineRule="exact"/>
              <w:rPr>
                <w:sz w:val="20"/>
                <w:szCs w:val="20"/>
                <w:color w:val="auto"/>
              </w:rPr>
            </w:pPr>
            <w:r>
              <w:rPr>
                <w:rFonts w:ascii="Arial" w:cs="Arial" w:eastAsia="Arial" w:hAnsi="Arial"/>
                <w:sz w:val="14"/>
                <w:szCs w:val="14"/>
                <w:b w:val="1"/>
                <w:bCs w:val="1"/>
                <w:color w:val="0075C9"/>
              </w:rPr>
              <w:t>Commercial</w:t>
            </w:r>
          </w:p>
        </w:tc>
        <w:tc>
          <w:tcPr>
            <w:tcW w:w="9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520" w:type="dxa"/>
            <w:vAlign w:val="bottom"/>
          </w:tcPr>
          <w:p>
            <w:pPr>
              <w:ind w:left="80"/>
              <w:spacing w:after="0" w:line="156" w:lineRule="exact"/>
              <w:rPr>
                <w:sz w:val="20"/>
                <w:szCs w:val="20"/>
                <w:color w:val="auto"/>
              </w:rPr>
            </w:pPr>
            <w:r>
              <w:rPr>
                <w:rFonts w:ascii="Arial" w:cs="Arial" w:eastAsia="Arial" w:hAnsi="Arial"/>
                <w:sz w:val="15"/>
                <w:szCs w:val="15"/>
                <w:b w:val="1"/>
                <w:bCs w:val="1"/>
                <w:color w:val="0075C9"/>
              </w:rPr>
              <w:t>Cloud</w:t>
            </w:r>
          </w:p>
        </w:tc>
        <w:tc>
          <w:tcPr>
            <w:tcW w:w="900" w:type="dxa"/>
            <w:vAlign w:val="bottom"/>
            <w:vMerge w:val="restart"/>
          </w:tcPr>
          <w:p>
            <w:pPr>
              <w:jc w:val="right"/>
              <w:ind w:right="127"/>
              <w:spacing w:after="0"/>
              <w:rPr>
                <w:sz w:val="20"/>
                <w:szCs w:val="20"/>
                <w:color w:val="auto"/>
              </w:rPr>
            </w:pPr>
            <w:r>
              <w:rPr>
                <w:rFonts w:ascii="Arial" w:cs="Arial" w:eastAsia="Arial" w:hAnsi="Arial"/>
                <w:sz w:val="15"/>
                <w:szCs w:val="15"/>
                <w:color w:val="auto"/>
              </w:rPr>
              <w:t>34%</w:t>
            </w: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107.35%</w:t>
            </w:r>
          </w:p>
        </w:tc>
        <w:tc>
          <w:tcPr>
            <w:tcW w:w="1040" w:type="dxa"/>
            <w:vAlign w:val="bottom"/>
            <w:vMerge w:val="restart"/>
          </w:tcPr>
          <w:p>
            <w:pPr>
              <w:jc w:val="right"/>
              <w:ind w:right="147"/>
              <w:spacing w:after="0"/>
              <w:rPr>
                <w:sz w:val="20"/>
                <w:szCs w:val="20"/>
                <w:color w:val="auto"/>
              </w:rPr>
            </w:pPr>
            <w:r>
              <w:rPr>
                <w:rFonts w:ascii="Arial" w:cs="Arial" w:eastAsia="Arial" w:hAnsi="Arial"/>
                <w:sz w:val="15"/>
                <w:szCs w:val="15"/>
                <w:color w:val="auto"/>
              </w:rPr>
              <w:t>32%</w:t>
            </w: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196.54%</w:t>
            </w:r>
          </w:p>
        </w:tc>
        <w:tc>
          <w:tcPr>
            <w:tcW w:w="0" w:type="dxa"/>
            <w:vAlign w:val="bottom"/>
          </w:tcPr>
          <w:p>
            <w:pPr>
              <w:spacing w:after="0"/>
              <w:rPr>
                <w:sz w:val="1"/>
                <w:szCs w:val="1"/>
                <w:color w:val="auto"/>
              </w:rPr>
            </w:pPr>
          </w:p>
        </w:tc>
      </w:tr>
      <w:tr>
        <w:trPr>
          <w:trHeight w:val="117"/>
        </w:trPr>
        <w:tc>
          <w:tcPr>
            <w:tcW w:w="1520" w:type="dxa"/>
            <w:vAlign w:val="bottom"/>
            <w:vMerge w:val="restart"/>
          </w:tcPr>
          <w:p>
            <w:pPr>
              <w:ind w:left="80"/>
              <w:spacing w:after="0"/>
              <w:rPr>
                <w:sz w:val="20"/>
                <w:szCs w:val="20"/>
                <w:color w:val="auto"/>
              </w:rPr>
            </w:pPr>
            <w:r>
              <w:rPr>
                <w:rFonts w:ascii="Arial" w:cs="Arial" w:eastAsia="Arial" w:hAnsi="Arial"/>
                <w:sz w:val="15"/>
                <w:szCs w:val="15"/>
                <w:b w:val="1"/>
                <w:bCs w:val="1"/>
                <w:color w:val="0075C9"/>
              </w:rPr>
              <w:t>Subscribers</w:t>
            </w:r>
          </w:p>
        </w:tc>
        <w:tc>
          <w:tcPr>
            <w:tcW w:w="90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1520" w:type="dxa"/>
            <w:vAlign w:val="bottom"/>
            <w:tcBorders>
              <w:bottom w:val="single" w:sz="8" w:color="0075C9"/>
            </w:tcBorders>
            <w:vMerge w:val="continue"/>
          </w:tcPr>
          <w:p>
            <w:pPr>
              <w:spacing w:after="0"/>
              <w:rPr>
                <w:sz w:val="7"/>
                <w:szCs w:val="7"/>
                <w:color w:val="auto"/>
              </w:rPr>
            </w:pPr>
          </w:p>
        </w:tc>
        <w:tc>
          <w:tcPr>
            <w:tcW w:w="900" w:type="dxa"/>
            <w:vAlign w:val="bottom"/>
            <w:tcBorders>
              <w:bottom w:val="single" w:sz="8" w:color="0075C9"/>
            </w:tcBorders>
          </w:tcPr>
          <w:p>
            <w:pPr>
              <w:spacing w:after="0"/>
              <w:rPr>
                <w:sz w:val="7"/>
                <w:szCs w:val="7"/>
                <w:color w:val="auto"/>
              </w:rPr>
            </w:pPr>
          </w:p>
        </w:tc>
        <w:tc>
          <w:tcPr>
            <w:tcW w:w="840" w:type="dxa"/>
            <w:vAlign w:val="bottom"/>
            <w:tcBorders>
              <w:bottom w:val="single" w:sz="8" w:color="0075C9"/>
            </w:tcBorders>
          </w:tcPr>
          <w:p>
            <w:pPr>
              <w:spacing w:after="0"/>
              <w:rPr>
                <w:sz w:val="7"/>
                <w:szCs w:val="7"/>
                <w:color w:val="auto"/>
              </w:rPr>
            </w:pPr>
          </w:p>
        </w:tc>
        <w:tc>
          <w:tcPr>
            <w:tcW w:w="1040" w:type="dxa"/>
            <w:vAlign w:val="bottom"/>
            <w:tcBorders>
              <w:bottom w:val="single" w:sz="8" w:color="0075C9"/>
            </w:tcBorders>
          </w:tcPr>
          <w:p>
            <w:pPr>
              <w:spacing w:after="0"/>
              <w:rPr>
                <w:sz w:val="7"/>
                <w:szCs w:val="7"/>
                <w:color w:val="auto"/>
              </w:rPr>
            </w:pPr>
          </w:p>
        </w:tc>
        <w:tc>
          <w:tcPr>
            <w:tcW w:w="780" w:type="dxa"/>
            <w:vAlign w:val="bottom"/>
            <w:tcBorders>
              <w:bottom w:val="single" w:sz="8" w:color="0075C9"/>
            </w:tcBorders>
          </w:tcPr>
          <w:p>
            <w:pPr>
              <w:spacing w:after="0"/>
              <w:rPr>
                <w:sz w:val="7"/>
                <w:szCs w:val="7"/>
                <w:color w:val="auto"/>
              </w:rPr>
            </w:pPr>
          </w:p>
        </w:tc>
        <w:tc>
          <w:tcPr>
            <w:tcW w:w="0" w:type="dxa"/>
            <w:vAlign w:val="bottom"/>
          </w:tcPr>
          <w:p>
            <w:pPr>
              <w:spacing w:after="0"/>
              <w:rPr>
                <w:sz w:val="1"/>
                <w:szCs w:val="1"/>
                <w:color w:val="auto"/>
              </w:rPr>
            </w:pPr>
          </w:p>
        </w:tc>
      </w:tr>
      <w:tr>
        <w:trPr>
          <w:trHeight w:val="248"/>
        </w:trPr>
        <w:tc>
          <w:tcPr>
            <w:tcW w:w="1520" w:type="dxa"/>
            <w:vAlign w:val="bottom"/>
          </w:tcPr>
          <w:p>
            <w:pPr>
              <w:ind w:left="80"/>
              <w:spacing w:after="0"/>
              <w:rPr>
                <w:sz w:val="20"/>
                <w:szCs w:val="20"/>
                <w:color w:val="auto"/>
              </w:rPr>
            </w:pPr>
            <w:r>
              <w:rPr>
                <w:rFonts w:ascii="Arial" w:cs="Arial" w:eastAsia="Arial" w:hAnsi="Arial"/>
                <w:sz w:val="15"/>
                <w:szCs w:val="15"/>
                <w:b w:val="1"/>
                <w:bCs w:val="1"/>
                <w:color w:val="0075C9"/>
              </w:rPr>
              <w:t>Teams Monthly</w:t>
            </w:r>
          </w:p>
        </w:tc>
        <w:tc>
          <w:tcPr>
            <w:tcW w:w="900" w:type="dxa"/>
            <w:vAlign w:val="bottom"/>
            <w:vMerge w:val="restart"/>
          </w:tcPr>
          <w:p>
            <w:pPr>
              <w:jc w:val="right"/>
              <w:ind w:right="127"/>
              <w:spacing w:after="0"/>
              <w:rPr>
                <w:sz w:val="20"/>
                <w:szCs w:val="20"/>
                <w:color w:val="auto"/>
              </w:rPr>
            </w:pPr>
            <w:r>
              <w:rPr>
                <w:rFonts w:ascii="Arial" w:cs="Arial" w:eastAsia="Arial" w:hAnsi="Arial"/>
                <w:sz w:val="15"/>
                <w:szCs w:val="15"/>
                <w:color w:val="auto"/>
              </w:rPr>
              <w:t>10%</w:t>
            </w: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200.00%</w:t>
            </w:r>
          </w:p>
        </w:tc>
        <w:tc>
          <w:tcPr>
            <w:tcW w:w="1040" w:type="dxa"/>
            <w:vAlign w:val="bottom"/>
            <w:vMerge w:val="restart"/>
          </w:tcPr>
          <w:p>
            <w:pPr>
              <w:jc w:val="right"/>
              <w:ind w:right="147"/>
              <w:spacing w:after="0"/>
              <w:rPr>
                <w:sz w:val="20"/>
                <w:szCs w:val="20"/>
                <w:color w:val="auto"/>
              </w:rPr>
            </w:pPr>
            <w:r>
              <w:rPr>
                <w:rFonts w:ascii="Arial" w:cs="Arial" w:eastAsia="Arial" w:hAnsi="Arial"/>
                <w:sz w:val="15"/>
                <w:szCs w:val="15"/>
                <w:color w:val="auto"/>
              </w:rPr>
              <w:t>20%</w:t>
            </w: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81.36%</w:t>
            </w:r>
          </w:p>
        </w:tc>
        <w:tc>
          <w:tcPr>
            <w:tcW w:w="0" w:type="dxa"/>
            <w:vAlign w:val="bottom"/>
          </w:tcPr>
          <w:p>
            <w:pPr>
              <w:spacing w:after="0"/>
              <w:rPr>
                <w:sz w:val="1"/>
                <w:szCs w:val="1"/>
                <w:color w:val="auto"/>
              </w:rPr>
            </w:pPr>
          </w:p>
        </w:tc>
      </w:tr>
      <w:tr>
        <w:trPr>
          <w:trHeight w:val="195"/>
        </w:trPr>
        <w:tc>
          <w:tcPr>
            <w:tcW w:w="1520" w:type="dxa"/>
            <w:vAlign w:val="bottom"/>
          </w:tcPr>
          <w:p>
            <w:pPr>
              <w:ind w:left="80"/>
              <w:spacing w:after="0"/>
              <w:rPr>
                <w:sz w:val="20"/>
                <w:szCs w:val="20"/>
                <w:color w:val="auto"/>
              </w:rPr>
            </w:pPr>
            <w:r>
              <w:rPr>
                <w:rFonts w:ascii="Arial" w:cs="Arial" w:eastAsia="Arial" w:hAnsi="Arial"/>
                <w:sz w:val="15"/>
                <w:szCs w:val="15"/>
                <w:b w:val="1"/>
                <w:bCs w:val="1"/>
                <w:color w:val="0075C9"/>
              </w:rPr>
              <w:t>Active Usage</w:t>
            </w:r>
          </w:p>
        </w:tc>
        <w:tc>
          <w:tcPr>
            <w:tcW w:w="9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1520" w:type="dxa"/>
            <w:vAlign w:val="bottom"/>
            <w:tcBorders>
              <w:bottom w:val="single" w:sz="8" w:color="0075C9"/>
            </w:tcBorders>
          </w:tcPr>
          <w:p>
            <w:pPr>
              <w:spacing w:after="0"/>
              <w:rPr>
                <w:sz w:val="4"/>
                <w:szCs w:val="4"/>
                <w:color w:val="auto"/>
              </w:rPr>
            </w:pPr>
          </w:p>
        </w:tc>
        <w:tc>
          <w:tcPr>
            <w:tcW w:w="900" w:type="dxa"/>
            <w:vAlign w:val="bottom"/>
            <w:tcBorders>
              <w:bottom w:val="single" w:sz="8" w:color="0075C9"/>
            </w:tcBorders>
          </w:tcPr>
          <w:p>
            <w:pPr>
              <w:spacing w:after="0"/>
              <w:rPr>
                <w:sz w:val="4"/>
                <w:szCs w:val="4"/>
                <w:color w:val="auto"/>
              </w:rPr>
            </w:pPr>
          </w:p>
        </w:tc>
        <w:tc>
          <w:tcPr>
            <w:tcW w:w="840" w:type="dxa"/>
            <w:vAlign w:val="bottom"/>
            <w:tcBorders>
              <w:bottom w:val="single" w:sz="8" w:color="0075C9"/>
            </w:tcBorders>
          </w:tcPr>
          <w:p>
            <w:pPr>
              <w:spacing w:after="0"/>
              <w:rPr>
                <w:sz w:val="4"/>
                <w:szCs w:val="4"/>
                <w:color w:val="auto"/>
              </w:rPr>
            </w:pPr>
          </w:p>
        </w:tc>
        <w:tc>
          <w:tcPr>
            <w:tcW w:w="1040" w:type="dxa"/>
            <w:vAlign w:val="bottom"/>
            <w:tcBorders>
              <w:bottom w:val="single" w:sz="8" w:color="0075C9"/>
            </w:tcBorders>
          </w:tcPr>
          <w:p>
            <w:pPr>
              <w:spacing w:after="0"/>
              <w:rPr>
                <w:sz w:val="4"/>
                <w:szCs w:val="4"/>
                <w:color w:val="auto"/>
              </w:rPr>
            </w:pPr>
          </w:p>
        </w:tc>
        <w:tc>
          <w:tcPr>
            <w:tcW w:w="780" w:type="dxa"/>
            <w:vAlign w:val="bottom"/>
            <w:tcBorders>
              <w:bottom w:val="single" w:sz="8" w:color="0075C9"/>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1520" w:type="dxa"/>
            <w:vAlign w:val="bottom"/>
          </w:tcPr>
          <w:p>
            <w:pPr>
              <w:ind w:left="80"/>
              <w:spacing w:after="0"/>
              <w:rPr>
                <w:sz w:val="20"/>
                <w:szCs w:val="20"/>
                <w:color w:val="auto"/>
              </w:rPr>
            </w:pPr>
            <w:r>
              <w:rPr>
                <w:rFonts w:ascii="Arial" w:cs="Arial" w:eastAsia="Arial" w:hAnsi="Arial"/>
                <w:sz w:val="15"/>
                <w:szCs w:val="15"/>
                <w:b w:val="1"/>
                <w:bCs w:val="1"/>
                <w:color w:val="0075C9"/>
              </w:rPr>
              <w:t>Xbox Game Pass</w:t>
            </w:r>
          </w:p>
        </w:tc>
        <w:tc>
          <w:tcPr>
            <w:tcW w:w="900" w:type="dxa"/>
            <w:vAlign w:val="bottom"/>
            <w:vMerge w:val="restart"/>
          </w:tcPr>
          <w:p>
            <w:pPr>
              <w:jc w:val="right"/>
              <w:ind w:right="127"/>
              <w:spacing w:after="0"/>
              <w:rPr>
                <w:sz w:val="20"/>
                <w:szCs w:val="20"/>
                <w:color w:val="auto"/>
              </w:rPr>
            </w:pPr>
            <w:r>
              <w:rPr>
                <w:rFonts w:ascii="Arial" w:cs="Arial" w:eastAsia="Arial" w:hAnsi="Arial"/>
                <w:sz w:val="15"/>
                <w:szCs w:val="15"/>
                <w:color w:val="auto"/>
              </w:rPr>
              <w:t>7%</w:t>
            </w: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147.95%</w:t>
            </w:r>
          </w:p>
        </w:tc>
        <w:tc>
          <w:tcPr>
            <w:tcW w:w="1040" w:type="dxa"/>
            <w:vAlign w:val="bottom"/>
            <w:vMerge w:val="restart"/>
          </w:tcPr>
          <w:p>
            <w:pPr>
              <w:jc w:val="right"/>
              <w:ind w:right="147"/>
              <w:spacing w:after="0"/>
              <w:rPr>
                <w:sz w:val="20"/>
                <w:szCs w:val="20"/>
                <w:color w:val="auto"/>
              </w:rPr>
            </w:pPr>
            <w:r>
              <w:rPr>
                <w:rFonts w:ascii="Arial" w:cs="Arial" w:eastAsia="Arial" w:hAnsi="Arial"/>
                <w:sz w:val="15"/>
                <w:szCs w:val="15"/>
                <w:color w:val="auto"/>
              </w:rPr>
              <w:t>5%</w:t>
            </w: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82.28%</w:t>
            </w:r>
          </w:p>
        </w:tc>
        <w:tc>
          <w:tcPr>
            <w:tcW w:w="0" w:type="dxa"/>
            <w:vAlign w:val="bottom"/>
          </w:tcPr>
          <w:p>
            <w:pPr>
              <w:spacing w:after="0"/>
              <w:rPr>
                <w:sz w:val="1"/>
                <w:szCs w:val="1"/>
                <w:color w:val="auto"/>
              </w:rPr>
            </w:pPr>
          </w:p>
        </w:tc>
      </w:tr>
      <w:tr>
        <w:trPr>
          <w:trHeight w:val="195"/>
        </w:trPr>
        <w:tc>
          <w:tcPr>
            <w:tcW w:w="1520" w:type="dxa"/>
            <w:vAlign w:val="bottom"/>
          </w:tcPr>
          <w:p>
            <w:pPr>
              <w:ind w:left="80"/>
              <w:spacing w:after="0"/>
              <w:rPr>
                <w:sz w:val="20"/>
                <w:szCs w:val="20"/>
                <w:color w:val="auto"/>
              </w:rPr>
            </w:pPr>
            <w:r>
              <w:rPr>
                <w:rFonts w:ascii="Arial" w:cs="Arial" w:eastAsia="Arial" w:hAnsi="Arial"/>
                <w:sz w:val="15"/>
                <w:szCs w:val="15"/>
                <w:b w:val="1"/>
                <w:bCs w:val="1"/>
                <w:color w:val="0075C9"/>
              </w:rPr>
              <w:t>Subscribers</w:t>
            </w:r>
          </w:p>
        </w:tc>
        <w:tc>
          <w:tcPr>
            <w:tcW w:w="9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1520" w:type="dxa"/>
            <w:vAlign w:val="bottom"/>
            <w:tcBorders>
              <w:bottom w:val="single" w:sz="8" w:color="0075C9"/>
            </w:tcBorders>
          </w:tcPr>
          <w:p>
            <w:pPr>
              <w:spacing w:after="0"/>
              <w:rPr>
                <w:sz w:val="4"/>
                <w:szCs w:val="4"/>
                <w:color w:val="auto"/>
              </w:rPr>
            </w:pPr>
          </w:p>
        </w:tc>
        <w:tc>
          <w:tcPr>
            <w:tcW w:w="900" w:type="dxa"/>
            <w:vAlign w:val="bottom"/>
            <w:tcBorders>
              <w:bottom w:val="single" w:sz="8" w:color="0075C9"/>
            </w:tcBorders>
          </w:tcPr>
          <w:p>
            <w:pPr>
              <w:spacing w:after="0"/>
              <w:rPr>
                <w:sz w:val="4"/>
                <w:szCs w:val="4"/>
                <w:color w:val="auto"/>
              </w:rPr>
            </w:pPr>
          </w:p>
        </w:tc>
        <w:tc>
          <w:tcPr>
            <w:tcW w:w="840" w:type="dxa"/>
            <w:vAlign w:val="bottom"/>
            <w:tcBorders>
              <w:bottom w:val="single" w:sz="8" w:color="0075C9"/>
            </w:tcBorders>
          </w:tcPr>
          <w:p>
            <w:pPr>
              <w:spacing w:after="0"/>
              <w:rPr>
                <w:sz w:val="4"/>
                <w:szCs w:val="4"/>
                <w:color w:val="auto"/>
              </w:rPr>
            </w:pPr>
          </w:p>
        </w:tc>
        <w:tc>
          <w:tcPr>
            <w:tcW w:w="1040" w:type="dxa"/>
            <w:vAlign w:val="bottom"/>
            <w:tcBorders>
              <w:bottom w:val="single" w:sz="8" w:color="0075C9"/>
            </w:tcBorders>
          </w:tcPr>
          <w:p>
            <w:pPr>
              <w:spacing w:after="0"/>
              <w:rPr>
                <w:sz w:val="4"/>
                <w:szCs w:val="4"/>
                <w:color w:val="auto"/>
              </w:rPr>
            </w:pPr>
          </w:p>
        </w:tc>
        <w:tc>
          <w:tcPr>
            <w:tcW w:w="780" w:type="dxa"/>
            <w:vAlign w:val="bottom"/>
            <w:tcBorders>
              <w:bottom w:val="single" w:sz="8" w:color="0075C9"/>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1520" w:type="dxa"/>
            <w:vAlign w:val="bottom"/>
            <w:vMerge w:val="restart"/>
          </w:tcPr>
          <w:p>
            <w:pPr>
              <w:ind w:left="80"/>
              <w:spacing w:after="0"/>
              <w:rPr>
                <w:sz w:val="20"/>
                <w:szCs w:val="20"/>
                <w:color w:val="auto"/>
              </w:rPr>
            </w:pPr>
            <w:r>
              <w:rPr>
                <w:rFonts w:ascii="Arial" w:cs="Arial" w:eastAsia="Arial" w:hAnsi="Arial"/>
                <w:sz w:val="15"/>
                <w:szCs w:val="15"/>
                <w:b w:val="1"/>
                <w:bCs w:val="1"/>
                <w:color w:val="0075C9"/>
              </w:rPr>
              <w:t>Surface Revenue</w:t>
            </w:r>
          </w:p>
        </w:tc>
        <w:tc>
          <w:tcPr>
            <w:tcW w:w="900" w:type="dxa"/>
            <w:vAlign w:val="bottom"/>
            <w:vMerge w:val="restart"/>
          </w:tcPr>
          <w:p>
            <w:pPr>
              <w:jc w:val="right"/>
              <w:ind w:right="127"/>
              <w:spacing w:after="0"/>
              <w:rPr>
                <w:sz w:val="20"/>
                <w:szCs w:val="20"/>
                <w:color w:val="auto"/>
              </w:rPr>
            </w:pPr>
            <w:r>
              <w:rPr>
                <w:rFonts w:ascii="Arial" w:cs="Arial" w:eastAsia="Arial" w:hAnsi="Arial"/>
                <w:sz w:val="15"/>
                <w:szCs w:val="15"/>
                <w:color w:val="auto"/>
              </w:rPr>
              <w:t>7%</w:t>
            </w: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90.10%</w:t>
            </w:r>
          </w:p>
        </w:tc>
        <w:tc>
          <w:tcPr>
            <w:tcW w:w="1040" w:type="dxa"/>
            <w:vAlign w:val="bottom"/>
            <w:tcBorders>
              <w:bottom w:val="single" w:sz="8" w:color="0075C9"/>
            </w:tcBorders>
          </w:tcPr>
          <w:p>
            <w:pPr>
              <w:jc w:val="right"/>
              <w:ind w:right="147"/>
              <w:spacing w:after="0"/>
              <w:rPr>
                <w:sz w:val="20"/>
                <w:szCs w:val="20"/>
                <w:color w:val="auto"/>
              </w:rPr>
            </w:pPr>
            <w:r>
              <w:rPr>
                <w:rFonts w:ascii="Arial" w:cs="Arial" w:eastAsia="Arial" w:hAnsi="Arial"/>
                <w:sz w:val="15"/>
                <w:szCs w:val="15"/>
                <w:color w:val="auto"/>
              </w:rPr>
              <w:t>H1 - 2.5%</w:t>
            </w:r>
          </w:p>
        </w:tc>
        <w:tc>
          <w:tcPr>
            <w:tcW w:w="78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200.00%</w:t>
            </w:r>
          </w:p>
        </w:tc>
        <w:tc>
          <w:tcPr>
            <w:tcW w:w="0" w:type="dxa"/>
            <w:vAlign w:val="bottom"/>
          </w:tcPr>
          <w:p>
            <w:pPr>
              <w:spacing w:after="0"/>
              <w:rPr>
                <w:sz w:val="1"/>
                <w:szCs w:val="1"/>
                <w:color w:val="auto"/>
              </w:rPr>
            </w:pPr>
          </w:p>
        </w:tc>
      </w:tr>
      <w:tr>
        <w:trPr>
          <w:trHeight w:val="102"/>
        </w:trPr>
        <w:tc>
          <w:tcPr>
            <w:tcW w:w="152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040" w:type="dxa"/>
            <w:vAlign w:val="bottom"/>
            <w:vMerge w:val="restart"/>
          </w:tcPr>
          <w:p>
            <w:pPr>
              <w:jc w:val="right"/>
              <w:ind w:right="147"/>
              <w:spacing w:after="0"/>
              <w:rPr>
                <w:sz w:val="20"/>
                <w:szCs w:val="20"/>
                <w:color w:val="auto"/>
              </w:rPr>
            </w:pPr>
            <w:r>
              <w:rPr>
                <w:rFonts w:ascii="Arial" w:cs="Arial" w:eastAsia="Arial" w:hAnsi="Arial"/>
                <w:sz w:val="15"/>
                <w:szCs w:val="15"/>
                <w:color w:val="auto"/>
              </w:rPr>
              <w:t>H2 - 2.5%</w:t>
            </w: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0.00%</w:t>
            </w:r>
          </w:p>
        </w:tc>
        <w:tc>
          <w:tcPr>
            <w:tcW w:w="0" w:type="dxa"/>
            <w:vAlign w:val="bottom"/>
          </w:tcPr>
          <w:p>
            <w:pPr>
              <w:spacing w:after="0"/>
              <w:rPr>
                <w:sz w:val="1"/>
                <w:szCs w:val="1"/>
                <w:color w:val="auto"/>
              </w:rPr>
            </w:pPr>
          </w:p>
        </w:tc>
      </w:tr>
      <w:tr>
        <w:trPr>
          <w:trHeight w:val="86"/>
        </w:trPr>
        <w:tc>
          <w:tcPr>
            <w:tcW w:w="1520" w:type="dxa"/>
            <w:vAlign w:val="bottom"/>
          </w:tcPr>
          <w:p>
            <w:pPr>
              <w:spacing w:after="0"/>
              <w:rPr>
                <w:sz w:val="7"/>
                <w:szCs w:val="7"/>
                <w:color w:val="auto"/>
              </w:rPr>
            </w:pPr>
          </w:p>
        </w:tc>
        <w:tc>
          <w:tcPr>
            <w:tcW w:w="9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4440" w:space="420"/>
            <w:col w:w="5279"/>
          </w:cols>
          <w:pgMar w:left="320" w:top="445" w:right="1440" w:bottom="1440" w:gutter="0" w:footer="0" w:header="0"/>
          <w:type w:val="continuous"/>
        </w:sectPr>
      </w:pPr>
    </w:p>
    <w:tbl>
      <w:tblPr>
        <w:tblLayout w:type="fixed"/>
        <w:tblInd w:w="1340" w:type="dxa"/>
        <w:tblCellMar>
          <w:top w:w="0" w:type="dxa"/>
          <w:left w:w="0" w:type="dxa"/>
          <w:bottom w:w="0" w:type="dxa"/>
          <w:right w:w="0" w:type="dxa"/>
        </w:tblCellMar>
      </w:tblPr>
      <w:tr>
        <w:trPr>
          <w:trHeight w:val="127"/>
        </w:trPr>
        <w:tc>
          <w:tcPr>
            <w:tcW w:w="1400" w:type="dxa"/>
            <w:vAlign w:val="bottom"/>
            <w:tcBorders>
              <w:top w:val="single" w:sz="8" w:color="0075C9"/>
            </w:tcBorders>
          </w:tcPr>
          <w:p>
            <w:pPr>
              <w:ind w:left="120"/>
              <w:spacing w:after="0" w:line="127" w:lineRule="exact"/>
              <w:rPr>
                <w:sz w:val="20"/>
                <w:szCs w:val="20"/>
                <w:color w:val="auto"/>
              </w:rPr>
            </w:pPr>
            <w:r>
              <w:rPr>
                <w:rFonts w:ascii="Arial" w:cs="Arial" w:eastAsia="Arial" w:hAnsi="Arial"/>
                <w:sz w:val="14"/>
                <w:szCs w:val="14"/>
                <w:b w:val="1"/>
                <w:bCs w:val="1"/>
                <w:color w:val="0075C9"/>
              </w:rPr>
              <w:t>LinkedIn</w:t>
            </w:r>
          </w:p>
        </w:tc>
        <w:tc>
          <w:tcPr>
            <w:tcW w:w="1000" w:type="dxa"/>
            <w:vAlign w:val="bottom"/>
            <w:tcBorders>
              <w:top w:val="single" w:sz="8" w:color="0075C9"/>
            </w:tcBorders>
            <w:vMerge w:val="restart"/>
          </w:tcPr>
          <w:p>
            <w:pPr>
              <w:jc w:val="right"/>
              <w:ind w:right="67"/>
              <w:spacing w:after="0"/>
              <w:rPr>
                <w:sz w:val="20"/>
                <w:szCs w:val="20"/>
                <w:color w:val="auto"/>
              </w:rPr>
            </w:pPr>
            <w:r>
              <w:rPr>
                <w:rFonts w:ascii="Arial" w:cs="Arial" w:eastAsia="Arial" w:hAnsi="Arial"/>
                <w:sz w:val="15"/>
                <w:szCs w:val="15"/>
                <w:color w:val="auto"/>
              </w:rPr>
              <w:t>6%</w:t>
            </w:r>
          </w:p>
        </w:tc>
        <w:tc>
          <w:tcPr>
            <w:tcW w:w="700" w:type="dxa"/>
            <w:vAlign w:val="bottom"/>
            <w:tcBorders>
              <w:top w:val="single" w:sz="8" w:color="0075C9"/>
            </w:tcBorders>
            <w:vMerge w:val="restart"/>
          </w:tcPr>
          <w:p>
            <w:pPr>
              <w:jc w:val="right"/>
              <w:spacing w:after="0"/>
              <w:rPr>
                <w:sz w:val="20"/>
                <w:szCs w:val="20"/>
                <w:color w:val="auto"/>
              </w:rPr>
            </w:pPr>
            <w:r>
              <w:rPr>
                <w:rFonts w:ascii="Arial" w:cs="Arial" w:eastAsia="Arial" w:hAnsi="Arial"/>
                <w:sz w:val="15"/>
                <w:szCs w:val="15"/>
                <w:color w:val="auto"/>
              </w:rPr>
              <w:t>110.82%</w:t>
            </w:r>
          </w:p>
        </w:tc>
        <w:tc>
          <w:tcPr>
            <w:tcW w:w="420" w:type="dxa"/>
            <w:vAlign w:val="bottom"/>
          </w:tcPr>
          <w:p>
            <w:pPr>
              <w:spacing w:after="0"/>
              <w:rPr>
                <w:sz w:val="11"/>
                <w:szCs w:val="11"/>
                <w:color w:val="auto"/>
              </w:rPr>
            </w:pPr>
          </w:p>
        </w:tc>
        <w:tc>
          <w:tcPr>
            <w:tcW w:w="1840" w:type="dxa"/>
            <w:vAlign w:val="bottom"/>
            <w:tcBorders>
              <w:top w:val="single" w:sz="8" w:color="0075C9"/>
            </w:tcBorders>
          </w:tcPr>
          <w:p>
            <w:pPr>
              <w:ind w:left="80"/>
              <w:spacing w:after="0" w:line="127" w:lineRule="exact"/>
              <w:rPr>
                <w:sz w:val="20"/>
                <w:szCs w:val="20"/>
                <w:color w:val="auto"/>
              </w:rPr>
            </w:pPr>
            <w:r>
              <w:rPr>
                <w:rFonts w:ascii="Arial" w:cs="Arial" w:eastAsia="Arial" w:hAnsi="Arial"/>
                <w:sz w:val="14"/>
                <w:szCs w:val="14"/>
                <w:b w:val="1"/>
                <w:bCs w:val="1"/>
                <w:color w:val="0075C9"/>
              </w:rPr>
              <w:t>LinkedIn</w:t>
            </w:r>
          </w:p>
        </w:tc>
        <w:tc>
          <w:tcPr>
            <w:tcW w:w="580" w:type="dxa"/>
            <w:vAlign w:val="bottom"/>
            <w:tcBorders>
              <w:top w:val="single" w:sz="8" w:color="0075C9"/>
            </w:tcBorders>
            <w:vMerge w:val="restart"/>
          </w:tcPr>
          <w:p>
            <w:pPr>
              <w:jc w:val="right"/>
              <w:ind w:right="127"/>
              <w:spacing w:after="0"/>
              <w:rPr>
                <w:sz w:val="20"/>
                <w:szCs w:val="20"/>
                <w:color w:val="auto"/>
              </w:rPr>
            </w:pPr>
            <w:r>
              <w:rPr>
                <w:rFonts w:ascii="Arial" w:cs="Arial" w:eastAsia="Arial" w:hAnsi="Arial"/>
                <w:sz w:val="15"/>
                <w:szCs w:val="15"/>
                <w:color w:val="auto"/>
              </w:rPr>
              <w:t>7%</w:t>
            </w:r>
          </w:p>
        </w:tc>
        <w:tc>
          <w:tcPr>
            <w:tcW w:w="1120" w:type="dxa"/>
            <w:vAlign w:val="bottom"/>
            <w:tcBorders>
              <w:top w:val="single" w:sz="8" w:color="0075C9"/>
            </w:tcBorders>
            <w:vMerge w:val="restart"/>
          </w:tcPr>
          <w:p>
            <w:pPr>
              <w:jc w:val="right"/>
              <w:ind w:right="247"/>
              <w:spacing w:after="0"/>
              <w:rPr>
                <w:sz w:val="20"/>
                <w:szCs w:val="20"/>
                <w:color w:val="auto"/>
              </w:rPr>
            </w:pPr>
            <w:r>
              <w:rPr>
                <w:rFonts w:ascii="Arial" w:cs="Arial" w:eastAsia="Arial" w:hAnsi="Arial"/>
                <w:sz w:val="15"/>
                <w:szCs w:val="15"/>
                <w:color w:val="auto"/>
              </w:rPr>
              <w:t>129.64%</w:t>
            </w:r>
          </w:p>
        </w:tc>
        <w:tc>
          <w:tcPr>
            <w:tcW w:w="760" w:type="dxa"/>
            <w:vAlign w:val="bottom"/>
            <w:tcBorders>
              <w:top w:val="single" w:sz="8" w:color="0075C9"/>
            </w:tcBorders>
            <w:vMerge w:val="restart"/>
          </w:tcPr>
          <w:p>
            <w:pPr>
              <w:jc w:val="right"/>
              <w:ind w:right="147"/>
              <w:spacing w:after="0"/>
              <w:rPr>
                <w:sz w:val="20"/>
                <w:szCs w:val="20"/>
                <w:color w:val="auto"/>
              </w:rPr>
            </w:pPr>
            <w:r>
              <w:rPr>
                <w:rFonts w:ascii="Arial" w:cs="Arial" w:eastAsia="Arial" w:hAnsi="Arial"/>
                <w:sz w:val="15"/>
                <w:szCs w:val="15"/>
                <w:color w:val="auto"/>
              </w:rPr>
              <w:t>5%</w:t>
            </w:r>
          </w:p>
        </w:tc>
        <w:tc>
          <w:tcPr>
            <w:tcW w:w="780" w:type="dxa"/>
            <w:vAlign w:val="bottom"/>
            <w:tcBorders>
              <w:top w:val="single" w:sz="8" w:color="0075C9"/>
            </w:tcBorders>
            <w:vMerge w:val="restart"/>
          </w:tcPr>
          <w:p>
            <w:pPr>
              <w:jc w:val="right"/>
              <w:spacing w:after="0"/>
              <w:rPr>
                <w:sz w:val="20"/>
                <w:szCs w:val="20"/>
                <w:color w:val="auto"/>
              </w:rPr>
            </w:pPr>
            <w:r>
              <w:rPr>
                <w:rFonts w:ascii="Arial" w:cs="Arial" w:eastAsia="Arial" w:hAnsi="Arial"/>
                <w:sz w:val="15"/>
                <w:szCs w:val="15"/>
                <w:color w:val="auto"/>
              </w:rPr>
              <w:t>195.97%</w:t>
            </w:r>
          </w:p>
        </w:tc>
        <w:tc>
          <w:tcPr>
            <w:tcW w:w="0" w:type="dxa"/>
            <w:vAlign w:val="bottom"/>
          </w:tcPr>
          <w:p>
            <w:pPr>
              <w:spacing w:after="0"/>
              <w:rPr>
                <w:sz w:val="1"/>
                <w:szCs w:val="1"/>
                <w:color w:val="auto"/>
              </w:rPr>
            </w:pPr>
          </w:p>
        </w:tc>
      </w:tr>
      <w:tr>
        <w:trPr>
          <w:trHeight w:val="199"/>
        </w:trPr>
        <w:tc>
          <w:tcPr>
            <w:tcW w:w="1400" w:type="dxa"/>
            <w:vAlign w:val="bottom"/>
            <w:tcBorders>
              <w:bottom w:val="single" w:sz="8" w:color="0075C9"/>
            </w:tcBorders>
          </w:tcPr>
          <w:p>
            <w:pPr>
              <w:ind w:left="120"/>
              <w:spacing w:after="0"/>
              <w:rPr>
                <w:sz w:val="20"/>
                <w:szCs w:val="20"/>
                <w:color w:val="auto"/>
              </w:rPr>
            </w:pPr>
            <w:r>
              <w:rPr>
                <w:rFonts w:ascii="Arial" w:cs="Arial" w:eastAsia="Arial" w:hAnsi="Arial"/>
                <w:sz w:val="15"/>
                <w:szCs w:val="15"/>
                <w:b w:val="1"/>
                <w:bCs w:val="1"/>
                <w:color w:val="0075C9"/>
              </w:rPr>
              <w:t>Sessions</w:t>
            </w:r>
          </w:p>
        </w:tc>
        <w:tc>
          <w:tcPr>
            <w:tcW w:w="1000" w:type="dxa"/>
            <w:vAlign w:val="bottom"/>
            <w:tcBorders>
              <w:bottom w:val="single" w:sz="8" w:color="0075C9"/>
            </w:tcBorders>
            <w:vMerge w:val="continue"/>
          </w:tcPr>
          <w:p>
            <w:pPr>
              <w:spacing w:after="0"/>
              <w:rPr>
                <w:sz w:val="17"/>
                <w:szCs w:val="17"/>
                <w:color w:val="auto"/>
              </w:rPr>
            </w:pPr>
          </w:p>
        </w:tc>
        <w:tc>
          <w:tcPr>
            <w:tcW w:w="700" w:type="dxa"/>
            <w:vAlign w:val="bottom"/>
            <w:tcBorders>
              <w:bottom w:val="single" w:sz="8" w:color="0075C9"/>
            </w:tcBorders>
            <w:vMerge w:val="continue"/>
          </w:tcPr>
          <w:p>
            <w:pPr>
              <w:spacing w:after="0"/>
              <w:rPr>
                <w:sz w:val="17"/>
                <w:szCs w:val="17"/>
                <w:color w:val="auto"/>
              </w:rPr>
            </w:pPr>
          </w:p>
        </w:tc>
        <w:tc>
          <w:tcPr>
            <w:tcW w:w="420" w:type="dxa"/>
            <w:vAlign w:val="bottom"/>
            <w:tcBorders>
              <w:bottom w:val="single" w:sz="8" w:color="0075C9"/>
            </w:tcBorders>
          </w:tcPr>
          <w:p>
            <w:pPr>
              <w:spacing w:after="0"/>
              <w:rPr>
                <w:sz w:val="17"/>
                <w:szCs w:val="17"/>
                <w:color w:val="auto"/>
              </w:rPr>
            </w:pPr>
          </w:p>
        </w:tc>
        <w:tc>
          <w:tcPr>
            <w:tcW w:w="1840" w:type="dxa"/>
            <w:vAlign w:val="bottom"/>
            <w:tcBorders>
              <w:bottom w:val="single" w:sz="8" w:color="0075C9"/>
            </w:tcBorders>
          </w:tcPr>
          <w:p>
            <w:pPr>
              <w:ind w:left="80"/>
              <w:spacing w:after="0"/>
              <w:rPr>
                <w:sz w:val="20"/>
                <w:szCs w:val="20"/>
                <w:color w:val="auto"/>
              </w:rPr>
            </w:pPr>
            <w:r>
              <w:rPr>
                <w:rFonts w:ascii="Arial" w:cs="Arial" w:eastAsia="Arial" w:hAnsi="Arial"/>
                <w:sz w:val="15"/>
                <w:szCs w:val="15"/>
                <w:b w:val="1"/>
                <w:bCs w:val="1"/>
                <w:color w:val="0075C9"/>
              </w:rPr>
              <w:t>Sessions</w:t>
            </w:r>
          </w:p>
        </w:tc>
        <w:tc>
          <w:tcPr>
            <w:tcW w:w="580" w:type="dxa"/>
            <w:vAlign w:val="bottom"/>
            <w:tcBorders>
              <w:bottom w:val="single" w:sz="8" w:color="0075C9"/>
            </w:tcBorders>
            <w:vMerge w:val="continue"/>
          </w:tcPr>
          <w:p>
            <w:pPr>
              <w:spacing w:after="0"/>
              <w:rPr>
                <w:sz w:val="17"/>
                <w:szCs w:val="17"/>
                <w:color w:val="auto"/>
              </w:rPr>
            </w:pPr>
          </w:p>
        </w:tc>
        <w:tc>
          <w:tcPr>
            <w:tcW w:w="1120" w:type="dxa"/>
            <w:vAlign w:val="bottom"/>
            <w:tcBorders>
              <w:bottom w:val="single" w:sz="8" w:color="0075C9"/>
            </w:tcBorders>
            <w:vMerge w:val="continue"/>
          </w:tcPr>
          <w:p>
            <w:pPr>
              <w:spacing w:after="0"/>
              <w:rPr>
                <w:sz w:val="17"/>
                <w:szCs w:val="17"/>
                <w:color w:val="auto"/>
              </w:rPr>
            </w:pPr>
          </w:p>
        </w:tc>
        <w:tc>
          <w:tcPr>
            <w:tcW w:w="760" w:type="dxa"/>
            <w:vAlign w:val="bottom"/>
            <w:tcBorders>
              <w:bottom w:val="single" w:sz="8" w:color="0075C9"/>
            </w:tcBorders>
            <w:vMerge w:val="continue"/>
          </w:tcPr>
          <w:p>
            <w:pPr>
              <w:spacing w:after="0"/>
              <w:rPr>
                <w:sz w:val="17"/>
                <w:szCs w:val="17"/>
                <w:color w:val="auto"/>
              </w:rPr>
            </w:pPr>
          </w:p>
        </w:tc>
        <w:tc>
          <w:tcPr>
            <w:tcW w:w="780" w:type="dxa"/>
            <w:vAlign w:val="bottom"/>
            <w:tcBorders>
              <w:bottom w:val="single" w:sz="8" w:color="0075C9"/>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400" w:type="dxa"/>
            <w:vAlign w:val="bottom"/>
            <w:tcBorders>
              <w:bottom w:val="single" w:sz="8" w:color="0075C9"/>
            </w:tcBorders>
            <w:gridSpan w:val="2"/>
          </w:tcPr>
          <w:p>
            <w:pPr>
              <w:ind w:left="120"/>
              <w:spacing w:after="0"/>
              <w:rPr>
                <w:sz w:val="20"/>
                <w:szCs w:val="20"/>
                <w:color w:val="auto"/>
              </w:rPr>
            </w:pPr>
            <w:r>
              <w:rPr>
                <w:rFonts w:ascii="Arial" w:cs="Arial" w:eastAsia="Arial" w:hAnsi="Arial"/>
                <w:sz w:val="15"/>
                <w:szCs w:val="15"/>
                <w:color w:val="auto"/>
              </w:rPr>
              <w:t>Weighted Performance for FY</w:t>
            </w:r>
          </w:p>
        </w:tc>
        <w:tc>
          <w:tcPr>
            <w:tcW w:w="70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113.63%</w:t>
            </w:r>
          </w:p>
        </w:tc>
        <w:tc>
          <w:tcPr>
            <w:tcW w:w="420" w:type="dxa"/>
            <w:vAlign w:val="bottom"/>
            <w:tcBorders>
              <w:bottom w:val="single" w:sz="8" w:color="0075C9"/>
            </w:tcBorders>
          </w:tcPr>
          <w:p>
            <w:pPr>
              <w:spacing w:after="0"/>
              <w:rPr>
                <w:sz w:val="16"/>
                <w:szCs w:val="16"/>
                <w:color w:val="auto"/>
              </w:rPr>
            </w:pPr>
          </w:p>
        </w:tc>
        <w:tc>
          <w:tcPr>
            <w:tcW w:w="1840" w:type="dxa"/>
            <w:vAlign w:val="bottom"/>
            <w:tcBorders>
              <w:bottom w:val="single" w:sz="8" w:color="0075C9"/>
            </w:tcBorders>
          </w:tcPr>
          <w:p>
            <w:pPr>
              <w:spacing w:after="0"/>
              <w:rPr>
                <w:sz w:val="16"/>
                <w:szCs w:val="16"/>
                <w:color w:val="auto"/>
              </w:rPr>
            </w:pPr>
          </w:p>
        </w:tc>
        <w:tc>
          <w:tcPr>
            <w:tcW w:w="580" w:type="dxa"/>
            <w:vAlign w:val="bottom"/>
            <w:tcBorders>
              <w:bottom w:val="single" w:sz="8" w:color="0075C9"/>
            </w:tcBorders>
          </w:tcPr>
          <w:p>
            <w:pPr>
              <w:spacing w:after="0"/>
              <w:rPr>
                <w:sz w:val="16"/>
                <w:szCs w:val="16"/>
                <w:color w:val="auto"/>
              </w:rPr>
            </w:pPr>
          </w:p>
        </w:tc>
        <w:tc>
          <w:tcPr>
            <w:tcW w:w="1120" w:type="dxa"/>
            <w:vAlign w:val="bottom"/>
            <w:tcBorders>
              <w:bottom w:val="single" w:sz="8" w:color="0075C9"/>
            </w:tcBorders>
          </w:tcPr>
          <w:p>
            <w:pPr>
              <w:jc w:val="right"/>
              <w:ind w:right="247"/>
              <w:spacing w:after="0"/>
              <w:rPr>
                <w:sz w:val="20"/>
                <w:szCs w:val="20"/>
                <w:color w:val="auto"/>
              </w:rPr>
            </w:pPr>
            <w:r>
              <w:rPr>
                <w:rFonts w:ascii="Arial" w:cs="Arial" w:eastAsia="Arial" w:hAnsi="Arial"/>
                <w:sz w:val="15"/>
                <w:szCs w:val="15"/>
                <w:color w:val="auto"/>
              </w:rPr>
              <w:t>116.59%</w:t>
            </w:r>
          </w:p>
        </w:tc>
        <w:tc>
          <w:tcPr>
            <w:tcW w:w="760" w:type="dxa"/>
            <w:vAlign w:val="bottom"/>
            <w:tcBorders>
              <w:bottom w:val="single" w:sz="8" w:color="0075C9"/>
            </w:tcBorders>
          </w:tcPr>
          <w:p>
            <w:pPr>
              <w:spacing w:after="0"/>
              <w:rPr>
                <w:sz w:val="16"/>
                <w:szCs w:val="16"/>
                <w:color w:val="auto"/>
              </w:rPr>
            </w:pPr>
          </w:p>
        </w:tc>
        <w:tc>
          <w:tcPr>
            <w:tcW w:w="78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144.07%</w:t>
            </w:r>
          </w:p>
        </w:tc>
        <w:tc>
          <w:tcPr>
            <w:tcW w:w="0" w:type="dxa"/>
            <w:vAlign w:val="bottom"/>
          </w:tcPr>
          <w:p>
            <w:pPr>
              <w:spacing w:after="0"/>
              <w:rPr>
                <w:sz w:val="1"/>
                <w:szCs w:val="1"/>
                <w:color w:val="auto"/>
              </w:rPr>
            </w:pPr>
          </w:p>
        </w:tc>
      </w:tr>
      <w:tr>
        <w:trPr>
          <w:trHeight w:val="191"/>
        </w:trPr>
        <w:tc>
          <w:tcPr>
            <w:tcW w:w="5360" w:type="dxa"/>
            <w:vAlign w:val="bottom"/>
            <w:tcBorders>
              <w:bottom w:val="single" w:sz="8" w:color="0075C9"/>
            </w:tcBorders>
            <w:gridSpan w:val="5"/>
          </w:tcPr>
          <w:p>
            <w:pPr>
              <w:ind w:left="120"/>
              <w:spacing w:after="0"/>
              <w:rPr>
                <w:sz w:val="20"/>
                <w:szCs w:val="20"/>
                <w:color w:val="auto"/>
              </w:rPr>
            </w:pPr>
            <w:r>
              <w:rPr>
                <w:rFonts w:ascii="Arial" w:cs="Arial" w:eastAsia="Arial" w:hAnsi="Arial"/>
                <w:sz w:val="15"/>
                <w:szCs w:val="15"/>
                <w:b w:val="1"/>
                <w:bCs w:val="1"/>
                <w:color w:val="auto"/>
              </w:rPr>
              <w:t>Core Metric Performance (average of FY19, FY20, and FY21 performance)</w:t>
            </w:r>
          </w:p>
        </w:tc>
        <w:tc>
          <w:tcPr>
            <w:tcW w:w="580" w:type="dxa"/>
            <w:vAlign w:val="bottom"/>
            <w:tcBorders>
              <w:bottom w:val="single" w:sz="8" w:color="0075C9"/>
            </w:tcBorders>
          </w:tcPr>
          <w:p>
            <w:pPr>
              <w:spacing w:after="0"/>
              <w:rPr>
                <w:sz w:val="16"/>
                <w:szCs w:val="16"/>
                <w:color w:val="auto"/>
              </w:rPr>
            </w:pPr>
          </w:p>
        </w:tc>
        <w:tc>
          <w:tcPr>
            <w:tcW w:w="1120" w:type="dxa"/>
            <w:vAlign w:val="bottom"/>
            <w:tcBorders>
              <w:bottom w:val="single" w:sz="8" w:color="0075C9"/>
            </w:tcBorders>
          </w:tcPr>
          <w:p>
            <w:pPr>
              <w:spacing w:after="0"/>
              <w:rPr>
                <w:sz w:val="16"/>
                <w:szCs w:val="16"/>
                <w:color w:val="auto"/>
              </w:rPr>
            </w:pPr>
          </w:p>
        </w:tc>
        <w:tc>
          <w:tcPr>
            <w:tcW w:w="760" w:type="dxa"/>
            <w:vAlign w:val="bottom"/>
            <w:tcBorders>
              <w:bottom w:val="single" w:sz="8" w:color="0075C9"/>
            </w:tcBorders>
          </w:tcPr>
          <w:p>
            <w:pPr>
              <w:spacing w:after="0"/>
              <w:rPr>
                <w:sz w:val="16"/>
                <w:szCs w:val="16"/>
                <w:color w:val="auto"/>
              </w:rPr>
            </w:pPr>
          </w:p>
        </w:tc>
        <w:tc>
          <w:tcPr>
            <w:tcW w:w="78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124.76%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ind w:left="2880"/>
        <w:spacing w:after="0"/>
        <w:rPr>
          <w:sz w:val="20"/>
          <w:szCs w:val="20"/>
          <w:color w:val="auto"/>
        </w:rPr>
      </w:pPr>
      <w:r>
        <w:rPr>
          <w:rFonts w:ascii="Arial" w:cs="Arial" w:eastAsia="Arial" w:hAnsi="Arial"/>
          <w:sz w:val="21"/>
          <w:szCs w:val="21"/>
          <w:b w:val="1"/>
          <w:bCs w:val="1"/>
          <w:color w:val="auto"/>
        </w:rPr>
        <w:t>Fiscal Year 2019 PSA Core Metric Performance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-74930</wp:posOffset>
            </wp:positionV>
            <wp:extent cx="5748020" cy="333057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748020" cy="3330575"/>
                    </a:xfrm>
                    <a:prstGeom prst="rect">
                      <a:avLst/>
                    </a:prstGeom>
                    <a:noFill/>
                  </pic:spPr>
                </pic:pic>
              </a:graphicData>
            </a:graphic>
          </wp:anchor>
        </w:drawing>
      </w:r>
    </w:p>
    <w:p>
      <w:pPr>
        <w:sectPr>
          <w:pgSz w:w="11900" w:h="16838" w:orient="portrait"/>
          <w:cols w:equalWidth="0" w:num="1">
            <w:col w:w="10139"/>
          </w:cols>
          <w:pgMar w:left="320" w:top="445" w:right="1440" w:bottom="1440" w:gutter="0" w:footer="0" w:header="0"/>
          <w:type w:val="continuous"/>
        </w:sectPr>
      </w:pPr>
    </w:p>
    <w:p>
      <w:pPr>
        <w:spacing w:after="0" w:line="59"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820" w:type="dxa"/>
            <w:vAlign w:val="bottom"/>
          </w:tcPr>
          <w:p>
            <w:pPr>
              <w:ind w:left="120"/>
              <w:spacing w:after="0"/>
              <w:rPr>
                <w:sz w:val="20"/>
                <w:szCs w:val="20"/>
                <w:color w:val="auto"/>
              </w:rPr>
            </w:pPr>
            <w:r>
              <w:rPr>
                <w:rFonts w:ascii="Arial" w:cs="Arial" w:eastAsia="Arial" w:hAnsi="Arial"/>
                <w:sz w:val="14"/>
                <w:szCs w:val="14"/>
                <w:b w:val="1"/>
                <w:bCs w:val="1"/>
                <w:color w:val="auto"/>
              </w:rPr>
              <w:t>Metric</w:t>
            </w:r>
          </w:p>
        </w:tc>
        <w:tc>
          <w:tcPr>
            <w:tcW w:w="2160" w:type="dxa"/>
            <w:vAlign w:val="bottom"/>
          </w:tcPr>
          <w:p>
            <w:pPr>
              <w:jc w:val="right"/>
              <w:spacing w:after="0"/>
              <w:rPr>
                <w:sz w:val="20"/>
                <w:szCs w:val="20"/>
                <w:color w:val="auto"/>
              </w:rPr>
            </w:pPr>
            <w:r>
              <w:rPr>
                <w:rFonts w:ascii="Arial" w:cs="Arial" w:eastAsia="Arial" w:hAnsi="Arial"/>
                <w:sz w:val="14"/>
                <w:szCs w:val="14"/>
                <w:b w:val="1"/>
                <w:bCs w:val="1"/>
                <w:color w:val="auto"/>
              </w:rPr>
              <w:t>FY19 Target/</w:t>
            </w:r>
          </w:p>
        </w:tc>
      </w:tr>
      <w:tr>
        <w:trPr>
          <w:trHeight w:val="200"/>
        </w:trPr>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(FY19)</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Weight  Actual Achievement</w:t>
            </w:r>
          </w:p>
        </w:tc>
      </w:tr>
    </w:tbl>
    <w:p>
      <w:pPr>
        <w:spacing w:after="0" w:line="195" w:lineRule="exact"/>
        <w:rPr>
          <w:sz w:val="20"/>
          <w:szCs w:val="20"/>
          <w:color w:val="auto"/>
        </w:rPr>
      </w:pPr>
    </w:p>
    <w:p>
      <w:pPr>
        <w:ind w:left="1460"/>
        <w:spacing w:after="0"/>
        <w:tabs>
          <w:tab w:leader="none" w:pos="2580" w:val="left"/>
          <w:tab w:leader="none" w:pos="3160" w:val="left"/>
        </w:tabs>
        <w:rPr>
          <w:sz w:val="20"/>
          <w:szCs w:val="20"/>
          <w:color w:val="auto"/>
        </w:rPr>
      </w:pPr>
      <w:r>
        <w:rPr>
          <w:rFonts w:ascii="Arial" w:cs="Arial" w:eastAsia="Arial" w:hAnsi="Arial"/>
          <w:sz w:val="15"/>
          <w:szCs w:val="15"/>
          <w:b w:val="1"/>
          <w:bCs w:val="1"/>
          <w:color w:val="0075C9"/>
        </w:rPr>
        <w:t>Commercial</w:t>
      </w:r>
      <w:r>
        <w:rPr>
          <w:sz w:val="20"/>
          <w:szCs w:val="20"/>
          <w:color w:val="auto"/>
        </w:rPr>
        <w:tab/>
      </w:r>
      <w:r>
        <w:rPr>
          <w:rFonts w:ascii="Arial" w:cs="Arial" w:eastAsia="Arial" w:hAnsi="Arial"/>
          <w:sz w:val="15"/>
          <w:szCs w:val="15"/>
          <w:color w:val="auto"/>
        </w:rPr>
        <w:t>34%</w:t>
      </w:r>
      <w:r>
        <w:rPr>
          <w:sz w:val="20"/>
          <w:szCs w:val="20"/>
          <w:color w:val="auto"/>
        </w:rPr>
        <w:tab/>
      </w:r>
      <w:r>
        <w:rPr>
          <w:rFonts w:ascii="Arial" w:cs="Arial" w:eastAsia="Arial" w:hAnsi="Arial"/>
          <w:sz w:val="14"/>
          <w:szCs w:val="14"/>
          <w:color w:val="auto"/>
        </w:rPr>
        <w:t>$38.67B/$38.63B</w:t>
      </w:r>
    </w:p>
    <w:p>
      <w:pPr>
        <w:spacing w:after="0" w:line="1" w:lineRule="exact"/>
        <w:rPr>
          <w:sz w:val="20"/>
          <w:szCs w:val="20"/>
          <w:color w:val="auto"/>
        </w:rPr>
      </w:pPr>
    </w:p>
    <w:p>
      <w:pPr>
        <w:ind w:left="1460"/>
        <w:spacing w:after="0"/>
        <w:rPr>
          <w:sz w:val="20"/>
          <w:szCs w:val="20"/>
          <w:color w:val="auto"/>
        </w:rPr>
      </w:pPr>
      <w:r>
        <w:rPr>
          <w:rFonts w:ascii="Arial" w:cs="Arial" w:eastAsia="Arial" w:hAnsi="Arial"/>
          <w:sz w:val="15"/>
          <w:szCs w:val="15"/>
          <w:b w:val="1"/>
          <w:bCs w:val="1"/>
          <w:color w:val="0075C9"/>
        </w:rPr>
        <w:t>Cloud</w:t>
      </w:r>
    </w:p>
    <w:p>
      <w:pPr>
        <w:ind w:left="1460"/>
        <w:spacing w:after="0"/>
        <w:rPr>
          <w:sz w:val="20"/>
          <w:szCs w:val="20"/>
          <w:color w:val="auto"/>
        </w:rPr>
      </w:pPr>
      <w:r>
        <w:rPr>
          <w:rFonts w:ascii="Arial" w:cs="Arial" w:eastAsia="Arial" w:hAnsi="Arial"/>
          <w:sz w:val="15"/>
          <w:szCs w:val="15"/>
          <w:b w:val="1"/>
          <w:bCs w:val="1"/>
          <w:color w:val="0075C9"/>
        </w:rPr>
        <w:t>Revenue</w:t>
      </w:r>
    </w:p>
    <w:p>
      <w:pPr>
        <w:spacing w:after="0" w:line="4" w:lineRule="exact"/>
        <w:rPr>
          <w:sz w:val="20"/>
          <w:szCs w:val="20"/>
          <w:color w:val="auto"/>
        </w:rPr>
      </w:pPr>
    </w:p>
    <w:p>
      <w:pPr>
        <w:ind w:left="1460"/>
        <w:spacing w:after="0"/>
        <w:rPr>
          <w:sz w:val="20"/>
          <w:szCs w:val="20"/>
          <w:color w:val="auto"/>
        </w:rPr>
      </w:pPr>
      <w:r>
        <w:rPr>
          <w:rFonts w:ascii="Arial" w:cs="Arial" w:eastAsia="Arial" w:hAnsi="Arial"/>
          <w:sz w:val="15"/>
          <w:szCs w:val="15"/>
          <w:b w:val="1"/>
          <w:bCs w:val="1"/>
          <w:color w:val="0075C9"/>
        </w:rPr>
        <w:t>Commercial</w:t>
      </w:r>
    </w:p>
    <w:p>
      <w:pPr>
        <w:ind w:left="1460"/>
        <w:spacing w:after="0" w:line="187" w:lineRule="auto"/>
        <w:tabs>
          <w:tab w:leader="none" w:pos="2580" w:val="left"/>
          <w:tab w:leader="none" w:pos="3180" w:val="left"/>
        </w:tabs>
        <w:rPr>
          <w:sz w:val="20"/>
          <w:szCs w:val="20"/>
          <w:color w:val="auto"/>
        </w:rPr>
      </w:pPr>
      <w:r>
        <w:rPr>
          <w:rFonts w:ascii="Arial" w:cs="Arial" w:eastAsia="Arial" w:hAnsi="Arial"/>
          <w:sz w:val="13"/>
          <w:szCs w:val="13"/>
          <w:b w:val="1"/>
          <w:bCs w:val="1"/>
          <w:color w:val="0075C9"/>
        </w:rPr>
        <w:t>Cloud</w:t>
      </w:r>
      <w:r>
        <w:rPr>
          <w:sz w:val="20"/>
          <w:szCs w:val="20"/>
          <w:color w:val="auto"/>
        </w:rPr>
        <w:tab/>
      </w:r>
      <w:r>
        <w:rPr>
          <w:rFonts w:ascii="Arial" w:cs="Arial" w:eastAsia="Arial" w:hAnsi="Arial"/>
          <w:sz w:val="13"/>
          <w:szCs w:val="13"/>
          <w:color w:val="auto"/>
        </w:rPr>
        <w:t>33%</w:t>
      </w:r>
      <w:r>
        <w:rPr>
          <w:sz w:val="20"/>
          <w:szCs w:val="20"/>
          <w:color w:val="auto"/>
        </w:rPr>
        <w:tab/>
      </w:r>
      <w:r>
        <w:rPr>
          <w:rFonts w:ascii="Arial" w:cs="Arial" w:eastAsia="Arial" w:hAnsi="Arial"/>
          <w:sz w:val="13"/>
          <w:szCs w:val="13"/>
          <w:color w:val="auto"/>
        </w:rPr>
        <w:t>26.88%/28.60%</w:t>
      </w:r>
      <w:r>
        <w:rPr>
          <w:rFonts w:ascii="Arial" w:cs="Arial" w:eastAsia="Arial" w:hAnsi="Arial"/>
          <w:sz w:val="10"/>
          <w:szCs w:val="10"/>
          <w:color w:val="auto"/>
        </w:rPr>
        <w:t>2</w:t>
      </w:r>
    </w:p>
    <w:p>
      <w:pPr>
        <w:spacing w:after="0" w:line="22" w:lineRule="exact"/>
        <w:rPr>
          <w:sz w:val="20"/>
          <w:szCs w:val="20"/>
          <w:color w:val="auto"/>
        </w:rPr>
      </w:pPr>
    </w:p>
    <w:p>
      <w:pPr>
        <w:ind w:left="1460"/>
        <w:spacing w:after="0"/>
        <w:rPr>
          <w:sz w:val="20"/>
          <w:szCs w:val="20"/>
          <w:color w:val="auto"/>
        </w:rPr>
      </w:pPr>
      <w:r>
        <w:rPr>
          <w:rFonts w:ascii="Arial" w:cs="Arial" w:eastAsia="Arial" w:hAnsi="Arial"/>
          <w:sz w:val="15"/>
          <w:szCs w:val="15"/>
          <w:b w:val="1"/>
          <w:bCs w:val="1"/>
          <w:color w:val="0075C9"/>
        </w:rPr>
        <w:t>Subscribers</w:t>
      </w:r>
    </w:p>
    <w:p>
      <w:pPr>
        <w:ind w:left="1460"/>
        <w:spacing w:after="0"/>
        <w:rPr>
          <w:sz w:val="20"/>
          <w:szCs w:val="20"/>
          <w:color w:val="auto"/>
        </w:rPr>
      </w:pPr>
      <w:r>
        <w:rPr>
          <w:rFonts w:ascii="Arial" w:cs="Arial" w:eastAsia="Arial" w:hAnsi="Arial"/>
          <w:sz w:val="15"/>
          <w:szCs w:val="15"/>
          <w:b w:val="1"/>
          <w:bCs w:val="1"/>
          <w:color w:val="0075C9"/>
        </w:rPr>
        <w:t>(Growth %)</w:t>
      </w:r>
    </w:p>
    <w:p>
      <w:pPr>
        <w:spacing w:after="0" w:line="4" w:lineRule="exact"/>
        <w:rPr>
          <w:sz w:val="20"/>
          <w:szCs w:val="20"/>
          <w:color w:val="auto"/>
        </w:rPr>
      </w:pPr>
    </w:p>
    <w:p>
      <w:pPr>
        <w:ind w:left="1460"/>
        <w:spacing w:after="0"/>
        <w:rPr>
          <w:sz w:val="20"/>
          <w:szCs w:val="20"/>
          <w:color w:val="auto"/>
        </w:rPr>
      </w:pPr>
      <w:r>
        <w:rPr>
          <w:rFonts w:ascii="Arial" w:cs="Arial" w:eastAsia="Arial" w:hAnsi="Arial"/>
          <w:sz w:val="15"/>
          <w:szCs w:val="15"/>
          <w:b w:val="1"/>
          <w:bCs w:val="1"/>
          <w:color w:val="0075C9"/>
        </w:rPr>
        <w:t>Windows 10</w:t>
      </w:r>
    </w:p>
    <w:p>
      <w:pPr>
        <w:ind w:left="1460"/>
        <w:spacing w:after="0" w:line="216" w:lineRule="auto"/>
        <w:tabs>
          <w:tab w:leader="none" w:pos="2580" w:val="left"/>
        </w:tabs>
        <w:rPr>
          <w:sz w:val="20"/>
          <w:szCs w:val="20"/>
          <w:color w:val="auto"/>
        </w:rPr>
      </w:pPr>
      <w:r>
        <w:rPr>
          <w:rFonts w:ascii="Arial" w:cs="Arial" w:eastAsia="Arial" w:hAnsi="Arial"/>
          <w:sz w:val="15"/>
          <w:szCs w:val="15"/>
          <w:b w:val="1"/>
          <w:bCs w:val="1"/>
          <w:color w:val="0075C9"/>
        </w:rPr>
        <w:t>Monthly</w:t>
      </w:r>
      <w:r>
        <w:rPr>
          <w:sz w:val="20"/>
          <w:szCs w:val="20"/>
          <w:color w:val="auto"/>
        </w:rPr>
        <w:tab/>
      </w:r>
      <w:r>
        <w:rPr>
          <w:rFonts w:ascii="Arial" w:cs="Arial" w:eastAsia="Arial" w:hAnsi="Arial"/>
          <w:sz w:val="15"/>
          <w:szCs w:val="15"/>
          <w:color w:val="auto"/>
        </w:rPr>
        <w:t>11% $824.15M/$860.56M</w:t>
      </w:r>
    </w:p>
    <w:p>
      <w:pPr>
        <w:ind w:left="1460"/>
        <w:spacing w:after="0" w:line="217" w:lineRule="auto"/>
        <w:rPr>
          <w:sz w:val="20"/>
          <w:szCs w:val="20"/>
          <w:color w:val="auto"/>
        </w:rPr>
      </w:pPr>
      <w:r>
        <w:rPr>
          <w:rFonts w:ascii="Arial" w:cs="Arial" w:eastAsia="Arial" w:hAnsi="Arial"/>
          <w:sz w:val="15"/>
          <w:szCs w:val="15"/>
          <w:b w:val="1"/>
          <w:bCs w:val="1"/>
          <w:color w:val="0075C9"/>
        </w:rPr>
        <w:t>Active</w:t>
      </w:r>
    </w:p>
    <w:p>
      <w:pPr>
        <w:ind w:left="1460"/>
        <w:spacing w:after="0"/>
        <w:rPr>
          <w:sz w:val="20"/>
          <w:szCs w:val="20"/>
          <w:color w:val="auto"/>
        </w:rPr>
      </w:pPr>
      <w:r>
        <w:rPr>
          <w:rFonts w:ascii="Arial" w:cs="Arial" w:eastAsia="Arial" w:hAnsi="Arial"/>
          <w:sz w:val="15"/>
          <w:szCs w:val="15"/>
          <w:b w:val="1"/>
          <w:bCs w:val="1"/>
          <w:color w:val="0075C9"/>
        </w:rPr>
        <w:t>Devices</w:t>
      </w:r>
    </w:p>
    <w:p>
      <w:pPr>
        <w:spacing w:after="0" w:line="4" w:lineRule="exact"/>
        <w:rPr>
          <w:sz w:val="20"/>
          <w:szCs w:val="20"/>
          <w:color w:val="auto"/>
        </w:rPr>
      </w:pPr>
    </w:p>
    <w:p>
      <w:pPr>
        <w:ind w:left="1460"/>
        <w:spacing w:after="0"/>
        <w:rPr>
          <w:sz w:val="20"/>
          <w:szCs w:val="20"/>
          <w:color w:val="auto"/>
        </w:rPr>
      </w:pPr>
      <w:r>
        <w:rPr>
          <w:rFonts w:ascii="Arial" w:cs="Arial" w:eastAsia="Arial" w:hAnsi="Arial"/>
          <w:sz w:val="15"/>
          <w:szCs w:val="15"/>
          <w:b w:val="1"/>
          <w:bCs w:val="1"/>
          <w:color w:val="0075C9"/>
        </w:rPr>
        <w:t>Consumer</w:t>
      </w:r>
    </w:p>
    <w:p>
      <w:pPr>
        <w:ind w:left="1460"/>
        <w:spacing w:after="0" w:line="216" w:lineRule="auto"/>
        <w:rPr>
          <w:sz w:val="20"/>
          <w:szCs w:val="20"/>
          <w:color w:val="auto"/>
        </w:rPr>
      </w:pPr>
      <w:r>
        <w:rPr>
          <w:rFonts w:ascii="Arial" w:cs="Arial" w:eastAsia="Arial" w:hAnsi="Arial"/>
          <w:sz w:val="15"/>
          <w:szCs w:val="15"/>
          <w:b w:val="1"/>
          <w:bCs w:val="1"/>
          <w:color w:val="0075C9"/>
        </w:rPr>
        <w:t>Post-Sales</w:t>
      </w:r>
    </w:p>
    <w:p>
      <w:pPr>
        <w:ind w:left="1460"/>
        <w:spacing w:after="0" w:line="213" w:lineRule="auto"/>
        <w:tabs>
          <w:tab w:leader="none" w:pos="2580" w:val="left"/>
          <w:tab w:leader="none" w:pos="3260" w:val="left"/>
        </w:tabs>
        <w:rPr>
          <w:sz w:val="20"/>
          <w:szCs w:val="20"/>
          <w:color w:val="auto"/>
        </w:rPr>
      </w:pPr>
      <w:r>
        <w:rPr>
          <w:rFonts w:ascii="Arial" w:cs="Arial" w:eastAsia="Arial" w:hAnsi="Arial"/>
          <w:sz w:val="15"/>
          <w:szCs w:val="15"/>
          <w:b w:val="1"/>
          <w:bCs w:val="1"/>
          <w:color w:val="0075C9"/>
        </w:rPr>
        <w:t>Monetization</w:t>
      </w:r>
      <w:r>
        <w:rPr>
          <w:sz w:val="20"/>
          <w:szCs w:val="20"/>
          <w:color w:val="auto"/>
        </w:rPr>
        <w:tab/>
      </w:r>
      <w:r>
        <w:rPr>
          <w:rFonts w:ascii="Arial" w:cs="Arial" w:eastAsia="Arial" w:hAnsi="Arial"/>
          <w:sz w:val="15"/>
          <w:szCs w:val="15"/>
          <w:color w:val="auto"/>
        </w:rPr>
        <w:t>11%</w:t>
      </w:r>
      <w:r>
        <w:rPr>
          <w:sz w:val="20"/>
          <w:szCs w:val="20"/>
          <w:color w:val="auto"/>
        </w:rPr>
        <w:tab/>
      </w:r>
      <w:r>
        <w:rPr>
          <w:rFonts w:ascii="Arial" w:cs="Arial" w:eastAsia="Arial" w:hAnsi="Arial"/>
          <w:sz w:val="14"/>
          <w:szCs w:val="14"/>
          <w:color w:val="auto"/>
        </w:rPr>
        <w:t>11.04%/16.44%</w:t>
      </w:r>
    </w:p>
    <w:p>
      <w:pPr>
        <w:ind w:left="1460"/>
        <w:spacing w:after="0" w:line="234" w:lineRule="auto"/>
        <w:rPr>
          <w:sz w:val="20"/>
          <w:szCs w:val="20"/>
          <w:color w:val="auto"/>
        </w:rPr>
      </w:pPr>
      <w:r>
        <w:rPr>
          <w:rFonts w:ascii="Arial" w:cs="Arial" w:eastAsia="Arial" w:hAnsi="Arial"/>
          <w:sz w:val="15"/>
          <w:szCs w:val="15"/>
          <w:b w:val="1"/>
          <w:bCs w:val="1"/>
          <w:color w:val="0075C9"/>
        </w:rPr>
        <w:t>Gross</w:t>
      </w:r>
    </w:p>
    <w:p>
      <w:pPr>
        <w:ind w:left="1460"/>
        <w:spacing w:after="0" w:line="216" w:lineRule="auto"/>
        <w:rPr>
          <w:sz w:val="20"/>
          <w:szCs w:val="20"/>
          <w:color w:val="auto"/>
        </w:rPr>
      </w:pPr>
      <w:r>
        <w:rPr>
          <w:rFonts w:ascii="Arial" w:cs="Arial" w:eastAsia="Arial" w:hAnsi="Arial"/>
          <w:sz w:val="15"/>
          <w:szCs w:val="15"/>
          <w:b w:val="1"/>
          <w:bCs w:val="1"/>
          <w:color w:val="0075C9"/>
        </w:rPr>
        <w:t>Margin</w:t>
      </w:r>
    </w:p>
    <w:p>
      <w:pPr>
        <w:ind w:left="1460"/>
        <w:spacing w:after="0"/>
        <w:rPr>
          <w:sz w:val="20"/>
          <w:szCs w:val="20"/>
          <w:color w:val="auto"/>
        </w:rPr>
      </w:pPr>
      <w:r>
        <w:rPr>
          <w:rFonts w:ascii="Arial" w:cs="Arial" w:eastAsia="Arial" w:hAnsi="Arial"/>
          <w:sz w:val="15"/>
          <w:szCs w:val="15"/>
          <w:b w:val="1"/>
          <w:bCs w:val="1"/>
          <w:color w:val="0075C9"/>
        </w:rPr>
        <w:t>(Growth %)</w:t>
      </w:r>
    </w:p>
    <w:p>
      <w:pPr>
        <w:spacing w:after="0" w:line="159" w:lineRule="exact"/>
        <w:rPr>
          <w:sz w:val="20"/>
          <w:szCs w:val="20"/>
          <w:color w:val="auto"/>
        </w:rPr>
      </w:pPr>
    </w:p>
    <w:p>
      <w:pPr>
        <w:ind w:left="1460"/>
        <w:spacing w:after="0"/>
        <w:rPr>
          <w:sz w:val="20"/>
          <w:szCs w:val="20"/>
          <w:color w:val="auto"/>
        </w:rPr>
      </w:pPr>
      <w:r>
        <w:rPr>
          <w:rFonts w:ascii="Arial" w:cs="Arial" w:eastAsia="Arial" w:hAnsi="Arial"/>
          <w:sz w:val="15"/>
          <w:szCs w:val="15"/>
          <w:b w:val="1"/>
          <w:bCs w:val="1"/>
          <w:color w:val="0075C9"/>
        </w:rPr>
        <w:t>Surface</w:t>
      </w:r>
    </w:p>
    <w:p>
      <w:pPr>
        <w:ind w:left="1460"/>
        <w:spacing w:after="0" w:line="199" w:lineRule="auto"/>
        <w:tabs>
          <w:tab w:leader="none" w:pos="2680" w:val="left"/>
          <w:tab w:leader="none" w:pos="3640" w:val="left"/>
        </w:tabs>
        <w:rPr>
          <w:sz w:val="20"/>
          <w:szCs w:val="20"/>
          <w:color w:val="auto"/>
        </w:rPr>
      </w:pPr>
      <w:r>
        <w:rPr>
          <w:rFonts w:ascii="Arial" w:cs="Arial" w:eastAsia="Arial" w:hAnsi="Arial"/>
          <w:sz w:val="15"/>
          <w:szCs w:val="15"/>
          <w:b w:val="1"/>
          <w:bCs w:val="1"/>
          <w:color w:val="0075C9"/>
        </w:rPr>
        <w:t>Gross</w:t>
      </w:r>
      <w:r>
        <w:rPr>
          <w:sz w:val="20"/>
          <w:szCs w:val="20"/>
          <w:color w:val="auto"/>
        </w:rPr>
        <w:tab/>
      </w:r>
      <w:r>
        <w:rPr>
          <w:rFonts w:ascii="Arial" w:cs="Arial" w:eastAsia="Arial" w:hAnsi="Arial"/>
          <w:sz w:val="15"/>
          <w:szCs w:val="15"/>
          <w:color w:val="auto"/>
        </w:rPr>
        <w:t>5%</w:t>
      </w:r>
      <w:r>
        <w:rPr>
          <w:sz w:val="20"/>
          <w:szCs w:val="20"/>
          <w:color w:val="auto"/>
        </w:rPr>
        <w:tab/>
      </w:r>
      <w:r>
        <w:rPr>
          <w:rFonts w:ascii="Arial" w:cs="Arial" w:eastAsia="Arial" w:hAnsi="Arial"/>
          <w:sz w:val="15"/>
          <w:szCs w:val="15"/>
          <w:color w:val="auto"/>
        </w:rPr>
        <w:t>101.65%</w:t>
      </w:r>
      <w:r>
        <w:rPr>
          <w:rFonts w:ascii="Arial" w:cs="Arial" w:eastAsia="Arial" w:hAnsi="Arial"/>
          <w:sz w:val="12"/>
          <w:szCs w:val="12"/>
          <w:color w:val="auto"/>
        </w:rPr>
        <w:t>2</w:t>
      </w:r>
    </w:p>
    <w:p>
      <w:pPr>
        <w:ind w:left="1460"/>
        <w:spacing w:after="0" w:line="234" w:lineRule="auto"/>
        <w:rPr>
          <w:sz w:val="20"/>
          <w:szCs w:val="20"/>
          <w:color w:val="auto"/>
        </w:rPr>
      </w:pPr>
      <w:r>
        <w:rPr>
          <w:rFonts w:ascii="Arial" w:cs="Arial" w:eastAsia="Arial" w:hAnsi="Arial"/>
          <w:sz w:val="15"/>
          <w:szCs w:val="15"/>
          <w:b w:val="1"/>
          <w:bCs w:val="1"/>
          <w:color w:val="0075C9"/>
        </w:rPr>
        <w:t>Margin</w:t>
      </w:r>
    </w:p>
    <w:p>
      <w:pPr>
        <w:spacing w:after="0" w:line="1" w:lineRule="exact"/>
        <w:rPr>
          <w:sz w:val="20"/>
          <w:szCs w:val="20"/>
          <w:color w:val="auto"/>
        </w:rPr>
      </w:pPr>
    </w:p>
    <w:p>
      <w:pPr>
        <w:ind w:left="1460"/>
        <w:spacing w:after="0"/>
        <w:rPr>
          <w:sz w:val="20"/>
          <w:szCs w:val="20"/>
          <w:color w:val="auto"/>
        </w:rPr>
      </w:pPr>
      <w:r>
        <w:rPr>
          <w:rFonts w:ascii="Arial" w:cs="Arial" w:eastAsia="Arial" w:hAnsi="Arial"/>
          <w:sz w:val="15"/>
          <w:szCs w:val="15"/>
          <w:b w:val="1"/>
          <w:bCs w:val="1"/>
          <w:color w:val="0075C9"/>
        </w:rPr>
        <w:t>(% of target)</w:t>
      </w:r>
    </w:p>
    <w:p>
      <w:pPr>
        <w:ind w:left="1460"/>
        <w:spacing w:after="0" w:line="192" w:lineRule="auto"/>
        <w:rPr>
          <w:sz w:val="20"/>
          <w:szCs w:val="20"/>
          <w:color w:val="auto"/>
        </w:rPr>
      </w:pPr>
      <w:r>
        <w:rPr>
          <w:rFonts w:ascii="Arial" w:cs="Arial" w:eastAsia="Arial" w:hAnsi="Arial"/>
          <w:sz w:val="15"/>
          <w:szCs w:val="15"/>
          <w:b w:val="1"/>
          <w:bCs w:val="1"/>
          <w:color w:val="0075C9"/>
        </w:rPr>
        <w:t>LinkedIn</w:t>
      </w:r>
    </w:p>
    <w:p>
      <w:pPr>
        <w:ind w:left="1460"/>
        <w:spacing w:after="0"/>
        <w:tabs>
          <w:tab w:leader="none" w:pos="2680" w:val="left"/>
          <w:tab w:leader="none" w:pos="3320" w:val="left"/>
        </w:tabs>
        <w:rPr>
          <w:sz w:val="20"/>
          <w:szCs w:val="20"/>
          <w:color w:val="auto"/>
        </w:rPr>
      </w:pPr>
      <w:r>
        <w:rPr>
          <w:rFonts w:ascii="Arial" w:cs="Arial" w:eastAsia="Arial" w:hAnsi="Arial"/>
          <w:sz w:val="20"/>
          <w:szCs w:val="20"/>
          <w:b w:val="1"/>
          <w:bCs w:val="1"/>
          <w:color w:val="0075C9"/>
          <w:vertAlign w:val="subscript"/>
        </w:rPr>
        <w:t>Sessions</w:t>
      </w:r>
      <w:r>
        <w:rPr>
          <w:sz w:val="20"/>
          <w:szCs w:val="20"/>
          <w:color w:val="auto"/>
        </w:rPr>
        <w:tab/>
      </w:r>
      <w:r>
        <w:rPr>
          <w:rFonts w:ascii="Arial" w:cs="Arial" w:eastAsia="Arial" w:hAnsi="Arial"/>
          <w:sz w:val="11"/>
          <w:szCs w:val="11"/>
          <w:color w:val="auto"/>
        </w:rPr>
        <w:t>6%</w:t>
      </w:r>
      <w:r>
        <w:rPr>
          <w:sz w:val="20"/>
          <w:szCs w:val="20"/>
          <w:color w:val="auto"/>
        </w:rPr>
        <w:tab/>
      </w:r>
      <w:r>
        <w:rPr>
          <w:rFonts w:ascii="Arial" w:cs="Arial" w:eastAsia="Arial" w:hAnsi="Arial"/>
          <w:sz w:val="14"/>
          <w:szCs w:val="14"/>
          <w:color w:val="auto"/>
        </w:rPr>
        <w:t>32.11B/32.52B</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ind w:left="80"/>
              <w:spacing w:after="0"/>
              <w:rPr>
                <w:sz w:val="20"/>
                <w:szCs w:val="20"/>
                <w:color w:val="auto"/>
              </w:rPr>
            </w:pPr>
            <w:r>
              <w:rPr>
                <w:rFonts w:ascii="Arial" w:cs="Arial" w:eastAsia="Arial" w:hAnsi="Arial"/>
                <w:sz w:val="14"/>
                <w:szCs w:val="14"/>
                <w:b w:val="1"/>
                <w:bCs w:val="1"/>
                <w:color w:val="auto"/>
              </w:rPr>
              <w:t>Metric</w:t>
            </w:r>
          </w:p>
        </w:tc>
        <w:tc>
          <w:tcPr>
            <w:tcW w:w="56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rPr>
              <w:t>FY20 Target/</w:t>
            </w:r>
          </w:p>
        </w:tc>
        <w:tc>
          <w:tcPr>
            <w:tcW w:w="9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FY21 Target/</w:t>
            </w:r>
          </w:p>
        </w:tc>
        <w:tc>
          <w:tcPr>
            <w:tcW w:w="0" w:type="dxa"/>
            <w:vAlign w:val="bottom"/>
          </w:tcPr>
          <w:p>
            <w:pPr>
              <w:spacing w:after="0"/>
              <w:rPr>
                <w:sz w:val="1"/>
                <w:szCs w:val="1"/>
                <w:color w:val="auto"/>
              </w:rPr>
            </w:pPr>
          </w:p>
        </w:tc>
      </w:tr>
      <w:tr>
        <w:trPr>
          <w:trHeight w:val="200"/>
        </w:trPr>
        <w:tc>
          <w:tcPr>
            <w:tcW w:w="13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(FY20 and FY21)</w:t>
            </w: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Weight Actual Achievement</w:t>
            </w:r>
          </w:p>
        </w:tc>
        <w:tc>
          <w:tcPr>
            <w:tcW w:w="2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Weight Actual Achievement</w:t>
            </w:r>
          </w:p>
        </w:tc>
        <w:tc>
          <w:tcPr>
            <w:tcW w:w="0" w:type="dxa"/>
            <w:vAlign w:val="bottom"/>
          </w:tcPr>
          <w:p>
            <w:pPr>
              <w:spacing w:after="0"/>
              <w:rPr>
                <w:sz w:val="1"/>
                <w:szCs w:val="1"/>
                <w:color w:val="auto"/>
              </w:rPr>
            </w:pPr>
          </w:p>
        </w:tc>
      </w:tr>
      <w:tr>
        <w:trPr>
          <w:trHeight w:val="349"/>
        </w:trPr>
        <w:tc>
          <w:tcPr>
            <w:tcW w:w="1320" w:type="dxa"/>
            <w:vAlign w:val="bottom"/>
          </w:tcPr>
          <w:p>
            <w:pPr>
              <w:ind w:left="80"/>
              <w:spacing w:after="0"/>
              <w:rPr>
                <w:sz w:val="20"/>
                <w:szCs w:val="20"/>
                <w:color w:val="auto"/>
              </w:rPr>
            </w:pPr>
            <w:r>
              <w:rPr>
                <w:rFonts w:ascii="Arial" w:cs="Arial" w:eastAsia="Arial" w:hAnsi="Arial"/>
                <w:sz w:val="15"/>
                <w:szCs w:val="15"/>
                <w:b w:val="1"/>
                <w:bCs w:val="1"/>
                <w:color w:val="0075C9"/>
              </w:rPr>
              <w:t>Commercial</w:t>
            </w:r>
          </w:p>
        </w:tc>
        <w:tc>
          <w:tcPr>
            <w:tcW w:w="560" w:type="dxa"/>
            <w:vAlign w:val="bottom"/>
          </w:tcPr>
          <w:p>
            <w:pPr>
              <w:jc w:val="right"/>
              <w:spacing w:after="0"/>
              <w:rPr>
                <w:sz w:val="20"/>
                <w:szCs w:val="20"/>
                <w:color w:val="auto"/>
              </w:rPr>
            </w:pPr>
            <w:r>
              <w:rPr>
                <w:rFonts w:ascii="Arial" w:cs="Arial" w:eastAsia="Arial" w:hAnsi="Arial"/>
                <w:sz w:val="15"/>
                <w:szCs w:val="15"/>
                <w:color w:val="auto"/>
              </w:rPr>
              <w:t>35%</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$51.90B/$51.80B</w:t>
            </w:r>
          </w:p>
        </w:tc>
        <w:tc>
          <w:tcPr>
            <w:tcW w:w="920" w:type="dxa"/>
            <w:vAlign w:val="bottom"/>
            <w:tcBorders>
              <w:bottom w:val="single" w:sz="8" w:color="0075C9"/>
            </w:tcBorders>
          </w:tcPr>
          <w:p>
            <w:pPr>
              <w:jc w:val="right"/>
              <w:ind w:right="47"/>
              <w:spacing w:after="0"/>
              <w:rPr>
                <w:sz w:val="20"/>
                <w:szCs w:val="20"/>
                <w:color w:val="auto"/>
              </w:rPr>
            </w:pPr>
            <w:r>
              <w:rPr>
                <w:rFonts w:ascii="Arial" w:cs="Arial" w:eastAsia="Arial" w:hAnsi="Arial"/>
                <w:sz w:val="15"/>
                <w:szCs w:val="15"/>
                <w:color w:val="auto"/>
              </w:rPr>
              <w:t>H1 - 16.5%</w:t>
            </w:r>
          </w:p>
        </w:tc>
        <w:tc>
          <w:tcPr>
            <w:tcW w:w="126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$30.78B/$31.19B</w:t>
            </w:r>
          </w:p>
        </w:tc>
        <w:tc>
          <w:tcPr>
            <w:tcW w:w="0" w:type="dxa"/>
            <w:vAlign w:val="bottom"/>
          </w:tcPr>
          <w:p>
            <w:pPr>
              <w:spacing w:after="0"/>
              <w:rPr>
                <w:sz w:val="1"/>
                <w:szCs w:val="1"/>
                <w:color w:val="auto"/>
              </w:rPr>
            </w:pPr>
          </w:p>
        </w:tc>
      </w:tr>
      <w:tr>
        <w:trPr>
          <w:trHeight w:val="192"/>
        </w:trPr>
        <w:tc>
          <w:tcPr>
            <w:tcW w:w="1320" w:type="dxa"/>
            <w:vAlign w:val="bottom"/>
          </w:tcPr>
          <w:p>
            <w:pPr>
              <w:ind w:left="80"/>
              <w:spacing w:after="0"/>
              <w:rPr>
                <w:sz w:val="20"/>
                <w:szCs w:val="20"/>
                <w:color w:val="auto"/>
              </w:rPr>
            </w:pPr>
            <w:r>
              <w:rPr>
                <w:rFonts w:ascii="Arial" w:cs="Arial" w:eastAsia="Arial" w:hAnsi="Arial"/>
                <w:sz w:val="15"/>
                <w:szCs w:val="15"/>
                <w:b w:val="1"/>
                <w:bCs w:val="1"/>
                <w:color w:val="0075C9"/>
              </w:rPr>
              <w:t>Cloud Revenue</w:t>
            </w:r>
          </w:p>
        </w:tc>
        <w:tc>
          <w:tcPr>
            <w:tcW w:w="5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gridSpan w:val="2"/>
            <w:vMerge w:val="restart"/>
          </w:tcPr>
          <w:p>
            <w:pPr>
              <w:jc w:val="right"/>
              <w:spacing w:after="0"/>
              <w:rPr>
                <w:sz w:val="20"/>
                <w:szCs w:val="20"/>
                <w:color w:val="auto"/>
              </w:rPr>
            </w:pPr>
            <w:r>
              <w:rPr>
                <w:rFonts w:ascii="Arial" w:cs="Arial" w:eastAsia="Arial" w:hAnsi="Arial"/>
                <w:sz w:val="15"/>
                <w:szCs w:val="15"/>
                <w:color w:val="auto"/>
              </w:rPr>
              <w:t>H2 - 16.5%   $34.58B/$35.75B</w:t>
            </w:r>
          </w:p>
        </w:tc>
        <w:tc>
          <w:tcPr>
            <w:tcW w:w="0" w:type="dxa"/>
            <w:vAlign w:val="bottom"/>
          </w:tcPr>
          <w:p>
            <w:pPr>
              <w:spacing w:after="0"/>
              <w:rPr>
                <w:sz w:val="1"/>
                <w:szCs w:val="1"/>
                <w:color w:val="auto"/>
              </w:rPr>
            </w:pPr>
          </w:p>
        </w:tc>
      </w:tr>
      <w:tr>
        <w:trPr>
          <w:trHeight w:val="91"/>
        </w:trPr>
        <w:tc>
          <w:tcPr>
            <w:tcW w:w="1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1320" w:type="dxa"/>
            <w:vAlign w:val="bottom"/>
            <w:tcBorders>
              <w:bottom w:val="single" w:sz="8" w:color="0075C9"/>
            </w:tcBorders>
          </w:tcPr>
          <w:p>
            <w:pPr>
              <w:spacing w:after="0"/>
              <w:rPr>
                <w:sz w:val="6"/>
                <w:szCs w:val="6"/>
                <w:color w:val="auto"/>
              </w:rPr>
            </w:pPr>
          </w:p>
        </w:tc>
        <w:tc>
          <w:tcPr>
            <w:tcW w:w="560" w:type="dxa"/>
            <w:vAlign w:val="bottom"/>
            <w:tcBorders>
              <w:bottom w:val="single" w:sz="8" w:color="0075C9"/>
            </w:tcBorders>
          </w:tcPr>
          <w:p>
            <w:pPr>
              <w:spacing w:after="0"/>
              <w:rPr>
                <w:sz w:val="6"/>
                <w:szCs w:val="6"/>
                <w:color w:val="auto"/>
              </w:rPr>
            </w:pPr>
          </w:p>
        </w:tc>
        <w:tc>
          <w:tcPr>
            <w:tcW w:w="1260" w:type="dxa"/>
            <w:vAlign w:val="bottom"/>
            <w:tcBorders>
              <w:bottom w:val="single" w:sz="8" w:color="0075C9"/>
            </w:tcBorders>
          </w:tcPr>
          <w:p>
            <w:pPr>
              <w:spacing w:after="0"/>
              <w:rPr>
                <w:sz w:val="6"/>
                <w:szCs w:val="6"/>
                <w:color w:val="auto"/>
              </w:rPr>
            </w:pPr>
          </w:p>
        </w:tc>
        <w:tc>
          <w:tcPr>
            <w:tcW w:w="100" w:type="dxa"/>
            <w:vAlign w:val="bottom"/>
            <w:tcBorders>
              <w:bottom w:val="single" w:sz="8" w:color="0075C9"/>
            </w:tcBorders>
          </w:tcPr>
          <w:p>
            <w:pPr>
              <w:spacing w:after="0"/>
              <w:rPr>
                <w:sz w:val="6"/>
                <w:szCs w:val="6"/>
                <w:color w:val="auto"/>
              </w:rPr>
            </w:pPr>
          </w:p>
        </w:tc>
        <w:tc>
          <w:tcPr>
            <w:tcW w:w="920" w:type="dxa"/>
            <w:vAlign w:val="bottom"/>
            <w:tcBorders>
              <w:bottom w:val="single" w:sz="8" w:color="0075C9"/>
            </w:tcBorders>
          </w:tcPr>
          <w:p>
            <w:pPr>
              <w:spacing w:after="0"/>
              <w:rPr>
                <w:sz w:val="6"/>
                <w:szCs w:val="6"/>
                <w:color w:val="auto"/>
              </w:rPr>
            </w:pPr>
          </w:p>
        </w:tc>
        <w:tc>
          <w:tcPr>
            <w:tcW w:w="1260" w:type="dxa"/>
            <w:vAlign w:val="bottom"/>
            <w:tcBorders>
              <w:bottom w:val="single" w:sz="8" w:color="0075C9"/>
            </w:tcBorders>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1320" w:type="dxa"/>
            <w:vAlign w:val="bottom"/>
          </w:tcPr>
          <w:p>
            <w:pPr>
              <w:ind w:left="80"/>
              <w:spacing w:after="0" w:line="127" w:lineRule="exact"/>
              <w:rPr>
                <w:sz w:val="20"/>
                <w:szCs w:val="20"/>
                <w:color w:val="auto"/>
              </w:rPr>
            </w:pPr>
            <w:r>
              <w:rPr>
                <w:rFonts w:ascii="Arial" w:cs="Arial" w:eastAsia="Arial" w:hAnsi="Arial"/>
                <w:sz w:val="14"/>
                <w:szCs w:val="14"/>
                <w:b w:val="1"/>
                <w:bCs w:val="1"/>
                <w:color w:val="0075C9"/>
              </w:rPr>
              <w:t>Commercial</w:t>
            </w:r>
          </w:p>
        </w:tc>
        <w:tc>
          <w:tcPr>
            <w:tcW w:w="5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1320" w:type="dxa"/>
            <w:vAlign w:val="bottom"/>
          </w:tcPr>
          <w:p>
            <w:pPr>
              <w:ind w:left="80"/>
              <w:spacing w:after="0" w:line="151" w:lineRule="exact"/>
              <w:rPr>
                <w:sz w:val="20"/>
                <w:szCs w:val="20"/>
                <w:color w:val="auto"/>
              </w:rPr>
            </w:pPr>
            <w:r>
              <w:rPr>
                <w:rFonts w:ascii="Arial" w:cs="Arial" w:eastAsia="Arial" w:hAnsi="Arial"/>
                <w:sz w:val="15"/>
                <w:szCs w:val="15"/>
                <w:b w:val="1"/>
                <w:bCs w:val="1"/>
                <w:color w:val="0075C9"/>
              </w:rPr>
              <w:t>Cloud</w:t>
            </w:r>
          </w:p>
        </w:tc>
        <w:tc>
          <w:tcPr>
            <w:tcW w:w="560" w:type="dxa"/>
            <w:vAlign w:val="bottom"/>
            <w:vMerge w:val="restart"/>
          </w:tcPr>
          <w:p>
            <w:pPr>
              <w:jc w:val="right"/>
              <w:spacing w:after="0"/>
              <w:rPr>
                <w:sz w:val="20"/>
                <w:szCs w:val="20"/>
                <w:color w:val="auto"/>
              </w:rPr>
            </w:pPr>
            <w:r>
              <w:rPr>
                <w:rFonts w:ascii="Arial" w:cs="Arial" w:eastAsia="Arial" w:hAnsi="Arial"/>
                <w:sz w:val="15"/>
                <w:szCs w:val="15"/>
                <w:color w:val="auto"/>
              </w:rPr>
              <w:t>34%</w:t>
            </w:r>
          </w:p>
        </w:tc>
        <w:tc>
          <w:tcPr>
            <w:tcW w:w="1260" w:type="dxa"/>
            <w:vAlign w:val="bottom"/>
            <w:vMerge w:val="restart"/>
          </w:tcPr>
          <w:p>
            <w:pPr>
              <w:jc w:val="right"/>
              <w:spacing w:after="0"/>
              <w:rPr>
                <w:sz w:val="20"/>
                <w:szCs w:val="20"/>
                <w:color w:val="auto"/>
              </w:rPr>
            </w:pPr>
            <w:r>
              <w:rPr>
                <w:rFonts w:ascii="Arial" w:cs="Arial" w:eastAsia="Arial" w:hAnsi="Arial"/>
                <w:sz w:val="15"/>
                <w:szCs w:val="15"/>
                <w:color w:val="auto"/>
              </w:rPr>
              <w:t>23.02%/23.65%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2</w:t>
            </w:r>
          </w:p>
        </w:tc>
        <w:tc>
          <w:tcPr>
            <w:tcW w:w="920" w:type="dxa"/>
            <w:vAlign w:val="bottom"/>
            <w:vMerge w:val="restart"/>
          </w:tcPr>
          <w:p>
            <w:pPr>
              <w:jc w:val="right"/>
              <w:ind w:right="47"/>
              <w:spacing w:after="0"/>
              <w:rPr>
                <w:sz w:val="20"/>
                <w:szCs w:val="20"/>
                <w:color w:val="auto"/>
              </w:rPr>
            </w:pPr>
            <w:r>
              <w:rPr>
                <w:rFonts w:ascii="Arial" w:cs="Arial" w:eastAsia="Arial" w:hAnsi="Arial"/>
                <w:sz w:val="15"/>
                <w:szCs w:val="15"/>
                <w:color w:val="auto"/>
              </w:rPr>
              <w:t>32%</w:t>
            </w:r>
          </w:p>
        </w:tc>
        <w:tc>
          <w:tcPr>
            <w:tcW w:w="1260" w:type="dxa"/>
            <w:vAlign w:val="bottom"/>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60"/>
        </w:trPr>
        <w:tc>
          <w:tcPr>
            <w:tcW w:w="1320" w:type="dxa"/>
            <w:vAlign w:val="bottom"/>
          </w:tcPr>
          <w:p>
            <w:pPr>
              <w:ind w:left="80"/>
              <w:spacing w:after="0" w:line="160" w:lineRule="exact"/>
              <w:rPr>
                <w:sz w:val="20"/>
                <w:szCs w:val="20"/>
                <w:color w:val="auto"/>
              </w:rPr>
            </w:pPr>
            <w:r>
              <w:rPr>
                <w:rFonts w:ascii="Arial" w:cs="Arial" w:eastAsia="Arial" w:hAnsi="Arial"/>
                <w:sz w:val="15"/>
                <w:szCs w:val="15"/>
                <w:b w:val="1"/>
                <w:bCs w:val="1"/>
                <w:color w:val="0075C9"/>
              </w:rPr>
              <w:t>Subscribers</w:t>
            </w:r>
          </w:p>
        </w:tc>
        <w:tc>
          <w:tcPr>
            <w:tcW w:w="56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260" w:type="dxa"/>
            <w:vAlign w:val="bottom"/>
          </w:tcPr>
          <w:p>
            <w:pPr>
              <w:jc w:val="right"/>
              <w:spacing w:after="0" w:line="156" w:lineRule="exact"/>
              <w:rPr>
                <w:sz w:val="20"/>
                <w:szCs w:val="20"/>
                <w:color w:val="auto"/>
              </w:rPr>
            </w:pPr>
            <w:r>
              <w:rPr>
                <w:rFonts w:ascii="Arial" w:cs="Arial" w:eastAsia="Arial" w:hAnsi="Arial"/>
                <w:sz w:val="15"/>
                <w:szCs w:val="15"/>
                <w:color w:val="auto"/>
              </w:rPr>
              <w:t>17.73%/25.76%</w:t>
            </w:r>
          </w:p>
        </w:tc>
        <w:tc>
          <w:tcPr>
            <w:tcW w:w="0" w:type="dxa"/>
            <w:vAlign w:val="bottom"/>
          </w:tcPr>
          <w:p>
            <w:pPr>
              <w:spacing w:after="0"/>
              <w:rPr>
                <w:sz w:val="1"/>
                <w:szCs w:val="1"/>
                <w:color w:val="auto"/>
              </w:rPr>
            </w:pPr>
          </w:p>
        </w:tc>
      </w:tr>
      <w:tr>
        <w:trPr>
          <w:trHeight w:val="199"/>
        </w:trPr>
        <w:tc>
          <w:tcPr>
            <w:tcW w:w="1320" w:type="dxa"/>
            <w:vAlign w:val="bottom"/>
            <w:tcBorders>
              <w:bottom w:val="single" w:sz="8" w:color="0075C9"/>
            </w:tcBorders>
          </w:tcPr>
          <w:p>
            <w:pPr>
              <w:ind w:left="80"/>
              <w:spacing w:after="0"/>
              <w:rPr>
                <w:sz w:val="20"/>
                <w:szCs w:val="20"/>
                <w:color w:val="auto"/>
              </w:rPr>
            </w:pPr>
            <w:r>
              <w:rPr>
                <w:rFonts w:ascii="Arial" w:cs="Arial" w:eastAsia="Arial" w:hAnsi="Arial"/>
                <w:sz w:val="15"/>
                <w:szCs w:val="15"/>
                <w:b w:val="1"/>
                <w:bCs w:val="1"/>
                <w:color w:val="0075C9"/>
              </w:rPr>
              <w:t>(Growth %)</w:t>
            </w:r>
          </w:p>
        </w:tc>
        <w:tc>
          <w:tcPr>
            <w:tcW w:w="560" w:type="dxa"/>
            <w:vAlign w:val="bottom"/>
            <w:tcBorders>
              <w:bottom w:val="single" w:sz="8" w:color="0075C9"/>
            </w:tcBorders>
          </w:tcPr>
          <w:p>
            <w:pPr>
              <w:spacing w:after="0"/>
              <w:rPr>
                <w:sz w:val="17"/>
                <w:szCs w:val="17"/>
                <w:color w:val="auto"/>
              </w:rPr>
            </w:pPr>
          </w:p>
        </w:tc>
        <w:tc>
          <w:tcPr>
            <w:tcW w:w="1260" w:type="dxa"/>
            <w:vAlign w:val="bottom"/>
            <w:tcBorders>
              <w:bottom w:val="single" w:sz="8" w:color="0075C9"/>
            </w:tcBorders>
          </w:tcPr>
          <w:p>
            <w:pPr>
              <w:spacing w:after="0"/>
              <w:rPr>
                <w:sz w:val="17"/>
                <w:szCs w:val="17"/>
                <w:color w:val="auto"/>
              </w:rPr>
            </w:pPr>
          </w:p>
        </w:tc>
        <w:tc>
          <w:tcPr>
            <w:tcW w:w="100" w:type="dxa"/>
            <w:vAlign w:val="bottom"/>
            <w:tcBorders>
              <w:bottom w:val="single" w:sz="8" w:color="0075C9"/>
            </w:tcBorders>
          </w:tcPr>
          <w:p>
            <w:pPr>
              <w:spacing w:after="0"/>
              <w:rPr>
                <w:sz w:val="17"/>
                <w:szCs w:val="17"/>
                <w:color w:val="auto"/>
              </w:rPr>
            </w:pPr>
          </w:p>
        </w:tc>
        <w:tc>
          <w:tcPr>
            <w:tcW w:w="920" w:type="dxa"/>
            <w:vAlign w:val="bottom"/>
            <w:tcBorders>
              <w:bottom w:val="single" w:sz="8" w:color="0075C9"/>
            </w:tcBorders>
          </w:tcPr>
          <w:p>
            <w:pPr>
              <w:spacing w:after="0"/>
              <w:rPr>
                <w:sz w:val="17"/>
                <w:szCs w:val="17"/>
                <w:color w:val="auto"/>
              </w:rPr>
            </w:pPr>
          </w:p>
        </w:tc>
        <w:tc>
          <w:tcPr>
            <w:tcW w:w="1260" w:type="dxa"/>
            <w:vAlign w:val="bottom"/>
            <w:tcBorders>
              <w:bottom w:val="single" w:sz="8" w:color="0075C9"/>
            </w:tcBorders>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1320" w:type="dxa"/>
            <w:vAlign w:val="bottom"/>
          </w:tcPr>
          <w:p>
            <w:pPr>
              <w:ind w:left="80"/>
              <w:spacing w:after="0" w:line="131" w:lineRule="exact"/>
              <w:rPr>
                <w:sz w:val="20"/>
                <w:szCs w:val="20"/>
                <w:color w:val="auto"/>
              </w:rPr>
            </w:pPr>
            <w:r>
              <w:rPr>
                <w:rFonts w:ascii="Arial" w:cs="Arial" w:eastAsia="Arial" w:hAnsi="Arial"/>
                <w:sz w:val="15"/>
                <w:szCs w:val="15"/>
                <w:b w:val="1"/>
                <w:bCs w:val="1"/>
                <w:color w:val="0075C9"/>
              </w:rPr>
              <w:t>Teams Monthly</w:t>
            </w:r>
          </w:p>
        </w:tc>
        <w:tc>
          <w:tcPr>
            <w:tcW w:w="5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320" w:type="dxa"/>
            <w:vAlign w:val="bottom"/>
            <w:vMerge w:val="restart"/>
          </w:tcPr>
          <w:p>
            <w:pPr>
              <w:ind w:left="80"/>
              <w:spacing w:after="0" w:line="156" w:lineRule="exact"/>
              <w:rPr>
                <w:sz w:val="20"/>
                <w:szCs w:val="20"/>
                <w:color w:val="auto"/>
              </w:rPr>
            </w:pPr>
            <w:r>
              <w:rPr>
                <w:rFonts w:ascii="Arial" w:cs="Arial" w:eastAsia="Arial" w:hAnsi="Arial"/>
                <w:sz w:val="15"/>
                <w:szCs w:val="15"/>
                <w:b w:val="1"/>
                <w:bCs w:val="1"/>
                <w:color w:val="0075C9"/>
              </w:rPr>
              <w:t>Active Usage</w:t>
            </w:r>
          </w:p>
        </w:tc>
        <w:tc>
          <w:tcPr>
            <w:tcW w:w="560" w:type="dxa"/>
            <w:vAlign w:val="bottom"/>
            <w:vMerge w:val="restart"/>
          </w:tcPr>
          <w:p>
            <w:pPr>
              <w:jc w:val="right"/>
              <w:spacing w:after="0" w:line="156" w:lineRule="exact"/>
              <w:rPr>
                <w:sz w:val="20"/>
                <w:szCs w:val="20"/>
                <w:color w:val="auto"/>
              </w:rPr>
            </w:pPr>
            <w:r>
              <w:rPr>
                <w:rFonts w:ascii="Arial" w:cs="Arial" w:eastAsia="Arial" w:hAnsi="Arial"/>
                <w:sz w:val="15"/>
                <w:szCs w:val="15"/>
                <w:color w:val="auto"/>
              </w:rPr>
              <w:t>10%</w:t>
            </w:r>
          </w:p>
        </w:tc>
        <w:tc>
          <w:tcPr>
            <w:tcW w:w="1260" w:type="dxa"/>
            <w:vAlign w:val="bottom"/>
            <w:vMerge w:val="restart"/>
          </w:tcPr>
          <w:p>
            <w:pPr>
              <w:jc w:val="right"/>
              <w:spacing w:after="0" w:line="156" w:lineRule="exact"/>
              <w:rPr>
                <w:sz w:val="20"/>
                <w:szCs w:val="20"/>
                <w:color w:val="auto"/>
              </w:rPr>
            </w:pPr>
            <w:r>
              <w:rPr>
                <w:rFonts w:ascii="Arial" w:cs="Arial" w:eastAsia="Arial" w:hAnsi="Arial"/>
                <w:sz w:val="15"/>
                <w:szCs w:val="15"/>
                <w:color w:val="auto"/>
              </w:rPr>
              <w:t>246.94%/513.59%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2</w:t>
            </w:r>
          </w:p>
        </w:tc>
        <w:tc>
          <w:tcPr>
            <w:tcW w:w="920" w:type="dxa"/>
            <w:vAlign w:val="bottom"/>
            <w:vMerge w:val="restart"/>
          </w:tcPr>
          <w:p>
            <w:pPr>
              <w:jc w:val="right"/>
              <w:ind w:right="47"/>
              <w:spacing w:after="0" w:line="156" w:lineRule="exact"/>
              <w:rPr>
                <w:sz w:val="20"/>
                <w:szCs w:val="20"/>
                <w:color w:val="auto"/>
              </w:rPr>
            </w:pPr>
            <w:r>
              <w:rPr>
                <w:rFonts w:ascii="Arial" w:cs="Arial" w:eastAsia="Arial" w:hAnsi="Arial"/>
                <w:sz w:val="15"/>
                <w:szCs w:val="15"/>
                <w:color w:val="auto"/>
              </w:rPr>
              <w:t>20%</w:t>
            </w:r>
          </w:p>
        </w:tc>
        <w:tc>
          <w:tcPr>
            <w:tcW w:w="1260" w:type="dxa"/>
            <w:vAlign w:val="bottom"/>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8"/>
        </w:trPr>
        <w:tc>
          <w:tcPr>
            <w:tcW w:w="1320" w:type="dxa"/>
            <w:vAlign w:val="bottom"/>
            <w:vMerge w:val="continue"/>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126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1260" w:type="dxa"/>
            <w:vAlign w:val="bottom"/>
          </w:tcPr>
          <w:p>
            <w:pPr>
              <w:jc w:val="right"/>
              <w:spacing w:after="0" w:line="18" w:lineRule="exact"/>
              <w:rPr>
                <w:sz w:val="20"/>
                <w:szCs w:val="20"/>
                <w:color w:val="auto"/>
              </w:rPr>
            </w:pPr>
            <w:r>
              <w:rPr>
                <w:rFonts w:ascii="Arial" w:cs="Arial" w:eastAsia="Arial" w:hAnsi="Arial"/>
                <w:sz w:val="2"/>
                <w:szCs w:val="2"/>
                <w:color w:val="auto"/>
              </w:rPr>
              <w:t>64.22%/54.53%</w:t>
            </w:r>
          </w:p>
        </w:tc>
        <w:tc>
          <w:tcPr>
            <w:tcW w:w="0" w:type="dxa"/>
            <w:vAlign w:val="bottom"/>
          </w:tcPr>
          <w:p>
            <w:pPr>
              <w:spacing w:after="0" w:line="20" w:lineRule="exact"/>
              <w:rPr>
                <w:sz w:val="1"/>
                <w:szCs w:val="1"/>
                <w:color w:val="auto"/>
              </w:rPr>
            </w:pPr>
          </w:p>
        </w:tc>
      </w:tr>
      <w:tr>
        <w:trPr>
          <w:trHeight w:val="195"/>
        </w:trPr>
        <w:tc>
          <w:tcPr>
            <w:tcW w:w="1320" w:type="dxa"/>
            <w:vAlign w:val="bottom"/>
          </w:tcPr>
          <w:p>
            <w:pPr>
              <w:ind w:left="80"/>
              <w:spacing w:after="0"/>
              <w:rPr>
                <w:sz w:val="20"/>
                <w:szCs w:val="20"/>
                <w:color w:val="auto"/>
              </w:rPr>
            </w:pPr>
            <w:r>
              <w:rPr>
                <w:rFonts w:ascii="Arial" w:cs="Arial" w:eastAsia="Arial" w:hAnsi="Arial"/>
                <w:sz w:val="15"/>
                <w:szCs w:val="15"/>
                <w:b w:val="1"/>
                <w:bCs w:val="1"/>
                <w:color w:val="0075C9"/>
              </w:rPr>
              <w:t>(Growth %)</w:t>
            </w:r>
          </w:p>
        </w:tc>
        <w:tc>
          <w:tcPr>
            <w:tcW w:w="5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320" w:type="dxa"/>
            <w:vAlign w:val="bottom"/>
            <w:tcBorders>
              <w:bottom w:val="single" w:sz="8" w:color="0075C9"/>
            </w:tcBorders>
          </w:tcPr>
          <w:p>
            <w:pPr>
              <w:spacing w:after="0"/>
              <w:rPr>
                <w:sz w:val="14"/>
                <w:szCs w:val="14"/>
                <w:color w:val="auto"/>
              </w:rPr>
            </w:pPr>
          </w:p>
        </w:tc>
        <w:tc>
          <w:tcPr>
            <w:tcW w:w="560" w:type="dxa"/>
            <w:vAlign w:val="bottom"/>
            <w:tcBorders>
              <w:bottom w:val="single" w:sz="8" w:color="0075C9"/>
            </w:tcBorders>
          </w:tcPr>
          <w:p>
            <w:pPr>
              <w:spacing w:after="0"/>
              <w:rPr>
                <w:sz w:val="14"/>
                <w:szCs w:val="14"/>
                <w:color w:val="auto"/>
              </w:rPr>
            </w:pPr>
          </w:p>
        </w:tc>
        <w:tc>
          <w:tcPr>
            <w:tcW w:w="1260" w:type="dxa"/>
            <w:vAlign w:val="bottom"/>
            <w:tcBorders>
              <w:bottom w:val="single" w:sz="8" w:color="0075C9"/>
            </w:tcBorders>
          </w:tcPr>
          <w:p>
            <w:pPr>
              <w:spacing w:after="0"/>
              <w:rPr>
                <w:sz w:val="14"/>
                <w:szCs w:val="14"/>
                <w:color w:val="auto"/>
              </w:rPr>
            </w:pPr>
          </w:p>
        </w:tc>
        <w:tc>
          <w:tcPr>
            <w:tcW w:w="100" w:type="dxa"/>
            <w:vAlign w:val="bottom"/>
            <w:tcBorders>
              <w:bottom w:val="single" w:sz="8" w:color="0075C9"/>
            </w:tcBorders>
          </w:tcPr>
          <w:p>
            <w:pPr>
              <w:spacing w:after="0"/>
              <w:rPr>
                <w:sz w:val="14"/>
                <w:szCs w:val="14"/>
                <w:color w:val="auto"/>
              </w:rPr>
            </w:pPr>
          </w:p>
        </w:tc>
        <w:tc>
          <w:tcPr>
            <w:tcW w:w="920" w:type="dxa"/>
            <w:vAlign w:val="bottom"/>
            <w:tcBorders>
              <w:bottom w:val="single" w:sz="8" w:color="0075C9"/>
            </w:tcBorders>
          </w:tcPr>
          <w:p>
            <w:pPr>
              <w:spacing w:after="0"/>
              <w:rPr>
                <w:sz w:val="14"/>
                <w:szCs w:val="14"/>
                <w:color w:val="auto"/>
              </w:rPr>
            </w:pPr>
          </w:p>
        </w:tc>
        <w:tc>
          <w:tcPr>
            <w:tcW w:w="1260" w:type="dxa"/>
            <w:vAlign w:val="bottom"/>
            <w:tcBorders>
              <w:bottom w:val="single" w:sz="8" w:color="0075C9"/>
            </w:tcBorders>
          </w:tcPr>
          <w:p>
            <w:pPr>
              <w:spacing w:after="0"/>
              <w:rPr>
                <w:sz w:val="14"/>
                <w:szCs w:val="14"/>
                <w:color w:val="auto"/>
              </w:rPr>
            </w:pPr>
          </w:p>
        </w:tc>
        <w:tc>
          <w:tcPr>
            <w:tcW w:w="0" w:type="dxa"/>
            <w:vAlign w:val="bottom"/>
          </w:tcPr>
          <w:p>
            <w:pPr>
              <w:spacing w:after="0"/>
              <w:rPr>
                <w:sz w:val="1"/>
                <w:szCs w:val="1"/>
                <w:color w:val="auto"/>
              </w:rPr>
            </w:pPr>
          </w:p>
        </w:tc>
      </w:tr>
      <w:tr>
        <w:trPr>
          <w:trHeight w:val="321"/>
        </w:trPr>
        <w:tc>
          <w:tcPr>
            <w:tcW w:w="1320" w:type="dxa"/>
            <w:vAlign w:val="bottom"/>
          </w:tcPr>
          <w:p>
            <w:pPr>
              <w:ind w:left="80"/>
              <w:spacing w:after="0"/>
              <w:rPr>
                <w:sz w:val="20"/>
                <w:szCs w:val="20"/>
                <w:color w:val="auto"/>
              </w:rPr>
            </w:pPr>
            <w:r>
              <w:rPr>
                <w:rFonts w:ascii="Arial" w:cs="Arial" w:eastAsia="Arial" w:hAnsi="Arial"/>
                <w:sz w:val="15"/>
                <w:szCs w:val="15"/>
                <w:b w:val="1"/>
                <w:bCs w:val="1"/>
                <w:color w:val="0075C9"/>
              </w:rPr>
              <w:t>Xbox Game Pass</w:t>
            </w:r>
          </w:p>
        </w:tc>
        <w:tc>
          <w:tcPr>
            <w:tcW w:w="560" w:type="dxa"/>
            <w:vAlign w:val="bottom"/>
            <w:vMerge w:val="restart"/>
          </w:tcPr>
          <w:p>
            <w:pPr>
              <w:jc w:val="right"/>
              <w:spacing w:after="0"/>
              <w:rPr>
                <w:sz w:val="20"/>
                <w:szCs w:val="20"/>
                <w:color w:val="auto"/>
              </w:rPr>
            </w:pPr>
            <w:r>
              <w:rPr>
                <w:rFonts w:ascii="Arial" w:cs="Arial" w:eastAsia="Arial" w:hAnsi="Arial"/>
                <w:sz w:val="15"/>
                <w:szCs w:val="15"/>
                <w:color w:val="auto"/>
              </w:rPr>
              <w:t>7%</w:t>
            </w:r>
          </w:p>
        </w:tc>
        <w:tc>
          <w:tcPr>
            <w:tcW w:w="1260" w:type="dxa"/>
            <w:vAlign w:val="bottom"/>
            <w:vMerge w:val="restart"/>
          </w:tcPr>
          <w:p>
            <w:pPr>
              <w:jc w:val="right"/>
              <w:spacing w:after="0"/>
              <w:rPr>
                <w:sz w:val="20"/>
                <w:szCs w:val="20"/>
                <w:color w:val="auto"/>
              </w:rPr>
            </w:pPr>
            <w:r>
              <w:rPr>
                <w:rFonts w:ascii="Arial" w:cs="Arial" w:eastAsia="Arial" w:hAnsi="Arial"/>
                <w:sz w:val="15"/>
                <w:szCs w:val="15"/>
                <w:color w:val="auto"/>
              </w:rPr>
              <w:t>71.00%/85.75%</w:t>
            </w: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2</w:t>
            </w:r>
          </w:p>
        </w:tc>
        <w:tc>
          <w:tcPr>
            <w:tcW w:w="920" w:type="dxa"/>
            <w:vAlign w:val="bottom"/>
            <w:vMerge w:val="restart"/>
          </w:tcPr>
          <w:p>
            <w:pPr>
              <w:jc w:val="right"/>
              <w:ind w:right="47"/>
              <w:spacing w:after="0"/>
              <w:rPr>
                <w:sz w:val="20"/>
                <w:szCs w:val="20"/>
                <w:color w:val="auto"/>
              </w:rPr>
            </w:pPr>
            <w:r>
              <w:rPr>
                <w:rFonts w:ascii="Arial" w:cs="Arial" w:eastAsia="Arial" w:hAnsi="Arial"/>
                <w:sz w:val="15"/>
                <w:szCs w:val="15"/>
                <w:color w:val="auto"/>
              </w:rPr>
              <w:t>5%</w:t>
            </w:r>
          </w:p>
        </w:tc>
        <w:tc>
          <w:tcPr>
            <w:tcW w:w="1260" w:type="dxa"/>
            <w:vAlign w:val="bottom"/>
            <w:vMerge w:val="restart"/>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12"/>
        </w:trPr>
        <w:tc>
          <w:tcPr>
            <w:tcW w:w="1320" w:type="dxa"/>
            <w:vAlign w:val="bottom"/>
            <w:vMerge w:val="restart"/>
          </w:tcPr>
          <w:p>
            <w:pPr>
              <w:ind w:left="80"/>
              <w:spacing w:after="0" w:line="156" w:lineRule="exact"/>
              <w:rPr>
                <w:sz w:val="20"/>
                <w:szCs w:val="20"/>
                <w:color w:val="auto"/>
              </w:rPr>
            </w:pPr>
            <w:r>
              <w:rPr>
                <w:rFonts w:ascii="Arial" w:cs="Arial" w:eastAsia="Arial" w:hAnsi="Arial"/>
                <w:sz w:val="15"/>
                <w:szCs w:val="15"/>
                <w:b w:val="1"/>
                <w:bCs w:val="1"/>
                <w:color w:val="0075C9"/>
              </w:rPr>
              <w:t>Subscribers</w:t>
            </w:r>
          </w:p>
        </w:tc>
        <w:tc>
          <w:tcPr>
            <w:tcW w:w="56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1320" w:type="dxa"/>
            <w:vAlign w:val="bottom"/>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12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1260" w:type="dxa"/>
            <w:vAlign w:val="bottom"/>
          </w:tcPr>
          <w:p>
            <w:pPr>
              <w:jc w:val="right"/>
              <w:spacing w:after="0" w:line="44" w:lineRule="exact"/>
              <w:rPr>
                <w:sz w:val="20"/>
                <w:szCs w:val="20"/>
                <w:color w:val="auto"/>
              </w:rPr>
            </w:pPr>
            <w:r>
              <w:rPr>
                <w:rFonts w:ascii="Arial" w:cs="Arial" w:eastAsia="Arial" w:hAnsi="Arial"/>
                <w:sz w:val="5"/>
                <w:szCs w:val="5"/>
                <w:color w:val="auto"/>
              </w:rPr>
              <w:t>47.79%/37.48%</w:t>
            </w:r>
          </w:p>
        </w:tc>
        <w:tc>
          <w:tcPr>
            <w:tcW w:w="0" w:type="dxa"/>
            <w:vAlign w:val="bottom"/>
          </w:tcPr>
          <w:p>
            <w:pPr>
              <w:spacing w:after="0"/>
              <w:rPr>
                <w:sz w:val="1"/>
                <w:szCs w:val="1"/>
                <w:color w:val="auto"/>
              </w:rPr>
            </w:pPr>
          </w:p>
        </w:tc>
      </w:tr>
      <w:tr>
        <w:trPr>
          <w:trHeight w:val="195"/>
        </w:trPr>
        <w:tc>
          <w:tcPr>
            <w:tcW w:w="1320" w:type="dxa"/>
            <w:vAlign w:val="bottom"/>
          </w:tcPr>
          <w:p>
            <w:pPr>
              <w:ind w:left="80"/>
              <w:spacing w:after="0"/>
              <w:rPr>
                <w:sz w:val="20"/>
                <w:szCs w:val="20"/>
                <w:color w:val="auto"/>
              </w:rPr>
            </w:pPr>
            <w:r>
              <w:rPr>
                <w:rFonts w:ascii="Arial" w:cs="Arial" w:eastAsia="Arial" w:hAnsi="Arial"/>
                <w:sz w:val="15"/>
                <w:szCs w:val="15"/>
                <w:b w:val="1"/>
                <w:bCs w:val="1"/>
                <w:color w:val="0075C9"/>
              </w:rPr>
              <w:t>(Growth %)</w:t>
            </w:r>
          </w:p>
        </w:tc>
        <w:tc>
          <w:tcPr>
            <w:tcW w:w="5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1320" w:type="dxa"/>
            <w:vAlign w:val="bottom"/>
            <w:tcBorders>
              <w:bottom w:val="single" w:sz="8" w:color="0075C9"/>
            </w:tcBorders>
          </w:tcPr>
          <w:p>
            <w:pPr>
              <w:spacing w:after="0"/>
              <w:rPr>
                <w:sz w:val="24"/>
                <w:szCs w:val="24"/>
                <w:color w:val="auto"/>
              </w:rPr>
            </w:pPr>
          </w:p>
        </w:tc>
        <w:tc>
          <w:tcPr>
            <w:tcW w:w="560" w:type="dxa"/>
            <w:vAlign w:val="bottom"/>
            <w:tcBorders>
              <w:bottom w:val="single" w:sz="8" w:color="0075C9"/>
            </w:tcBorders>
          </w:tcPr>
          <w:p>
            <w:pPr>
              <w:spacing w:after="0"/>
              <w:rPr>
                <w:sz w:val="24"/>
                <w:szCs w:val="24"/>
                <w:color w:val="auto"/>
              </w:rPr>
            </w:pPr>
          </w:p>
        </w:tc>
        <w:tc>
          <w:tcPr>
            <w:tcW w:w="1260" w:type="dxa"/>
            <w:vAlign w:val="bottom"/>
            <w:tcBorders>
              <w:bottom w:val="single" w:sz="8" w:color="0075C9"/>
            </w:tcBorders>
          </w:tcPr>
          <w:p>
            <w:pPr>
              <w:spacing w:after="0"/>
              <w:rPr>
                <w:sz w:val="24"/>
                <w:szCs w:val="24"/>
                <w:color w:val="auto"/>
              </w:rPr>
            </w:pPr>
          </w:p>
        </w:tc>
        <w:tc>
          <w:tcPr>
            <w:tcW w:w="100" w:type="dxa"/>
            <w:vAlign w:val="bottom"/>
            <w:tcBorders>
              <w:bottom w:val="single" w:sz="8" w:color="0075C9"/>
            </w:tcBorders>
          </w:tcPr>
          <w:p>
            <w:pPr>
              <w:spacing w:after="0"/>
              <w:rPr>
                <w:sz w:val="24"/>
                <w:szCs w:val="24"/>
                <w:color w:val="auto"/>
              </w:rPr>
            </w:pPr>
          </w:p>
        </w:tc>
        <w:tc>
          <w:tcPr>
            <w:tcW w:w="920" w:type="dxa"/>
            <w:vAlign w:val="bottom"/>
            <w:tcBorders>
              <w:bottom w:val="single" w:sz="8" w:color="0075C9"/>
            </w:tcBorders>
          </w:tcPr>
          <w:p>
            <w:pPr>
              <w:spacing w:after="0"/>
              <w:rPr>
                <w:sz w:val="24"/>
                <w:szCs w:val="24"/>
                <w:color w:val="auto"/>
              </w:rPr>
            </w:pPr>
          </w:p>
        </w:tc>
        <w:tc>
          <w:tcPr>
            <w:tcW w:w="1260" w:type="dxa"/>
            <w:vAlign w:val="bottom"/>
            <w:tcBorders>
              <w:bottom w:val="single" w:sz="8" w:color="0075C9"/>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47"/>
              <w:spacing w:after="0"/>
              <w:rPr>
                <w:sz w:val="20"/>
                <w:szCs w:val="20"/>
                <w:color w:val="auto"/>
              </w:rPr>
            </w:pPr>
            <w:r>
              <w:rPr>
                <w:rFonts w:ascii="Arial" w:cs="Arial" w:eastAsia="Arial" w:hAnsi="Arial"/>
                <w:sz w:val="15"/>
                <w:szCs w:val="15"/>
                <w:color w:val="auto"/>
              </w:rPr>
              <w:t>H1 - 2.5%</w:t>
            </w:r>
          </w:p>
        </w:tc>
        <w:tc>
          <w:tcPr>
            <w:tcW w:w="1260" w:type="dxa"/>
            <w:vAlign w:val="bottom"/>
          </w:tcPr>
          <w:p>
            <w:pPr>
              <w:jc w:val="right"/>
              <w:spacing w:after="0"/>
              <w:rPr>
                <w:sz w:val="20"/>
                <w:szCs w:val="20"/>
                <w:color w:val="auto"/>
              </w:rPr>
            </w:pPr>
            <w:r>
              <w:rPr>
                <w:rFonts w:ascii="Arial" w:cs="Arial" w:eastAsia="Arial" w:hAnsi="Arial"/>
                <w:sz w:val="15"/>
                <w:szCs w:val="15"/>
                <w:color w:val="auto"/>
              </w:rPr>
              <w:t>$2.87B/$3.51B</w:t>
            </w:r>
          </w:p>
        </w:tc>
        <w:tc>
          <w:tcPr>
            <w:tcW w:w="0" w:type="dxa"/>
            <w:vAlign w:val="bottom"/>
          </w:tcPr>
          <w:p>
            <w:pPr>
              <w:spacing w:after="0"/>
              <w:rPr>
                <w:sz w:val="1"/>
                <w:szCs w:val="1"/>
                <w:color w:val="auto"/>
              </w:rPr>
            </w:pPr>
          </w:p>
        </w:tc>
      </w:tr>
      <w:tr>
        <w:trPr>
          <w:trHeight w:val="98"/>
        </w:trPr>
        <w:tc>
          <w:tcPr>
            <w:tcW w:w="1320" w:type="dxa"/>
            <w:vAlign w:val="bottom"/>
            <w:vMerge w:val="restart"/>
          </w:tcPr>
          <w:p>
            <w:pPr>
              <w:ind w:left="80"/>
              <w:spacing w:after="0"/>
              <w:rPr>
                <w:sz w:val="20"/>
                <w:szCs w:val="20"/>
                <w:color w:val="auto"/>
              </w:rPr>
            </w:pPr>
            <w:r>
              <w:rPr>
                <w:rFonts w:ascii="Arial" w:cs="Arial" w:eastAsia="Arial" w:hAnsi="Arial"/>
                <w:sz w:val="15"/>
                <w:szCs w:val="15"/>
                <w:b w:val="1"/>
                <w:bCs w:val="1"/>
                <w:color w:val="0075C9"/>
              </w:rPr>
              <w:t>Surface Revenue</w:t>
            </w:r>
          </w:p>
        </w:tc>
        <w:tc>
          <w:tcPr>
            <w:tcW w:w="560" w:type="dxa"/>
            <w:vAlign w:val="bottom"/>
            <w:vMerge w:val="restart"/>
          </w:tcPr>
          <w:p>
            <w:pPr>
              <w:jc w:val="right"/>
              <w:spacing w:after="0"/>
              <w:rPr>
                <w:sz w:val="20"/>
                <w:szCs w:val="20"/>
                <w:color w:val="auto"/>
              </w:rPr>
            </w:pPr>
            <w:r>
              <w:rPr>
                <w:rFonts w:ascii="Arial" w:cs="Arial" w:eastAsia="Arial" w:hAnsi="Arial"/>
                <w:sz w:val="15"/>
                <w:szCs w:val="15"/>
                <w:color w:val="auto"/>
              </w:rPr>
              <w:t>7%</w:t>
            </w:r>
          </w:p>
        </w:tc>
        <w:tc>
          <w:tcPr>
            <w:tcW w:w="1360" w:type="dxa"/>
            <w:vAlign w:val="bottom"/>
            <w:gridSpan w:val="2"/>
            <w:vMerge w:val="restart"/>
          </w:tcPr>
          <w:p>
            <w:pPr>
              <w:jc w:val="right"/>
              <w:spacing w:after="0"/>
              <w:rPr>
                <w:sz w:val="20"/>
                <w:szCs w:val="20"/>
                <w:color w:val="auto"/>
              </w:rPr>
            </w:pPr>
            <w:r>
              <w:rPr>
                <w:rFonts w:ascii="Arial" w:cs="Arial" w:eastAsia="Arial" w:hAnsi="Arial"/>
                <w:sz w:val="15"/>
                <w:szCs w:val="15"/>
                <w:color w:val="auto"/>
              </w:rPr>
              <w:t>$6.40B/$6.21B</w:t>
            </w:r>
          </w:p>
        </w:tc>
        <w:tc>
          <w:tcPr>
            <w:tcW w:w="920" w:type="dxa"/>
            <w:vAlign w:val="bottom"/>
            <w:tcBorders>
              <w:bottom w:val="single" w:sz="8" w:color="0075C9"/>
            </w:tcBorders>
          </w:tcPr>
          <w:p>
            <w:pPr>
              <w:spacing w:after="0"/>
              <w:rPr>
                <w:sz w:val="8"/>
                <w:szCs w:val="8"/>
                <w:color w:val="auto"/>
              </w:rPr>
            </w:pPr>
          </w:p>
        </w:tc>
        <w:tc>
          <w:tcPr>
            <w:tcW w:w="1260" w:type="dxa"/>
            <w:vAlign w:val="bottom"/>
            <w:tcBorders>
              <w:bottom w:val="single" w:sz="8" w:color="0075C9"/>
            </w:tcBorders>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32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920" w:type="dxa"/>
            <w:vAlign w:val="bottom"/>
            <w:vMerge w:val="restart"/>
          </w:tcPr>
          <w:p>
            <w:pPr>
              <w:jc w:val="right"/>
              <w:ind w:right="47"/>
              <w:spacing w:after="0"/>
              <w:rPr>
                <w:sz w:val="20"/>
                <w:szCs w:val="20"/>
                <w:color w:val="auto"/>
              </w:rPr>
            </w:pPr>
            <w:r>
              <w:rPr>
                <w:rFonts w:ascii="Arial" w:cs="Arial" w:eastAsia="Arial" w:hAnsi="Arial"/>
                <w:sz w:val="15"/>
                <w:szCs w:val="15"/>
                <w:color w:val="auto"/>
              </w:rPr>
              <w:t>H2 - 2.5%</w:t>
            </w:r>
          </w:p>
        </w:tc>
        <w:tc>
          <w:tcPr>
            <w:tcW w:w="1260" w:type="dxa"/>
            <w:vAlign w:val="bottom"/>
            <w:vMerge w:val="restart"/>
          </w:tcPr>
          <w:p>
            <w:pPr>
              <w:jc w:val="right"/>
              <w:spacing w:after="0"/>
              <w:rPr>
                <w:sz w:val="20"/>
                <w:szCs w:val="20"/>
                <w:color w:val="auto"/>
              </w:rPr>
            </w:pPr>
            <w:r>
              <w:rPr>
                <w:rFonts w:ascii="Arial" w:cs="Arial" w:eastAsia="Arial" w:hAnsi="Arial"/>
                <w:sz w:val="15"/>
                <w:szCs w:val="15"/>
                <w:color w:val="auto"/>
              </w:rPr>
              <w:t>$3.18B/$2.75B</w:t>
            </w:r>
          </w:p>
        </w:tc>
        <w:tc>
          <w:tcPr>
            <w:tcW w:w="0" w:type="dxa"/>
            <w:vAlign w:val="bottom"/>
          </w:tcPr>
          <w:p>
            <w:pPr>
              <w:spacing w:after="0"/>
              <w:rPr>
                <w:sz w:val="1"/>
                <w:szCs w:val="1"/>
                <w:color w:val="auto"/>
              </w:rPr>
            </w:pPr>
          </w:p>
        </w:tc>
      </w:tr>
      <w:tr>
        <w:trPr>
          <w:trHeight w:val="194"/>
        </w:trPr>
        <w:tc>
          <w:tcPr>
            <w:tcW w:w="1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1320" w:type="dxa"/>
            <w:vAlign w:val="bottom"/>
            <w:tcBorders>
              <w:bottom w:val="single" w:sz="8" w:color="0075C9"/>
            </w:tcBorders>
          </w:tcPr>
          <w:p>
            <w:pPr>
              <w:spacing w:after="0"/>
              <w:rPr>
                <w:sz w:val="9"/>
                <w:szCs w:val="9"/>
                <w:color w:val="auto"/>
              </w:rPr>
            </w:pPr>
          </w:p>
        </w:tc>
        <w:tc>
          <w:tcPr>
            <w:tcW w:w="560" w:type="dxa"/>
            <w:vAlign w:val="bottom"/>
            <w:tcBorders>
              <w:bottom w:val="single" w:sz="8" w:color="0075C9"/>
            </w:tcBorders>
          </w:tcPr>
          <w:p>
            <w:pPr>
              <w:spacing w:after="0"/>
              <w:rPr>
                <w:sz w:val="9"/>
                <w:szCs w:val="9"/>
                <w:color w:val="auto"/>
              </w:rPr>
            </w:pPr>
          </w:p>
        </w:tc>
        <w:tc>
          <w:tcPr>
            <w:tcW w:w="1260" w:type="dxa"/>
            <w:vAlign w:val="bottom"/>
            <w:tcBorders>
              <w:bottom w:val="single" w:sz="8" w:color="0075C9"/>
            </w:tcBorders>
          </w:tcPr>
          <w:p>
            <w:pPr>
              <w:spacing w:after="0"/>
              <w:rPr>
                <w:sz w:val="9"/>
                <w:szCs w:val="9"/>
                <w:color w:val="auto"/>
              </w:rPr>
            </w:pPr>
          </w:p>
        </w:tc>
        <w:tc>
          <w:tcPr>
            <w:tcW w:w="100" w:type="dxa"/>
            <w:vAlign w:val="bottom"/>
            <w:tcBorders>
              <w:bottom w:val="single" w:sz="8" w:color="0075C9"/>
            </w:tcBorders>
          </w:tcPr>
          <w:p>
            <w:pPr>
              <w:spacing w:after="0"/>
              <w:rPr>
                <w:sz w:val="9"/>
                <w:szCs w:val="9"/>
                <w:color w:val="auto"/>
              </w:rPr>
            </w:pPr>
          </w:p>
        </w:tc>
        <w:tc>
          <w:tcPr>
            <w:tcW w:w="920" w:type="dxa"/>
            <w:vAlign w:val="bottom"/>
            <w:tcBorders>
              <w:bottom w:val="single" w:sz="8" w:color="0075C9"/>
            </w:tcBorders>
          </w:tcPr>
          <w:p>
            <w:pPr>
              <w:spacing w:after="0"/>
              <w:rPr>
                <w:sz w:val="9"/>
                <w:szCs w:val="9"/>
                <w:color w:val="auto"/>
              </w:rPr>
            </w:pPr>
          </w:p>
        </w:tc>
        <w:tc>
          <w:tcPr>
            <w:tcW w:w="1260" w:type="dxa"/>
            <w:vAlign w:val="bottom"/>
            <w:tcBorders>
              <w:bottom w:val="single" w:sz="8" w:color="0075C9"/>
            </w:tcBorders>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320" w:type="dxa"/>
            <w:vAlign w:val="bottom"/>
          </w:tcPr>
          <w:p>
            <w:pPr>
              <w:ind w:left="80"/>
              <w:spacing w:after="0" w:line="127" w:lineRule="exact"/>
              <w:rPr>
                <w:sz w:val="20"/>
                <w:szCs w:val="20"/>
                <w:color w:val="auto"/>
              </w:rPr>
            </w:pPr>
            <w:r>
              <w:rPr>
                <w:rFonts w:ascii="Arial" w:cs="Arial" w:eastAsia="Arial" w:hAnsi="Arial"/>
                <w:sz w:val="14"/>
                <w:szCs w:val="14"/>
                <w:b w:val="1"/>
                <w:bCs w:val="1"/>
                <w:color w:val="0075C9"/>
              </w:rPr>
              <w:t>LinkedIn</w:t>
            </w:r>
          </w:p>
        </w:tc>
        <w:tc>
          <w:tcPr>
            <w:tcW w:w="560" w:type="dxa"/>
            <w:vAlign w:val="bottom"/>
            <w:vMerge w:val="restart"/>
          </w:tcPr>
          <w:p>
            <w:pPr>
              <w:jc w:val="right"/>
              <w:spacing w:after="0"/>
              <w:rPr>
                <w:sz w:val="20"/>
                <w:szCs w:val="20"/>
                <w:color w:val="auto"/>
              </w:rPr>
            </w:pPr>
            <w:r>
              <w:rPr>
                <w:rFonts w:ascii="Arial" w:cs="Arial" w:eastAsia="Arial" w:hAnsi="Arial"/>
                <w:sz w:val="15"/>
                <w:szCs w:val="15"/>
                <w:color w:val="auto"/>
              </w:rPr>
              <w:t>7%</w:t>
            </w:r>
          </w:p>
        </w:tc>
        <w:tc>
          <w:tcPr>
            <w:tcW w:w="1360" w:type="dxa"/>
            <w:vAlign w:val="bottom"/>
            <w:gridSpan w:val="2"/>
            <w:vMerge w:val="restart"/>
          </w:tcPr>
          <w:p>
            <w:pPr>
              <w:jc w:val="right"/>
              <w:spacing w:after="0"/>
              <w:rPr>
                <w:sz w:val="20"/>
                <w:szCs w:val="20"/>
                <w:color w:val="auto"/>
              </w:rPr>
            </w:pPr>
            <w:r>
              <w:rPr>
                <w:rFonts w:ascii="Arial" w:cs="Arial" w:eastAsia="Arial" w:hAnsi="Arial"/>
                <w:sz w:val="15"/>
                <w:szCs w:val="15"/>
                <w:color w:val="auto"/>
              </w:rPr>
              <w:t>39.89B/40.72B</w:t>
            </w:r>
          </w:p>
        </w:tc>
        <w:tc>
          <w:tcPr>
            <w:tcW w:w="920" w:type="dxa"/>
            <w:vAlign w:val="bottom"/>
            <w:vMerge w:val="restart"/>
          </w:tcPr>
          <w:p>
            <w:pPr>
              <w:jc w:val="right"/>
              <w:ind w:right="47"/>
              <w:spacing w:after="0"/>
              <w:rPr>
                <w:sz w:val="20"/>
                <w:szCs w:val="20"/>
                <w:color w:val="auto"/>
              </w:rPr>
            </w:pPr>
            <w:r>
              <w:rPr>
                <w:rFonts w:ascii="Arial" w:cs="Arial" w:eastAsia="Arial" w:hAnsi="Arial"/>
                <w:sz w:val="15"/>
                <w:szCs w:val="15"/>
                <w:color w:val="auto"/>
              </w:rPr>
              <w:t>5%</w:t>
            </w:r>
          </w:p>
        </w:tc>
        <w:tc>
          <w:tcPr>
            <w:tcW w:w="1260" w:type="dxa"/>
            <w:vAlign w:val="bottom"/>
            <w:vMerge w:val="restart"/>
          </w:tcPr>
          <w:p>
            <w:pPr>
              <w:jc w:val="right"/>
              <w:spacing w:after="0"/>
              <w:rPr>
                <w:sz w:val="20"/>
                <w:szCs w:val="20"/>
                <w:color w:val="auto"/>
              </w:rPr>
            </w:pPr>
            <w:r>
              <w:rPr>
                <w:rFonts w:ascii="Arial" w:cs="Arial" w:eastAsia="Arial" w:hAnsi="Arial"/>
                <w:sz w:val="15"/>
                <w:szCs w:val="15"/>
                <w:color w:val="auto"/>
              </w:rPr>
              <w:t>49.59B/52.92B</w:t>
            </w:r>
          </w:p>
        </w:tc>
        <w:tc>
          <w:tcPr>
            <w:tcW w:w="0" w:type="dxa"/>
            <w:vAlign w:val="bottom"/>
          </w:tcPr>
          <w:p>
            <w:pPr>
              <w:spacing w:after="0"/>
              <w:rPr>
                <w:sz w:val="1"/>
                <w:szCs w:val="1"/>
                <w:color w:val="auto"/>
              </w:rPr>
            </w:pPr>
          </w:p>
        </w:tc>
      </w:tr>
      <w:tr>
        <w:trPr>
          <w:trHeight w:val="195"/>
        </w:trPr>
        <w:tc>
          <w:tcPr>
            <w:tcW w:w="1320" w:type="dxa"/>
            <w:vAlign w:val="bottom"/>
          </w:tcPr>
          <w:p>
            <w:pPr>
              <w:ind w:left="80"/>
              <w:spacing w:after="0"/>
              <w:rPr>
                <w:sz w:val="20"/>
                <w:szCs w:val="20"/>
                <w:color w:val="auto"/>
              </w:rPr>
            </w:pPr>
            <w:r>
              <w:rPr>
                <w:rFonts w:ascii="Arial" w:cs="Arial" w:eastAsia="Arial" w:hAnsi="Arial"/>
                <w:sz w:val="15"/>
                <w:szCs w:val="15"/>
                <w:b w:val="1"/>
                <w:bCs w:val="1"/>
                <w:color w:val="0075C9"/>
              </w:rPr>
              <w:t>Sessions</w:t>
            </w:r>
          </w:p>
        </w:tc>
        <w:tc>
          <w:tcPr>
            <w:tcW w:w="560" w:type="dxa"/>
            <w:vAlign w:val="bottom"/>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sectPr>
          <w:pgSz w:w="11900" w:h="16838" w:orient="portrait"/>
          <w:cols w:equalWidth="0" w:num="2">
            <w:col w:w="4320" w:space="220"/>
            <w:col w:w="5599"/>
          </w:cols>
          <w:pgMar w:left="320" w:top="445" w:right="1440" w:bottom="1440" w:gutter="0" w:footer="0" w:header="0"/>
          <w:type w:val="continuous"/>
        </w:sectPr>
      </w:pPr>
    </w:p>
    <w:p>
      <w:pPr>
        <w:ind w:left="1620" w:hanging="233"/>
        <w:spacing w:after="0"/>
        <w:tabs>
          <w:tab w:leader="none" w:pos="1620" w:val="left"/>
        </w:tabs>
        <w:numPr>
          <w:ilvl w:val="0"/>
          <w:numId w:val="79"/>
        </w:numPr>
        <w:rPr>
          <w:rFonts w:ascii="Arial" w:cs="Arial" w:eastAsia="Arial" w:hAnsi="Arial"/>
          <w:sz w:val="12"/>
          <w:szCs w:val="12"/>
          <w:color w:val="auto"/>
        </w:rPr>
      </w:pPr>
      <w:r>
        <w:rPr>
          <w:rFonts w:ascii="Arial" w:cs="Arial" w:eastAsia="Arial" w:hAnsi="Arial"/>
          <w:sz w:val="12"/>
          <w:szCs w:val="12"/>
          <w:color w:val="auto"/>
        </w:rPr>
        <w:t>Dollar values are calculated using constant dollars, which removes the impact of currency fluctuations from period-over-period comparisons.</w:t>
      </w:r>
    </w:p>
    <w:p>
      <w:pPr>
        <w:ind w:left="1620" w:hanging="233"/>
        <w:spacing w:after="0"/>
        <w:tabs>
          <w:tab w:leader="none" w:pos="1620" w:val="left"/>
        </w:tabs>
        <w:numPr>
          <w:ilvl w:val="0"/>
          <w:numId w:val="79"/>
        </w:numPr>
        <w:rPr>
          <w:rFonts w:ascii="Arial" w:cs="Arial" w:eastAsia="Arial" w:hAnsi="Arial"/>
          <w:sz w:val="12"/>
          <w:szCs w:val="12"/>
          <w:color w:val="auto"/>
        </w:rPr>
      </w:pPr>
      <w:r>
        <w:rPr>
          <w:rFonts w:ascii="Arial" w:cs="Arial" w:eastAsia="Arial" w:hAnsi="Arial"/>
          <w:sz w:val="12"/>
          <w:szCs w:val="12"/>
          <w:color w:val="auto"/>
        </w:rPr>
        <w:t>For competitive reasons, targets and results are expressed in terms of year over year growth or, for Surface Gross Margin, as a percentage of target.</w:t>
      </w:r>
    </w:p>
    <w:p>
      <w:pPr>
        <w:spacing w:after="0" w:line="258"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When achieved, these challenging goals have resulted in substantial shareholder value creation.</w:t>
      </w:r>
    </w:p>
    <w:p>
      <w:pPr>
        <w:spacing w:after="0" w:line="200" w:lineRule="exact"/>
        <w:rPr>
          <w:sz w:val="20"/>
          <w:szCs w:val="20"/>
          <w:color w:val="auto"/>
        </w:rPr>
      </w:pPr>
    </w:p>
    <w:p>
      <w:pPr>
        <w:spacing w:after="0" w:line="302"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-94615</wp:posOffset>
            </wp:positionV>
            <wp:extent cx="485140" cy="9842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39"/>
          </w:cols>
          <w:pgMar w:left="320" w:top="445" w:right="1440" w:bottom="1440" w:gutter="0" w:footer="0" w:header="0"/>
          <w:type w:val="continuous"/>
        </w:sectPr>
      </w:pPr>
    </w:p>
    <w:bookmarkStart w:id="58" w:name="page59"/>
    <w:bookmarkEnd w:id="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auto"/>
                <w:w w:val="89"/>
              </w:rPr>
              <w:t>1</w:t>
            </w:r>
          </w:p>
        </w:tc>
        <w:tc>
          <w:tcPr>
            <w:tcW w:w="1380" w:type="dxa"/>
            <w:vAlign w:val="bottom"/>
            <w:vMerge w:val="restart"/>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gridSpan w:val="2"/>
          </w:tcPr>
          <w:p>
            <w:pPr>
              <w:jc w:val="right"/>
              <w:ind w:right="80"/>
              <w:spacing w:after="0"/>
              <w:rPr>
                <w:sz w:val="20"/>
                <w:szCs w:val="20"/>
                <w:color w:val="auto"/>
              </w:rPr>
            </w:pPr>
            <w:r>
              <w:rPr>
                <w:rFonts w:ascii="Arial" w:cs="Arial" w:eastAsia="Arial" w:hAnsi="Arial"/>
                <w:sz w:val="36"/>
                <w:szCs w:val="36"/>
                <w:color w:val="0075C9"/>
              </w:rPr>
              <w:t>2</w:t>
            </w:r>
          </w:p>
        </w:tc>
        <w:tc>
          <w:tcPr>
            <w:tcW w:w="1320" w:type="dxa"/>
            <w:vAlign w:val="bottom"/>
            <w:vMerge w:val="restart"/>
          </w:tcPr>
          <w:p>
            <w:pPr>
              <w:ind w:left="60"/>
              <w:spacing w:after="0"/>
              <w:rPr>
                <w:sz w:val="20"/>
                <w:szCs w:val="20"/>
                <w:color w:val="auto"/>
              </w:rPr>
            </w:pPr>
            <w:r>
              <w:rPr>
                <w:rFonts w:ascii="Arial" w:cs="Arial" w:eastAsia="Arial" w:hAnsi="Arial"/>
                <w:sz w:val="12"/>
                <w:szCs w:val="12"/>
                <w:color w:val="0075C9"/>
              </w:rPr>
              <w:t>NAMED</w:t>
            </w:r>
          </w:p>
        </w:tc>
        <w:tc>
          <w:tcPr>
            <w:tcW w:w="740" w:type="dxa"/>
            <w:vAlign w:val="bottom"/>
          </w:tcPr>
          <w:p>
            <w:pPr>
              <w:jc w:val="right"/>
              <w:spacing w:after="0"/>
              <w:rPr>
                <w:sz w:val="20"/>
                <w:szCs w:val="20"/>
                <w:color w:val="auto"/>
              </w:rPr>
            </w:pPr>
            <w:r>
              <w:rPr>
                <w:rFonts w:ascii="Arial" w:cs="Arial" w:eastAsia="Arial" w:hAnsi="Arial"/>
                <w:sz w:val="36"/>
                <w:szCs w:val="36"/>
                <w:color w:val="auto"/>
              </w:rPr>
              <w:t>3</w:t>
            </w:r>
          </w:p>
        </w:tc>
        <w:tc>
          <w:tcPr>
            <w:tcW w:w="1020" w:type="dxa"/>
            <w:vAlign w:val="bottom"/>
            <w:vMerge w:val="restart"/>
          </w:tcPr>
          <w:p>
            <w:pPr>
              <w:ind w:left="60"/>
              <w:spacing w:after="0"/>
              <w:rPr>
                <w:sz w:val="20"/>
                <w:szCs w:val="20"/>
                <w:color w:val="auto"/>
              </w:rPr>
            </w:pPr>
            <w:r>
              <w:rPr>
                <w:rFonts w:ascii="Arial" w:cs="Arial" w:eastAsia="Arial" w:hAnsi="Arial"/>
                <w:sz w:val="12"/>
                <w:szCs w:val="12"/>
                <w:color w:val="auto"/>
              </w:rPr>
              <w:t>AUDIT</w:t>
            </w:r>
          </w:p>
        </w:tc>
        <w:tc>
          <w:tcPr>
            <w:tcW w:w="500" w:type="dxa"/>
            <w:vAlign w:val="bottom"/>
          </w:tcPr>
          <w:p>
            <w:pPr>
              <w:jc w:val="right"/>
              <w:spacing w:after="0"/>
              <w:rPr>
                <w:sz w:val="20"/>
                <w:szCs w:val="20"/>
                <w:color w:val="auto"/>
              </w:rPr>
            </w:pPr>
            <w:r>
              <w:rPr>
                <w:rFonts w:ascii="Arial" w:cs="Arial" w:eastAsia="Arial" w:hAnsi="Arial"/>
                <w:sz w:val="36"/>
                <w:szCs w:val="36"/>
                <w:color w:val="auto"/>
              </w:rPr>
              <w:t>4</w:t>
            </w:r>
          </w:p>
        </w:tc>
        <w:tc>
          <w:tcPr>
            <w:tcW w:w="1580" w:type="dxa"/>
            <w:vAlign w:val="bottom"/>
            <w:vMerge w:val="restart"/>
          </w:tcPr>
          <w:p>
            <w:pPr>
              <w:ind w:left="80"/>
              <w:spacing w:after="0"/>
              <w:rPr>
                <w:sz w:val="20"/>
                <w:szCs w:val="20"/>
                <w:color w:val="auto"/>
              </w:rPr>
            </w:pPr>
            <w:r>
              <w:rPr>
                <w:rFonts w:ascii="Arial" w:cs="Arial" w:eastAsia="Arial" w:hAnsi="Arial"/>
                <w:sz w:val="12"/>
                <w:szCs w:val="12"/>
                <w:color w:val="auto"/>
              </w:rPr>
              <w:t>PROPOSALS TO</w:t>
            </w:r>
          </w:p>
        </w:tc>
        <w:tc>
          <w:tcPr>
            <w:tcW w:w="420" w:type="dxa"/>
            <w:vAlign w:val="bottom"/>
          </w:tcPr>
          <w:p>
            <w:pPr>
              <w:jc w:val="right"/>
              <w:spacing w:after="0"/>
              <w:rPr>
                <w:sz w:val="20"/>
                <w:szCs w:val="20"/>
                <w:color w:val="auto"/>
              </w:rPr>
            </w:pPr>
            <w:r>
              <w:rPr>
                <w:rFonts w:ascii="Arial" w:cs="Arial" w:eastAsia="Arial" w:hAnsi="Arial"/>
                <w:sz w:val="36"/>
                <w:szCs w:val="36"/>
                <w:color w:val="auto"/>
              </w:rPr>
              <w:t>5</w:t>
            </w:r>
          </w:p>
        </w:tc>
        <w:tc>
          <w:tcPr>
            <w:tcW w:w="920" w:type="dxa"/>
            <w:vAlign w:val="bottom"/>
            <w:vMerge w:val="restart"/>
          </w:tcPr>
          <w:p>
            <w:pPr>
              <w:ind w:left="8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38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tcPr>
          <w:p>
            <w:pPr>
              <w:ind w:left="60"/>
              <w:spacing w:after="0" w:line="130" w:lineRule="exact"/>
              <w:rPr>
                <w:sz w:val="20"/>
                <w:szCs w:val="20"/>
                <w:color w:val="auto"/>
              </w:rPr>
            </w:pPr>
            <w:r>
              <w:rPr>
                <w:rFonts w:ascii="Arial" w:cs="Arial" w:eastAsia="Arial" w:hAnsi="Arial"/>
                <w:sz w:val="12"/>
                <w:szCs w:val="12"/>
                <w:color w:val="0075C9"/>
                <w:w w:val="99"/>
              </w:rPr>
              <w:t>EXECUTIVE OFFICER</w:t>
            </w:r>
          </w:p>
        </w:tc>
        <w:tc>
          <w:tcPr>
            <w:tcW w:w="740" w:type="dxa"/>
            <w:vAlign w:val="bottom"/>
          </w:tcPr>
          <w:p>
            <w:pPr>
              <w:spacing w:after="0"/>
              <w:rPr>
                <w:sz w:val="11"/>
                <w:szCs w:val="11"/>
                <w:color w:val="auto"/>
              </w:rPr>
            </w:pPr>
          </w:p>
        </w:tc>
        <w:tc>
          <w:tcPr>
            <w:tcW w:w="1020" w:type="dxa"/>
            <w:vAlign w:val="bottom"/>
          </w:tcPr>
          <w:p>
            <w:pPr>
              <w:ind w:left="60"/>
              <w:spacing w:after="0" w:line="130" w:lineRule="exact"/>
              <w:rPr>
                <w:sz w:val="20"/>
                <w:szCs w:val="20"/>
                <w:color w:val="auto"/>
              </w:rPr>
            </w:pPr>
            <w:r>
              <w:rPr>
                <w:rFonts w:ascii="Arial" w:cs="Arial" w:eastAsia="Arial" w:hAnsi="Arial"/>
                <w:sz w:val="12"/>
                <w:szCs w:val="12"/>
                <w:color w:val="auto"/>
              </w:rPr>
              <w:t>COMMITTEE</w:t>
            </w:r>
          </w:p>
        </w:tc>
        <w:tc>
          <w:tcPr>
            <w:tcW w:w="500" w:type="dxa"/>
            <w:vAlign w:val="bottom"/>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20" w:type="dxa"/>
            <w:vAlign w:val="bottom"/>
          </w:tcPr>
          <w:p>
            <w:pPr>
              <w:spacing w:after="0"/>
              <w:rPr>
                <w:sz w:val="11"/>
                <w:szCs w:val="11"/>
                <w:color w:val="auto"/>
              </w:rPr>
            </w:pPr>
          </w:p>
        </w:tc>
        <w:tc>
          <w:tcPr>
            <w:tcW w:w="92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380" w:type="dxa"/>
            <w:vAlign w:val="bottom"/>
          </w:tcPr>
          <w:p>
            <w:pPr>
              <w:ind w:left="80"/>
              <w:spacing w:after="0"/>
              <w:rPr>
                <w:sz w:val="20"/>
                <w:szCs w:val="20"/>
                <w:color w:val="auto"/>
              </w:rPr>
            </w:pPr>
            <w:r>
              <w:rPr>
                <w:rFonts w:ascii="Arial" w:cs="Arial" w:eastAsia="Arial" w:hAnsi="Arial"/>
                <w:sz w:val="12"/>
                <w:szCs w:val="12"/>
                <w:color w:val="auto"/>
              </w:rPr>
              <w:t>DIRECTORS</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0075C9"/>
              </w:rPr>
              <w:t>COMPENSATION</w:t>
            </w:r>
          </w:p>
        </w:tc>
        <w:tc>
          <w:tcPr>
            <w:tcW w:w="740" w:type="dxa"/>
            <w:vAlign w:val="bottom"/>
          </w:tcPr>
          <w:p>
            <w:pPr>
              <w:spacing w:after="0"/>
              <w:rPr>
                <w:sz w:val="12"/>
                <w:szCs w:val="12"/>
                <w:color w:val="auto"/>
              </w:rPr>
            </w:pPr>
          </w:p>
        </w:tc>
        <w:tc>
          <w:tcPr>
            <w:tcW w:w="1020" w:type="dxa"/>
            <w:vAlign w:val="bottom"/>
          </w:tcPr>
          <w:p>
            <w:pPr>
              <w:ind w:left="60"/>
              <w:spacing w:after="0"/>
              <w:rPr>
                <w:sz w:val="20"/>
                <w:szCs w:val="20"/>
                <w:color w:val="auto"/>
              </w:rPr>
            </w:pPr>
            <w:r>
              <w:rPr>
                <w:rFonts w:ascii="Arial" w:cs="Arial" w:eastAsia="Arial" w:hAnsi="Arial"/>
                <w:sz w:val="12"/>
                <w:szCs w:val="12"/>
                <w:color w:val="auto"/>
              </w:rPr>
              <w:t>MATTERS</w:t>
            </w:r>
          </w:p>
        </w:tc>
        <w:tc>
          <w:tcPr>
            <w:tcW w:w="500" w:type="dxa"/>
            <w:vAlign w:val="bottom"/>
          </w:tcPr>
          <w:p>
            <w:pPr>
              <w:spacing w:after="0"/>
              <w:rPr>
                <w:sz w:val="12"/>
                <w:szCs w:val="12"/>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20" w:type="dxa"/>
            <w:vAlign w:val="bottom"/>
          </w:tcPr>
          <w:p>
            <w:pPr>
              <w:spacing w:after="0"/>
              <w:rPr>
                <w:sz w:val="12"/>
                <w:szCs w:val="12"/>
                <w:color w:val="auto"/>
              </w:rPr>
            </w:pPr>
          </w:p>
        </w:tc>
        <w:tc>
          <w:tcPr>
            <w:tcW w:w="92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00" w:lineRule="exact"/>
        <w:rPr>
          <w:sz w:val="20"/>
          <w:szCs w:val="20"/>
          <w:color w:val="auto"/>
        </w:rPr>
      </w:pPr>
    </w:p>
    <w:p>
      <w:pPr>
        <w:ind w:left="1100" w:right="180"/>
        <w:spacing w:after="0" w:line="237" w:lineRule="auto"/>
        <w:rPr>
          <w:sz w:val="20"/>
          <w:szCs w:val="20"/>
          <w:color w:val="auto"/>
        </w:rPr>
      </w:pPr>
      <w:r>
        <w:rPr>
          <w:rFonts w:ascii="Arial" w:cs="Arial" w:eastAsia="Arial" w:hAnsi="Arial"/>
          <w:sz w:val="16"/>
          <w:szCs w:val="16"/>
          <w:color w:val="auto"/>
        </w:rPr>
        <w:t>“Commercial Cloud Revenue” and “Surface Revenue”, when used as PSA metrics in this Compensation Discussion and Analysis, are non-GAAP financial measures, calculated by adjusting GAAP results for these metrics (as defined in our Annual Report on Form 10-K for the fiscal year ended June 30, 2021) for the effect of foreign currency rate fluctuations. We exclude the effect of foreign currency rate fluctuations on a “constant dollar” basis by converting current period non-GAAP results for entities reporting in currencies other than U.S. dollars into U.S. dollars using constant exchange rates, which are determined at the outset of the fiscal year, rather than the actual exchange rates in effect during the respective periods. These metric results differ from certain non-GAAP financial results we report in our quarterly earnings release materials; they should not be considered as a substitute for, or superior to, the measures of financial performance prepared in accordance with GAAP.</w:t>
      </w:r>
    </w:p>
    <w:p>
      <w:pPr>
        <w:spacing w:after="0" w:line="209" w:lineRule="exact"/>
        <w:rPr>
          <w:sz w:val="20"/>
          <w:szCs w:val="20"/>
          <w:color w:val="auto"/>
        </w:rPr>
      </w:pPr>
    </w:p>
    <w:tbl>
      <w:tblPr>
        <w:tblLayout w:type="fixed"/>
        <w:tblInd w:w="1100" w:type="dxa"/>
        <w:tblCellMar>
          <w:top w:w="0" w:type="dxa"/>
          <w:left w:w="0" w:type="dxa"/>
          <w:bottom w:w="0" w:type="dxa"/>
          <w:right w:w="0" w:type="dxa"/>
        </w:tblCellMar>
      </w:tblPr>
      <w:tr>
        <w:trPr>
          <w:trHeight w:val="184"/>
        </w:trPr>
        <w:tc>
          <w:tcPr>
            <w:tcW w:w="70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FY21</w:t>
            </w:r>
          </w:p>
        </w:tc>
      </w:tr>
      <w:tr>
        <w:trPr>
          <w:trHeight w:val="178"/>
        </w:trPr>
        <w:tc>
          <w:tcPr>
            <w:tcW w:w="4540" w:type="dxa"/>
            <w:vAlign w:val="bottom"/>
            <w:gridSpan w:val="2"/>
          </w:tcPr>
          <w:p>
            <w:pPr>
              <w:ind w:left="80"/>
              <w:spacing w:after="0" w:line="178" w:lineRule="exact"/>
              <w:rPr>
                <w:sz w:val="20"/>
                <w:szCs w:val="20"/>
                <w:color w:val="auto"/>
              </w:rPr>
            </w:pPr>
            <w:r>
              <w:rPr>
                <w:rFonts w:ascii="Arial" w:cs="Arial" w:eastAsia="Arial" w:hAnsi="Arial"/>
                <w:sz w:val="16"/>
                <w:szCs w:val="16"/>
                <w:b w:val="1"/>
                <w:bCs w:val="1"/>
                <w:color w:val="auto"/>
              </w:rPr>
              <w:t>Metric (FY21)</w:t>
            </w:r>
          </w:p>
        </w:tc>
        <w:tc>
          <w:tcPr>
            <w:tcW w:w="2500" w:type="dxa"/>
            <w:vAlign w:val="bottom"/>
          </w:tcPr>
          <w:p>
            <w:pPr>
              <w:jc w:val="right"/>
              <w:ind w:right="22"/>
              <w:spacing w:after="0" w:line="178" w:lineRule="exact"/>
              <w:rPr>
                <w:sz w:val="20"/>
                <w:szCs w:val="20"/>
                <w:color w:val="auto"/>
              </w:rPr>
            </w:pPr>
            <w:r>
              <w:rPr>
                <w:rFonts w:ascii="Arial" w:cs="Arial" w:eastAsia="Arial" w:hAnsi="Arial"/>
                <w:sz w:val="16"/>
                <w:szCs w:val="16"/>
                <w:b w:val="1"/>
                <w:bCs w:val="1"/>
                <w:color w:val="auto"/>
              </w:rPr>
              <w:t>FY20</w:t>
            </w:r>
          </w:p>
        </w:tc>
        <w:tc>
          <w:tcPr>
            <w:tcW w:w="680" w:type="dxa"/>
            <w:vAlign w:val="bottom"/>
          </w:tcPr>
          <w:p>
            <w:pPr>
              <w:jc w:val="right"/>
              <w:ind w:right="22"/>
              <w:spacing w:after="0" w:line="178" w:lineRule="exact"/>
              <w:rPr>
                <w:sz w:val="20"/>
                <w:szCs w:val="20"/>
                <w:color w:val="auto"/>
              </w:rPr>
            </w:pPr>
            <w:r>
              <w:rPr>
                <w:rFonts w:ascii="Arial" w:cs="Arial" w:eastAsia="Arial" w:hAnsi="Arial"/>
                <w:sz w:val="16"/>
                <w:szCs w:val="16"/>
                <w:b w:val="1"/>
                <w:bCs w:val="1"/>
                <w:color w:val="auto"/>
              </w:rPr>
              <w:t>FY21</w:t>
            </w:r>
          </w:p>
        </w:tc>
        <w:tc>
          <w:tcPr>
            <w:tcW w:w="640" w:type="dxa"/>
            <w:vAlign w:val="bottom"/>
          </w:tcPr>
          <w:p>
            <w:pPr>
              <w:jc w:val="right"/>
              <w:spacing w:after="0" w:line="178" w:lineRule="exact"/>
              <w:rPr>
                <w:sz w:val="20"/>
                <w:szCs w:val="20"/>
                <w:color w:val="auto"/>
              </w:rPr>
            </w:pPr>
            <w:r>
              <w:rPr>
                <w:rFonts w:ascii="Arial" w:cs="Arial" w:eastAsia="Arial" w:hAnsi="Arial"/>
                <w:sz w:val="16"/>
                <w:szCs w:val="16"/>
                <w:b w:val="1"/>
                <w:bCs w:val="1"/>
                <w:color w:val="auto"/>
              </w:rPr>
              <w:t>FY21</w:t>
            </w:r>
          </w:p>
        </w:tc>
        <w:tc>
          <w:tcPr>
            <w:tcW w:w="680" w:type="dxa"/>
            <w:vAlign w:val="bottom"/>
          </w:tcPr>
          <w:p>
            <w:pPr>
              <w:jc w:val="right"/>
              <w:spacing w:after="0" w:line="178" w:lineRule="exact"/>
              <w:rPr>
                <w:sz w:val="20"/>
                <w:szCs w:val="20"/>
                <w:color w:val="auto"/>
              </w:rPr>
            </w:pPr>
            <w:r>
              <w:rPr>
                <w:rFonts w:ascii="Arial" w:cs="Arial" w:eastAsia="Arial" w:hAnsi="Arial"/>
                <w:sz w:val="16"/>
                <w:szCs w:val="16"/>
                <w:b w:val="1"/>
                <w:bCs w:val="1"/>
                <w:color w:val="auto"/>
              </w:rPr>
              <w:t>Growth</w:t>
            </w:r>
          </w:p>
        </w:tc>
      </w:tr>
      <w:tr>
        <w:trPr>
          <w:trHeight w:val="239"/>
        </w:trPr>
        <w:tc>
          <w:tcPr>
            <w:tcW w:w="454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 in billions)</w:t>
            </w:r>
          </w:p>
        </w:tc>
        <w:tc>
          <w:tcPr>
            <w:tcW w:w="2500" w:type="dxa"/>
            <w:vAlign w:val="bottom"/>
            <w:tcBorders>
              <w:bottom w:val="single" w:sz="8" w:color="auto"/>
            </w:tcBorders>
          </w:tcPr>
          <w:p>
            <w:pPr>
              <w:jc w:val="right"/>
              <w:ind w:right="22"/>
              <w:spacing w:after="0" w:line="238" w:lineRule="exact"/>
              <w:rPr>
                <w:sz w:val="20"/>
                <w:szCs w:val="20"/>
                <w:color w:val="auto"/>
              </w:rPr>
            </w:pPr>
            <w:r>
              <w:rPr>
                <w:rFonts w:ascii="Arial" w:cs="Arial" w:eastAsia="Arial" w:hAnsi="Arial"/>
                <w:sz w:val="16"/>
                <w:szCs w:val="16"/>
                <w:b w:val="1"/>
                <w:bCs w:val="1"/>
                <w:color w:val="auto"/>
              </w:rPr>
              <w:t>Actual</w:t>
            </w:r>
            <w:r>
              <w:rPr>
                <w:rFonts w:ascii="Arial" w:cs="Arial" w:eastAsia="Arial" w:hAnsi="Arial"/>
                <w:sz w:val="26"/>
                <w:szCs w:val="26"/>
                <w:b w:val="1"/>
                <w:bCs w:val="1"/>
                <w:color w:val="auto"/>
                <w:vertAlign w:val="superscript"/>
              </w:rPr>
              <w:t>1</w:t>
            </w:r>
          </w:p>
        </w:tc>
        <w:tc>
          <w:tcPr>
            <w:tcW w:w="6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Target</w:t>
            </w:r>
          </w:p>
        </w:tc>
        <w:tc>
          <w:tcPr>
            <w:tcW w:w="6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Actual</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Rate</w:t>
            </w:r>
          </w:p>
        </w:tc>
      </w:tr>
      <w:tr>
        <w:trPr>
          <w:trHeight w:val="245"/>
        </w:trPr>
        <w:tc>
          <w:tcPr>
            <w:tcW w:w="70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auto"/>
                <w:w w:val="94"/>
              </w:rPr>
              <w:t>FY21 H1</w:t>
            </w:r>
          </w:p>
        </w:tc>
        <w:tc>
          <w:tcPr>
            <w:tcW w:w="3840" w:type="dxa"/>
            <w:vAlign w:val="bottom"/>
            <w:tcBorders>
              <w:bottom w:val="single" w:sz="8" w:color="0075C9"/>
            </w:tcBorders>
          </w:tcPr>
          <w:p>
            <w:pPr>
              <w:ind w:left="20"/>
              <w:spacing w:after="0"/>
              <w:rPr>
                <w:sz w:val="20"/>
                <w:szCs w:val="20"/>
                <w:color w:val="auto"/>
              </w:rPr>
            </w:pPr>
            <w:r>
              <w:rPr>
                <w:rFonts w:ascii="Arial" w:cs="Arial" w:eastAsia="Arial" w:hAnsi="Arial"/>
                <w:sz w:val="16"/>
                <w:szCs w:val="16"/>
                <w:color w:val="auto"/>
              </w:rPr>
              <w:t>Commercial Cloud Revenue</w:t>
            </w:r>
          </w:p>
        </w:tc>
        <w:tc>
          <w:tcPr>
            <w:tcW w:w="2500" w:type="dxa"/>
            <w:vAlign w:val="bottom"/>
            <w:tcBorders>
              <w:bottom w:val="single" w:sz="8" w:color="0075C9"/>
            </w:tcBorders>
          </w:tcPr>
          <w:p>
            <w:pPr>
              <w:jc w:val="right"/>
              <w:ind w:right="22"/>
              <w:spacing w:after="0"/>
              <w:rPr>
                <w:sz w:val="20"/>
                <w:szCs w:val="20"/>
                <w:color w:val="auto"/>
              </w:rPr>
            </w:pPr>
            <w:r>
              <w:rPr>
                <w:rFonts w:ascii="Arial" w:cs="Arial" w:eastAsia="Arial" w:hAnsi="Arial"/>
                <w:sz w:val="16"/>
                <w:szCs w:val="16"/>
                <w:color w:val="auto"/>
              </w:rPr>
              <w:t>$23.85</w:t>
            </w:r>
          </w:p>
        </w:tc>
        <w:tc>
          <w:tcPr>
            <w:tcW w:w="680" w:type="dxa"/>
            <w:vAlign w:val="bottom"/>
            <w:tcBorders>
              <w:bottom w:val="single" w:sz="8" w:color="0075C9"/>
            </w:tcBorders>
          </w:tcPr>
          <w:p>
            <w:pPr>
              <w:jc w:val="right"/>
              <w:ind w:right="22"/>
              <w:spacing w:after="0"/>
              <w:rPr>
                <w:sz w:val="20"/>
                <w:szCs w:val="20"/>
                <w:color w:val="auto"/>
              </w:rPr>
            </w:pPr>
            <w:r>
              <w:rPr>
                <w:rFonts w:ascii="Arial" w:cs="Arial" w:eastAsia="Arial" w:hAnsi="Arial"/>
                <w:sz w:val="16"/>
                <w:szCs w:val="16"/>
                <w:color w:val="auto"/>
              </w:rPr>
              <w:t>$30.78</w:t>
            </w:r>
          </w:p>
        </w:tc>
        <w:tc>
          <w:tcPr>
            <w:tcW w:w="64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$31.19</w:t>
            </w:r>
          </w:p>
        </w:tc>
        <w:tc>
          <w:tcPr>
            <w:tcW w:w="68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30.8%</w:t>
            </w:r>
          </w:p>
        </w:tc>
      </w:tr>
      <w:tr>
        <w:trPr>
          <w:trHeight w:val="252"/>
        </w:trPr>
        <w:tc>
          <w:tcPr>
            <w:tcW w:w="70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auto"/>
                <w:w w:val="94"/>
              </w:rPr>
              <w:t>FY21 H2</w:t>
            </w:r>
          </w:p>
        </w:tc>
        <w:tc>
          <w:tcPr>
            <w:tcW w:w="3840" w:type="dxa"/>
            <w:vAlign w:val="bottom"/>
            <w:tcBorders>
              <w:bottom w:val="single" w:sz="8" w:color="0075C9"/>
            </w:tcBorders>
          </w:tcPr>
          <w:p>
            <w:pPr>
              <w:ind w:left="20"/>
              <w:spacing w:after="0"/>
              <w:rPr>
                <w:sz w:val="20"/>
                <w:szCs w:val="20"/>
                <w:color w:val="auto"/>
              </w:rPr>
            </w:pPr>
            <w:r>
              <w:rPr>
                <w:rFonts w:ascii="Arial" w:cs="Arial" w:eastAsia="Arial" w:hAnsi="Arial"/>
                <w:sz w:val="16"/>
                <w:szCs w:val="16"/>
                <w:color w:val="auto"/>
              </w:rPr>
              <w:t>Commercial Cloud Revenue</w:t>
            </w:r>
          </w:p>
        </w:tc>
        <w:tc>
          <w:tcPr>
            <w:tcW w:w="2500" w:type="dxa"/>
            <w:vAlign w:val="bottom"/>
            <w:tcBorders>
              <w:bottom w:val="single" w:sz="8" w:color="0075C9"/>
            </w:tcBorders>
          </w:tcPr>
          <w:p>
            <w:pPr>
              <w:jc w:val="right"/>
              <w:ind w:right="22"/>
              <w:spacing w:after="0"/>
              <w:rPr>
                <w:sz w:val="20"/>
                <w:szCs w:val="20"/>
                <w:color w:val="auto"/>
              </w:rPr>
            </w:pPr>
            <w:r>
              <w:rPr>
                <w:rFonts w:ascii="Arial" w:cs="Arial" w:eastAsia="Arial" w:hAnsi="Arial"/>
                <w:sz w:val="16"/>
                <w:szCs w:val="16"/>
                <w:color w:val="auto"/>
              </w:rPr>
              <w:t>$27.37</w:t>
            </w:r>
          </w:p>
        </w:tc>
        <w:tc>
          <w:tcPr>
            <w:tcW w:w="680" w:type="dxa"/>
            <w:vAlign w:val="bottom"/>
            <w:tcBorders>
              <w:bottom w:val="single" w:sz="8" w:color="0075C9"/>
            </w:tcBorders>
          </w:tcPr>
          <w:p>
            <w:pPr>
              <w:jc w:val="right"/>
              <w:ind w:right="22"/>
              <w:spacing w:after="0"/>
              <w:rPr>
                <w:sz w:val="20"/>
                <w:szCs w:val="20"/>
                <w:color w:val="auto"/>
              </w:rPr>
            </w:pPr>
            <w:r>
              <w:rPr>
                <w:rFonts w:ascii="Arial" w:cs="Arial" w:eastAsia="Arial" w:hAnsi="Arial"/>
                <w:sz w:val="16"/>
                <w:szCs w:val="16"/>
                <w:color w:val="auto"/>
              </w:rPr>
              <w:t>$34.58</w:t>
            </w:r>
          </w:p>
        </w:tc>
        <w:tc>
          <w:tcPr>
            <w:tcW w:w="64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$35.75</w:t>
            </w:r>
          </w:p>
        </w:tc>
        <w:tc>
          <w:tcPr>
            <w:tcW w:w="68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30.6%</w:t>
            </w:r>
          </w:p>
        </w:tc>
      </w:tr>
      <w:tr>
        <w:trPr>
          <w:trHeight w:val="252"/>
        </w:trPr>
        <w:tc>
          <w:tcPr>
            <w:tcW w:w="70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auto"/>
                <w:w w:val="94"/>
              </w:rPr>
              <w:t>FY21 H1</w:t>
            </w:r>
          </w:p>
        </w:tc>
        <w:tc>
          <w:tcPr>
            <w:tcW w:w="3840" w:type="dxa"/>
            <w:vAlign w:val="bottom"/>
            <w:tcBorders>
              <w:bottom w:val="single" w:sz="8" w:color="0075C9"/>
            </w:tcBorders>
          </w:tcPr>
          <w:p>
            <w:pPr>
              <w:ind w:left="20"/>
              <w:spacing w:after="0"/>
              <w:rPr>
                <w:sz w:val="20"/>
                <w:szCs w:val="20"/>
                <w:color w:val="auto"/>
              </w:rPr>
            </w:pPr>
            <w:r>
              <w:rPr>
                <w:rFonts w:ascii="Arial" w:cs="Arial" w:eastAsia="Arial" w:hAnsi="Arial"/>
                <w:sz w:val="16"/>
                <w:szCs w:val="16"/>
                <w:color w:val="auto"/>
              </w:rPr>
              <w:t>Surface Revenue</w:t>
            </w:r>
          </w:p>
        </w:tc>
        <w:tc>
          <w:tcPr>
            <w:tcW w:w="2500" w:type="dxa"/>
            <w:vAlign w:val="bottom"/>
            <w:tcBorders>
              <w:bottom w:val="single" w:sz="8" w:color="0075C9"/>
            </w:tcBorders>
          </w:tcPr>
          <w:p>
            <w:pPr>
              <w:jc w:val="right"/>
              <w:ind w:right="22"/>
              <w:spacing w:after="0"/>
              <w:rPr>
                <w:sz w:val="20"/>
                <w:szCs w:val="20"/>
                <w:color w:val="auto"/>
              </w:rPr>
            </w:pPr>
            <w:r>
              <w:rPr>
                <w:rFonts w:ascii="Arial" w:cs="Arial" w:eastAsia="Arial" w:hAnsi="Arial"/>
                <w:sz w:val="16"/>
                <w:szCs w:val="16"/>
                <w:color w:val="auto"/>
              </w:rPr>
              <w:t>$3.09</w:t>
            </w:r>
          </w:p>
        </w:tc>
        <w:tc>
          <w:tcPr>
            <w:tcW w:w="680" w:type="dxa"/>
            <w:vAlign w:val="bottom"/>
            <w:tcBorders>
              <w:bottom w:val="single" w:sz="8" w:color="0075C9"/>
            </w:tcBorders>
          </w:tcPr>
          <w:p>
            <w:pPr>
              <w:jc w:val="right"/>
              <w:ind w:right="22"/>
              <w:spacing w:after="0"/>
              <w:rPr>
                <w:sz w:val="20"/>
                <w:szCs w:val="20"/>
                <w:color w:val="auto"/>
              </w:rPr>
            </w:pPr>
            <w:r>
              <w:rPr>
                <w:rFonts w:ascii="Arial" w:cs="Arial" w:eastAsia="Arial" w:hAnsi="Arial"/>
                <w:sz w:val="16"/>
                <w:szCs w:val="16"/>
                <w:color w:val="auto"/>
              </w:rPr>
              <w:t>$2.87</w:t>
            </w:r>
          </w:p>
        </w:tc>
        <w:tc>
          <w:tcPr>
            <w:tcW w:w="64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$3.51</w:t>
            </w:r>
          </w:p>
        </w:tc>
        <w:tc>
          <w:tcPr>
            <w:tcW w:w="68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13.6%</w:t>
            </w:r>
          </w:p>
        </w:tc>
      </w:tr>
      <w:tr>
        <w:trPr>
          <w:trHeight w:val="252"/>
        </w:trPr>
        <w:tc>
          <w:tcPr>
            <w:tcW w:w="70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auto"/>
                <w:w w:val="94"/>
              </w:rPr>
              <w:t>FY21 H2</w:t>
            </w:r>
          </w:p>
        </w:tc>
        <w:tc>
          <w:tcPr>
            <w:tcW w:w="3840" w:type="dxa"/>
            <w:vAlign w:val="bottom"/>
            <w:tcBorders>
              <w:bottom w:val="single" w:sz="8" w:color="0075C9"/>
            </w:tcBorders>
          </w:tcPr>
          <w:p>
            <w:pPr>
              <w:ind w:left="20"/>
              <w:spacing w:after="0"/>
              <w:rPr>
                <w:sz w:val="20"/>
                <w:szCs w:val="20"/>
                <w:color w:val="auto"/>
              </w:rPr>
            </w:pPr>
            <w:r>
              <w:rPr>
                <w:rFonts w:ascii="Arial" w:cs="Arial" w:eastAsia="Arial" w:hAnsi="Arial"/>
                <w:sz w:val="16"/>
                <w:szCs w:val="16"/>
                <w:color w:val="auto"/>
              </w:rPr>
              <w:t>Surface Revenue</w:t>
            </w:r>
          </w:p>
        </w:tc>
        <w:tc>
          <w:tcPr>
            <w:tcW w:w="2500" w:type="dxa"/>
            <w:vAlign w:val="bottom"/>
            <w:tcBorders>
              <w:bottom w:val="single" w:sz="8" w:color="0075C9"/>
            </w:tcBorders>
          </w:tcPr>
          <w:p>
            <w:pPr>
              <w:jc w:val="right"/>
              <w:ind w:right="22"/>
              <w:spacing w:after="0"/>
              <w:rPr>
                <w:sz w:val="20"/>
                <w:szCs w:val="20"/>
                <w:color w:val="auto"/>
              </w:rPr>
            </w:pPr>
            <w:r>
              <w:rPr>
                <w:rFonts w:ascii="Arial" w:cs="Arial" w:eastAsia="Arial" w:hAnsi="Arial"/>
                <w:sz w:val="16"/>
                <w:szCs w:val="16"/>
                <w:color w:val="auto"/>
              </w:rPr>
              <w:t>$3.06</w:t>
            </w:r>
          </w:p>
        </w:tc>
        <w:tc>
          <w:tcPr>
            <w:tcW w:w="680" w:type="dxa"/>
            <w:vAlign w:val="bottom"/>
            <w:tcBorders>
              <w:bottom w:val="single" w:sz="8" w:color="0075C9"/>
            </w:tcBorders>
          </w:tcPr>
          <w:p>
            <w:pPr>
              <w:jc w:val="right"/>
              <w:ind w:right="22"/>
              <w:spacing w:after="0"/>
              <w:rPr>
                <w:sz w:val="20"/>
                <w:szCs w:val="20"/>
                <w:color w:val="auto"/>
              </w:rPr>
            </w:pPr>
            <w:r>
              <w:rPr>
                <w:rFonts w:ascii="Arial" w:cs="Arial" w:eastAsia="Arial" w:hAnsi="Arial"/>
                <w:sz w:val="16"/>
                <w:szCs w:val="16"/>
                <w:color w:val="auto"/>
              </w:rPr>
              <w:t>$3.18</w:t>
            </w:r>
          </w:p>
        </w:tc>
        <w:tc>
          <w:tcPr>
            <w:tcW w:w="64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$2.75</w:t>
            </w:r>
          </w:p>
        </w:tc>
        <w:tc>
          <w:tcPr>
            <w:tcW w:w="68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-10.1%</w:t>
            </w:r>
          </w:p>
        </w:tc>
      </w:tr>
    </w:tbl>
    <w:p>
      <w:pPr>
        <w:spacing w:after="0" w:line="72" w:lineRule="exact"/>
        <w:rPr>
          <w:sz w:val="20"/>
          <w:szCs w:val="20"/>
          <w:color w:val="auto"/>
        </w:rPr>
      </w:pPr>
    </w:p>
    <w:p>
      <w:pPr>
        <w:ind w:left="1100"/>
        <w:spacing w:after="0"/>
        <w:tabs>
          <w:tab w:leader="none" w:pos="1340" w:val="left"/>
        </w:tabs>
        <w:rPr>
          <w:sz w:val="20"/>
          <w:szCs w:val="20"/>
          <w:color w:val="auto"/>
        </w:rPr>
      </w:pPr>
      <w:r>
        <w:rPr>
          <w:rFonts w:ascii="Arial" w:cs="Arial" w:eastAsia="Arial" w:hAnsi="Arial"/>
          <w:sz w:val="12"/>
          <w:szCs w:val="12"/>
          <w:color w:val="auto"/>
        </w:rPr>
        <w:t>(1)</w:t>
        <w:tab/>
        <w:t>FY20 actual results are presented in FY21 constant dollar exchange rates, which removes the impact of currency fluctuations from period-over-period comparisons.</w:t>
      </w:r>
    </w:p>
    <w:p>
      <w:pPr>
        <w:spacing w:after="0" w:line="172"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Relative TSR Modifier</w:t>
      </w:r>
    </w:p>
    <w:p>
      <w:pPr>
        <w:spacing w:after="0" w:line="129" w:lineRule="exact"/>
        <w:rPr>
          <w:sz w:val="20"/>
          <w:szCs w:val="20"/>
          <w:color w:val="auto"/>
        </w:rPr>
      </w:pPr>
    </w:p>
    <w:p>
      <w:pPr>
        <w:ind w:left="1100" w:right="360"/>
        <w:spacing w:after="0" w:line="267" w:lineRule="auto"/>
        <w:rPr>
          <w:sz w:val="20"/>
          <w:szCs w:val="20"/>
          <w:color w:val="auto"/>
        </w:rPr>
      </w:pPr>
      <w:r>
        <w:rPr>
          <w:rFonts w:ascii="Arial" w:cs="Arial" w:eastAsia="Arial" w:hAnsi="Arial"/>
          <w:sz w:val="14"/>
          <w:szCs w:val="14"/>
          <w:color w:val="auto"/>
        </w:rPr>
        <w:t>The core metric results for the fiscal year 2019 PSAs were then subject to adjustment based on the relative TSR performance modifier, which compares our TSR for the three-fiscal year performance period to the TSR of the S&amp;P 500. Our absolute TSR for the performance period satisfied the PSA payout requirement that TSR be positive. Our TSR relative to the S&amp;P 500 was at the</w:t>
      </w:r>
    </w:p>
    <w:p>
      <w:pPr>
        <w:spacing w:after="0" w:line="2" w:lineRule="exact"/>
        <w:rPr>
          <w:sz w:val="20"/>
          <w:szCs w:val="20"/>
          <w:color w:val="auto"/>
        </w:rPr>
      </w:pPr>
    </w:p>
    <w:p>
      <w:pPr>
        <w:ind w:left="1100" w:right="240"/>
        <w:spacing w:after="0" w:line="199" w:lineRule="auto"/>
        <w:rPr>
          <w:sz w:val="20"/>
          <w:szCs w:val="20"/>
          <w:color w:val="auto"/>
        </w:rPr>
      </w:pPr>
      <w:r>
        <w:rPr>
          <w:rFonts w:ascii="Arial" w:cs="Arial" w:eastAsia="Arial" w:hAnsi="Arial"/>
          <w:sz w:val="16"/>
          <w:szCs w:val="16"/>
          <w:color w:val="auto"/>
        </w:rPr>
        <w:t>97</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of the S&amp;P 500, well in excess of the 80th percentile performance that was a condition to receiving the maximum 150% modifier. Based on this result, the total payment percentage for the fiscal 2019 PSAs was increased by 50%, resulting in the payout to our Named Executives of 187.14% of the target fiscal 2019 PSA shares.</w:t>
      </w:r>
    </w:p>
    <w:p>
      <w:pPr>
        <w:spacing w:after="0" w:line="169"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Vesting of Mr. Nadella’s Long-Term Performance Stock Award</w:t>
      </w:r>
    </w:p>
    <w:p>
      <w:pPr>
        <w:spacing w:after="0" w:line="129" w:lineRule="exact"/>
        <w:rPr>
          <w:sz w:val="20"/>
          <w:szCs w:val="20"/>
          <w:color w:val="auto"/>
        </w:rPr>
      </w:pPr>
    </w:p>
    <w:p>
      <w:pPr>
        <w:ind w:left="1100" w:right="160"/>
        <w:spacing w:after="0" w:line="218" w:lineRule="auto"/>
        <w:rPr>
          <w:sz w:val="20"/>
          <w:szCs w:val="20"/>
          <w:color w:val="auto"/>
        </w:rPr>
      </w:pPr>
      <w:r>
        <w:rPr>
          <w:rFonts w:ascii="Arial" w:cs="Arial" w:eastAsia="Arial" w:hAnsi="Arial"/>
          <w:sz w:val="16"/>
          <w:szCs w:val="16"/>
          <w:color w:val="auto"/>
        </w:rPr>
        <w:t>Upon Mr. Nadella’s appointment to CEO on February 4, 2014, he was granted a one-time long-term performance-based stock award (“LTPSA”). LTPSA payouts are tied to Microsoft’s total shareholder return relative to the S&amp;P 500 (“relative TSR”) over three overlapping five-year performance periods. The third of these periods ended February 3, 2021. For each of the three five-year performance periods, the number of shares earned at threshold is 150,000, at target 600,000, and at maximum 900,000. During the third five-year performance period, Microsoft’s market capitalization increased $1,420 billion (from $413 billion to $1,833 billion). Microsoft’s relative TSR over this 5-year period was in the 97</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resulting in Mr. Nadella earning and vesting in the maximum 900,000 shares.</w:t>
      </w:r>
    </w:p>
    <w:p>
      <w:pPr>
        <w:spacing w:after="0" w:line="200" w:lineRule="exact"/>
        <w:rPr>
          <w:sz w:val="20"/>
          <w:szCs w:val="20"/>
          <w:color w:val="auto"/>
        </w:rPr>
      </w:pPr>
    </w:p>
    <w:p>
      <w:pPr>
        <w:spacing w:after="0" w:line="300"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2021 PROXY STATEMENT</w:t>
      </w:r>
      <w:r>
        <w:rPr>
          <w:sz w:val="20"/>
          <w:szCs w:val="20"/>
          <w:color w:val="auto"/>
        </w:rPr>
        <w:tab/>
      </w:r>
      <w:r>
        <w:rPr>
          <w:rFonts w:ascii="Arial" w:cs="Arial" w:eastAsia="Arial" w:hAnsi="Arial"/>
          <w:sz w:val="12"/>
          <w:szCs w:val="12"/>
          <w:b w:val="1"/>
          <w:bCs w:val="1"/>
          <w:color w:val="0075C9"/>
        </w:rPr>
        <w:t>51</w:t>
      </w:r>
    </w:p>
    <w:p>
      <w:pPr>
        <w:sectPr>
          <w:pgSz w:w="11900" w:h="16838" w:orient="portrait"/>
          <w:cols w:equalWidth="0" w:num="1">
            <w:col w:w="10280"/>
          </w:cols>
          <w:pgMar w:left="320" w:top="446" w:right="1299" w:bottom="1440" w:gutter="0" w:footer="0" w:header="0"/>
        </w:sectPr>
      </w:pPr>
    </w:p>
    <w:bookmarkStart w:id="59" w:name="page60"/>
    <w:bookmarkEnd w:id="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auto"/>
                <w:w w:val="89"/>
              </w:rPr>
              <w:t>1</w:t>
            </w:r>
          </w:p>
        </w:tc>
        <w:tc>
          <w:tcPr>
            <w:tcW w:w="1380" w:type="dxa"/>
            <w:vAlign w:val="bottom"/>
            <w:vMerge w:val="restart"/>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gridSpan w:val="2"/>
          </w:tcPr>
          <w:p>
            <w:pPr>
              <w:jc w:val="right"/>
              <w:ind w:right="80"/>
              <w:spacing w:after="0"/>
              <w:rPr>
                <w:sz w:val="20"/>
                <w:szCs w:val="20"/>
                <w:color w:val="auto"/>
              </w:rPr>
            </w:pPr>
            <w:r>
              <w:rPr>
                <w:rFonts w:ascii="Arial" w:cs="Arial" w:eastAsia="Arial" w:hAnsi="Arial"/>
                <w:sz w:val="36"/>
                <w:szCs w:val="36"/>
                <w:color w:val="0075C9"/>
              </w:rPr>
              <w:t>2</w:t>
            </w:r>
          </w:p>
        </w:tc>
        <w:tc>
          <w:tcPr>
            <w:tcW w:w="1320" w:type="dxa"/>
            <w:vAlign w:val="bottom"/>
            <w:vMerge w:val="restart"/>
          </w:tcPr>
          <w:p>
            <w:pPr>
              <w:ind w:left="60"/>
              <w:spacing w:after="0"/>
              <w:rPr>
                <w:sz w:val="20"/>
                <w:szCs w:val="20"/>
                <w:color w:val="auto"/>
              </w:rPr>
            </w:pPr>
            <w:r>
              <w:rPr>
                <w:rFonts w:ascii="Arial" w:cs="Arial" w:eastAsia="Arial" w:hAnsi="Arial"/>
                <w:sz w:val="12"/>
                <w:szCs w:val="12"/>
                <w:color w:val="0075C9"/>
              </w:rPr>
              <w:t>NAMED</w:t>
            </w:r>
          </w:p>
        </w:tc>
        <w:tc>
          <w:tcPr>
            <w:tcW w:w="740" w:type="dxa"/>
            <w:vAlign w:val="bottom"/>
          </w:tcPr>
          <w:p>
            <w:pPr>
              <w:jc w:val="right"/>
              <w:spacing w:after="0"/>
              <w:rPr>
                <w:sz w:val="20"/>
                <w:szCs w:val="20"/>
                <w:color w:val="auto"/>
              </w:rPr>
            </w:pPr>
            <w:r>
              <w:rPr>
                <w:rFonts w:ascii="Arial" w:cs="Arial" w:eastAsia="Arial" w:hAnsi="Arial"/>
                <w:sz w:val="36"/>
                <w:szCs w:val="36"/>
                <w:color w:val="auto"/>
              </w:rPr>
              <w:t>3</w:t>
            </w:r>
          </w:p>
        </w:tc>
        <w:tc>
          <w:tcPr>
            <w:tcW w:w="1020" w:type="dxa"/>
            <w:vAlign w:val="bottom"/>
            <w:vMerge w:val="restart"/>
          </w:tcPr>
          <w:p>
            <w:pPr>
              <w:ind w:left="60"/>
              <w:spacing w:after="0"/>
              <w:rPr>
                <w:sz w:val="20"/>
                <w:szCs w:val="20"/>
                <w:color w:val="auto"/>
              </w:rPr>
            </w:pPr>
            <w:r>
              <w:rPr>
                <w:rFonts w:ascii="Arial" w:cs="Arial" w:eastAsia="Arial" w:hAnsi="Arial"/>
                <w:sz w:val="12"/>
                <w:szCs w:val="12"/>
                <w:color w:val="auto"/>
              </w:rPr>
              <w:t>AUDIT</w:t>
            </w:r>
          </w:p>
        </w:tc>
        <w:tc>
          <w:tcPr>
            <w:tcW w:w="500" w:type="dxa"/>
            <w:vAlign w:val="bottom"/>
          </w:tcPr>
          <w:p>
            <w:pPr>
              <w:jc w:val="right"/>
              <w:spacing w:after="0"/>
              <w:rPr>
                <w:sz w:val="20"/>
                <w:szCs w:val="20"/>
                <w:color w:val="auto"/>
              </w:rPr>
            </w:pPr>
            <w:r>
              <w:rPr>
                <w:rFonts w:ascii="Arial" w:cs="Arial" w:eastAsia="Arial" w:hAnsi="Arial"/>
                <w:sz w:val="36"/>
                <w:szCs w:val="36"/>
                <w:color w:val="auto"/>
              </w:rPr>
              <w:t>4</w:t>
            </w:r>
          </w:p>
        </w:tc>
        <w:tc>
          <w:tcPr>
            <w:tcW w:w="1580" w:type="dxa"/>
            <w:vAlign w:val="bottom"/>
            <w:vMerge w:val="restart"/>
          </w:tcPr>
          <w:p>
            <w:pPr>
              <w:ind w:left="80"/>
              <w:spacing w:after="0"/>
              <w:rPr>
                <w:sz w:val="20"/>
                <w:szCs w:val="20"/>
                <w:color w:val="auto"/>
              </w:rPr>
            </w:pPr>
            <w:r>
              <w:rPr>
                <w:rFonts w:ascii="Arial" w:cs="Arial" w:eastAsia="Arial" w:hAnsi="Arial"/>
                <w:sz w:val="12"/>
                <w:szCs w:val="12"/>
                <w:color w:val="auto"/>
              </w:rPr>
              <w:t>PROPOSALS TO</w:t>
            </w:r>
          </w:p>
        </w:tc>
        <w:tc>
          <w:tcPr>
            <w:tcW w:w="420" w:type="dxa"/>
            <w:vAlign w:val="bottom"/>
          </w:tcPr>
          <w:p>
            <w:pPr>
              <w:jc w:val="right"/>
              <w:spacing w:after="0"/>
              <w:rPr>
                <w:sz w:val="20"/>
                <w:szCs w:val="20"/>
                <w:color w:val="auto"/>
              </w:rPr>
            </w:pPr>
            <w:r>
              <w:rPr>
                <w:rFonts w:ascii="Arial" w:cs="Arial" w:eastAsia="Arial" w:hAnsi="Arial"/>
                <w:sz w:val="36"/>
                <w:szCs w:val="36"/>
                <w:color w:val="auto"/>
              </w:rPr>
              <w:t>5</w:t>
            </w:r>
          </w:p>
        </w:tc>
        <w:tc>
          <w:tcPr>
            <w:tcW w:w="920" w:type="dxa"/>
            <w:vAlign w:val="bottom"/>
            <w:vMerge w:val="restart"/>
          </w:tcPr>
          <w:p>
            <w:pPr>
              <w:ind w:left="8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38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tcPr>
          <w:p>
            <w:pPr>
              <w:ind w:left="60"/>
              <w:spacing w:after="0" w:line="130" w:lineRule="exact"/>
              <w:rPr>
                <w:sz w:val="20"/>
                <w:szCs w:val="20"/>
                <w:color w:val="auto"/>
              </w:rPr>
            </w:pPr>
            <w:r>
              <w:rPr>
                <w:rFonts w:ascii="Arial" w:cs="Arial" w:eastAsia="Arial" w:hAnsi="Arial"/>
                <w:sz w:val="12"/>
                <w:szCs w:val="12"/>
                <w:color w:val="0075C9"/>
                <w:w w:val="99"/>
              </w:rPr>
              <w:t>EXECUTIVE OFFICER</w:t>
            </w:r>
          </w:p>
        </w:tc>
        <w:tc>
          <w:tcPr>
            <w:tcW w:w="740" w:type="dxa"/>
            <w:vAlign w:val="bottom"/>
          </w:tcPr>
          <w:p>
            <w:pPr>
              <w:spacing w:after="0"/>
              <w:rPr>
                <w:sz w:val="11"/>
                <w:szCs w:val="11"/>
                <w:color w:val="auto"/>
              </w:rPr>
            </w:pPr>
          </w:p>
        </w:tc>
        <w:tc>
          <w:tcPr>
            <w:tcW w:w="1020" w:type="dxa"/>
            <w:vAlign w:val="bottom"/>
          </w:tcPr>
          <w:p>
            <w:pPr>
              <w:ind w:left="60"/>
              <w:spacing w:after="0" w:line="130" w:lineRule="exact"/>
              <w:rPr>
                <w:sz w:val="20"/>
                <w:szCs w:val="20"/>
                <w:color w:val="auto"/>
              </w:rPr>
            </w:pPr>
            <w:r>
              <w:rPr>
                <w:rFonts w:ascii="Arial" w:cs="Arial" w:eastAsia="Arial" w:hAnsi="Arial"/>
                <w:sz w:val="12"/>
                <w:szCs w:val="12"/>
                <w:color w:val="auto"/>
              </w:rPr>
              <w:t>COMMITTEE</w:t>
            </w:r>
          </w:p>
        </w:tc>
        <w:tc>
          <w:tcPr>
            <w:tcW w:w="500" w:type="dxa"/>
            <w:vAlign w:val="bottom"/>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20" w:type="dxa"/>
            <w:vAlign w:val="bottom"/>
          </w:tcPr>
          <w:p>
            <w:pPr>
              <w:spacing w:after="0"/>
              <w:rPr>
                <w:sz w:val="11"/>
                <w:szCs w:val="11"/>
                <w:color w:val="auto"/>
              </w:rPr>
            </w:pPr>
          </w:p>
        </w:tc>
        <w:tc>
          <w:tcPr>
            <w:tcW w:w="92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380" w:type="dxa"/>
            <w:vAlign w:val="bottom"/>
          </w:tcPr>
          <w:p>
            <w:pPr>
              <w:ind w:left="80"/>
              <w:spacing w:after="0"/>
              <w:rPr>
                <w:sz w:val="20"/>
                <w:szCs w:val="20"/>
                <w:color w:val="auto"/>
              </w:rPr>
            </w:pPr>
            <w:r>
              <w:rPr>
                <w:rFonts w:ascii="Arial" w:cs="Arial" w:eastAsia="Arial" w:hAnsi="Arial"/>
                <w:sz w:val="12"/>
                <w:szCs w:val="12"/>
                <w:color w:val="auto"/>
              </w:rPr>
              <w:t>DIRECTORS</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0075C9"/>
              </w:rPr>
              <w:t>COMPENSATION</w:t>
            </w:r>
          </w:p>
        </w:tc>
        <w:tc>
          <w:tcPr>
            <w:tcW w:w="740" w:type="dxa"/>
            <w:vAlign w:val="bottom"/>
          </w:tcPr>
          <w:p>
            <w:pPr>
              <w:spacing w:after="0"/>
              <w:rPr>
                <w:sz w:val="12"/>
                <w:szCs w:val="12"/>
                <w:color w:val="auto"/>
              </w:rPr>
            </w:pPr>
          </w:p>
        </w:tc>
        <w:tc>
          <w:tcPr>
            <w:tcW w:w="1020" w:type="dxa"/>
            <w:vAlign w:val="bottom"/>
          </w:tcPr>
          <w:p>
            <w:pPr>
              <w:ind w:left="60"/>
              <w:spacing w:after="0"/>
              <w:rPr>
                <w:sz w:val="20"/>
                <w:szCs w:val="20"/>
                <w:color w:val="auto"/>
              </w:rPr>
            </w:pPr>
            <w:r>
              <w:rPr>
                <w:rFonts w:ascii="Arial" w:cs="Arial" w:eastAsia="Arial" w:hAnsi="Arial"/>
                <w:sz w:val="12"/>
                <w:szCs w:val="12"/>
                <w:color w:val="auto"/>
              </w:rPr>
              <w:t>MATTERS</w:t>
            </w:r>
          </w:p>
        </w:tc>
        <w:tc>
          <w:tcPr>
            <w:tcW w:w="500" w:type="dxa"/>
            <w:vAlign w:val="bottom"/>
          </w:tcPr>
          <w:p>
            <w:pPr>
              <w:spacing w:after="0"/>
              <w:rPr>
                <w:sz w:val="12"/>
                <w:szCs w:val="12"/>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20" w:type="dxa"/>
            <w:vAlign w:val="bottom"/>
          </w:tcPr>
          <w:p>
            <w:pPr>
              <w:spacing w:after="0"/>
              <w:rPr>
                <w:sz w:val="12"/>
                <w:szCs w:val="12"/>
                <w:color w:val="auto"/>
              </w:rPr>
            </w:pPr>
          </w:p>
        </w:tc>
        <w:tc>
          <w:tcPr>
            <w:tcW w:w="92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Fiscal Year 2020 and 2021 PSAs (Open Performance Periods)</w:t>
      </w:r>
    </w:p>
    <w:p>
      <w:pPr>
        <w:spacing w:after="0" w:line="129" w:lineRule="exact"/>
        <w:rPr>
          <w:sz w:val="20"/>
          <w:szCs w:val="20"/>
          <w:color w:val="auto"/>
        </w:rPr>
      </w:pPr>
    </w:p>
    <w:p>
      <w:pPr>
        <w:ind w:left="1100" w:right="40"/>
        <w:spacing w:after="0" w:line="270" w:lineRule="auto"/>
        <w:rPr>
          <w:sz w:val="20"/>
          <w:szCs w:val="20"/>
          <w:color w:val="auto"/>
        </w:rPr>
      </w:pPr>
      <w:r>
        <w:rPr>
          <w:rFonts w:ascii="Arial" w:cs="Arial" w:eastAsia="Arial" w:hAnsi="Arial"/>
          <w:sz w:val="14"/>
          <w:szCs w:val="14"/>
          <w:color w:val="auto"/>
        </w:rPr>
        <w:t>Performance under the fiscal year 2020 and 2021 PSAs will be determined following the end of the three-year performance periods ending June 30, 2022 and 2023, respectively. The number of shares of common stock to be earned will be based on an assessment of (1) performance against the metric goals during the applicable performance period, and (2) if Microsoft’s absolute TSR is positive during the period, Microsoft’s relative TSR during the period. With the growing importance of Teams on</w:t>
      </w:r>
    </w:p>
    <w:p>
      <w:pPr>
        <w:spacing w:after="0" w:line="1" w:lineRule="exact"/>
        <w:rPr>
          <w:sz w:val="20"/>
          <w:szCs w:val="20"/>
          <w:color w:val="auto"/>
        </w:rPr>
      </w:pPr>
    </w:p>
    <w:p>
      <w:pPr>
        <w:ind w:left="1100" w:right="540"/>
        <w:spacing w:after="0" w:line="308" w:lineRule="auto"/>
        <w:rPr>
          <w:sz w:val="20"/>
          <w:szCs w:val="20"/>
          <w:color w:val="auto"/>
        </w:rPr>
      </w:pPr>
      <w:r>
        <w:rPr>
          <w:rFonts w:ascii="Arial" w:cs="Arial" w:eastAsia="Arial" w:hAnsi="Arial"/>
          <w:sz w:val="14"/>
          <w:szCs w:val="14"/>
          <w:color w:val="auto"/>
        </w:rPr>
        <w:t>our business strategy, we increased the weight for Teams Monthly Active Usage metric and redistributed weights for the other metrics in fiscal year 2021. The metrics and relative weights under the fiscal year 2020 and 2021 PSAs are as follows:</w:t>
      </w:r>
    </w:p>
    <w:p>
      <w:pPr>
        <w:spacing w:after="0" w:line="162" w:lineRule="exact"/>
        <w:rPr>
          <w:sz w:val="20"/>
          <w:szCs w:val="20"/>
          <w:color w:val="auto"/>
        </w:rPr>
      </w:pPr>
    </w:p>
    <w:tbl>
      <w:tblPr>
        <w:tblLayout w:type="fixed"/>
        <w:tblInd w:w="1100" w:type="dxa"/>
        <w:tblCellMar>
          <w:top w:w="0" w:type="dxa"/>
          <w:left w:w="0" w:type="dxa"/>
          <w:bottom w:w="0" w:type="dxa"/>
          <w:right w:w="0" w:type="dxa"/>
        </w:tblCellMar>
      </w:tblPr>
      <w:tr>
        <w:trPr>
          <w:trHeight w:val="184"/>
        </w:trPr>
        <w:tc>
          <w:tcPr>
            <w:tcW w:w="4380" w:type="dxa"/>
            <w:vAlign w:val="bottom"/>
          </w:tcPr>
          <w:p>
            <w:pPr>
              <w:spacing w:after="0"/>
              <w:rPr>
                <w:sz w:val="16"/>
                <w:szCs w:val="16"/>
                <w:color w:val="auto"/>
              </w:rPr>
            </w:pPr>
          </w:p>
        </w:tc>
        <w:tc>
          <w:tcPr>
            <w:tcW w:w="3220" w:type="dxa"/>
            <w:vAlign w:val="bottom"/>
          </w:tcPr>
          <w:p>
            <w:pPr>
              <w:jc w:val="right"/>
              <w:ind w:right="162"/>
              <w:spacing w:after="0"/>
              <w:rPr>
                <w:sz w:val="20"/>
                <w:szCs w:val="20"/>
                <w:color w:val="auto"/>
              </w:rPr>
            </w:pPr>
            <w:r>
              <w:rPr>
                <w:rFonts w:ascii="Arial" w:cs="Arial" w:eastAsia="Arial" w:hAnsi="Arial"/>
                <w:sz w:val="16"/>
                <w:szCs w:val="16"/>
                <w:b w:val="1"/>
                <w:bCs w:val="1"/>
                <w:color w:val="auto"/>
              </w:rPr>
              <w:t>Fiscal Year</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Fiscal Year</w:t>
            </w:r>
          </w:p>
        </w:tc>
        <w:tc>
          <w:tcPr>
            <w:tcW w:w="0" w:type="dxa"/>
            <w:vAlign w:val="bottom"/>
          </w:tcPr>
          <w:p>
            <w:pPr>
              <w:spacing w:after="0"/>
              <w:rPr>
                <w:sz w:val="1"/>
                <w:szCs w:val="1"/>
                <w:color w:val="auto"/>
              </w:rPr>
            </w:pPr>
          </w:p>
        </w:tc>
      </w:tr>
      <w:tr>
        <w:trPr>
          <w:trHeight w:val="181"/>
        </w:trPr>
        <w:tc>
          <w:tcPr>
            <w:tcW w:w="4380" w:type="dxa"/>
            <w:vAlign w:val="bottom"/>
          </w:tcPr>
          <w:p>
            <w:pPr>
              <w:spacing w:after="0"/>
              <w:rPr>
                <w:sz w:val="15"/>
                <w:szCs w:val="15"/>
                <w:color w:val="auto"/>
              </w:rPr>
            </w:pPr>
          </w:p>
        </w:tc>
        <w:tc>
          <w:tcPr>
            <w:tcW w:w="3220" w:type="dxa"/>
            <w:vAlign w:val="bottom"/>
          </w:tcPr>
          <w:p>
            <w:pPr>
              <w:jc w:val="right"/>
              <w:ind w:right="162"/>
              <w:spacing w:after="0" w:line="181" w:lineRule="exact"/>
              <w:rPr>
                <w:sz w:val="20"/>
                <w:szCs w:val="20"/>
                <w:color w:val="auto"/>
              </w:rPr>
            </w:pPr>
            <w:r>
              <w:rPr>
                <w:rFonts w:ascii="Arial" w:cs="Arial" w:eastAsia="Arial" w:hAnsi="Arial"/>
                <w:sz w:val="16"/>
                <w:szCs w:val="16"/>
                <w:b w:val="1"/>
                <w:bCs w:val="1"/>
                <w:color w:val="auto"/>
              </w:rPr>
              <w:t>2020</w:t>
            </w:r>
          </w:p>
        </w:tc>
        <w:tc>
          <w:tcPr>
            <w:tcW w:w="144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81"/>
        </w:trPr>
        <w:tc>
          <w:tcPr>
            <w:tcW w:w="4380" w:type="dxa"/>
            <w:vAlign w:val="bottom"/>
          </w:tcPr>
          <w:p>
            <w:pPr>
              <w:spacing w:after="0"/>
              <w:rPr>
                <w:sz w:val="15"/>
                <w:szCs w:val="15"/>
                <w:color w:val="auto"/>
              </w:rPr>
            </w:pPr>
          </w:p>
        </w:tc>
        <w:tc>
          <w:tcPr>
            <w:tcW w:w="3220" w:type="dxa"/>
            <w:vAlign w:val="bottom"/>
          </w:tcPr>
          <w:p>
            <w:pPr>
              <w:jc w:val="right"/>
              <w:ind w:right="162"/>
              <w:spacing w:after="0" w:line="181" w:lineRule="exact"/>
              <w:rPr>
                <w:sz w:val="20"/>
                <w:szCs w:val="20"/>
                <w:color w:val="auto"/>
              </w:rPr>
            </w:pPr>
            <w:r>
              <w:rPr>
                <w:rFonts w:ascii="Arial" w:cs="Arial" w:eastAsia="Arial" w:hAnsi="Arial"/>
                <w:sz w:val="16"/>
                <w:szCs w:val="16"/>
                <w:b w:val="1"/>
                <w:bCs w:val="1"/>
                <w:color w:val="auto"/>
              </w:rPr>
              <w:t>Weights</w:t>
            </w:r>
          </w:p>
        </w:tc>
        <w:tc>
          <w:tcPr>
            <w:tcW w:w="144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Weights</w:t>
            </w:r>
          </w:p>
        </w:tc>
        <w:tc>
          <w:tcPr>
            <w:tcW w:w="0" w:type="dxa"/>
            <w:vAlign w:val="bottom"/>
          </w:tcPr>
          <w:p>
            <w:pPr>
              <w:spacing w:after="0"/>
              <w:rPr>
                <w:sz w:val="1"/>
                <w:szCs w:val="1"/>
                <w:color w:val="auto"/>
              </w:rPr>
            </w:pPr>
          </w:p>
        </w:tc>
      </w:tr>
      <w:tr>
        <w:trPr>
          <w:trHeight w:val="229"/>
        </w:trPr>
        <w:tc>
          <w:tcPr>
            <w:tcW w:w="43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Metrics</w:t>
            </w:r>
          </w:p>
        </w:tc>
        <w:tc>
          <w:tcPr>
            <w:tcW w:w="32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52"/>
        </w:trPr>
        <w:tc>
          <w:tcPr>
            <w:tcW w:w="4380" w:type="dxa"/>
            <w:vAlign w:val="bottom"/>
            <w:vMerge w:val="restart"/>
          </w:tcPr>
          <w:p>
            <w:pPr>
              <w:ind w:left="80"/>
              <w:spacing w:after="0"/>
              <w:rPr>
                <w:sz w:val="20"/>
                <w:szCs w:val="20"/>
                <w:color w:val="auto"/>
              </w:rPr>
            </w:pPr>
            <w:r>
              <w:rPr>
                <w:rFonts w:ascii="Arial" w:cs="Arial" w:eastAsia="Arial" w:hAnsi="Arial"/>
                <w:sz w:val="16"/>
                <w:szCs w:val="16"/>
                <w:color w:val="auto"/>
              </w:rPr>
              <w:t>Commercial Cloud Revenue</w:t>
            </w:r>
          </w:p>
        </w:tc>
        <w:tc>
          <w:tcPr>
            <w:tcW w:w="3220" w:type="dxa"/>
            <w:vAlign w:val="bottom"/>
            <w:vMerge w:val="restart"/>
          </w:tcPr>
          <w:p>
            <w:pPr>
              <w:jc w:val="right"/>
              <w:ind w:right="162"/>
              <w:spacing w:after="0"/>
              <w:rPr>
                <w:sz w:val="20"/>
                <w:szCs w:val="20"/>
                <w:color w:val="auto"/>
              </w:rPr>
            </w:pPr>
            <w:r>
              <w:rPr>
                <w:rFonts w:ascii="Arial" w:cs="Arial" w:eastAsia="Arial" w:hAnsi="Arial"/>
                <w:sz w:val="16"/>
                <w:szCs w:val="16"/>
                <w:color w:val="auto"/>
              </w:rPr>
              <w:t>35</w:t>
            </w:r>
          </w:p>
        </w:tc>
        <w:tc>
          <w:tcPr>
            <w:tcW w:w="144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H1 - 16.5</w:t>
            </w:r>
          </w:p>
        </w:tc>
        <w:tc>
          <w:tcPr>
            <w:tcW w:w="0" w:type="dxa"/>
            <w:vAlign w:val="bottom"/>
          </w:tcPr>
          <w:p>
            <w:pPr>
              <w:spacing w:after="0"/>
              <w:rPr>
                <w:sz w:val="1"/>
                <w:szCs w:val="1"/>
                <w:color w:val="auto"/>
              </w:rPr>
            </w:pPr>
          </w:p>
        </w:tc>
      </w:tr>
      <w:tr>
        <w:trPr>
          <w:trHeight w:val="85"/>
        </w:trPr>
        <w:tc>
          <w:tcPr>
            <w:tcW w:w="4380" w:type="dxa"/>
            <w:vAlign w:val="bottom"/>
            <w:vMerge w:val="continue"/>
          </w:tcPr>
          <w:p>
            <w:pPr>
              <w:spacing w:after="0"/>
              <w:rPr>
                <w:sz w:val="7"/>
                <w:szCs w:val="7"/>
                <w:color w:val="auto"/>
              </w:rPr>
            </w:pPr>
          </w:p>
        </w:tc>
        <w:tc>
          <w:tcPr>
            <w:tcW w:w="3220" w:type="dxa"/>
            <w:vAlign w:val="bottom"/>
            <w:vMerge w:val="continue"/>
          </w:tcPr>
          <w:p>
            <w:pPr>
              <w:spacing w:after="0"/>
              <w:rPr>
                <w:sz w:val="7"/>
                <w:szCs w:val="7"/>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H2 - 16.5</w:t>
            </w:r>
          </w:p>
        </w:tc>
        <w:tc>
          <w:tcPr>
            <w:tcW w:w="0" w:type="dxa"/>
            <w:vAlign w:val="bottom"/>
          </w:tcPr>
          <w:p>
            <w:pPr>
              <w:spacing w:after="0"/>
              <w:rPr>
                <w:sz w:val="1"/>
                <w:szCs w:val="1"/>
                <w:color w:val="auto"/>
              </w:rPr>
            </w:pPr>
          </w:p>
        </w:tc>
      </w:tr>
      <w:tr>
        <w:trPr>
          <w:trHeight w:val="115"/>
        </w:trPr>
        <w:tc>
          <w:tcPr>
            <w:tcW w:w="4380" w:type="dxa"/>
            <w:vAlign w:val="bottom"/>
            <w:tcBorders>
              <w:bottom w:val="single" w:sz="8" w:color="0075C9"/>
            </w:tcBorders>
          </w:tcPr>
          <w:p>
            <w:pPr>
              <w:spacing w:after="0"/>
              <w:rPr>
                <w:sz w:val="10"/>
                <w:szCs w:val="10"/>
                <w:color w:val="auto"/>
              </w:rPr>
            </w:pPr>
          </w:p>
        </w:tc>
        <w:tc>
          <w:tcPr>
            <w:tcW w:w="3220" w:type="dxa"/>
            <w:vAlign w:val="bottom"/>
            <w:tcBorders>
              <w:bottom w:val="single" w:sz="8" w:color="0075C9"/>
            </w:tcBorders>
          </w:tcPr>
          <w:p>
            <w:pPr>
              <w:spacing w:after="0"/>
              <w:rPr>
                <w:sz w:val="10"/>
                <w:szCs w:val="10"/>
                <w:color w:val="auto"/>
              </w:rPr>
            </w:pPr>
          </w:p>
        </w:tc>
        <w:tc>
          <w:tcPr>
            <w:tcW w:w="1440" w:type="dxa"/>
            <w:vAlign w:val="bottom"/>
            <w:tcBorders>
              <w:bottom w:val="single" w:sz="8" w:color="0075C9"/>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438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auto"/>
              </w:rPr>
              <w:t>Commercial Cloud Subscribers</w:t>
            </w:r>
          </w:p>
        </w:tc>
        <w:tc>
          <w:tcPr>
            <w:tcW w:w="3220" w:type="dxa"/>
            <w:vAlign w:val="bottom"/>
            <w:tcBorders>
              <w:bottom w:val="single" w:sz="8" w:color="0075C9"/>
            </w:tcBorders>
          </w:tcPr>
          <w:p>
            <w:pPr>
              <w:jc w:val="right"/>
              <w:ind w:right="162"/>
              <w:spacing w:after="0"/>
              <w:rPr>
                <w:sz w:val="20"/>
                <w:szCs w:val="20"/>
                <w:color w:val="auto"/>
              </w:rPr>
            </w:pPr>
            <w:r>
              <w:rPr>
                <w:rFonts w:ascii="Arial" w:cs="Arial" w:eastAsia="Arial" w:hAnsi="Arial"/>
                <w:sz w:val="16"/>
                <w:szCs w:val="16"/>
                <w:color w:val="auto"/>
              </w:rPr>
              <w:t>34</w:t>
            </w:r>
          </w:p>
        </w:tc>
        <w:tc>
          <w:tcPr>
            <w:tcW w:w="144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52"/>
        </w:trPr>
        <w:tc>
          <w:tcPr>
            <w:tcW w:w="438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auto"/>
              </w:rPr>
              <w:t>Teams Monthly Active Usage</w:t>
            </w:r>
          </w:p>
        </w:tc>
        <w:tc>
          <w:tcPr>
            <w:tcW w:w="3220" w:type="dxa"/>
            <w:vAlign w:val="bottom"/>
            <w:tcBorders>
              <w:bottom w:val="single" w:sz="8" w:color="0075C9"/>
            </w:tcBorders>
          </w:tcPr>
          <w:p>
            <w:pPr>
              <w:jc w:val="right"/>
              <w:ind w:right="162"/>
              <w:spacing w:after="0"/>
              <w:rPr>
                <w:sz w:val="20"/>
                <w:szCs w:val="20"/>
                <w:color w:val="auto"/>
              </w:rPr>
            </w:pPr>
            <w:r>
              <w:rPr>
                <w:rFonts w:ascii="Arial" w:cs="Arial" w:eastAsia="Arial" w:hAnsi="Arial"/>
                <w:sz w:val="16"/>
                <w:szCs w:val="16"/>
                <w:color w:val="auto"/>
              </w:rPr>
              <w:t>10</w:t>
            </w:r>
          </w:p>
        </w:tc>
        <w:tc>
          <w:tcPr>
            <w:tcW w:w="144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52"/>
        </w:trPr>
        <w:tc>
          <w:tcPr>
            <w:tcW w:w="438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auto"/>
              </w:rPr>
              <w:t>Xbox Game Pass Subscribers</w:t>
            </w:r>
          </w:p>
        </w:tc>
        <w:tc>
          <w:tcPr>
            <w:tcW w:w="3220" w:type="dxa"/>
            <w:vAlign w:val="bottom"/>
            <w:tcBorders>
              <w:bottom w:val="single" w:sz="8" w:color="0075C9"/>
            </w:tcBorders>
          </w:tcPr>
          <w:p>
            <w:pPr>
              <w:jc w:val="right"/>
              <w:ind w:right="162"/>
              <w:spacing w:after="0"/>
              <w:rPr>
                <w:sz w:val="20"/>
                <w:szCs w:val="20"/>
                <w:color w:val="auto"/>
              </w:rPr>
            </w:pPr>
            <w:r>
              <w:rPr>
                <w:rFonts w:ascii="Arial" w:cs="Arial" w:eastAsia="Arial" w:hAnsi="Arial"/>
                <w:sz w:val="16"/>
                <w:szCs w:val="16"/>
                <w:color w:val="auto"/>
              </w:rPr>
              <w:t>7</w:t>
            </w:r>
          </w:p>
        </w:tc>
        <w:tc>
          <w:tcPr>
            <w:tcW w:w="144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52"/>
        </w:trPr>
        <w:tc>
          <w:tcPr>
            <w:tcW w:w="4380" w:type="dxa"/>
            <w:vAlign w:val="bottom"/>
            <w:vMerge w:val="restart"/>
          </w:tcPr>
          <w:p>
            <w:pPr>
              <w:ind w:left="80"/>
              <w:spacing w:after="0"/>
              <w:rPr>
                <w:sz w:val="20"/>
                <w:szCs w:val="20"/>
                <w:color w:val="auto"/>
              </w:rPr>
            </w:pPr>
            <w:r>
              <w:rPr>
                <w:rFonts w:ascii="Arial" w:cs="Arial" w:eastAsia="Arial" w:hAnsi="Arial"/>
                <w:sz w:val="16"/>
                <w:szCs w:val="16"/>
                <w:color w:val="auto"/>
              </w:rPr>
              <w:t>Surface Revenue</w:t>
            </w:r>
          </w:p>
        </w:tc>
        <w:tc>
          <w:tcPr>
            <w:tcW w:w="3220" w:type="dxa"/>
            <w:vAlign w:val="bottom"/>
            <w:vMerge w:val="restart"/>
          </w:tcPr>
          <w:p>
            <w:pPr>
              <w:jc w:val="right"/>
              <w:ind w:right="162"/>
              <w:spacing w:after="0"/>
              <w:rPr>
                <w:sz w:val="20"/>
                <w:szCs w:val="20"/>
                <w:color w:val="auto"/>
              </w:rPr>
            </w:pPr>
            <w:r>
              <w:rPr>
                <w:rFonts w:ascii="Arial" w:cs="Arial" w:eastAsia="Arial" w:hAnsi="Arial"/>
                <w:sz w:val="16"/>
                <w:szCs w:val="16"/>
                <w:color w:val="auto"/>
              </w:rPr>
              <w:t>7</w:t>
            </w:r>
          </w:p>
        </w:tc>
        <w:tc>
          <w:tcPr>
            <w:tcW w:w="144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H1 - 2.5</w:t>
            </w:r>
          </w:p>
        </w:tc>
        <w:tc>
          <w:tcPr>
            <w:tcW w:w="0" w:type="dxa"/>
            <w:vAlign w:val="bottom"/>
          </w:tcPr>
          <w:p>
            <w:pPr>
              <w:spacing w:after="0"/>
              <w:rPr>
                <w:sz w:val="1"/>
                <w:szCs w:val="1"/>
                <w:color w:val="auto"/>
              </w:rPr>
            </w:pPr>
          </w:p>
        </w:tc>
      </w:tr>
      <w:tr>
        <w:trPr>
          <w:trHeight w:val="85"/>
        </w:trPr>
        <w:tc>
          <w:tcPr>
            <w:tcW w:w="4380" w:type="dxa"/>
            <w:vAlign w:val="bottom"/>
            <w:vMerge w:val="continue"/>
          </w:tcPr>
          <w:p>
            <w:pPr>
              <w:spacing w:after="0"/>
              <w:rPr>
                <w:sz w:val="7"/>
                <w:szCs w:val="7"/>
                <w:color w:val="auto"/>
              </w:rPr>
            </w:pPr>
          </w:p>
        </w:tc>
        <w:tc>
          <w:tcPr>
            <w:tcW w:w="3220" w:type="dxa"/>
            <w:vAlign w:val="bottom"/>
            <w:vMerge w:val="continue"/>
          </w:tcPr>
          <w:p>
            <w:pPr>
              <w:spacing w:after="0"/>
              <w:rPr>
                <w:sz w:val="7"/>
                <w:szCs w:val="7"/>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H2 - 2.5</w:t>
            </w:r>
          </w:p>
        </w:tc>
        <w:tc>
          <w:tcPr>
            <w:tcW w:w="0" w:type="dxa"/>
            <w:vAlign w:val="bottom"/>
          </w:tcPr>
          <w:p>
            <w:pPr>
              <w:spacing w:after="0"/>
              <w:rPr>
                <w:sz w:val="1"/>
                <w:szCs w:val="1"/>
                <w:color w:val="auto"/>
              </w:rPr>
            </w:pPr>
          </w:p>
        </w:tc>
      </w:tr>
      <w:tr>
        <w:trPr>
          <w:trHeight w:val="115"/>
        </w:trPr>
        <w:tc>
          <w:tcPr>
            <w:tcW w:w="4380" w:type="dxa"/>
            <w:vAlign w:val="bottom"/>
            <w:tcBorders>
              <w:bottom w:val="single" w:sz="8" w:color="0075C9"/>
            </w:tcBorders>
          </w:tcPr>
          <w:p>
            <w:pPr>
              <w:spacing w:after="0"/>
              <w:rPr>
                <w:sz w:val="10"/>
                <w:szCs w:val="10"/>
                <w:color w:val="auto"/>
              </w:rPr>
            </w:pPr>
          </w:p>
        </w:tc>
        <w:tc>
          <w:tcPr>
            <w:tcW w:w="3220" w:type="dxa"/>
            <w:vAlign w:val="bottom"/>
            <w:tcBorders>
              <w:bottom w:val="single" w:sz="8" w:color="0075C9"/>
            </w:tcBorders>
          </w:tcPr>
          <w:p>
            <w:pPr>
              <w:spacing w:after="0"/>
              <w:rPr>
                <w:sz w:val="10"/>
                <w:szCs w:val="10"/>
                <w:color w:val="auto"/>
              </w:rPr>
            </w:pPr>
          </w:p>
        </w:tc>
        <w:tc>
          <w:tcPr>
            <w:tcW w:w="1440" w:type="dxa"/>
            <w:vAlign w:val="bottom"/>
            <w:tcBorders>
              <w:bottom w:val="single" w:sz="8" w:color="0075C9"/>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438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auto"/>
              </w:rPr>
              <w:t>LinkedIn Sessions</w:t>
            </w:r>
          </w:p>
        </w:tc>
        <w:tc>
          <w:tcPr>
            <w:tcW w:w="3220" w:type="dxa"/>
            <w:vAlign w:val="bottom"/>
            <w:tcBorders>
              <w:bottom w:val="single" w:sz="8" w:color="0075C9"/>
            </w:tcBorders>
          </w:tcPr>
          <w:p>
            <w:pPr>
              <w:jc w:val="right"/>
              <w:ind w:right="162"/>
              <w:spacing w:after="0"/>
              <w:rPr>
                <w:sz w:val="20"/>
                <w:szCs w:val="20"/>
                <w:color w:val="auto"/>
              </w:rPr>
            </w:pPr>
            <w:r>
              <w:rPr>
                <w:rFonts w:ascii="Arial" w:cs="Arial" w:eastAsia="Arial" w:hAnsi="Arial"/>
                <w:sz w:val="16"/>
                <w:szCs w:val="16"/>
                <w:color w:val="auto"/>
              </w:rPr>
              <w:t>7</w:t>
            </w:r>
          </w:p>
        </w:tc>
        <w:tc>
          <w:tcPr>
            <w:tcW w:w="144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52"/>
        </w:trPr>
        <w:tc>
          <w:tcPr>
            <w:tcW w:w="438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auto"/>
              </w:rPr>
              <w:t>Total</w:t>
            </w:r>
          </w:p>
        </w:tc>
        <w:tc>
          <w:tcPr>
            <w:tcW w:w="3220" w:type="dxa"/>
            <w:vAlign w:val="bottom"/>
            <w:tcBorders>
              <w:bottom w:val="single" w:sz="8" w:color="0075C9"/>
            </w:tcBorders>
          </w:tcPr>
          <w:p>
            <w:pPr>
              <w:jc w:val="right"/>
              <w:ind w:right="162"/>
              <w:spacing w:after="0"/>
              <w:rPr>
                <w:sz w:val="20"/>
                <w:szCs w:val="20"/>
                <w:color w:val="auto"/>
              </w:rPr>
            </w:pPr>
            <w:r>
              <w:rPr>
                <w:rFonts w:ascii="Arial" w:cs="Arial" w:eastAsia="Arial" w:hAnsi="Arial"/>
                <w:sz w:val="16"/>
                <w:szCs w:val="16"/>
                <w:b w:val="1"/>
                <w:bCs w:val="1"/>
                <w:color w:val="auto"/>
              </w:rPr>
              <w:t>100</w:t>
            </w:r>
          </w:p>
        </w:tc>
        <w:tc>
          <w:tcPr>
            <w:tcW w:w="1440" w:type="dxa"/>
            <w:vAlign w:val="bottom"/>
            <w:tcBorders>
              <w:bottom w:val="single" w:sz="8" w:color="0075C9"/>
            </w:tcBorders>
          </w:tcPr>
          <w:p>
            <w:pPr>
              <w:jc w:val="right"/>
              <w:spacing w:after="0"/>
              <w:rPr>
                <w:sz w:val="20"/>
                <w:szCs w:val="20"/>
                <w:color w:val="auto"/>
              </w:rPr>
            </w:pPr>
            <w:r>
              <w:rPr>
                <w:rFonts w:ascii="Arial" w:cs="Arial" w:eastAsia="Arial" w:hAnsi="Arial"/>
                <w:sz w:val="16"/>
                <w:szCs w:val="16"/>
                <w:b w:val="1"/>
                <w:bCs w:val="1"/>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312420</wp:posOffset>
            </wp:positionV>
            <wp:extent cx="573976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Section 6 – Other Compensation Policies and Information</w:t>
      </w:r>
    </w:p>
    <w:p>
      <w:pPr>
        <w:spacing w:after="0" w:line="109"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No Significant Executive Benefits and Perquisites</w:t>
      </w:r>
    </w:p>
    <w:p>
      <w:pPr>
        <w:spacing w:after="0" w:line="129" w:lineRule="exact"/>
        <w:rPr>
          <w:sz w:val="20"/>
          <w:szCs w:val="20"/>
          <w:color w:val="auto"/>
        </w:rPr>
      </w:pPr>
    </w:p>
    <w:p>
      <w:pPr>
        <w:ind w:left="1100"/>
        <w:spacing w:after="0" w:line="275" w:lineRule="auto"/>
        <w:rPr>
          <w:sz w:val="20"/>
          <w:szCs w:val="20"/>
          <w:color w:val="auto"/>
        </w:rPr>
      </w:pPr>
      <w:r>
        <w:rPr>
          <w:rFonts w:ascii="Arial" w:cs="Arial" w:eastAsia="Arial" w:hAnsi="Arial"/>
          <w:sz w:val="14"/>
          <w:szCs w:val="14"/>
          <w:color w:val="auto"/>
        </w:rPr>
        <w:t>Our Named Executives are eligible for the same benefits available to our other full-time employees. In the U.S., our benefits include our section 401(k) plan, employee stock purchase plan, health care plan, life insurance plans, and other welfare benefit programs. In addition to the standard benefits offered to all U.S. employees, we maintain a nonqualified deferred compensation plan for our U.S. executive officers and senior managers. This deferred compensation plan is unfunded, and participation is voluntary. The deferred compensation plan allows our Named Executives to defer their base salary, the cash portion of their Incentive Plan awards, and certain on-hire bonuses. We do not contribute to the deferred compensation plan. Named Executives are eligible for matching gifts for charitable donations above the maximum for our other U.S.-based full-time employees. Mr. Courtois participates in the standard benefits for leadership team members in France, including profit sharing, a health examination, and a car allowance.</w:t>
      </w:r>
    </w:p>
    <w:p>
      <w:pPr>
        <w:spacing w:after="0" w:line="78" w:lineRule="exact"/>
        <w:rPr>
          <w:sz w:val="20"/>
          <w:szCs w:val="20"/>
          <w:color w:val="auto"/>
        </w:rPr>
      </w:pPr>
    </w:p>
    <w:p>
      <w:pPr>
        <w:ind w:left="1100" w:right="160"/>
        <w:spacing w:after="0" w:line="239" w:lineRule="auto"/>
        <w:rPr>
          <w:sz w:val="20"/>
          <w:szCs w:val="20"/>
          <w:color w:val="auto"/>
        </w:rPr>
      </w:pPr>
      <w:r>
        <w:rPr>
          <w:rFonts w:ascii="Arial" w:cs="Arial" w:eastAsia="Arial" w:hAnsi="Arial"/>
          <w:sz w:val="16"/>
          <w:szCs w:val="16"/>
          <w:color w:val="auto"/>
        </w:rPr>
        <w:t>During fiscal year 2021, we provided no executive-only perquisites or other personal benefits to our Named Executives other than matching gifts made to charitable organizations.</w:t>
      </w:r>
    </w:p>
    <w:p>
      <w:pPr>
        <w:spacing w:after="0" w:line="169"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Post-Employment Compensation</w:t>
      </w:r>
    </w:p>
    <w:p>
      <w:pPr>
        <w:spacing w:after="0" w:line="129" w:lineRule="exact"/>
        <w:rPr>
          <w:sz w:val="20"/>
          <w:szCs w:val="20"/>
          <w:color w:val="auto"/>
        </w:rPr>
      </w:pPr>
    </w:p>
    <w:p>
      <w:pPr>
        <w:ind w:left="1100" w:right="40"/>
        <w:spacing w:after="0" w:line="239" w:lineRule="auto"/>
        <w:rPr>
          <w:sz w:val="20"/>
          <w:szCs w:val="20"/>
          <w:color w:val="auto"/>
        </w:rPr>
      </w:pPr>
      <w:r>
        <w:rPr>
          <w:rFonts w:ascii="Arial" w:cs="Arial" w:eastAsia="Arial" w:hAnsi="Arial"/>
          <w:sz w:val="16"/>
          <w:szCs w:val="16"/>
          <w:color w:val="auto"/>
        </w:rPr>
        <w:t>Our Named Executives do not have employment contracts. No Named Executive is entitled to any payments or benefits following a change in control of Microsoft.</w:t>
      </w:r>
    </w:p>
    <w:p>
      <w:pPr>
        <w:spacing w:after="0" w:line="100" w:lineRule="exact"/>
        <w:rPr>
          <w:sz w:val="20"/>
          <w:szCs w:val="20"/>
          <w:color w:val="auto"/>
        </w:rPr>
      </w:pPr>
    </w:p>
    <w:p>
      <w:pPr>
        <w:ind w:left="1100"/>
        <w:spacing w:after="0" w:line="274" w:lineRule="auto"/>
        <w:rPr>
          <w:sz w:val="20"/>
          <w:szCs w:val="20"/>
          <w:color w:val="auto"/>
        </w:rPr>
      </w:pPr>
      <w:r>
        <w:rPr>
          <w:rFonts w:ascii="Arial" w:cs="Arial" w:eastAsia="Arial" w:hAnsi="Arial"/>
          <w:sz w:val="14"/>
          <w:szCs w:val="14"/>
          <w:color w:val="auto"/>
        </w:rPr>
        <w:t>Our Named Executives may be eligible for additional vesting of their outstanding SAs following termination of employment on the same terms as our other employees. All U.S. employees who retire from Microsoft after (a) age 65 or (b) age 55 with 15 years of service are eligible for the continuation of vesting of outstanding SAs granted at hire or at the time of annual performance review, if the award was granted over one year before the date of retirement. A pro-rata portion of PSA shares will also continue vesting if the retirement occurs more than one year after the beginning of the performance period. As of June 30, 2021, only Mr. Smith was retirement eligible, and the value of his SAs and PSAs eligible for continued vesting if he retired on that date was $28,786,918 (assuming PSAs are earned at 100% of target). All employees whose employment with Microsoft terminates due to death or total and permanent disability generally fully vest in their outstanding SAs. Our PSAs vest for the target number of shares upon death or total and permanent disability. The value of our Named Executives’ SAs and PSAs that would have vested assuming a June 30, 2021 termination of employment due to death or total and permanent disability was: Mr. Nadella, $114,791,437; Ms. Hood, $55,975,525; Mr. Courtois $38,403,326; Mr. Smith, $46,935,050; and Mr. Young, $31,900,642.</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-94615</wp:posOffset>
            </wp:positionV>
            <wp:extent cx="485140" cy="9842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45" w:right="1439" w:bottom="1440" w:gutter="0" w:footer="0" w:header="0"/>
        </w:sectPr>
      </w:pPr>
    </w:p>
    <w:bookmarkStart w:id="60" w:name="page61"/>
    <w:bookmarkEnd w:id="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auto"/>
                <w:w w:val="89"/>
              </w:rPr>
              <w:t>1</w:t>
            </w:r>
          </w:p>
        </w:tc>
        <w:tc>
          <w:tcPr>
            <w:tcW w:w="1380" w:type="dxa"/>
            <w:vAlign w:val="bottom"/>
            <w:vMerge w:val="restart"/>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gridSpan w:val="2"/>
          </w:tcPr>
          <w:p>
            <w:pPr>
              <w:jc w:val="right"/>
              <w:ind w:right="80"/>
              <w:spacing w:after="0"/>
              <w:rPr>
                <w:sz w:val="20"/>
                <w:szCs w:val="20"/>
                <w:color w:val="auto"/>
              </w:rPr>
            </w:pPr>
            <w:r>
              <w:rPr>
                <w:rFonts w:ascii="Arial" w:cs="Arial" w:eastAsia="Arial" w:hAnsi="Arial"/>
                <w:sz w:val="36"/>
                <w:szCs w:val="36"/>
                <w:color w:val="0075C9"/>
              </w:rPr>
              <w:t>2</w:t>
            </w:r>
          </w:p>
        </w:tc>
        <w:tc>
          <w:tcPr>
            <w:tcW w:w="1320" w:type="dxa"/>
            <w:vAlign w:val="bottom"/>
            <w:vMerge w:val="restart"/>
          </w:tcPr>
          <w:p>
            <w:pPr>
              <w:ind w:left="60"/>
              <w:spacing w:after="0"/>
              <w:rPr>
                <w:sz w:val="20"/>
                <w:szCs w:val="20"/>
                <w:color w:val="auto"/>
              </w:rPr>
            </w:pPr>
            <w:r>
              <w:rPr>
                <w:rFonts w:ascii="Arial" w:cs="Arial" w:eastAsia="Arial" w:hAnsi="Arial"/>
                <w:sz w:val="12"/>
                <w:szCs w:val="12"/>
                <w:color w:val="0075C9"/>
              </w:rPr>
              <w:t>NAMED</w:t>
            </w:r>
          </w:p>
        </w:tc>
        <w:tc>
          <w:tcPr>
            <w:tcW w:w="740" w:type="dxa"/>
            <w:vAlign w:val="bottom"/>
          </w:tcPr>
          <w:p>
            <w:pPr>
              <w:jc w:val="right"/>
              <w:spacing w:after="0"/>
              <w:rPr>
                <w:sz w:val="20"/>
                <w:szCs w:val="20"/>
                <w:color w:val="auto"/>
              </w:rPr>
            </w:pPr>
            <w:r>
              <w:rPr>
                <w:rFonts w:ascii="Arial" w:cs="Arial" w:eastAsia="Arial" w:hAnsi="Arial"/>
                <w:sz w:val="36"/>
                <w:szCs w:val="36"/>
                <w:color w:val="auto"/>
              </w:rPr>
              <w:t>3</w:t>
            </w:r>
          </w:p>
        </w:tc>
        <w:tc>
          <w:tcPr>
            <w:tcW w:w="1020" w:type="dxa"/>
            <w:vAlign w:val="bottom"/>
            <w:vMerge w:val="restart"/>
          </w:tcPr>
          <w:p>
            <w:pPr>
              <w:ind w:left="60"/>
              <w:spacing w:after="0"/>
              <w:rPr>
                <w:sz w:val="20"/>
                <w:szCs w:val="20"/>
                <w:color w:val="auto"/>
              </w:rPr>
            </w:pPr>
            <w:r>
              <w:rPr>
                <w:rFonts w:ascii="Arial" w:cs="Arial" w:eastAsia="Arial" w:hAnsi="Arial"/>
                <w:sz w:val="12"/>
                <w:szCs w:val="12"/>
                <w:color w:val="auto"/>
              </w:rPr>
              <w:t>AUDIT</w:t>
            </w:r>
          </w:p>
        </w:tc>
        <w:tc>
          <w:tcPr>
            <w:tcW w:w="500" w:type="dxa"/>
            <w:vAlign w:val="bottom"/>
          </w:tcPr>
          <w:p>
            <w:pPr>
              <w:jc w:val="right"/>
              <w:spacing w:after="0"/>
              <w:rPr>
                <w:sz w:val="20"/>
                <w:szCs w:val="20"/>
                <w:color w:val="auto"/>
              </w:rPr>
            </w:pPr>
            <w:r>
              <w:rPr>
                <w:rFonts w:ascii="Arial" w:cs="Arial" w:eastAsia="Arial" w:hAnsi="Arial"/>
                <w:sz w:val="36"/>
                <w:szCs w:val="36"/>
                <w:color w:val="auto"/>
              </w:rPr>
              <w:t>4</w:t>
            </w:r>
          </w:p>
        </w:tc>
        <w:tc>
          <w:tcPr>
            <w:tcW w:w="1580" w:type="dxa"/>
            <w:vAlign w:val="bottom"/>
            <w:vMerge w:val="restart"/>
          </w:tcPr>
          <w:p>
            <w:pPr>
              <w:ind w:left="80"/>
              <w:spacing w:after="0"/>
              <w:rPr>
                <w:sz w:val="20"/>
                <w:szCs w:val="20"/>
                <w:color w:val="auto"/>
              </w:rPr>
            </w:pPr>
            <w:r>
              <w:rPr>
                <w:rFonts w:ascii="Arial" w:cs="Arial" w:eastAsia="Arial" w:hAnsi="Arial"/>
                <w:sz w:val="12"/>
                <w:szCs w:val="12"/>
                <w:color w:val="auto"/>
              </w:rPr>
              <w:t>PROPOSALS TO</w:t>
            </w:r>
          </w:p>
        </w:tc>
        <w:tc>
          <w:tcPr>
            <w:tcW w:w="420" w:type="dxa"/>
            <w:vAlign w:val="bottom"/>
          </w:tcPr>
          <w:p>
            <w:pPr>
              <w:jc w:val="right"/>
              <w:spacing w:after="0"/>
              <w:rPr>
                <w:sz w:val="20"/>
                <w:szCs w:val="20"/>
                <w:color w:val="auto"/>
              </w:rPr>
            </w:pPr>
            <w:r>
              <w:rPr>
                <w:rFonts w:ascii="Arial" w:cs="Arial" w:eastAsia="Arial" w:hAnsi="Arial"/>
                <w:sz w:val="36"/>
                <w:szCs w:val="36"/>
                <w:color w:val="auto"/>
              </w:rPr>
              <w:t>5</w:t>
            </w:r>
          </w:p>
        </w:tc>
        <w:tc>
          <w:tcPr>
            <w:tcW w:w="920" w:type="dxa"/>
            <w:vAlign w:val="bottom"/>
            <w:vMerge w:val="restart"/>
          </w:tcPr>
          <w:p>
            <w:pPr>
              <w:ind w:left="8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38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tcPr>
          <w:p>
            <w:pPr>
              <w:ind w:left="60"/>
              <w:spacing w:after="0" w:line="130" w:lineRule="exact"/>
              <w:rPr>
                <w:sz w:val="20"/>
                <w:szCs w:val="20"/>
                <w:color w:val="auto"/>
              </w:rPr>
            </w:pPr>
            <w:r>
              <w:rPr>
                <w:rFonts w:ascii="Arial" w:cs="Arial" w:eastAsia="Arial" w:hAnsi="Arial"/>
                <w:sz w:val="12"/>
                <w:szCs w:val="12"/>
                <w:color w:val="0075C9"/>
                <w:w w:val="99"/>
              </w:rPr>
              <w:t>EXECUTIVE OFFICER</w:t>
            </w:r>
          </w:p>
        </w:tc>
        <w:tc>
          <w:tcPr>
            <w:tcW w:w="740" w:type="dxa"/>
            <w:vAlign w:val="bottom"/>
          </w:tcPr>
          <w:p>
            <w:pPr>
              <w:spacing w:after="0"/>
              <w:rPr>
                <w:sz w:val="11"/>
                <w:szCs w:val="11"/>
                <w:color w:val="auto"/>
              </w:rPr>
            </w:pPr>
          </w:p>
        </w:tc>
        <w:tc>
          <w:tcPr>
            <w:tcW w:w="1020" w:type="dxa"/>
            <w:vAlign w:val="bottom"/>
          </w:tcPr>
          <w:p>
            <w:pPr>
              <w:ind w:left="60"/>
              <w:spacing w:after="0" w:line="130" w:lineRule="exact"/>
              <w:rPr>
                <w:sz w:val="20"/>
                <w:szCs w:val="20"/>
                <w:color w:val="auto"/>
              </w:rPr>
            </w:pPr>
            <w:r>
              <w:rPr>
                <w:rFonts w:ascii="Arial" w:cs="Arial" w:eastAsia="Arial" w:hAnsi="Arial"/>
                <w:sz w:val="12"/>
                <w:szCs w:val="12"/>
                <w:color w:val="auto"/>
              </w:rPr>
              <w:t>COMMITTEE</w:t>
            </w:r>
          </w:p>
        </w:tc>
        <w:tc>
          <w:tcPr>
            <w:tcW w:w="500" w:type="dxa"/>
            <w:vAlign w:val="bottom"/>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20" w:type="dxa"/>
            <w:vAlign w:val="bottom"/>
          </w:tcPr>
          <w:p>
            <w:pPr>
              <w:spacing w:after="0"/>
              <w:rPr>
                <w:sz w:val="11"/>
                <w:szCs w:val="11"/>
                <w:color w:val="auto"/>
              </w:rPr>
            </w:pPr>
          </w:p>
        </w:tc>
        <w:tc>
          <w:tcPr>
            <w:tcW w:w="92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380" w:type="dxa"/>
            <w:vAlign w:val="bottom"/>
          </w:tcPr>
          <w:p>
            <w:pPr>
              <w:ind w:left="80"/>
              <w:spacing w:after="0"/>
              <w:rPr>
                <w:sz w:val="20"/>
                <w:szCs w:val="20"/>
                <w:color w:val="auto"/>
              </w:rPr>
            </w:pPr>
            <w:r>
              <w:rPr>
                <w:rFonts w:ascii="Arial" w:cs="Arial" w:eastAsia="Arial" w:hAnsi="Arial"/>
                <w:sz w:val="12"/>
                <w:szCs w:val="12"/>
                <w:color w:val="auto"/>
              </w:rPr>
              <w:t>DIRECTORS</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0075C9"/>
              </w:rPr>
              <w:t>COMPENSATION</w:t>
            </w:r>
          </w:p>
        </w:tc>
        <w:tc>
          <w:tcPr>
            <w:tcW w:w="740" w:type="dxa"/>
            <w:vAlign w:val="bottom"/>
          </w:tcPr>
          <w:p>
            <w:pPr>
              <w:spacing w:after="0"/>
              <w:rPr>
                <w:sz w:val="12"/>
                <w:szCs w:val="12"/>
                <w:color w:val="auto"/>
              </w:rPr>
            </w:pPr>
          </w:p>
        </w:tc>
        <w:tc>
          <w:tcPr>
            <w:tcW w:w="1020" w:type="dxa"/>
            <w:vAlign w:val="bottom"/>
          </w:tcPr>
          <w:p>
            <w:pPr>
              <w:ind w:left="60"/>
              <w:spacing w:after="0"/>
              <w:rPr>
                <w:sz w:val="20"/>
                <w:szCs w:val="20"/>
                <w:color w:val="auto"/>
              </w:rPr>
            </w:pPr>
            <w:r>
              <w:rPr>
                <w:rFonts w:ascii="Arial" w:cs="Arial" w:eastAsia="Arial" w:hAnsi="Arial"/>
                <w:sz w:val="12"/>
                <w:szCs w:val="12"/>
                <w:color w:val="auto"/>
              </w:rPr>
              <w:t>MATTERS</w:t>
            </w:r>
          </w:p>
        </w:tc>
        <w:tc>
          <w:tcPr>
            <w:tcW w:w="500" w:type="dxa"/>
            <w:vAlign w:val="bottom"/>
          </w:tcPr>
          <w:p>
            <w:pPr>
              <w:spacing w:after="0"/>
              <w:rPr>
                <w:sz w:val="12"/>
                <w:szCs w:val="12"/>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20" w:type="dxa"/>
            <w:vAlign w:val="bottom"/>
          </w:tcPr>
          <w:p>
            <w:pPr>
              <w:spacing w:after="0"/>
              <w:rPr>
                <w:sz w:val="12"/>
                <w:szCs w:val="12"/>
                <w:color w:val="auto"/>
              </w:rPr>
            </w:pPr>
          </w:p>
        </w:tc>
        <w:tc>
          <w:tcPr>
            <w:tcW w:w="92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00" w:lineRule="exact"/>
        <w:rPr>
          <w:sz w:val="20"/>
          <w:szCs w:val="20"/>
          <w:color w:val="auto"/>
        </w:rPr>
      </w:pPr>
    </w:p>
    <w:p>
      <w:pPr>
        <w:ind w:left="1100" w:right="160"/>
        <w:spacing w:after="0" w:line="237" w:lineRule="auto"/>
        <w:rPr>
          <w:sz w:val="20"/>
          <w:szCs w:val="20"/>
          <w:color w:val="auto"/>
        </w:rPr>
      </w:pPr>
      <w:r>
        <w:rPr>
          <w:rFonts w:ascii="Arial" w:cs="Arial" w:eastAsia="Arial" w:hAnsi="Arial"/>
          <w:sz w:val="16"/>
          <w:szCs w:val="16"/>
          <w:color w:val="auto"/>
        </w:rPr>
        <w:t>In addition, our Named Executives are eligible to participate in the Microsoft Senior Executive Severance Benefit Plan (“Severance Plan”). The Severance Plan was adopted to help ensure continuity of key leaders by providing designated executives severance payments and benefits if their employment is terminated without cause. For purposes of the Severance Plan, “cause” means (i) a conviction or plea of guilty or no contest to a felony or certain misdemeanors; (ii) engaging in gross misconduct; (iii) repeated failure to substantially perform the duties of the Named Executive’s role; (iv) violation of any securities laws; or (v) violation of Microsoft’s policies designed to prevent violations of law.</w:t>
      </w:r>
    </w:p>
    <w:p>
      <w:pPr>
        <w:spacing w:after="0" w:line="101" w:lineRule="exact"/>
        <w:rPr>
          <w:sz w:val="20"/>
          <w:szCs w:val="20"/>
          <w:color w:val="auto"/>
        </w:rPr>
      </w:pPr>
    </w:p>
    <w:p>
      <w:pPr>
        <w:ind w:left="1100" w:right="140"/>
        <w:spacing w:after="0" w:line="237" w:lineRule="auto"/>
        <w:rPr>
          <w:sz w:val="20"/>
          <w:szCs w:val="20"/>
          <w:color w:val="auto"/>
        </w:rPr>
      </w:pPr>
      <w:r>
        <w:rPr>
          <w:rFonts w:ascii="Arial" w:cs="Arial" w:eastAsia="Arial" w:hAnsi="Arial"/>
          <w:sz w:val="16"/>
          <w:szCs w:val="16"/>
          <w:color w:val="auto"/>
        </w:rPr>
        <w:t>The Severance Plan payments and benefits have four components – cash, stock vesting, continued health care, and outplacement assistance – all provided by Microsoft. Cash payments consist of (i) a severance payment equal to 12 months’ base salary plus target annual cash incentive award, payable in a lump sum within 60 days after termination of employment; and (ii) a pro-rata payment of the Named Executive’s target annual cash incentive award for the partial year of work, payable in a lump sum at the same time other Incentive Plan cash awards for the year are paid. Stock vesting applies to SAs and PSAs. SAs that otherwise would vest in the 12-month period after employment terminates continue to vest. After the first year of the PSA performance period is completed, a pro-rata portion of any PSA shares will also vest, and the number of shares subject to pro-ration is the lesser of the target award shares or the shares that are otherwise earned and payable after the end of the performance period. Continued contributions to premiums for COBRA health care continuation coverage and outplacement assistance will be provided on the same terms as are available to other employees whose employment is terminated without cause. There is no change-in-control provision in the Severance Plan. To receive the Severance Plan payments and benefits, the Named Executive must execute a separation agreement that includes a release of claims in favor of Microsoft, confidentiality and non-disparagement provisions, and 12-month non-compete/non-solicitation restrictions.</w:t>
      </w:r>
    </w:p>
    <w:p>
      <w:pPr>
        <w:spacing w:after="0" w:line="9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Mr. Nadella participates in the Severance Plan on the same terms as our other executive officers.</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Strong Clawback Policy</w:t>
      </w:r>
    </w:p>
    <w:p>
      <w:pPr>
        <w:spacing w:after="0" w:line="129" w:lineRule="exact"/>
        <w:rPr>
          <w:sz w:val="20"/>
          <w:szCs w:val="20"/>
          <w:color w:val="auto"/>
        </w:rPr>
      </w:pPr>
    </w:p>
    <w:p>
      <w:pPr>
        <w:ind w:left="1100" w:right="140"/>
        <w:spacing w:after="0" w:line="276" w:lineRule="auto"/>
        <w:rPr>
          <w:sz w:val="20"/>
          <w:szCs w:val="20"/>
          <w:color w:val="auto"/>
        </w:rPr>
      </w:pPr>
      <w:r>
        <w:rPr>
          <w:rFonts w:ascii="Arial" w:cs="Arial" w:eastAsia="Arial" w:hAnsi="Arial"/>
          <w:sz w:val="14"/>
          <w:szCs w:val="14"/>
          <w:color w:val="auto"/>
        </w:rPr>
        <w:t xml:space="preserve">Accountability is a fundamental value of Microsoft. To reinforce this value through our executive compensation program, our executive officers and certain other senior executives are subject to a strong ‘no fault’ executive compensation recovery (“clawback”) policy. Under this policy, our Compensation Committee may seek to recover payments of incentive compensation if the performance results leading to a payment are later subject to a downward adjustment or restatement of financial or nonfinancial performance. Our Compensation Committee may use its judgment in determining the amount to be recovered where the incentive compensation was awarded subjectively. Our Compensation Committee may also seek recovery of up to the entire amount of any incentive compensation awarded during a period where a covered executive committed a significant legal or compliance violation. Our executive compensation recovery policy is available on our website at </w:t>
      </w:r>
      <w:r>
        <w:rPr>
          <w:rFonts w:ascii="Arial" w:cs="Arial" w:eastAsia="Arial" w:hAnsi="Arial"/>
          <w:sz w:val="14"/>
          <w:szCs w:val="14"/>
          <w:u w:val="single" w:color="auto"/>
          <w:color w:val="auto"/>
        </w:rPr>
        <w:t>aka.ms/policiesandguidelines</w:t>
      </w:r>
      <w:r>
        <w:rPr>
          <w:rFonts w:ascii="Arial" w:cs="Arial" w:eastAsia="Arial" w:hAnsi="Arial"/>
          <w:sz w:val="14"/>
          <w:szCs w:val="14"/>
          <w:color w:val="auto"/>
        </w:rPr>
        <w:t>.</w:t>
      </w:r>
    </w:p>
    <w:p>
      <w:pPr>
        <w:spacing w:after="0" w:line="328"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Robust Stock Ownership Policy</w:t>
      </w:r>
    </w:p>
    <w:p>
      <w:pPr>
        <w:spacing w:after="0" w:line="129" w:lineRule="exact"/>
        <w:rPr>
          <w:sz w:val="20"/>
          <w:szCs w:val="20"/>
          <w:color w:val="auto"/>
        </w:rPr>
      </w:pPr>
    </w:p>
    <w:p>
      <w:pPr>
        <w:ind w:left="1100" w:right="180"/>
        <w:spacing w:after="0" w:line="276" w:lineRule="auto"/>
        <w:rPr>
          <w:sz w:val="20"/>
          <w:szCs w:val="20"/>
          <w:color w:val="auto"/>
        </w:rPr>
      </w:pPr>
      <w:r>
        <w:rPr>
          <w:rFonts w:ascii="Arial" w:cs="Arial" w:eastAsia="Arial" w:hAnsi="Arial"/>
          <w:sz w:val="14"/>
          <w:szCs w:val="14"/>
          <w:color w:val="auto"/>
        </w:rPr>
        <w:t>Our executive officers and certain other senior executives are required to maintain a minimum equity stake in Microsoft. This policy embodies our Compensation Committee’s belief that our most senior executives should maintain a significant personal financial stake in Microsoft to promote a long-term perspective in managing our business. In addition, the policy helps align executive and shareholder interests, which reduces incentive for excessive short-term risk taking. Each covered executive is required to acquire and maintain ownership of shares of Microsoft common stock equal to a specified multiple of his or her base salary, which for our Named Executives ranges from 8 to 15 times base salary, as shown in the table below. Each covered executive must retain 50% of all net shares (post-tax) that vest until achieving his or her minimum share ownership requirement.</w:t>
      </w:r>
    </w:p>
    <w:p>
      <w:pPr>
        <w:spacing w:after="0" w:line="186" w:lineRule="exact"/>
        <w:rPr>
          <w:sz w:val="20"/>
          <w:szCs w:val="20"/>
          <w:color w:val="auto"/>
        </w:rPr>
      </w:pPr>
    </w:p>
    <w:tbl>
      <w:tblPr>
        <w:tblLayout w:type="fixed"/>
        <w:tblInd w:w="1100" w:type="dxa"/>
        <w:tblCellMar>
          <w:top w:w="0" w:type="dxa"/>
          <w:left w:w="0" w:type="dxa"/>
          <w:bottom w:w="0" w:type="dxa"/>
          <w:right w:w="0" w:type="dxa"/>
        </w:tblCellMar>
      </w:tblPr>
      <w:tr>
        <w:trPr>
          <w:trHeight w:val="184"/>
        </w:trPr>
        <w:tc>
          <w:tcPr>
            <w:tcW w:w="4700" w:type="dxa"/>
            <w:vAlign w:val="bottom"/>
          </w:tcPr>
          <w:p>
            <w:pPr>
              <w:spacing w:after="0"/>
              <w:rPr>
                <w:sz w:val="16"/>
                <w:szCs w:val="16"/>
                <w:color w:val="auto"/>
              </w:rPr>
            </w:pPr>
          </w:p>
        </w:tc>
        <w:tc>
          <w:tcPr>
            <w:tcW w:w="4340" w:type="dxa"/>
            <w:vAlign w:val="bottom"/>
          </w:tcPr>
          <w:p>
            <w:pPr>
              <w:jc w:val="right"/>
              <w:spacing w:after="0"/>
              <w:rPr>
                <w:sz w:val="20"/>
                <w:szCs w:val="20"/>
                <w:color w:val="auto"/>
              </w:rPr>
            </w:pPr>
            <w:r>
              <w:rPr>
                <w:rFonts w:ascii="Arial" w:cs="Arial" w:eastAsia="Arial" w:hAnsi="Arial"/>
                <w:sz w:val="16"/>
                <w:szCs w:val="16"/>
                <w:b w:val="1"/>
                <w:bCs w:val="1"/>
                <w:color w:val="auto"/>
              </w:rPr>
              <w:t>Share Ownership</w:t>
            </w:r>
          </w:p>
        </w:tc>
      </w:tr>
      <w:tr>
        <w:trPr>
          <w:trHeight w:val="181"/>
        </w:trPr>
        <w:tc>
          <w:tcPr>
            <w:tcW w:w="4700" w:type="dxa"/>
            <w:vAlign w:val="bottom"/>
          </w:tcPr>
          <w:p>
            <w:pPr>
              <w:spacing w:after="0"/>
              <w:rPr>
                <w:sz w:val="15"/>
                <w:szCs w:val="15"/>
                <w:color w:val="auto"/>
              </w:rPr>
            </w:pPr>
          </w:p>
        </w:tc>
        <w:tc>
          <w:tcPr>
            <w:tcW w:w="434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Requirement as of</w:t>
            </w:r>
          </w:p>
        </w:tc>
      </w:tr>
      <w:tr>
        <w:trPr>
          <w:trHeight w:val="229"/>
        </w:trPr>
        <w:tc>
          <w:tcPr>
            <w:tcW w:w="47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Named Executive</w:t>
            </w:r>
          </w:p>
        </w:tc>
        <w:tc>
          <w:tcPr>
            <w:tcW w:w="4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2021</w:t>
            </w:r>
          </w:p>
        </w:tc>
      </w:tr>
      <w:tr>
        <w:trPr>
          <w:trHeight w:val="252"/>
        </w:trPr>
        <w:tc>
          <w:tcPr>
            <w:tcW w:w="470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Satya Nadella</w:t>
            </w:r>
          </w:p>
        </w:tc>
        <w:tc>
          <w:tcPr>
            <w:tcW w:w="434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15x base salary</w:t>
            </w:r>
          </w:p>
        </w:tc>
      </w:tr>
      <w:tr>
        <w:trPr>
          <w:trHeight w:val="252"/>
        </w:trPr>
        <w:tc>
          <w:tcPr>
            <w:tcW w:w="470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Amy E. Hood</w:t>
            </w:r>
          </w:p>
        </w:tc>
        <w:tc>
          <w:tcPr>
            <w:tcW w:w="434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8x base salary</w:t>
            </w:r>
          </w:p>
        </w:tc>
      </w:tr>
      <w:tr>
        <w:trPr>
          <w:trHeight w:val="252"/>
        </w:trPr>
        <w:tc>
          <w:tcPr>
            <w:tcW w:w="470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Jean-Philippe Courtois</w:t>
            </w:r>
          </w:p>
        </w:tc>
        <w:tc>
          <w:tcPr>
            <w:tcW w:w="434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8x base salary</w:t>
            </w:r>
          </w:p>
        </w:tc>
      </w:tr>
      <w:tr>
        <w:trPr>
          <w:trHeight w:val="252"/>
        </w:trPr>
        <w:tc>
          <w:tcPr>
            <w:tcW w:w="470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Bradford L. Smith</w:t>
            </w:r>
          </w:p>
        </w:tc>
        <w:tc>
          <w:tcPr>
            <w:tcW w:w="434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8x base salary</w:t>
            </w:r>
          </w:p>
        </w:tc>
      </w:tr>
      <w:tr>
        <w:trPr>
          <w:trHeight w:val="252"/>
        </w:trPr>
        <w:tc>
          <w:tcPr>
            <w:tcW w:w="470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Christopher D. Young</w:t>
            </w:r>
          </w:p>
        </w:tc>
        <w:tc>
          <w:tcPr>
            <w:tcW w:w="434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8x base salary</w:t>
            </w:r>
          </w:p>
        </w:tc>
      </w:tr>
    </w:tbl>
    <w:p>
      <w:pPr>
        <w:spacing w:after="0" w:line="105" w:lineRule="exact"/>
        <w:rPr>
          <w:sz w:val="20"/>
          <w:szCs w:val="20"/>
          <w:color w:val="auto"/>
        </w:rPr>
      </w:pPr>
    </w:p>
    <w:p>
      <w:pPr>
        <w:ind w:left="1100" w:right="340"/>
        <w:spacing w:after="0" w:line="239" w:lineRule="auto"/>
        <w:rPr>
          <w:sz w:val="20"/>
          <w:szCs w:val="20"/>
          <w:color w:val="auto"/>
        </w:rPr>
      </w:pPr>
      <w:r>
        <w:rPr>
          <w:rFonts w:ascii="Arial" w:cs="Arial" w:eastAsia="Arial" w:hAnsi="Arial"/>
          <w:sz w:val="16"/>
          <w:szCs w:val="16"/>
          <w:color w:val="auto"/>
        </w:rPr>
        <w:t xml:space="preserve">In fiscal year 2021, each of our Named Executives (other than Mr. Young, who joined Microsoft in November 2020) complied with our stock ownership policy. Our stock ownership policy is available on our website at </w:t>
      </w:r>
      <w:r>
        <w:rPr>
          <w:rFonts w:ascii="Arial" w:cs="Arial" w:eastAsia="Arial" w:hAnsi="Arial"/>
          <w:sz w:val="16"/>
          <w:szCs w:val="16"/>
          <w:u w:val="single" w:color="auto"/>
          <w:color w:val="auto"/>
        </w:rPr>
        <w:t>aka.ms/policiesandguidelines</w:t>
      </w:r>
      <w:r>
        <w:rPr>
          <w:rFonts w:ascii="Arial" w:cs="Arial" w:eastAsia="Arial" w:hAnsi="Arial"/>
          <w:sz w:val="16"/>
          <w:szCs w:val="16"/>
          <w:color w:val="auto"/>
        </w:rPr>
        <w:t>.</w:t>
      </w:r>
    </w:p>
    <w:p>
      <w:pPr>
        <w:spacing w:after="0" w:line="169"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Hedging and Pledging Policy</w:t>
      </w:r>
    </w:p>
    <w:p>
      <w:pPr>
        <w:spacing w:after="0" w:line="12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Our Named Executives are subject to our Derivatives Trading, Hedging, and Pledging policy described on page 14.</w:t>
      </w:r>
    </w:p>
    <w:p>
      <w:pPr>
        <w:sectPr>
          <w:pgSz w:w="11900" w:h="16838" w:orient="portrait"/>
          <w:cols w:equalWidth="0" w:num="1">
            <w:col w:w="10280"/>
          </w:cols>
          <w:pgMar w:left="320" w:top="445" w:right="129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ind w:left="8240"/>
        <w:spacing w:after="0"/>
        <w:tabs>
          <w:tab w:leader="none" w:pos="10120" w:val="left"/>
        </w:tabs>
        <w:rPr>
          <w:sz w:val="20"/>
          <w:szCs w:val="20"/>
          <w:color w:val="auto"/>
        </w:rPr>
      </w:pPr>
      <w:r>
        <w:rPr>
          <w:rFonts w:ascii="Arial" w:cs="Arial" w:eastAsia="Arial" w:hAnsi="Arial"/>
          <w:sz w:val="14"/>
          <w:szCs w:val="14"/>
          <w:color w:val="auto"/>
        </w:rPr>
        <w:t>2021 PROXY STATEMENT</w:t>
      </w:r>
      <w:r>
        <w:rPr>
          <w:sz w:val="20"/>
          <w:szCs w:val="20"/>
          <w:color w:val="auto"/>
        </w:rPr>
        <w:tab/>
      </w:r>
      <w:r>
        <w:rPr>
          <w:rFonts w:ascii="Arial" w:cs="Arial" w:eastAsia="Arial" w:hAnsi="Arial"/>
          <w:sz w:val="12"/>
          <w:szCs w:val="12"/>
          <w:b w:val="1"/>
          <w:bCs w:val="1"/>
          <w:color w:val="0075C9"/>
        </w:rPr>
        <w:t>53</w:t>
      </w:r>
    </w:p>
    <w:p>
      <w:pPr>
        <w:sectPr>
          <w:pgSz w:w="11900" w:h="16838" w:orient="portrait"/>
          <w:cols w:equalWidth="0" w:num="1">
            <w:col w:w="10280"/>
          </w:cols>
          <w:pgMar w:left="320" w:top="445" w:right="1299" w:bottom="1440" w:gutter="0" w:footer="0" w:header="0"/>
          <w:type w:val="continuous"/>
        </w:sectPr>
      </w:pPr>
    </w:p>
    <w:bookmarkStart w:id="61" w:name="page62"/>
    <w:bookmarkEnd w:id="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auto"/>
                <w:w w:val="89"/>
              </w:rPr>
              <w:t>1</w:t>
            </w:r>
          </w:p>
        </w:tc>
        <w:tc>
          <w:tcPr>
            <w:tcW w:w="1380" w:type="dxa"/>
            <w:vAlign w:val="bottom"/>
            <w:vMerge w:val="restart"/>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gridSpan w:val="2"/>
          </w:tcPr>
          <w:p>
            <w:pPr>
              <w:jc w:val="right"/>
              <w:ind w:right="80"/>
              <w:spacing w:after="0"/>
              <w:rPr>
                <w:sz w:val="20"/>
                <w:szCs w:val="20"/>
                <w:color w:val="auto"/>
              </w:rPr>
            </w:pPr>
            <w:r>
              <w:rPr>
                <w:rFonts w:ascii="Arial" w:cs="Arial" w:eastAsia="Arial" w:hAnsi="Arial"/>
                <w:sz w:val="36"/>
                <w:szCs w:val="36"/>
                <w:color w:val="0075C9"/>
              </w:rPr>
              <w:t>2</w:t>
            </w:r>
          </w:p>
        </w:tc>
        <w:tc>
          <w:tcPr>
            <w:tcW w:w="1320" w:type="dxa"/>
            <w:vAlign w:val="bottom"/>
            <w:vMerge w:val="restart"/>
          </w:tcPr>
          <w:p>
            <w:pPr>
              <w:ind w:left="60"/>
              <w:spacing w:after="0"/>
              <w:rPr>
                <w:sz w:val="20"/>
                <w:szCs w:val="20"/>
                <w:color w:val="auto"/>
              </w:rPr>
            </w:pPr>
            <w:r>
              <w:rPr>
                <w:rFonts w:ascii="Arial" w:cs="Arial" w:eastAsia="Arial" w:hAnsi="Arial"/>
                <w:sz w:val="12"/>
                <w:szCs w:val="12"/>
                <w:color w:val="0075C9"/>
              </w:rPr>
              <w:t>NAMED</w:t>
            </w:r>
          </w:p>
        </w:tc>
        <w:tc>
          <w:tcPr>
            <w:tcW w:w="740" w:type="dxa"/>
            <w:vAlign w:val="bottom"/>
          </w:tcPr>
          <w:p>
            <w:pPr>
              <w:jc w:val="right"/>
              <w:spacing w:after="0"/>
              <w:rPr>
                <w:sz w:val="20"/>
                <w:szCs w:val="20"/>
                <w:color w:val="auto"/>
              </w:rPr>
            </w:pPr>
            <w:r>
              <w:rPr>
                <w:rFonts w:ascii="Arial" w:cs="Arial" w:eastAsia="Arial" w:hAnsi="Arial"/>
                <w:sz w:val="36"/>
                <w:szCs w:val="36"/>
                <w:color w:val="auto"/>
              </w:rPr>
              <w:t>3</w:t>
            </w:r>
          </w:p>
        </w:tc>
        <w:tc>
          <w:tcPr>
            <w:tcW w:w="1020" w:type="dxa"/>
            <w:vAlign w:val="bottom"/>
            <w:vMerge w:val="restart"/>
          </w:tcPr>
          <w:p>
            <w:pPr>
              <w:ind w:left="60"/>
              <w:spacing w:after="0"/>
              <w:rPr>
                <w:sz w:val="20"/>
                <w:szCs w:val="20"/>
                <w:color w:val="auto"/>
              </w:rPr>
            </w:pPr>
            <w:r>
              <w:rPr>
                <w:rFonts w:ascii="Arial" w:cs="Arial" w:eastAsia="Arial" w:hAnsi="Arial"/>
                <w:sz w:val="12"/>
                <w:szCs w:val="12"/>
                <w:color w:val="auto"/>
              </w:rPr>
              <w:t>AUDIT</w:t>
            </w:r>
          </w:p>
        </w:tc>
        <w:tc>
          <w:tcPr>
            <w:tcW w:w="500" w:type="dxa"/>
            <w:vAlign w:val="bottom"/>
          </w:tcPr>
          <w:p>
            <w:pPr>
              <w:jc w:val="right"/>
              <w:spacing w:after="0"/>
              <w:rPr>
                <w:sz w:val="20"/>
                <w:szCs w:val="20"/>
                <w:color w:val="auto"/>
              </w:rPr>
            </w:pPr>
            <w:r>
              <w:rPr>
                <w:rFonts w:ascii="Arial" w:cs="Arial" w:eastAsia="Arial" w:hAnsi="Arial"/>
                <w:sz w:val="36"/>
                <w:szCs w:val="36"/>
                <w:color w:val="auto"/>
              </w:rPr>
              <w:t>4</w:t>
            </w:r>
          </w:p>
        </w:tc>
        <w:tc>
          <w:tcPr>
            <w:tcW w:w="1580" w:type="dxa"/>
            <w:vAlign w:val="bottom"/>
            <w:vMerge w:val="restart"/>
          </w:tcPr>
          <w:p>
            <w:pPr>
              <w:ind w:left="80"/>
              <w:spacing w:after="0"/>
              <w:rPr>
                <w:sz w:val="20"/>
                <w:szCs w:val="20"/>
                <w:color w:val="auto"/>
              </w:rPr>
            </w:pPr>
            <w:r>
              <w:rPr>
                <w:rFonts w:ascii="Arial" w:cs="Arial" w:eastAsia="Arial" w:hAnsi="Arial"/>
                <w:sz w:val="12"/>
                <w:szCs w:val="12"/>
                <w:color w:val="auto"/>
              </w:rPr>
              <w:t>PROPOSALS TO</w:t>
            </w:r>
          </w:p>
        </w:tc>
        <w:tc>
          <w:tcPr>
            <w:tcW w:w="420" w:type="dxa"/>
            <w:vAlign w:val="bottom"/>
          </w:tcPr>
          <w:p>
            <w:pPr>
              <w:jc w:val="right"/>
              <w:spacing w:after="0"/>
              <w:rPr>
                <w:sz w:val="20"/>
                <w:szCs w:val="20"/>
                <w:color w:val="auto"/>
              </w:rPr>
            </w:pPr>
            <w:r>
              <w:rPr>
                <w:rFonts w:ascii="Arial" w:cs="Arial" w:eastAsia="Arial" w:hAnsi="Arial"/>
                <w:sz w:val="36"/>
                <w:szCs w:val="36"/>
                <w:color w:val="auto"/>
              </w:rPr>
              <w:t>5</w:t>
            </w:r>
          </w:p>
        </w:tc>
        <w:tc>
          <w:tcPr>
            <w:tcW w:w="920" w:type="dxa"/>
            <w:vAlign w:val="bottom"/>
            <w:vMerge w:val="restart"/>
          </w:tcPr>
          <w:p>
            <w:pPr>
              <w:ind w:left="8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38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tcPr>
          <w:p>
            <w:pPr>
              <w:ind w:left="60"/>
              <w:spacing w:after="0" w:line="130" w:lineRule="exact"/>
              <w:rPr>
                <w:sz w:val="20"/>
                <w:szCs w:val="20"/>
                <w:color w:val="auto"/>
              </w:rPr>
            </w:pPr>
            <w:r>
              <w:rPr>
                <w:rFonts w:ascii="Arial" w:cs="Arial" w:eastAsia="Arial" w:hAnsi="Arial"/>
                <w:sz w:val="12"/>
                <w:szCs w:val="12"/>
                <w:color w:val="0075C9"/>
                <w:w w:val="99"/>
              </w:rPr>
              <w:t>EXECUTIVE OFFICER</w:t>
            </w:r>
          </w:p>
        </w:tc>
        <w:tc>
          <w:tcPr>
            <w:tcW w:w="740" w:type="dxa"/>
            <w:vAlign w:val="bottom"/>
          </w:tcPr>
          <w:p>
            <w:pPr>
              <w:spacing w:after="0"/>
              <w:rPr>
                <w:sz w:val="11"/>
                <w:szCs w:val="11"/>
                <w:color w:val="auto"/>
              </w:rPr>
            </w:pPr>
          </w:p>
        </w:tc>
        <w:tc>
          <w:tcPr>
            <w:tcW w:w="1020" w:type="dxa"/>
            <w:vAlign w:val="bottom"/>
          </w:tcPr>
          <w:p>
            <w:pPr>
              <w:ind w:left="60"/>
              <w:spacing w:after="0" w:line="130" w:lineRule="exact"/>
              <w:rPr>
                <w:sz w:val="20"/>
                <w:szCs w:val="20"/>
                <w:color w:val="auto"/>
              </w:rPr>
            </w:pPr>
            <w:r>
              <w:rPr>
                <w:rFonts w:ascii="Arial" w:cs="Arial" w:eastAsia="Arial" w:hAnsi="Arial"/>
                <w:sz w:val="12"/>
                <w:szCs w:val="12"/>
                <w:color w:val="auto"/>
              </w:rPr>
              <w:t>COMMITTEE</w:t>
            </w:r>
          </w:p>
        </w:tc>
        <w:tc>
          <w:tcPr>
            <w:tcW w:w="500" w:type="dxa"/>
            <w:vAlign w:val="bottom"/>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20" w:type="dxa"/>
            <w:vAlign w:val="bottom"/>
          </w:tcPr>
          <w:p>
            <w:pPr>
              <w:spacing w:after="0"/>
              <w:rPr>
                <w:sz w:val="11"/>
                <w:szCs w:val="11"/>
                <w:color w:val="auto"/>
              </w:rPr>
            </w:pPr>
          </w:p>
        </w:tc>
        <w:tc>
          <w:tcPr>
            <w:tcW w:w="92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380" w:type="dxa"/>
            <w:vAlign w:val="bottom"/>
          </w:tcPr>
          <w:p>
            <w:pPr>
              <w:ind w:left="80"/>
              <w:spacing w:after="0"/>
              <w:rPr>
                <w:sz w:val="20"/>
                <w:szCs w:val="20"/>
                <w:color w:val="auto"/>
              </w:rPr>
            </w:pPr>
            <w:r>
              <w:rPr>
                <w:rFonts w:ascii="Arial" w:cs="Arial" w:eastAsia="Arial" w:hAnsi="Arial"/>
                <w:sz w:val="12"/>
                <w:szCs w:val="12"/>
                <w:color w:val="auto"/>
              </w:rPr>
              <w:t>DIRECTORS</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0075C9"/>
              </w:rPr>
              <w:t>COMPENSATION</w:t>
            </w:r>
          </w:p>
        </w:tc>
        <w:tc>
          <w:tcPr>
            <w:tcW w:w="740" w:type="dxa"/>
            <w:vAlign w:val="bottom"/>
          </w:tcPr>
          <w:p>
            <w:pPr>
              <w:spacing w:after="0"/>
              <w:rPr>
                <w:sz w:val="12"/>
                <w:szCs w:val="12"/>
                <w:color w:val="auto"/>
              </w:rPr>
            </w:pPr>
          </w:p>
        </w:tc>
        <w:tc>
          <w:tcPr>
            <w:tcW w:w="1020" w:type="dxa"/>
            <w:vAlign w:val="bottom"/>
          </w:tcPr>
          <w:p>
            <w:pPr>
              <w:ind w:left="60"/>
              <w:spacing w:after="0"/>
              <w:rPr>
                <w:sz w:val="20"/>
                <w:szCs w:val="20"/>
                <w:color w:val="auto"/>
              </w:rPr>
            </w:pPr>
            <w:r>
              <w:rPr>
                <w:rFonts w:ascii="Arial" w:cs="Arial" w:eastAsia="Arial" w:hAnsi="Arial"/>
                <w:sz w:val="12"/>
                <w:szCs w:val="12"/>
                <w:color w:val="auto"/>
              </w:rPr>
              <w:t>MATTERS</w:t>
            </w:r>
          </w:p>
        </w:tc>
        <w:tc>
          <w:tcPr>
            <w:tcW w:w="500" w:type="dxa"/>
            <w:vAlign w:val="bottom"/>
          </w:tcPr>
          <w:p>
            <w:pPr>
              <w:spacing w:after="0"/>
              <w:rPr>
                <w:sz w:val="12"/>
                <w:szCs w:val="12"/>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20" w:type="dxa"/>
            <w:vAlign w:val="bottom"/>
          </w:tcPr>
          <w:p>
            <w:pPr>
              <w:spacing w:after="0"/>
              <w:rPr>
                <w:sz w:val="12"/>
                <w:szCs w:val="12"/>
                <w:color w:val="auto"/>
              </w:rPr>
            </w:pPr>
          </w:p>
        </w:tc>
        <w:tc>
          <w:tcPr>
            <w:tcW w:w="92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Deductibility of Executive Compensation</w:t>
      </w:r>
    </w:p>
    <w:p>
      <w:pPr>
        <w:spacing w:after="0" w:line="129" w:lineRule="exact"/>
        <w:rPr>
          <w:sz w:val="20"/>
          <w:szCs w:val="20"/>
          <w:color w:val="auto"/>
        </w:rPr>
      </w:pPr>
    </w:p>
    <w:p>
      <w:pPr>
        <w:jc w:val="both"/>
        <w:ind w:left="1100" w:right="140"/>
        <w:spacing w:after="0" w:line="238" w:lineRule="auto"/>
        <w:rPr>
          <w:sz w:val="20"/>
          <w:szCs w:val="20"/>
          <w:color w:val="auto"/>
        </w:rPr>
      </w:pPr>
      <w:r>
        <w:rPr>
          <w:rFonts w:ascii="Arial" w:cs="Arial" w:eastAsia="Arial" w:hAnsi="Arial"/>
          <w:sz w:val="16"/>
          <w:szCs w:val="16"/>
          <w:color w:val="auto"/>
        </w:rPr>
        <w:t>Section 162(m) of the Internal Revenue Code (“Section 162(m)”) imposes an annual deduction limit of $1 million on the amount of compensation paid to each of the CEO, the CFO, and certain other current or former named executive officers (together, “covered employees”). Compensation to our Named Executives over this limit is nondeductible.</w:t>
      </w:r>
    </w:p>
    <w:p>
      <w:pPr>
        <w:spacing w:after="0" w:line="312" w:lineRule="exact"/>
        <w:rPr>
          <w:sz w:val="20"/>
          <w:szCs w:val="20"/>
          <w:color w:val="auto"/>
        </w:rPr>
      </w:pPr>
    </w:p>
    <w:p>
      <w:pPr>
        <w:jc w:val="center"/>
        <w:ind w:right="-999"/>
        <w:spacing w:after="0"/>
        <w:rPr>
          <w:sz w:val="20"/>
          <w:szCs w:val="20"/>
          <w:color w:val="auto"/>
        </w:rPr>
      </w:pPr>
      <w:r>
        <w:rPr>
          <w:rFonts w:ascii="Arial" w:cs="Arial" w:eastAsia="Arial" w:hAnsi="Arial"/>
          <w:sz w:val="21"/>
          <w:szCs w:val="21"/>
          <w:b w:val="1"/>
          <w:bCs w:val="1"/>
          <w:color w:val="auto"/>
        </w:rPr>
        <w:t>Annual Compensation Risk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-58420</wp:posOffset>
            </wp:positionV>
            <wp:extent cx="5748020" cy="40620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748020" cy="4062095"/>
                    </a:xfrm>
                    <a:prstGeom prst="rect">
                      <a:avLst/>
                    </a:prstGeom>
                    <a:noFill/>
                  </pic:spPr>
                </pic:pic>
              </a:graphicData>
            </a:graphic>
          </wp:anchor>
        </w:drawing>
      </w:r>
    </w:p>
    <w:p>
      <w:pPr>
        <w:spacing w:after="0" w:line="200" w:lineRule="exact"/>
        <w:rPr>
          <w:sz w:val="20"/>
          <w:szCs w:val="20"/>
          <w:color w:val="auto"/>
        </w:rPr>
      </w:pPr>
    </w:p>
    <w:p>
      <w:pPr>
        <w:ind w:left="1460" w:right="340"/>
        <w:spacing w:after="0" w:line="237" w:lineRule="auto"/>
        <w:rPr>
          <w:sz w:val="20"/>
          <w:szCs w:val="20"/>
          <w:color w:val="auto"/>
        </w:rPr>
      </w:pPr>
      <w:r>
        <w:rPr>
          <w:rFonts w:ascii="Arial" w:cs="Arial" w:eastAsia="Arial" w:hAnsi="Arial"/>
          <w:sz w:val="16"/>
          <w:szCs w:val="16"/>
          <w:color w:val="auto"/>
        </w:rPr>
        <w:t>We performed an annual assessment for our Compensation and Audit Committees of our Board of Directors to determine whether the risks arising from our fiscal year 2021 compensation policies and practices were reasonably likely to have a material adverse effect on Microsoft. Our assessment reviewed the material elements of executive and non-executive employee compensation. We concluded these policies and practices do not create risk that is reasonably likely to have a material adverse effect on Microsoft.</w:t>
      </w:r>
    </w:p>
    <w:p>
      <w:pPr>
        <w:spacing w:after="0" w:line="153" w:lineRule="exact"/>
        <w:rPr>
          <w:sz w:val="20"/>
          <w:szCs w:val="20"/>
          <w:color w:val="auto"/>
        </w:rPr>
      </w:pPr>
    </w:p>
    <w:p>
      <w:pPr>
        <w:ind w:left="1460" w:right="380"/>
        <w:spacing w:after="0" w:line="238" w:lineRule="auto"/>
        <w:rPr>
          <w:sz w:val="20"/>
          <w:szCs w:val="20"/>
          <w:color w:val="auto"/>
        </w:rPr>
      </w:pPr>
      <w:r>
        <w:rPr>
          <w:rFonts w:ascii="Arial" w:cs="Arial" w:eastAsia="Arial" w:hAnsi="Arial"/>
          <w:sz w:val="16"/>
          <w:szCs w:val="16"/>
          <w:color w:val="auto"/>
        </w:rPr>
        <w:t>The structure of our compensation program for our executive officers does not incentivize unnecessary or excessive risk-taking. The base salary component of compensation does not encourage risk-taking because it is a fixed amount. The Incentive Plan awards have these risk-limiting characteristics:</w:t>
      </w:r>
    </w:p>
    <w:p>
      <w:pPr>
        <w:sectPr>
          <w:pgSz w:w="11900" w:h="16838" w:orient="portrait"/>
          <w:cols w:equalWidth="0" w:num="1">
            <w:col w:w="10140"/>
          </w:cols>
          <w:pgMar w:left="320" w:top="445" w:right="1439" w:bottom="1440" w:gutter="0" w:footer="0" w:header="0"/>
        </w:sectPr>
      </w:pPr>
    </w:p>
    <w:p>
      <w:pPr>
        <w:spacing w:after="0" w:line="126" w:lineRule="exact"/>
        <w:rPr>
          <w:sz w:val="20"/>
          <w:szCs w:val="20"/>
          <w:color w:val="auto"/>
        </w:rPr>
      </w:pPr>
    </w:p>
    <w:p>
      <w:pPr>
        <w:ind w:left="1620" w:right="260" w:hanging="158"/>
        <w:spacing w:after="0" w:line="308" w:lineRule="auto"/>
        <w:tabs>
          <w:tab w:leader="none" w:pos="1597" w:val="left"/>
        </w:tabs>
        <w:numPr>
          <w:ilvl w:val="0"/>
          <w:numId w:val="80"/>
        </w:numPr>
        <w:rPr>
          <w:rFonts w:ascii="Arial" w:cs="Arial" w:eastAsia="Arial" w:hAnsi="Arial"/>
          <w:sz w:val="14"/>
          <w:szCs w:val="14"/>
          <w:color w:val="auto"/>
        </w:rPr>
      </w:pPr>
      <w:r>
        <w:rPr>
          <w:rFonts w:ascii="Arial" w:cs="Arial" w:eastAsia="Arial" w:hAnsi="Arial"/>
          <w:sz w:val="14"/>
          <w:szCs w:val="14"/>
          <w:color w:val="auto"/>
        </w:rPr>
        <w:t>Cash incentive awards under the Incentive Plan are limited to 200% of a target cash incentive award</w:t>
      </w:r>
    </w:p>
    <w:p>
      <w:pPr>
        <w:spacing w:after="0" w:line="65" w:lineRule="exact"/>
        <w:rPr>
          <w:rFonts w:ascii="Arial" w:cs="Arial" w:eastAsia="Arial" w:hAnsi="Arial"/>
          <w:sz w:val="14"/>
          <w:szCs w:val="14"/>
          <w:color w:val="auto"/>
        </w:rPr>
      </w:pPr>
    </w:p>
    <w:p>
      <w:pPr>
        <w:ind w:left="1620" w:hanging="158"/>
        <w:spacing w:after="0" w:line="277" w:lineRule="auto"/>
        <w:tabs>
          <w:tab w:leader="none" w:pos="1597" w:val="left"/>
        </w:tabs>
        <w:numPr>
          <w:ilvl w:val="0"/>
          <w:numId w:val="80"/>
        </w:numPr>
        <w:rPr>
          <w:rFonts w:ascii="Arial" w:cs="Arial" w:eastAsia="Arial" w:hAnsi="Arial"/>
          <w:sz w:val="14"/>
          <w:szCs w:val="14"/>
          <w:color w:val="auto"/>
        </w:rPr>
      </w:pPr>
      <w:r>
        <w:rPr>
          <w:rFonts w:ascii="Arial" w:cs="Arial" w:eastAsia="Arial" w:hAnsi="Arial"/>
          <w:sz w:val="14"/>
          <w:szCs w:val="14"/>
          <w:color w:val="auto"/>
        </w:rPr>
        <w:t>Cash incentive awards are structured 50% (70% for CEO) based on pre-established goals (balance of growth and profitability goals) and 50% (30% for CEO) based on operational performance as assessed across three performance categories, diversifying the risk associated with any single aspect of performance</w:t>
      </w:r>
    </w:p>
    <w:p>
      <w:pPr>
        <w:spacing w:after="0" w:line="89" w:lineRule="exact"/>
        <w:rPr>
          <w:rFonts w:ascii="Arial" w:cs="Arial" w:eastAsia="Arial" w:hAnsi="Arial"/>
          <w:sz w:val="14"/>
          <w:szCs w:val="14"/>
          <w:color w:val="auto"/>
        </w:rPr>
      </w:pPr>
    </w:p>
    <w:p>
      <w:pPr>
        <w:ind w:left="1620" w:right="60" w:hanging="158"/>
        <w:spacing w:after="0" w:line="279" w:lineRule="auto"/>
        <w:tabs>
          <w:tab w:leader="none" w:pos="1594"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majority of Incentive Plan award value is delivered in awards for shares of Microsoft common stock with multi-year vesting schedules or performance periods, which aligns the interests of our executive officers to long-term shareholder interests</w:t>
      </w:r>
    </w:p>
    <w:p>
      <w:pPr>
        <w:spacing w:after="0" w:line="87" w:lineRule="exact"/>
        <w:rPr>
          <w:rFonts w:ascii="Arial" w:cs="Arial" w:eastAsia="Arial" w:hAnsi="Arial"/>
          <w:sz w:val="14"/>
          <w:szCs w:val="14"/>
          <w:color w:val="auto"/>
        </w:rPr>
      </w:pPr>
    </w:p>
    <w:p>
      <w:pPr>
        <w:ind w:left="1620" w:right="140" w:hanging="158"/>
        <w:spacing w:after="0" w:line="238" w:lineRule="auto"/>
        <w:tabs>
          <w:tab w:leader="none" w:pos="1597" w:val="left"/>
        </w:tabs>
        <w:numPr>
          <w:ilvl w:val="0"/>
          <w:numId w:val="80"/>
        </w:numPr>
        <w:rPr>
          <w:rFonts w:ascii="Arial" w:cs="Arial" w:eastAsia="Arial" w:hAnsi="Arial"/>
          <w:sz w:val="16"/>
          <w:szCs w:val="16"/>
          <w:color w:val="auto"/>
        </w:rPr>
      </w:pPr>
      <w:r>
        <w:rPr>
          <w:rFonts w:ascii="Arial" w:cs="Arial" w:eastAsia="Arial" w:hAnsi="Arial"/>
          <w:sz w:val="16"/>
          <w:szCs w:val="16"/>
          <w:color w:val="auto"/>
        </w:rPr>
        <w:t>We maintain robust executive stock ownership requirements ranging from 5x to 15x annual salary, which reduces incentive for excessive short-term risk taking</w:t>
      </w:r>
    </w:p>
    <w:p>
      <w:pPr>
        <w:spacing w:after="0" w:line="111" w:lineRule="exact"/>
        <w:rPr>
          <w:rFonts w:ascii="Arial" w:cs="Arial" w:eastAsia="Arial" w:hAnsi="Arial"/>
          <w:sz w:val="16"/>
          <w:szCs w:val="16"/>
          <w:color w:val="auto"/>
        </w:rPr>
      </w:pPr>
    </w:p>
    <w:p>
      <w:pPr>
        <w:ind w:left="1620" w:right="380" w:hanging="158"/>
        <w:spacing w:after="0" w:line="238" w:lineRule="auto"/>
        <w:tabs>
          <w:tab w:leader="none" w:pos="1597" w:val="left"/>
        </w:tabs>
        <w:numPr>
          <w:ilvl w:val="0"/>
          <w:numId w:val="80"/>
        </w:numPr>
        <w:rPr>
          <w:rFonts w:ascii="Arial" w:cs="Arial" w:eastAsia="Arial" w:hAnsi="Arial"/>
          <w:sz w:val="16"/>
          <w:szCs w:val="16"/>
          <w:color w:val="auto"/>
        </w:rPr>
      </w:pPr>
      <w:r>
        <w:rPr>
          <w:rFonts w:ascii="Arial" w:cs="Arial" w:eastAsia="Arial" w:hAnsi="Arial"/>
          <w:sz w:val="16"/>
          <w:szCs w:val="16"/>
          <w:color w:val="auto"/>
        </w:rPr>
        <w:t>PSA metrics further diversify the elements of the program to minimize the incentive to produce any particular outcome</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left="146" w:right="240" w:hanging="146"/>
        <w:spacing w:after="0" w:line="237" w:lineRule="auto"/>
        <w:tabs>
          <w:tab w:leader="none" w:pos="1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PSAs use Company-wide measures that are not specific to any one executive officer’s sphere of responsibility and that apply equally to all participants to encourage a unified and responsible approach to achieving financial and strategic goals</w:t>
      </w:r>
    </w:p>
    <w:p>
      <w:pPr>
        <w:spacing w:after="0" w:line="114" w:lineRule="exact"/>
        <w:rPr>
          <w:rFonts w:ascii="Arial" w:cs="Arial" w:eastAsia="Arial" w:hAnsi="Arial"/>
          <w:sz w:val="16"/>
          <w:szCs w:val="16"/>
          <w:color w:val="auto"/>
        </w:rPr>
      </w:pPr>
    </w:p>
    <w:p>
      <w:pPr>
        <w:ind w:left="146" w:right="260" w:hanging="146"/>
        <w:spacing w:after="0" w:line="238" w:lineRule="auto"/>
        <w:tabs>
          <w:tab w:leader="none" w:pos="1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Overlapping performance periods for PSAs limit the impact of short-term business performance or share price fluctuations on final outcomes</w:t>
      </w:r>
    </w:p>
    <w:p>
      <w:pPr>
        <w:spacing w:after="0" w:line="113" w:lineRule="exact"/>
        <w:rPr>
          <w:rFonts w:ascii="Arial" w:cs="Arial" w:eastAsia="Arial" w:hAnsi="Arial"/>
          <w:sz w:val="16"/>
          <w:szCs w:val="16"/>
          <w:color w:val="auto"/>
        </w:rPr>
      </w:pPr>
    </w:p>
    <w:p>
      <w:pPr>
        <w:ind w:left="146" w:right="420" w:hanging="146"/>
        <w:spacing w:after="0" w:line="238" w:lineRule="auto"/>
        <w:tabs>
          <w:tab w:leader="none" w:pos="1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Equity awards are not made in the form of stock options, which may provide an asymmetrical incentive to take unnecessary or excessive risks to increase the market price of Microsoft common stock</w:t>
      </w:r>
    </w:p>
    <w:p>
      <w:pPr>
        <w:spacing w:after="0" w:line="109" w:lineRule="exact"/>
        <w:rPr>
          <w:rFonts w:ascii="Arial" w:cs="Arial" w:eastAsia="Arial" w:hAnsi="Arial"/>
          <w:sz w:val="16"/>
          <w:szCs w:val="16"/>
          <w:color w:val="auto"/>
        </w:rPr>
      </w:pPr>
    </w:p>
    <w:p>
      <w:pPr>
        <w:ind w:left="126" w:hanging="126"/>
        <w:spacing w:after="0"/>
        <w:tabs>
          <w:tab w:leader="none" w:pos="126" w:val="left"/>
        </w:tabs>
        <w:numPr>
          <w:ilvl w:val="0"/>
          <w:numId w:val="81"/>
        </w:numPr>
        <w:rPr>
          <w:rFonts w:ascii="Arial" w:cs="Arial" w:eastAsia="Arial" w:hAnsi="Arial"/>
          <w:sz w:val="16"/>
          <w:szCs w:val="16"/>
          <w:color w:val="auto"/>
        </w:rPr>
      </w:pPr>
      <w:r>
        <w:rPr>
          <w:rFonts w:ascii="Arial" w:cs="Arial" w:eastAsia="Arial" w:hAnsi="Arial"/>
          <w:sz w:val="16"/>
          <w:szCs w:val="16"/>
          <w:color w:val="auto"/>
        </w:rPr>
        <w:t>Members of our Compensation Committee (or for</w:t>
      </w:r>
    </w:p>
    <w:p>
      <w:pPr>
        <w:ind w:left="146" w:right="380"/>
        <w:spacing w:after="0" w:line="238" w:lineRule="auto"/>
        <w:rPr>
          <w:rFonts w:ascii="Arial" w:cs="Arial" w:eastAsia="Arial" w:hAnsi="Arial"/>
          <w:sz w:val="16"/>
          <w:szCs w:val="16"/>
          <w:color w:val="auto"/>
        </w:rPr>
      </w:pPr>
      <w:r>
        <w:rPr>
          <w:rFonts w:ascii="Arial" w:cs="Arial" w:eastAsia="Arial" w:hAnsi="Arial"/>
          <w:sz w:val="16"/>
          <w:szCs w:val="16"/>
          <w:color w:val="auto"/>
        </w:rPr>
        <w:t>Mr. Nadella, the independent members of our Board of Directors) approve all Incentive Plan awards to executive officers, including performance achievement levels that determine final payout outcomes</w:t>
      </w:r>
    </w:p>
    <w:p>
      <w:pPr>
        <w:spacing w:after="0" w:line="111" w:lineRule="exact"/>
        <w:rPr>
          <w:rFonts w:ascii="Arial" w:cs="Arial" w:eastAsia="Arial" w:hAnsi="Arial"/>
          <w:sz w:val="16"/>
          <w:szCs w:val="16"/>
          <w:color w:val="auto"/>
        </w:rPr>
      </w:pPr>
    </w:p>
    <w:p>
      <w:pPr>
        <w:ind w:left="146" w:right="1020" w:hanging="146"/>
        <w:spacing w:after="0" w:line="239" w:lineRule="auto"/>
        <w:tabs>
          <w:tab w:leader="none" w:pos="131" w:val="left"/>
        </w:tabs>
        <w:numPr>
          <w:ilvl w:val="0"/>
          <w:numId w:val="81"/>
        </w:numPr>
        <w:rPr>
          <w:rFonts w:ascii="Arial" w:cs="Arial" w:eastAsia="Arial" w:hAnsi="Arial"/>
          <w:sz w:val="16"/>
          <w:szCs w:val="16"/>
          <w:color w:val="auto"/>
        </w:rPr>
      </w:pPr>
      <w:r>
        <w:rPr>
          <w:rFonts w:ascii="Arial" w:cs="Arial" w:eastAsia="Arial" w:hAnsi="Arial"/>
          <w:sz w:val="16"/>
          <w:szCs w:val="16"/>
          <w:color w:val="auto"/>
        </w:rPr>
        <w:t>Awards are subject to the Company’s Executive Compensation Recovery policy</w:t>
      </w:r>
    </w:p>
    <w:p>
      <w:pPr>
        <w:spacing w:after="0" w:line="380" w:lineRule="exact"/>
        <w:rPr>
          <w:sz w:val="20"/>
          <w:szCs w:val="20"/>
          <w:color w:val="auto"/>
        </w:rPr>
      </w:pPr>
    </w:p>
    <w:p>
      <w:pPr>
        <w:sectPr>
          <w:pgSz w:w="11900" w:h="16838" w:orient="portrait"/>
          <w:cols w:equalWidth="0" w:num="2">
            <w:col w:w="5400" w:space="314"/>
            <w:col w:w="4426"/>
          </w:cols>
          <w:pgMar w:left="320" w:top="445" w:right="1439" w:bottom="1440" w:gutter="0" w:footer="0" w:header="0"/>
          <w:type w:val="continuous"/>
        </w:sectPr>
      </w:pPr>
    </w:p>
    <w:p>
      <w:pPr>
        <w:spacing w:after="0" w:line="159" w:lineRule="exact"/>
        <w:rPr>
          <w:sz w:val="20"/>
          <w:szCs w:val="20"/>
          <w:color w:val="auto"/>
        </w:rPr>
      </w:pPr>
    </w:p>
    <w:p>
      <w:pPr>
        <w:ind w:left="1100" w:right="280"/>
        <w:spacing w:after="0" w:line="239" w:lineRule="auto"/>
        <w:rPr>
          <w:sz w:val="20"/>
          <w:szCs w:val="20"/>
          <w:color w:val="auto"/>
        </w:rPr>
      </w:pPr>
      <w:r>
        <w:rPr>
          <w:rFonts w:ascii="Arial" w:cs="Arial" w:eastAsia="Arial" w:hAnsi="Arial"/>
          <w:sz w:val="16"/>
          <w:szCs w:val="16"/>
          <w:color w:val="auto"/>
        </w:rPr>
        <w:t>Awards are subject to our Executive Compensation Recovery Policy, described in this Section 6 – Other Compensation Policies and Information – Strong Clawback Policy.</w:t>
      </w:r>
    </w:p>
    <w:p>
      <w:pPr>
        <w:spacing w:after="0" w:line="100" w:lineRule="exact"/>
        <w:rPr>
          <w:sz w:val="20"/>
          <w:szCs w:val="20"/>
          <w:color w:val="auto"/>
        </w:rPr>
      </w:pPr>
    </w:p>
    <w:p>
      <w:pPr>
        <w:ind w:left="1100" w:right="260"/>
        <w:spacing w:after="0" w:line="239" w:lineRule="auto"/>
        <w:rPr>
          <w:sz w:val="20"/>
          <w:szCs w:val="20"/>
          <w:color w:val="auto"/>
        </w:rPr>
      </w:pPr>
      <w:r>
        <w:rPr>
          <w:rFonts w:ascii="Arial" w:cs="Arial" w:eastAsia="Arial" w:hAnsi="Arial"/>
          <w:sz w:val="16"/>
          <w:szCs w:val="16"/>
          <w:color w:val="auto"/>
        </w:rPr>
        <w:t>Executive officers are subject to our executive stock ownership requirements, described in this Section 6 – Other Compensation Policies and Information – Robust Stock Ownership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308610</wp:posOffset>
            </wp:positionV>
            <wp:extent cx="573976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Compensation Committee Report</w:t>
      </w:r>
    </w:p>
    <w:p>
      <w:pPr>
        <w:spacing w:after="0" w:line="143" w:lineRule="exact"/>
        <w:rPr>
          <w:sz w:val="20"/>
          <w:szCs w:val="20"/>
          <w:color w:val="auto"/>
        </w:rPr>
      </w:pPr>
    </w:p>
    <w:p>
      <w:pPr>
        <w:ind w:left="1100"/>
        <w:spacing w:after="0" w:line="238" w:lineRule="auto"/>
        <w:rPr>
          <w:sz w:val="20"/>
          <w:szCs w:val="20"/>
          <w:color w:val="auto"/>
        </w:rPr>
      </w:pPr>
      <w:r>
        <w:rPr>
          <w:rFonts w:ascii="Arial" w:cs="Arial" w:eastAsia="Arial" w:hAnsi="Arial"/>
          <w:sz w:val="16"/>
          <w:szCs w:val="16"/>
          <w:color w:val="auto"/>
        </w:rPr>
        <w:t>The Compensation Committee has reviewed and discussed with management the Compensation Discussion and Analysis provided above. Based on its review and discussions, the Compensation Committee recommended to the Board of Directors that the Compensation Discussion and Analysis be included in this Proxy Statement.</w:t>
      </w:r>
    </w:p>
    <w:p>
      <w:pPr>
        <w:spacing w:after="0" w:line="82"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Compensation Committee</w:t>
      </w:r>
    </w:p>
    <w:p>
      <w:pPr>
        <w:spacing w:after="0" w:line="13"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Sandra E. Peterson (Chair)</w:t>
      </w:r>
    </w:p>
    <w:p>
      <w:pPr>
        <w:ind w:left="1100"/>
        <w:spacing w:after="0" w:line="236" w:lineRule="auto"/>
        <w:rPr>
          <w:sz w:val="20"/>
          <w:szCs w:val="20"/>
          <w:color w:val="auto"/>
        </w:rPr>
      </w:pPr>
      <w:r>
        <w:rPr>
          <w:rFonts w:ascii="Arial" w:cs="Arial" w:eastAsia="Arial" w:hAnsi="Arial"/>
          <w:sz w:val="16"/>
          <w:szCs w:val="16"/>
          <w:color w:val="auto"/>
        </w:rPr>
        <w:t>Charles W. Scharf</w:t>
      </w:r>
    </w:p>
    <w:p>
      <w:pPr>
        <w:ind w:left="1100"/>
        <w:spacing w:after="0" w:line="237" w:lineRule="auto"/>
        <w:rPr>
          <w:sz w:val="20"/>
          <w:szCs w:val="20"/>
          <w:color w:val="auto"/>
        </w:rPr>
      </w:pPr>
      <w:r>
        <w:rPr>
          <w:rFonts w:ascii="Arial" w:cs="Arial" w:eastAsia="Arial" w:hAnsi="Arial"/>
          <w:sz w:val="16"/>
          <w:szCs w:val="16"/>
          <w:color w:val="auto"/>
        </w:rPr>
        <w:t>Emma N. Walmsley</w:t>
      </w:r>
    </w:p>
    <w:p>
      <w:pPr>
        <w:ind w:left="1100"/>
        <w:spacing w:after="0"/>
        <w:rPr>
          <w:sz w:val="20"/>
          <w:szCs w:val="20"/>
          <w:color w:val="auto"/>
        </w:rPr>
      </w:pPr>
      <w:r>
        <w:rPr>
          <w:rFonts w:ascii="Arial" w:cs="Arial" w:eastAsia="Arial" w:hAnsi="Arial"/>
          <w:sz w:val="16"/>
          <w:szCs w:val="16"/>
          <w:color w:val="auto"/>
        </w:rPr>
        <w:t>Padmasree Warrior</w:t>
      </w:r>
    </w:p>
    <w:p>
      <w:pPr>
        <w:spacing w:after="0" w:line="200" w:lineRule="exact"/>
        <w:rPr>
          <w:sz w:val="20"/>
          <w:szCs w:val="20"/>
          <w:color w:val="auto"/>
        </w:rPr>
      </w:pPr>
    </w:p>
    <w:p>
      <w:pPr>
        <w:spacing w:after="0" w:line="302"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-94615</wp:posOffset>
            </wp:positionV>
            <wp:extent cx="485140" cy="9842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45" w:right="1439" w:bottom="1440" w:gutter="0" w:footer="0" w:header="0"/>
          <w:type w:val="continuous"/>
        </w:sectPr>
      </w:pPr>
    </w:p>
    <w:bookmarkStart w:id="62" w:name="page63"/>
    <w:bookmarkEnd w:id="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auto"/>
                <w:w w:val="89"/>
              </w:rPr>
              <w:t>1</w:t>
            </w:r>
          </w:p>
        </w:tc>
        <w:tc>
          <w:tcPr>
            <w:tcW w:w="1380" w:type="dxa"/>
            <w:vAlign w:val="bottom"/>
            <w:vMerge w:val="restart"/>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gridSpan w:val="2"/>
          </w:tcPr>
          <w:p>
            <w:pPr>
              <w:jc w:val="right"/>
              <w:ind w:right="80"/>
              <w:spacing w:after="0"/>
              <w:rPr>
                <w:sz w:val="20"/>
                <w:szCs w:val="20"/>
                <w:color w:val="auto"/>
              </w:rPr>
            </w:pPr>
            <w:r>
              <w:rPr>
                <w:rFonts w:ascii="Arial" w:cs="Arial" w:eastAsia="Arial" w:hAnsi="Arial"/>
                <w:sz w:val="36"/>
                <w:szCs w:val="36"/>
                <w:color w:val="0075C9"/>
              </w:rPr>
              <w:t>2</w:t>
            </w:r>
          </w:p>
        </w:tc>
        <w:tc>
          <w:tcPr>
            <w:tcW w:w="1320" w:type="dxa"/>
            <w:vAlign w:val="bottom"/>
            <w:vMerge w:val="restart"/>
          </w:tcPr>
          <w:p>
            <w:pPr>
              <w:ind w:left="60"/>
              <w:spacing w:after="0"/>
              <w:rPr>
                <w:sz w:val="20"/>
                <w:szCs w:val="20"/>
                <w:color w:val="auto"/>
              </w:rPr>
            </w:pPr>
            <w:r>
              <w:rPr>
                <w:rFonts w:ascii="Arial" w:cs="Arial" w:eastAsia="Arial" w:hAnsi="Arial"/>
                <w:sz w:val="12"/>
                <w:szCs w:val="12"/>
                <w:color w:val="0075C9"/>
              </w:rPr>
              <w:t>NAMED</w:t>
            </w:r>
          </w:p>
        </w:tc>
        <w:tc>
          <w:tcPr>
            <w:tcW w:w="740" w:type="dxa"/>
            <w:vAlign w:val="bottom"/>
          </w:tcPr>
          <w:p>
            <w:pPr>
              <w:jc w:val="right"/>
              <w:spacing w:after="0"/>
              <w:rPr>
                <w:sz w:val="20"/>
                <w:szCs w:val="20"/>
                <w:color w:val="auto"/>
              </w:rPr>
            </w:pPr>
            <w:r>
              <w:rPr>
                <w:rFonts w:ascii="Arial" w:cs="Arial" w:eastAsia="Arial" w:hAnsi="Arial"/>
                <w:sz w:val="36"/>
                <w:szCs w:val="36"/>
                <w:color w:val="auto"/>
              </w:rPr>
              <w:t>3</w:t>
            </w:r>
          </w:p>
        </w:tc>
        <w:tc>
          <w:tcPr>
            <w:tcW w:w="1020" w:type="dxa"/>
            <w:vAlign w:val="bottom"/>
            <w:vMerge w:val="restart"/>
          </w:tcPr>
          <w:p>
            <w:pPr>
              <w:ind w:left="60"/>
              <w:spacing w:after="0"/>
              <w:rPr>
                <w:sz w:val="20"/>
                <w:szCs w:val="20"/>
                <w:color w:val="auto"/>
              </w:rPr>
            </w:pPr>
            <w:r>
              <w:rPr>
                <w:rFonts w:ascii="Arial" w:cs="Arial" w:eastAsia="Arial" w:hAnsi="Arial"/>
                <w:sz w:val="12"/>
                <w:szCs w:val="12"/>
                <w:color w:val="auto"/>
              </w:rPr>
              <w:t>AUDIT</w:t>
            </w:r>
          </w:p>
        </w:tc>
        <w:tc>
          <w:tcPr>
            <w:tcW w:w="500" w:type="dxa"/>
            <w:vAlign w:val="bottom"/>
          </w:tcPr>
          <w:p>
            <w:pPr>
              <w:jc w:val="right"/>
              <w:spacing w:after="0"/>
              <w:rPr>
                <w:sz w:val="20"/>
                <w:szCs w:val="20"/>
                <w:color w:val="auto"/>
              </w:rPr>
            </w:pPr>
            <w:r>
              <w:rPr>
                <w:rFonts w:ascii="Arial" w:cs="Arial" w:eastAsia="Arial" w:hAnsi="Arial"/>
                <w:sz w:val="36"/>
                <w:szCs w:val="36"/>
                <w:color w:val="auto"/>
              </w:rPr>
              <w:t>4</w:t>
            </w:r>
          </w:p>
        </w:tc>
        <w:tc>
          <w:tcPr>
            <w:tcW w:w="1580" w:type="dxa"/>
            <w:vAlign w:val="bottom"/>
            <w:vMerge w:val="restart"/>
          </w:tcPr>
          <w:p>
            <w:pPr>
              <w:ind w:left="80"/>
              <w:spacing w:after="0"/>
              <w:rPr>
                <w:sz w:val="20"/>
                <w:szCs w:val="20"/>
                <w:color w:val="auto"/>
              </w:rPr>
            </w:pPr>
            <w:r>
              <w:rPr>
                <w:rFonts w:ascii="Arial" w:cs="Arial" w:eastAsia="Arial" w:hAnsi="Arial"/>
                <w:sz w:val="12"/>
                <w:szCs w:val="12"/>
                <w:color w:val="auto"/>
              </w:rPr>
              <w:t>PROPOSALS TO</w:t>
            </w:r>
          </w:p>
        </w:tc>
        <w:tc>
          <w:tcPr>
            <w:tcW w:w="420" w:type="dxa"/>
            <w:vAlign w:val="bottom"/>
          </w:tcPr>
          <w:p>
            <w:pPr>
              <w:jc w:val="right"/>
              <w:spacing w:after="0"/>
              <w:rPr>
                <w:sz w:val="20"/>
                <w:szCs w:val="20"/>
                <w:color w:val="auto"/>
              </w:rPr>
            </w:pPr>
            <w:r>
              <w:rPr>
                <w:rFonts w:ascii="Arial" w:cs="Arial" w:eastAsia="Arial" w:hAnsi="Arial"/>
                <w:sz w:val="36"/>
                <w:szCs w:val="36"/>
                <w:color w:val="auto"/>
              </w:rPr>
              <w:t>5</w:t>
            </w:r>
          </w:p>
        </w:tc>
        <w:tc>
          <w:tcPr>
            <w:tcW w:w="1360" w:type="dxa"/>
            <w:vAlign w:val="bottom"/>
            <w:vMerge w:val="restart"/>
          </w:tcPr>
          <w:p>
            <w:pPr>
              <w:ind w:left="80"/>
              <w:spacing w:after="0"/>
              <w:rPr>
                <w:sz w:val="20"/>
                <w:szCs w:val="20"/>
                <w:color w:val="auto"/>
              </w:rPr>
            </w:pPr>
            <w:r>
              <w:rPr>
                <w:rFonts w:ascii="Arial" w:cs="Arial" w:eastAsia="Arial" w:hAnsi="Arial"/>
                <w:sz w:val="12"/>
                <w:szCs w:val="12"/>
                <w:color w:val="auto"/>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38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tcPr>
          <w:p>
            <w:pPr>
              <w:ind w:left="60"/>
              <w:spacing w:after="0" w:line="130" w:lineRule="exact"/>
              <w:rPr>
                <w:sz w:val="20"/>
                <w:szCs w:val="20"/>
                <w:color w:val="auto"/>
              </w:rPr>
            </w:pPr>
            <w:r>
              <w:rPr>
                <w:rFonts w:ascii="Arial" w:cs="Arial" w:eastAsia="Arial" w:hAnsi="Arial"/>
                <w:sz w:val="12"/>
                <w:szCs w:val="12"/>
                <w:color w:val="0075C9"/>
                <w:w w:val="99"/>
              </w:rPr>
              <w:t>EXECUTIVE OFFICER</w:t>
            </w:r>
          </w:p>
        </w:tc>
        <w:tc>
          <w:tcPr>
            <w:tcW w:w="740" w:type="dxa"/>
            <w:vAlign w:val="bottom"/>
          </w:tcPr>
          <w:p>
            <w:pPr>
              <w:spacing w:after="0"/>
              <w:rPr>
                <w:sz w:val="11"/>
                <w:szCs w:val="11"/>
                <w:color w:val="auto"/>
              </w:rPr>
            </w:pPr>
          </w:p>
        </w:tc>
        <w:tc>
          <w:tcPr>
            <w:tcW w:w="1020" w:type="dxa"/>
            <w:vAlign w:val="bottom"/>
          </w:tcPr>
          <w:p>
            <w:pPr>
              <w:ind w:left="60"/>
              <w:spacing w:after="0" w:line="130" w:lineRule="exact"/>
              <w:rPr>
                <w:sz w:val="20"/>
                <w:szCs w:val="20"/>
                <w:color w:val="auto"/>
              </w:rPr>
            </w:pPr>
            <w:r>
              <w:rPr>
                <w:rFonts w:ascii="Arial" w:cs="Arial" w:eastAsia="Arial" w:hAnsi="Arial"/>
                <w:sz w:val="12"/>
                <w:szCs w:val="12"/>
                <w:color w:val="auto"/>
              </w:rPr>
              <w:t>COMMITTEE</w:t>
            </w:r>
          </w:p>
        </w:tc>
        <w:tc>
          <w:tcPr>
            <w:tcW w:w="500" w:type="dxa"/>
            <w:vAlign w:val="bottom"/>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20" w:type="dxa"/>
            <w:vAlign w:val="bottom"/>
          </w:tcPr>
          <w:p>
            <w:pPr>
              <w:spacing w:after="0"/>
              <w:rPr>
                <w:sz w:val="11"/>
                <w:szCs w:val="11"/>
                <w:color w:val="auto"/>
              </w:rPr>
            </w:pPr>
          </w:p>
        </w:tc>
        <w:tc>
          <w:tcPr>
            <w:tcW w:w="136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380" w:type="dxa"/>
            <w:vAlign w:val="bottom"/>
          </w:tcPr>
          <w:p>
            <w:pPr>
              <w:ind w:left="80"/>
              <w:spacing w:after="0"/>
              <w:rPr>
                <w:sz w:val="20"/>
                <w:szCs w:val="20"/>
                <w:color w:val="auto"/>
              </w:rPr>
            </w:pPr>
            <w:r>
              <w:rPr>
                <w:rFonts w:ascii="Arial" w:cs="Arial" w:eastAsia="Arial" w:hAnsi="Arial"/>
                <w:sz w:val="12"/>
                <w:szCs w:val="12"/>
                <w:color w:val="auto"/>
              </w:rPr>
              <w:t>DIRECTORS</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0075C9"/>
              </w:rPr>
              <w:t>COMPENSATION</w:t>
            </w:r>
          </w:p>
        </w:tc>
        <w:tc>
          <w:tcPr>
            <w:tcW w:w="740" w:type="dxa"/>
            <w:vAlign w:val="bottom"/>
          </w:tcPr>
          <w:p>
            <w:pPr>
              <w:spacing w:after="0"/>
              <w:rPr>
                <w:sz w:val="12"/>
                <w:szCs w:val="12"/>
                <w:color w:val="auto"/>
              </w:rPr>
            </w:pPr>
          </w:p>
        </w:tc>
        <w:tc>
          <w:tcPr>
            <w:tcW w:w="1020" w:type="dxa"/>
            <w:vAlign w:val="bottom"/>
          </w:tcPr>
          <w:p>
            <w:pPr>
              <w:ind w:left="60"/>
              <w:spacing w:after="0"/>
              <w:rPr>
                <w:sz w:val="20"/>
                <w:szCs w:val="20"/>
                <w:color w:val="auto"/>
              </w:rPr>
            </w:pPr>
            <w:r>
              <w:rPr>
                <w:rFonts w:ascii="Arial" w:cs="Arial" w:eastAsia="Arial" w:hAnsi="Arial"/>
                <w:sz w:val="12"/>
                <w:szCs w:val="12"/>
                <w:color w:val="auto"/>
              </w:rPr>
              <w:t>MATTERS</w:t>
            </w:r>
          </w:p>
        </w:tc>
        <w:tc>
          <w:tcPr>
            <w:tcW w:w="500" w:type="dxa"/>
            <w:vAlign w:val="bottom"/>
          </w:tcPr>
          <w:p>
            <w:pPr>
              <w:spacing w:after="0"/>
              <w:rPr>
                <w:sz w:val="12"/>
                <w:szCs w:val="12"/>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20" w:type="dxa"/>
            <w:vAlign w:val="bottom"/>
          </w:tcPr>
          <w:p>
            <w:pPr>
              <w:spacing w:after="0"/>
              <w:rPr>
                <w:sz w:val="12"/>
                <w:szCs w:val="12"/>
                <w:color w:val="auto"/>
              </w:rPr>
            </w:pPr>
          </w:p>
        </w:tc>
        <w:tc>
          <w:tcPr>
            <w:tcW w:w="136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280" w:type="dxa"/>
            <w:vAlign w:val="bottom"/>
            <w:tcBorders>
              <w:bottom w:val="single" w:sz="8" w:color="0075C9"/>
            </w:tcBorders>
          </w:tcPr>
          <w:p>
            <w:pPr>
              <w:spacing w:after="0"/>
              <w:rPr>
                <w:sz w:val="24"/>
                <w:szCs w:val="24"/>
                <w:color w:val="auto"/>
              </w:rPr>
            </w:pPr>
          </w:p>
        </w:tc>
        <w:tc>
          <w:tcPr>
            <w:tcW w:w="1380" w:type="dxa"/>
            <w:vAlign w:val="bottom"/>
            <w:tcBorders>
              <w:bottom w:val="single" w:sz="8" w:color="0075C9"/>
            </w:tcBorders>
          </w:tcPr>
          <w:p>
            <w:pPr>
              <w:spacing w:after="0"/>
              <w:rPr>
                <w:sz w:val="24"/>
                <w:szCs w:val="24"/>
                <w:color w:val="auto"/>
              </w:rPr>
            </w:pPr>
          </w:p>
        </w:tc>
        <w:tc>
          <w:tcPr>
            <w:tcW w:w="160" w:type="dxa"/>
            <w:vAlign w:val="bottom"/>
            <w:tcBorders>
              <w:bottom w:val="single" w:sz="8" w:color="0075C9"/>
            </w:tcBorders>
          </w:tcPr>
          <w:p>
            <w:pPr>
              <w:spacing w:after="0"/>
              <w:rPr>
                <w:sz w:val="24"/>
                <w:szCs w:val="24"/>
                <w:color w:val="auto"/>
              </w:rPr>
            </w:pPr>
          </w:p>
        </w:tc>
        <w:tc>
          <w:tcPr>
            <w:tcW w:w="280" w:type="dxa"/>
            <w:vAlign w:val="bottom"/>
            <w:tcBorders>
              <w:bottom w:val="single" w:sz="8" w:color="0075C9"/>
            </w:tcBorders>
          </w:tcPr>
          <w:p>
            <w:pPr>
              <w:spacing w:after="0"/>
              <w:rPr>
                <w:sz w:val="24"/>
                <w:szCs w:val="24"/>
                <w:color w:val="auto"/>
              </w:rPr>
            </w:pPr>
          </w:p>
        </w:tc>
        <w:tc>
          <w:tcPr>
            <w:tcW w:w="1320" w:type="dxa"/>
            <w:vAlign w:val="bottom"/>
            <w:tcBorders>
              <w:bottom w:val="single" w:sz="8" w:color="0075C9"/>
            </w:tcBorders>
          </w:tcPr>
          <w:p>
            <w:pPr>
              <w:spacing w:after="0"/>
              <w:rPr>
                <w:sz w:val="24"/>
                <w:szCs w:val="24"/>
                <w:color w:val="auto"/>
              </w:rPr>
            </w:pPr>
          </w:p>
        </w:tc>
        <w:tc>
          <w:tcPr>
            <w:tcW w:w="740" w:type="dxa"/>
            <w:vAlign w:val="bottom"/>
            <w:tcBorders>
              <w:bottom w:val="single" w:sz="8" w:color="0075C9"/>
            </w:tcBorders>
          </w:tcPr>
          <w:p>
            <w:pPr>
              <w:spacing w:after="0"/>
              <w:rPr>
                <w:sz w:val="24"/>
                <w:szCs w:val="24"/>
                <w:color w:val="auto"/>
              </w:rPr>
            </w:pPr>
          </w:p>
        </w:tc>
        <w:tc>
          <w:tcPr>
            <w:tcW w:w="1020" w:type="dxa"/>
            <w:vAlign w:val="bottom"/>
            <w:tcBorders>
              <w:bottom w:val="single" w:sz="8" w:color="0075C9"/>
            </w:tcBorders>
          </w:tcPr>
          <w:p>
            <w:pPr>
              <w:spacing w:after="0"/>
              <w:rPr>
                <w:sz w:val="24"/>
                <w:szCs w:val="24"/>
                <w:color w:val="auto"/>
              </w:rPr>
            </w:pPr>
          </w:p>
        </w:tc>
        <w:tc>
          <w:tcPr>
            <w:tcW w:w="500" w:type="dxa"/>
            <w:vAlign w:val="bottom"/>
            <w:tcBorders>
              <w:bottom w:val="single" w:sz="8" w:color="0075C9"/>
            </w:tcBorders>
          </w:tcPr>
          <w:p>
            <w:pPr>
              <w:spacing w:after="0"/>
              <w:rPr>
                <w:sz w:val="24"/>
                <w:szCs w:val="24"/>
                <w:color w:val="auto"/>
              </w:rPr>
            </w:pPr>
          </w:p>
        </w:tc>
        <w:tc>
          <w:tcPr>
            <w:tcW w:w="1580" w:type="dxa"/>
            <w:vAlign w:val="bottom"/>
            <w:tcBorders>
              <w:bottom w:val="single" w:sz="8" w:color="0075C9"/>
            </w:tcBorders>
          </w:tcPr>
          <w:p>
            <w:pPr>
              <w:spacing w:after="0"/>
              <w:rPr>
                <w:sz w:val="24"/>
                <w:szCs w:val="24"/>
                <w:color w:val="auto"/>
              </w:rPr>
            </w:pPr>
          </w:p>
        </w:tc>
        <w:tc>
          <w:tcPr>
            <w:tcW w:w="420" w:type="dxa"/>
            <w:vAlign w:val="bottom"/>
            <w:tcBorders>
              <w:bottom w:val="single" w:sz="8" w:color="0075C9"/>
            </w:tcBorders>
          </w:tcPr>
          <w:p>
            <w:pPr>
              <w:spacing w:after="0"/>
              <w:rPr>
                <w:sz w:val="24"/>
                <w:szCs w:val="24"/>
                <w:color w:val="auto"/>
              </w:rPr>
            </w:pPr>
          </w:p>
        </w:tc>
        <w:tc>
          <w:tcPr>
            <w:tcW w:w="1360" w:type="dxa"/>
            <w:vAlign w:val="bottom"/>
            <w:tcBorders>
              <w:bottom w:val="single" w:sz="8" w:color="0075C9"/>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0"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Fiscal Year 2021 Compensation Tables</w:t>
      </w:r>
    </w:p>
    <w:p>
      <w:pPr>
        <w:spacing w:after="0" w:line="109"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Summary Compensation Table</w:t>
      </w:r>
    </w:p>
    <w:p>
      <w:pPr>
        <w:spacing w:after="0" w:line="129" w:lineRule="exact"/>
        <w:rPr>
          <w:sz w:val="20"/>
          <w:szCs w:val="20"/>
          <w:color w:val="auto"/>
        </w:rPr>
      </w:pPr>
    </w:p>
    <w:p>
      <w:pPr>
        <w:ind w:left="1100" w:right="360"/>
        <w:spacing w:after="0" w:line="239" w:lineRule="auto"/>
        <w:rPr>
          <w:sz w:val="20"/>
          <w:szCs w:val="20"/>
          <w:color w:val="auto"/>
        </w:rPr>
      </w:pPr>
      <w:r>
        <w:rPr>
          <w:rFonts w:ascii="Arial" w:cs="Arial" w:eastAsia="Arial" w:hAnsi="Arial"/>
          <w:sz w:val="16"/>
          <w:szCs w:val="16"/>
          <w:color w:val="auto"/>
        </w:rPr>
        <w:t>This table contains information about compensation awarded to our Named Executives for the fiscal years ended June 30, 2021, 2020, and 2019. None of our Named Executives received stock options during those years.</w:t>
      </w:r>
    </w:p>
    <w:p>
      <w:pPr>
        <w:spacing w:after="0" w:line="209" w:lineRule="exact"/>
        <w:rPr>
          <w:sz w:val="20"/>
          <w:szCs w:val="20"/>
          <w:color w:val="auto"/>
        </w:rPr>
      </w:pPr>
    </w:p>
    <w:tbl>
      <w:tblPr>
        <w:tblLayout w:type="fixed"/>
        <w:tblInd w:w="1100" w:type="dxa"/>
        <w:tblCellMar>
          <w:top w:w="0" w:type="dxa"/>
          <w:left w:w="0" w:type="dxa"/>
          <w:bottom w:w="0" w:type="dxa"/>
          <w:right w:w="0" w:type="dxa"/>
        </w:tblCellMar>
      </w:tblPr>
      <w:tr>
        <w:trPr>
          <w:trHeight w:val="184"/>
        </w:trPr>
        <w:tc>
          <w:tcPr>
            <w:tcW w:w="2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Non-equity</w:t>
            </w:r>
          </w:p>
        </w:tc>
        <w:tc>
          <w:tcPr>
            <w:tcW w:w="1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jc w:val="right"/>
              <w:ind w:right="3"/>
              <w:spacing w:after="0" w:line="178" w:lineRule="exact"/>
              <w:rPr>
                <w:sz w:val="20"/>
                <w:szCs w:val="20"/>
                <w:color w:val="auto"/>
              </w:rPr>
            </w:pPr>
            <w:r>
              <w:rPr>
                <w:rFonts w:ascii="Arial" w:cs="Arial" w:eastAsia="Arial" w:hAnsi="Arial"/>
                <w:sz w:val="16"/>
                <w:szCs w:val="16"/>
                <w:b w:val="1"/>
                <w:bCs w:val="1"/>
                <w:color w:val="auto"/>
              </w:rPr>
              <w:t>Stock</w:t>
            </w:r>
          </w:p>
        </w:tc>
        <w:tc>
          <w:tcPr>
            <w:tcW w:w="1280" w:type="dxa"/>
            <w:vAlign w:val="bottom"/>
          </w:tcPr>
          <w:p>
            <w:pPr>
              <w:jc w:val="right"/>
              <w:spacing w:after="0" w:line="178" w:lineRule="exact"/>
              <w:rPr>
                <w:sz w:val="20"/>
                <w:szCs w:val="20"/>
                <w:color w:val="auto"/>
              </w:rPr>
            </w:pPr>
            <w:r>
              <w:rPr>
                <w:rFonts w:ascii="Arial" w:cs="Arial" w:eastAsia="Arial" w:hAnsi="Arial"/>
                <w:sz w:val="16"/>
                <w:szCs w:val="16"/>
                <w:b w:val="1"/>
                <w:bCs w:val="1"/>
                <w:color w:val="auto"/>
              </w:rPr>
              <w:t>Incentive Plan</w:t>
            </w:r>
          </w:p>
        </w:tc>
        <w:tc>
          <w:tcPr>
            <w:tcW w:w="1320" w:type="dxa"/>
            <w:vAlign w:val="bottom"/>
          </w:tcPr>
          <w:p>
            <w:pPr>
              <w:jc w:val="right"/>
              <w:ind w:right="23"/>
              <w:spacing w:after="0" w:line="178" w:lineRule="exact"/>
              <w:rPr>
                <w:sz w:val="20"/>
                <w:szCs w:val="20"/>
                <w:color w:val="auto"/>
              </w:rPr>
            </w:pPr>
            <w:r>
              <w:rPr>
                <w:rFonts w:ascii="Arial" w:cs="Arial" w:eastAsia="Arial" w:hAnsi="Arial"/>
                <w:sz w:val="16"/>
                <w:szCs w:val="16"/>
                <w:b w:val="1"/>
                <w:bCs w:val="1"/>
                <w:color w:val="auto"/>
              </w:rPr>
              <w:t>All Other</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280" w:type="dxa"/>
            <w:vAlign w:val="bottom"/>
          </w:tcPr>
          <w:p>
            <w:pPr>
              <w:ind w:left="80"/>
              <w:spacing w:after="0"/>
              <w:rPr>
                <w:sz w:val="20"/>
                <w:szCs w:val="20"/>
                <w:color w:val="auto"/>
              </w:rPr>
            </w:pPr>
            <w:r>
              <w:rPr>
                <w:rFonts w:ascii="Arial" w:cs="Arial" w:eastAsia="Arial" w:hAnsi="Arial"/>
                <w:sz w:val="16"/>
                <w:szCs w:val="16"/>
                <w:b w:val="1"/>
                <w:bCs w:val="1"/>
                <w:color w:val="auto"/>
              </w:rPr>
              <w:t>Named Executive and</w:t>
            </w:r>
          </w:p>
        </w:tc>
        <w:tc>
          <w:tcPr>
            <w:tcW w:w="540" w:type="dxa"/>
            <w:vAlign w:val="bottom"/>
          </w:tcPr>
          <w:p>
            <w:pPr>
              <w:spacing w:after="0"/>
              <w:rPr>
                <w:sz w:val="16"/>
                <w:szCs w:val="16"/>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b w:val="1"/>
                <w:bCs w:val="1"/>
                <w:color w:val="auto"/>
              </w:rPr>
              <w:t>Salary</w:t>
            </w:r>
          </w:p>
        </w:tc>
        <w:tc>
          <w:tcPr>
            <w:tcW w:w="860" w:type="dxa"/>
            <w:vAlign w:val="bottom"/>
          </w:tcPr>
          <w:p>
            <w:pPr>
              <w:jc w:val="right"/>
              <w:ind w:right="23"/>
              <w:spacing w:after="0" w:line="184" w:lineRule="exact"/>
              <w:rPr>
                <w:sz w:val="20"/>
                <w:szCs w:val="20"/>
                <w:color w:val="auto"/>
              </w:rPr>
            </w:pPr>
            <w:r>
              <w:rPr>
                <w:rFonts w:ascii="Arial" w:cs="Arial" w:eastAsia="Arial" w:hAnsi="Arial"/>
                <w:sz w:val="13"/>
                <w:szCs w:val="13"/>
                <w:b w:val="1"/>
                <w:bCs w:val="1"/>
                <w:color w:val="auto"/>
              </w:rPr>
              <w:t>Bonus</w:t>
            </w:r>
            <w:r>
              <w:rPr>
                <w:rFonts w:ascii="Arial" w:cs="Arial" w:eastAsia="Arial" w:hAnsi="Arial"/>
                <w:sz w:val="21"/>
                <w:szCs w:val="21"/>
                <w:b w:val="1"/>
                <w:bCs w:val="1"/>
                <w:color w:val="auto"/>
                <w:vertAlign w:val="superscript"/>
              </w:rPr>
              <w:t>1</w:t>
            </w:r>
          </w:p>
        </w:tc>
        <w:tc>
          <w:tcPr>
            <w:tcW w:w="940" w:type="dxa"/>
            <w:vAlign w:val="bottom"/>
          </w:tcPr>
          <w:p>
            <w:pPr>
              <w:jc w:val="right"/>
              <w:ind w:right="3"/>
              <w:spacing w:after="0" w:line="184" w:lineRule="exact"/>
              <w:rPr>
                <w:sz w:val="20"/>
                <w:szCs w:val="20"/>
                <w:color w:val="auto"/>
              </w:rPr>
            </w:pPr>
            <w:r>
              <w:rPr>
                <w:rFonts w:ascii="Arial" w:cs="Arial" w:eastAsia="Arial" w:hAnsi="Arial"/>
                <w:sz w:val="13"/>
                <w:szCs w:val="13"/>
                <w:b w:val="1"/>
                <w:bCs w:val="1"/>
                <w:color w:val="auto"/>
              </w:rPr>
              <w:t>Awards</w:t>
            </w:r>
            <w:r>
              <w:rPr>
                <w:rFonts w:ascii="Arial" w:cs="Arial" w:eastAsia="Arial" w:hAnsi="Arial"/>
                <w:sz w:val="21"/>
                <w:szCs w:val="21"/>
                <w:b w:val="1"/>
                <w:bCs w:val="1"/>
                <w:color w:val="auto"/>
                <w:vertAlign w:val="superscript"/>
              </w:rPr>
              <w:t>2</w:t>
            </w:r>
          </w:p>
        </w:tc>
        <w:tc>
          <w:tcPr>
            <w:tcW w:w="1280" w:type="dxa"/>
            <w:vAlign w:val="bottom"/>
          </w:tcPr>
          <w:p>
            <w:pPr>
              <w:jc w:val="right"/>
              <w:spacing w:after="0" w:line="184" w:lineRule="exact"/>
              <w:rPr>
                <w:sz w:val="20"/>
                <w:szCs w:val="20"/>
                <w:color w:val="auto"/>
              </w:rPr>
            </w:pPr>
            <w:r>
              <w:rPr>
                <w:rFonts w:ascii="Arial" w:cs="Arial" w:eastAsia="Arial" w:hAnsi="Arial"/>
                <w:sz w:val="13"/>
                <w:szCs w:val="13"/>
                <w:b w:val="1"/>
                <w:bCs w:val="1"/>
                <w:color w:val="auto"/>
              </w:rPr>
              <w:t>Compensation</w:t>
            </w:r>
            <w:r>
              <w:rPr>
                <w:rFonts w:ascii="Arial" w:cs="Arial" w:eastAsia="Arial" w:hAnsi="Arial"/>
                <w:sz w:val="21"/>
                <w:szCs w:val="21"/>
                <w:b w:val="1"/>
                <w:bCs w:val="1"/>
                <w:color w:val="auto"/>
                <w:vertAlign w:val="superscript"/>
              </w:rPr>
              <w:t>3</w:t>
            </w:r>
          </w:p>
        </w:tc>
        <w:tc>
          <w:tcPr>
            <w:tcW w:w="1320" w:type="dxa"/>
            <w:vAlign w:val="bottom"/>
          </w:tcPr>
          <w:p>
            <w:pPr>
              <w:jc w:val="right"/>
              <w:ind w:right="23"/>
              <w:spacing w:after="0" w:line="184" w:lineRule="exact"/>
              <w:rPr>
                <w:sz w:val="20"/>
                <w:szCs w:val="20"/>
                <w:color w:val="auto"/>
              </w:rPr>
            </w:pPr>
            <w:r>
              <w:rPr>
                <w:rFonts w:ascii="Arial" w:cs="Arial" w:eastAsia="Arial" w:hAnsi="Arial"/>
                <w:sz w:val="13"/>
                <w:szCs w:val="13"/>
                <w:b w:val="1"/>
                <w:bCs w:val="1"/>
                <w:color w:val="auto"/>
              </w:rPr>
              <w:t>Compensation</w:t>
            </w:r>
            <w:r>
              <w:rPr>
                <w:rFonts w:ascii="Arial" w:cs="Arial" w:eastAsia="Arial" w:hAnsi="Arial"/>
                <w:sz w:val="21"/>
                <w:szCs w:val="21"/>
                <w:b w:val="1"/>
                <w:bCs w:val="1"/>
                <w:color w:val="auto"/>
                <w:vertAlign w:val="superscript"/>
              </w:rPr>
              <w:t>4</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22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Principal Position</w:t>
            </w:r>
          </w:p>
        </w:tc>
        <w:tc>
          <w:tcPr>
            <w:tcW w:w="5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Year</w:t>
            </w:r>
          </w:p>
        </w:tc>
        <w:tc>
          <w:tcPr>
            <w:tcW w:w="8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9"/>
        </w:trPr>
        <w:tc>
          <w:tcPr>
            <w:tcW w:w="2280" w:type="dxa"/>
            <w:vAlign w:val="bottom"/>
          </w:tcPr>
          <w:p>
            <w:pPr>
              <w:ind w:left="80"/>
              <w:spacing w:after="0"/>
              <w:rPr>
                <w:sz w:val="20"/>
                <w:szCs w:val="20"/>
                <w:color w:val="auto"/>
              </w:rPr>
            </w:pPr>
            <w:r>
              <w:rPr>
                <w:rFonts w:ascii="Arial" w:cs="Arial" w:eastAsia="Arial" w:hAnsi="Arial"/>
                <w:sz w:val="16"/>
                <w:szCs w:val="16"/>
                <w:b w:val="1"/>
                <w:bCs w:val="1"/>
                <w:color w:val="0075C9"/>
              </w:rPr>
              <w:t>Satya Nadella</w:t>
            </w:r>
          </w:p>
        </w:tc>
        <w:tc>
          <w:tcPr>
            <w:tcW w:w="540" w:type="dxa"/>
            <w:vAlign w:val="bottom"/>
            <w:tcBorders>
              <w:bottom w:val="single" w:sz="8" w:color="595959"/>
            </w:tcBorders>
          </w:tcPr>
          <w:p>
            <w:pPr>
              <w:jc w:val="right"/>
              <w:ind w:right="2"/>
              <w:spacing w:after="0"/>
              <w:rPr>
                <w:sz w:val="20"/>
                <w:szCs w:val="20"/>
                <w:color w:val="auto"/>
              </w:rPr>
            </w:pPr>
            <w:r>
              <w:rPr>
                <w:rFonts w:ascii="Arial" w:cs="Arial" w:eastAsia="Arial" w:hAnsi="Arial"/>
                <w:sz w:val="16"/>
                <w:szCs w:val="16"/>
                <w:color w:val="auto"/>
              </w:rPr>
              <w:t>2021</w:t>
            </w:r>
          </w:p>
        </w:tc>
        <w:tc>
          <w:tcPr>
            <w:tcW w:w="880" w:type="dxa"/>
            <w:vAlign w:val="bottom"/>
            <w:tcBorders>
              <w:bottom w:val="single" w:sz="8" w:color="595959"/>
            </w:tcBorders>
          </w:tcPr>
          <w:p>
            <w:pPr>
              <w:jc w:val="right"/>
              <w:ind w:right="22"/>
              <w:spacing w:after="0"/>
              <w:rPr>
                <w:sz w:val="20"/>
                <w:szCs w:val="20"/>
                <w:color w:val="auto"/>
              </w:rPr>
            </w:pPr>
            <w:r>
              <w:rPr>
                <w:rFonts w:ascii="Arial" w:cs="Arial" w:eastAsia="Arial" w:hAnsi="Arial"/>
                <w:sz w:val="16"/>
                <w:szCs w:val="16"/>
                <w:color w:val="auto"/>
              </w:rPr>
              <w:t>2,500,000</w:t>
            </w:r>
          </w:p>
        </w:tc>
        <w:tc>
          <w:tcPr>
            <w:tcW w:w="860" w:type="dxa"/>
            <w:vAlign w:val="bottom"/>
            <w:tcBorders>
              <w:bottom w:val="single" w:sz="8" w:color="595959"/>
            </w:tcBorders>
          </w:tcPr>
          <w:p>
            <w:pPr>
              <w:jc w:val="right"/>
              <w:ind w:right="23"/>
              <w:spacing w:after="0"/>
              <w:rPr>
                <w:sz w:val="20"/>
                <w:szCs w:val="20"/>
                <w:color w:val="auto"/>
              </w:rPr>
            </w:pPr>
            <w:r>
              <w:rPr>
                <w:rFonts w:ascii="Arial" w:cs="Arial" w:eastAsia="Arial" w:hAnsi="Arial"/>
                <w:sz w:val="16"/>
                <w:szCs w:val="16"/>
                <w:color w:val="auto"/>
              </w:rPr>
              <w:t>0</w:t>
            </w:r>
          </w:p>
        </w:tc>
        <w:tc>
          <w:tcPr>
            <w:tcW w:w="940" w:type="dxa"/>
            <w:vAlign w:val="bottom"/>
            <w:tcBorders>
              <w:bottom w:val="single" w:sz="8" w:color="595959"/>
            </w:tcBorders>
          </w:tcPr>
          <w:p>
            <w:pPr>
              <w:jc w:val="right"/>
              <w:ind w:right="3"/>
              <w:spacing w:after="0"/>
              <w:rPr>
                <w:sz w:val="20"/>
                <w:szCs w:val="20"/>
                <w:color w:val="auto"/>
              </w:rPr>
            </w:pPr>
            <w:r>
              <w:rPr>
                <w:rFonts w:ascii="Arial" w:cs="Arial" w:eastAsia="Arial" w:hAnsi="Arial"/>
                <w:sz w:val="16"/>
                <w:szCs w:val="16"/>
                <w:color w:val="auto"/>
              </w:rPr>
              <w:t>33,036,030</w:t>
            </w:r>
          </w:p>
        </w:tc>
        <w:tc>
          <w:tcPr>
            <w:tcW w:w="1280" w:type="dxa"/>
            <w:vAlign w:val="bottom"/>
            <w:tcBorders>
              <w:bottom w:val="single" w:sz="8" w:color="595959"/>
            </w:tcBorders>
          </w:tcPr>
          <w:p>
            <w:pPr>
              <w:jc w:val="right"/>
              <w:spacing w:after="0"/>
              <w:rPr>
                <w:sz w:val="20"/>
                <w:szCs w:val="20"/>
                <w:color w:val="auto"/>
              </w:rPr>
            </w:pPr>
            <w:r>
              <w:rPr>
                <w:rFonts w:ascii="Arial" w:cs="Arial" w:eastAsia="Arial" w:hAnsi="Arial"/>
                <w:sz w:val="16"/>
                <w:szCs w:val="16"/>
                <w:color w:val="auto"/>
              </w:rPr>
              <w:t>14,212,500</w:t>
            </w:r>
          </w:p>
        </w:tc>
        <w:tc>
          <w:tcPr>
            <w:tcW w:w="1320" w:type="dxa"/>
            <w:vAlign w:val="bottom"/>
            <w:tcBorders>
              <w:bottom w:val="single" w:sz="8" w:color="595959"/>
            </w:tcBorders>
          </w:tcPr>
          <w:p>
            <w:pPr>
              <w:jc w:val="right"/>
              <w:ind w:right="23"/>
              <w:spacing w:after="0"/>
              <w:rPr>
                <w:sz w:val="20"/>
                <w:szCs w:val="20"/>
                <w:color w:val="auto"/>
              </w:rPr>
            </w:pPr>
            <w:r>
              <w:rPr>
                <w:rFonts w:ascii="Arial" w:cs="Arial" w:eastAsia="Arial" w:hAnsi="Arial"/>
                <w:sz w:val="16"/>
                <w:szCs w:val="16"/>
                <w:color w:val="auto"/>
              </w:rPr>
              <w:t>109,750</w:t>
            </w:r>
          </w:p>
        </w:tc>
        <w:tc>
          <w:tcPr>
            <w:tcW w:w="940" w:type="dxa"/>
            <w:vAlign w:val="bottom"/>
            <w:tcBorders>
              <w:bottom w:val="single" w:sz="8" w:color="595959"/>
            </w:tcBorders>
          </w:tcPr>
          <w:p>
            <w:pPr>
              <w:jc w:val="right"/>
              <w:spacing w:after="0"/>
              <w:rPr>
                <w:sz w:val="20"/>
                <w:szCs w:val="20"/>
                <w:color w:val="auto"/>
              </w:rPr>
            </w:pPr>
            <w:r>
              <w:rPr>
                <w:rFonts w:ascii="Arial" w:cs="Arial" w:eastAsia="Arial" w:hAnsi="Arial"/>
                <w:sz w:val="16"/>
                <w:szCs w:val="16"/>
                <w:color w:val="auto"/>
              </w:rPr>
              <w:t>49,858,280</w:t>
            </w:r>
          </w:p>
        </w:tc>
        <w:tc>
          <w:tcPr>
            <w:tcW w:w="0" w:type="dxa"/>
            <w:vAlign w:val="bottom"/>
          </w:tcPr>
          <w:p>
            <w:pPr>
              <w:spacing w:after="0"/>
              <w:rPr>
                <w:sz w:val="1"/>
                <w:szCs w:val="1"/>
                <w:color w:val="auto"/>
              </w:rPr>
            </w:pPr>
          </w:p>
        </w:tc>
      </w:tr>
      <w:tr>
        <w:trPr>
          <w:trHeight w:val="193"/>
        </w:trPr>
        <w:tc>
          <w:tcPr>
            <w:tcW w:w="2280" w:type="dxa"/>
            <w:vAlign w:val="bottom"/>
          </w:tcPr>
          <w:p>
            <w:pPr>
              <w:ind w:left="80"/>
              <w:spacing w:after="0"/>
              <w:rPr>
                <w:sz w:val="20"/>
                <w:szCs w:val="20"/>
                <w:color w:val="auto"/>
              </w:rPr>
            </w:pPr>
            <w:r>
              <w:rPr>
                <w:rFonts w:ascii="Arial" w:cs="Arial" w:eastAsia="Arial" w:hAnsi="Arial"/>
                <w:sz w:val="16"/>
                <w:szCs w:val="16"/>
                <w:i w:val="1"/>
                <w:iCs w:val="1"/>
                <w:color w:val="auto"/>
              </w:rPr>
              <w:t>Chairman and Chief</w:t>
            </w: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2020</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2,500,000</w:t>
            </w: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0</w:t>
            </w:r>
          </w:p>
        </w:tc>
        <w:tc>
          <w:tcPr>
            <w:tcW w:w="940" w:type="dxa"/>
            <w:vAlign w:val="bottom"/>
          </w:tcPr>
          <w:p>
            <w:pPr>
              <w:jc w:val="right"/>
              <w:ind w:right="3"/>
              <w:spacing w:after="0"/>
              <w:rPr>
                <w:sz w:val="20"/>
                <w:szCs w:val="20"/>
                <w:color w:val="auto"/>
              </w:rPr>
            </w:pPr>
            <w:r>
              <w:rPr>
                <w:rFonts w:ascii="Arial" w:cs="Arial" w:eastAsia="Arial" w:hAnsi="Arial"/>
                <w:sz w:val="16"/>
                <w:szCs w:val="16"/>
                <w:color w:val="auto"/>
              </w:rPr>
              <w:t>30,718,608</w:t>
            </w:r>
          </w:p>
        </w:tc>
        <w:tc>
          <w:tcPr>
            <w:tcW w:w="1280" w:type="dxa"/>
            <w:vAlign w:val="bottom"/>
          </w:tcPr>
          <w:p>
            <w:pPr>
              <w:jc w:val="right"/>
              <w:spacing w:after="0"/>
              <w:rPr>
                <w:sz w:val="20"/>
                <w:szCs w:val="20"/>
                <w:color w:val="auto"/>
              </w:rPr>
            </w:pPr>
            <w:r>
              <w:rPr>
                <w:rFonts w:ascii="Arial" w:cs="Arial" w:eastAsia="Arial" w:hAnsi="Arial"/>
                <w:sz w:val="16"/>
                <w:szCs w:val="16"/>
                <w:color w:val="auto"/>
              </w:rPr>
              <w:t>10,992,000</w:t>
            </w:r>
          </w:p>
        </w:tc>
        <w:tc>
          <w:tcPr>
            <w:tcW w:w="1320" w:type="dxa"/>
            <w:vAlign w:val="bottom"/>
          </w:tcPr>
          <w:p>
            <w:pPr>
              <w:jc w:val="right"/>
              <w:ind w:right="23"/>
              <w:spacing w:after="0"/>
              <w:rPr>
                <w:sz w:val="20"/>
                <w:szCs w:val="20"/>
                <w:color w:val="auto"/>
              </w:rPr>
            </w:pPr>
            <w:r>
              <w:rPr>
                <w:rFonts w:ascii="Arial" w:cs="Arial" w:eastAsia="Arial" w:hAnsi="Arial"/>
                <w:sz w:val="16"/>
                <w:szCs w:val="16"/>
                <w:color w:val="auto"/>
              </w:rPr>
              <w:t>111,180</w:t>
            </w:r>
          </w:p>
        </w:tc>
        <w:tc>
          <w:tcPr>
            <w:tcW w:w="940" w:type="dxa"/>
            <w:vAlign w:val="bottom"/>
          </w:tcPr>
          <w:p>
            <w:pPr>
              <w:jc w:val="right"/>
              <w:spacing w:after="0"/>
              <w:rPr>
                <w:sz w:val="20"/>
                <w:szCs w:val="20"/>
                <w:color w:val="auto"/>
              </w:rPr>
            </w:pPr>
            <w:r>
              <w:rPr>
                <w:rFonts w:ascii="Arial" w:cs="Arial" w:eastAsia="Arial" w:hAnsi="Arial"/>
                <w:sz w:val="16"/>
                <w:szCs w:val="16"/>
                <w:color w:val="auto"/>
              </w:rPr>
              <w:t>44,321,788</w:t>
            </w:r>
          </w:p>
        </w:tc>
        <w:tc>
          <w:tcPr>
            <w:tcW w:w="0" w:type="dxa"/>
            <w:vAlign w:val="bottom"/>
          </w:tcPr>
          <w:p>
            <w:pPr>
              <w:spacing w:after="0"/>
              <w:rPr>
                <w:sz w:val="1"/>
                <w:szCs w:val="1"/>
                <w:color w:val="auto"/>
              </w:rPr>
            </w:pPr>
          </w:p>
        </w:tc>
      </w:tr>
      <w:tr>
        <w:trPr>
          <w:trHeight w:val="40"/>
        </w:trPr>
        <w:tc>
          <w:tcPr>
            <w:tcW w:w="2280" w:type="dxa"/>
            <w:vAlign w:val="bottom"/>
            <w:vMerge w:val="restart"/>
          </w:tcPr>
          <w:p>
            <w:pPr>
              <w:ind w:left="80"/>
              <w:spacing w:after="0"/>
              <w:rPr>
                <w:sz w:val="20"/>
                <w:szCs w:val="20"/>
                <w:color w:val="auto"/>
              </w:rPr>
            </w:pPr>
            <w:r>
              <w:rPr>
                <w:rFonts w:ascii="Arial" w:cs="Arial" w:eastAsia="Arial" w:hAnsi="Arial"/>
                <w:sz w:val="16"/>
                <w:szCs w:val="16"/>
                <w:i w:val="1"/>
                <w:iCs w:val="1"/>
                <w:color w:val="auto"/>
              </w:rPr>
              <w:t>Executive Officer</w:t>
            </w:r>
          </w:p>
        </w:tc>
        <w:tc>
          <w:tcPr>
            <w:tcW w:w="540" w:type="dxa"/>
            <w:vAlign w:val="bottom"/>
            <w:tcBorders>
              <w:bottom w:val="single" w:sz="8" w:color="595959"/>
            </w:tcBorders>
          </w:tcPr>
          <w:p>
            <w:pPr>
              <w:spacing w:after="0"/>
              <w:rPr>
                <w:sz w:val="3"/>
                <w:szCs w:val="3"/>
                <w:color w:val="auto"/>
              </w:rPr>
            </w:pPr>
          </w:p>
        </w:tc>
        <w:tc>
          <w:tcPr>
            <w:tcW w:w="880" w:type="dxa"/>
            <w:vAlign w:val="bottom"/>
            <w:tcBorders>
              <w:bottom w:val="single" w:sz="8" w:color="595959"/>
            </w:tcBorders>
          </w:tcPr>
          <w:p>
            <w:pPr>
              <w:spacing w:after="0"/>
              <w:rPr>
                <w:sz w:val="3"/>
                <w:szCs w:val="3"/>
                <w:color w:val="auto"/>
              </w:rPr>
            </w:pPr>
          </w:p>
        </w:tc>
        <w:tc>
          <w:tcPr>
            <w:tcW w:w="860" w:type="dxa"/>
            <w:vAlign w:val="bottom"/>
            <w:tcBorders>
              <w:bottom w:val="single" w:sz="8" w:color="595959"/>
            </w:tcBorders>
          </w:tcPr>
          <w:p>
            <w:pPr>
              <w:spacing w:after="0"/>
              <w:rPr>
                <w:sz w:val="3"/>
                <w:szCs w:val="3"/>
                <w:color w:val="auto"/>
              </w:rPr>
            </w:pPr>
          </w:p>
        </w:tc>
        <w:tc>
          <w:tcPr>
            <w:tcW w:w="940" w:type="dxa"/>
            <w:vAlign w:val="bottom"/>
            <w:tcBorders>
              <w:bottom w:val="single" w:sz="8" w:color="595959"/>
            </w:tcBorders>
          </w:tcPr>
          <w:p>
            <w:pPr>
              <w:spacing w:after="0"/>
              <w:rPr>
                <w:sz w:val="3"/>
                <w:szCs w:val="3"/>
                <w:color w:val="auto"/>
              </w:rPr>
            </w:pPr>
          </w:p>
        </w:tc>
        <w:tc>
          <w:tcPr>
            <w:tcW w:w="1280" w:type="dxa"/>
            <w:vAlign w:val="bottom"/>
            <w:tcBorders>
              <w:bottom w:val="single" w:sz="8" w:color="595959"/>
            </w:tcBorders>
          </w:tcPr>
          <w:p>
            <w:pPr>
              <w:spacing w:after="0"/>
              <w:rPr>
                <w:sz w:val="3"/>
                <w:szCs w:val="3"/>
                <w:color w:val="auto"/>
              </w:rPr>
            </w:pPr>
          </w:p>
        </w:tc>
        <w:tc>
          <w:tcPr>
            <w:tcW w:w="1320" w:type="dxa"/>
            <w:vAlign w:val="bottom"/>
            <w:tcBorders>
              <w:bottom w:val="single" w:sz="8" w:color="595959"/>
            </w:tcBorders>
          </w:tcPr>
          <w:p>
            <w:pPr>
              <w:spacing w:after="0"/>
              <w:rPr>
                <w:sz w:val="3"/>
                <w:szCs w:val="3"/>
                <w:color w:val="auto"/>
              </w:rPr>
            </w:pPr>
          </w:p>
        </w:tc>
        <w:tc>
          <w:tcPr>
            <w:tcW w:w="940" w:type="dxa"/>
            <w:vAlign w:val="bottom"/>
            <w:tcBorders>
              <w:bottom w:val="single" w:sz="8" w:color="595959"/>
            </w:tcBorders>
          </w:tcPr>
          <w:p>
            <w:pPr>
              <w:spacing w:after="0"/>
              <w:rPr>
                <w:sz w:val="3"/>
                <w:szCs w:val="3"/>
                <w:color w:val="auto"/>
              </w:rPr>
            </w:pPr>
          </w:p>
        </w:tc>
        <w:tc>
          <w:tcPr>
            <w:tcW w:w="0" w:type="dxa"/>
            <w:vAlign w:val="bottom"/>
          </w:tcPr>
          <w:p>
            <w:pPr>
              <w:spacing w:after="0"/>
              <w:rPr>
                <w:sz w:val="1"/>
                <w:szCs w:val="1"/>
                <w:color w:val="auto"/>
              </w:rPr>
            </w:pPr>
          </w:p>
        </w:tc>
      </w:tr>
      <w:tr>
        <w:trPr>
          <w:trHeight w:val="143"/>
        </w:trPr>
        <w:tc>
          <w:tcPr>
            <w:tcW w:w="2280" w:type="dxa"/>
            <w:vAlign w:val="bottom"/>
            <w:vMerge w:val="continue"/>
          </w:tcPr>
          <w:p>
            <w:pPr>
              <w:spacing w:after="0"/>
              <w:rPr>
                <w:sz w:val="12"/>
                <w:szCs w:val="12"/>
                <w:color w:val="auto"/>
              </w:rPr>
            </w:pPr>
          </w:p>
        </w:tc>
        <w:tc>
          <w:tcPr>
            <w:tcW w:w="540" w:type="dxa"/>
            <w:vAlign w:val="bottom"/>
            <w:vMerge w:val="restart"/>
          </w:tcPr>
          <w:p>
            <w:pPr>
              <w:jc w:val="right"/>
              <w:ind w:right="2"/>
              <w:spacing w:after="0"/>
              <w:rPr>
                <w:sz w:val="20"/>
                <w:szCs w:val="20"/>
                <w:color w:val="auto"/>
              </w:rPr>
            </w:pPr>
            <w:r>
              <w:rPr>
                <w:rFonts w:ascii="Arial" w:cs="Arial" w:eastAsia="Arial" w:hAnsi="Arial"/>
                <w:sz w:val="16"/>
                <w:szCs w:val="16"/>
                <w:color w:val="auto"/>
              </w:rPr>
              <w:t>2019</w:t>
            </w:r>
          </w:p>
        </w:tc>
        <w:tc>
          <w:tcPr>
            <w:tcW w:w="880" w:type="dxa"/>
            <w:vAlign w:val="bottom"/>
            <w:vMerge w:val="restart"/>
          </w:tcPr>
          <w:p>
            <w:pPr>
              <w:jc w:val="right"/>
              <w:ind w:right="22"/>
              <w:spacing w:after="0"/>
              <w:rPr>
                <w:sz w:val="20"/>
                <w:szCs w:val="20"/>
                <w:color w:val="auto"/>
              </w:rPr>
            </w:pPr>
            <w:r>
              <w:rPr>
                <w:rFonts w:ascii="Arial" w:cs="Arial" w:eastAsia="Arial" w:hAnsi="Arial"/>
                <w:sz w:val="16"/>
                <w:szCs w:val="16"/>
                <w:color w:val="auto"/>
              </w:rPr>
              <w:t>2,333,333</w:t>
            </w:r>
          </w:p>
        </w:tc>
        <w:tc>
          <w:tcPr>
            <w:tcW w:w="860" w:type="dxa"/>
            <w:vAlign w:val="bottom"/>
            <w:vMerge w:val="restart"/>
          </w:tcPr>
          <w:p>
            <w:pPr>
              <w:jc w:val="right"/>
              <w:ind w:right="23"/>
              <w:spacing w:after="0"/>
              <w:rPr>
                <w:sz w:val="20"/>
                <w:szCs w:val="20"/>
                <w:color w:val="auto"/>
              </w:rPr>
            </w:pPr>
            <w:r>
              <w:rPr>
                <w:rFonts w:ascii="Arial" w:cs="Arial" w:eastAsia="Arial" w:hAnsi="Arial"/>
                <w:sz w:val="16"/>
                <w:szCs w:val="16"/>
                <w:color w:val="auto"/>
              </w:rPr>
              <w:t>0</w:t>
            </w:r>
          </w:p>
        </w:tc>
        <w:tc>
          <w:tcPr>
            <w:tcW w:w="940" w:type="dxa"/>
            <w:vAlign w:val="bottom"/>
            <w:vMerge w:val="restart"/>
          </w:tcPr>
          <w:p>
            <w:pPr>
              <w:jc w:val="right"/>
              <w:ind w:right="3"/>
              <w:spacing w:after="0"/>
              <w:rPr>
                <w:sz w:val="20"/>
                <w:szCs w:val="20"/>
                <w:color w:val="auto"/>
              </w:rPr>
            </w:pPr>
            <w:r>
              <w:rPr>
                <w:rFonts w:ascii="Arial" w:cs="Arial" w:eastAsia="Arial" w:hAnsi="Arial"/>
                <w:sz w:val="16"/>
                <w:szCs w:val="16"/>
                <w:color w:val="auto"/>
              </w:rPr>
              <w:t>29,668,651</w:t>
            </w: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10,796,868</w:t>
            </w:r>
          </w:p>
        </w:tc>
        <w:tc>
          <w:tcPr>
            <w:tcW w:w="1320" w:type="dxa"/>
            <w:vAlign w:val="bottom"/>
            <w:vMerge w:val="restart"/>
          </w:tcPr>
          <w:p>
            <w:pPr>
              <w:jc w:val="right"/>
              <w:ind w:right="23"/>
              <w:spacing w:after="0"/>
              <w:rPr>
                <w:sz w:val="20"/>
                <w:szCs w:val="20"/>
                <w:color w:val="auto"/>
              </w:rPr>
            </w:pPr>
            <w:r>
              <w:rPr>
                <w:rFonts w:ascii="Arial" w:cs="Arial" w:eastAsia="Arial" w:hAnsi="Arial"/>
                <w:sz w:val="16"/>
                <w:szCs w:val="16"/>
                <w:color w:val="auto"/>
              </w:rPr>
              <w:t>111,363</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42,910,215</w:t>
            </w:r>
          </w:p>
        </w:tc>
        <w:tc>
          <w:tcPr>
            <w:tcW w:w="0" w:type="dxa"/>
            <w:vAlign w:val="bottom"/>
          </w:tcPr>
          <w:p>
            <w:pPr>
              <w:spacing w:after="0"/>
              <w:rPr>
                <w:sz w:val="1"/>
                <w:szCs w:val="1"/>
                <w:color w:val="auto"/>
              </w:rPr>
            </w:pPr>
          </w:p>
        </w:tc>
      </w:tr>
      <w:tr>
        <w:trPr>
          <w:trHeight w:val="76"/>
        </w:trPr>
        <w:tc>
          <w:tcPr>
            <w:tcW w:w="2280" w:type="dxa"/>
            <w:vAlign w:val="bottom"/>
            <w:tcBorders>
              <w:bottom w:val="single" w:sz="8" w:color="0075C9"/>
            </w:tcBorders>
          </w:tcPr>
          <w:p>
            <w:pPr>
              <w:spacing w:after="0"/>
              <w:rPr>
                <w:sz w:val="6"/>
                <w:szCs w:val="6"/>
                <w:color w:val="auto"/>
              </w:rPr>
            </w:pPr>
          </w:p>
        </w:tc>
        <w:tc>
          <w:tcPr>
            <w:tcW w:w="540" w:type="dxa"/>
            <w:vAlign w:val="bottom"/>
            <w:tcBorders>
              <w:bottom w:val="single" w:sz="8" w:color="0075C9"/>
            </w:tcBorders>
            <w:vMerge w:val="continue"/>
          </w:tcPr>
          <w:p>
            <w:pPr>
              <w:spacing w:after="0"/>
              <w:rPr>
                <w:sz w:val="6"/>
                <w:szCs w:val="6"/>
                <w:color w:val="auto"/>
              </w:rPr>
            </w:pPr>
          </w:p>
        </w:tc>
        <w:tc>
          <w:tcPr>
            <w:tcW w:w="880" w:type="dxa"/>
            <w:vAlign w:val="bottom"/>
            <w:tcBorders>
              <w:bottom w:val="single" w:sz="8" w:color="0075C9"/>
            </w:tcBorders>
            <w:vMerge w:val="continue"/>
          </w:tcPr>
          <w:p>
            <w:pPr>
              <w:spacing w:after="0"/>
              <w:rPr>
                <w:sz w:val="6"/>
                <w:szCs w:val="6"/>
                <w:color w:val="auto"/>
              </w:rPr>
            </w:pPr>
          </w:p>
        </w:tc>
        <w:tc>
          <w:tcPr>
            <w:tcW w:w="860" w:type="dxa"/>
            <w:vAlign w:val="bottom"/>
            <w:tcBorders>
              <w:bottom w:val="single" w:sz="8" w:color="0075C9"/>
            </w:tcBorders>
            <w:vMerge w:val="continue"/>
          </w:tcPr>
          <w:p>
            <w:pPr>
              <w:spacing w:after="0"/>
              <w:rPr>
                <w:sz w:val="6"/>
                <w:szCs w:val="6"/>
                <w:color w:val="auto"/>
              </w:rPr>
            </w:pPr>
          </w:p>
        </w:tc>
        <w:tc>
          <w:tcPr>
            <w:tcW w:w="940" w:type="dxa"/>
            <w:vAlign w:val="bottom"/>
            <w:tcBorders>
              <w:bottom w:val="single" w:sz="8" w:color="0075C9"/>
            </w:tcBorders>
            <w:vMerge w:val="continue"/>
          </w:tcPr>
          <w:p>
            <w:pPr>
              <w:spacing w:after="0"/>
              <w:rPr>
                <w:sz w:val="6"/>
                <w:szCs w:val="6"/>
                <w:color w:val="auto"/>
              </w:rPr>
            </w:pPr>
          </w:p>
        </w:tc>
        <w:tc>
          <w:tcPr>
            <w:tcW w:w="1280" w:type="dxa"/>
            <w:vAlign w:val="bottom"/>
            <w:tcBorders>
              <w:bottom w:val="single" w:sz="8" w:color="0075C9"/>
            </w:tcBorders>
            <w:vMerge w:val="continue"/>
          </w:tcPr>
          <w:p>
            <w:pPr>
              <w:spacing w:after="0"/>
              <w:rPr>
                <w:sz w:val="6"/>
                <w:szCs w:val="6"/>
                <w:color w:val="auto"/>
              </w:rPr>
            </w:pPr>
          </w:p>
        </w:tc>
        <w:tc>
          <w:tcPr>
            <w:tcW w:w="1320" w:type="dxa"/>
            <w:vAlign w:val="bottom"/>
            <w:tcBorders>
              <w:bottom w:val="single" w:sz="8" w:color="0075C9"/>
            </w:tcBorders>
            <w:vMerge w:val="continue"/>
          </w:tcPr>
          <w:p>
            <w:pPr>
              <w:spacing w:after="0"/>
              <w:rPr>
                <w:sz w:val="6"/>
                <w:szCs w:val="6"/>
                <w:color w:val="auto"/>
              </w:rPr>
            </w:pPr>
          </w:p>
        </w:tc>
        <w:tc>
          <w:tcPr>
            <w:tcW w:w="940" w:type="dxa"/>
            <w:vAlign w:val="bottom"/>
            <w:tcBorders>
              <w:bottom w:val="single" w:sz="8" w:color="0075C9"/>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280" w:type="dxa"/>
            <w:vAlign w:val="bottom"/>
          </w:tcPr>
          <w:p>
            <w:pPr>
              <w:ind w:left="80"/>
              <w:spacing w:after="0"/>
              <w:rPr>
                <w:sz w:val="20"/>
                <w:szCs w:val="20"/>
                <w:color w:val="auto"/>
              </w:rPr>
            </w:pPr>
            <w:r>
              <w:rPr>
                <w:rFonts w:ascii="Arial" w:cs="Arial" w:eastAsia="Arial" w:hAnsi="Arial"/>
                <w:sz w:val="16"/>
                <w:szCs w:val="16"/>
                <w:b w:val="1"/>
                <w:bCs w:val="1"/>
                <w:color w:val="0075C9"/>
              </w:rPr>
              <w:t>Amy E. Hood</w:t>
            </w:r>
          </w:p>
        </w:tc>
        <w:tc>
          <w:tcPr>
            <w:tcW w:w="540" w:type="dxa"/>
            <w:vAlign w:val="bottom"/>
            <w:tcBorders>
              <w:bottom w:val="single" w:sz="8" w:color="595959"/>
            </w:tcBorders>
          </w:tcPr>
          <w:p>
            <w:pPr>
              <w:jc w:val="right"/>
              <w:ind w:right="2"/>
              <w:spacing w:after="0"/>
              <w:rPr>
                <w:sz w:val="20"/>
                <w:szCs w:val="20"/>
                <w:color w:val="auto"/>
              </w:rPr>
            </w:pPr>
            <w:r>
              <w:rPr>
                <w:rFonts w:ascii="Arial" w:cs="Arial" w:eastAsia="Arial" w:hAnsi="Arial"/>
                <w:sz w:val="16"/>
                <w:szCs w:val="16"/>
                <w:color w:val="auto"/>
              </w:rPr>
              <w:t>2021</w:t>
            </w:r>
          </w:p>
        </w:tc>
        <w:tc>
          <w:tcPr>
            <w:tcW w:w="880" w:type="dxa"/>
            <w:vAlign w:val="bottom"/>
            <w:tcBorders>
              <w:bottom w:val="single" w:sz="8" w:color="595959"/>
            </w:tcBorders>
          </w:tcPr>
          <w:p>
            <w:pPr>
              <w:jc w:val="right"/>
              <w:ind w:right="22"/>
              <w:spacing w:after="0"/>
              <w:rPr>
                <w:sz w:val="20"/>
                <w:szCs w:val="20"/>
                <w:color w:val="auto"/>
              </w:rPr>
            </w:pPr>
            <w:r>
              <w:rPr>
                <w:rFonts w:ascii="Arial" w:cs="Arial" w:eastAsia="Arial" w:hAnsi="Arial"/>
                <w:sz w:val="16"/>
                <w:szCs w:val="16"/>
                <w:color w:val="auto"/>
              </w:rPr>
              <w:t>995,833</w:t>
            </w:r>
          </w:p>
        </w:tc>
        <w:tc>
          <w:tcPr>
            <w:tcW w:w="860" w:type="dxa"/>
            <w:vAlign w:val="bottom"/>
            <w:tcBorders>
              <w:bottom w:val="single" w:sz="8" w:color="595959"/>
            </w:tcBorders>
          </w:tcPr>
          <w:p>
            <w:pPr>
              <w:jc w:val="right"/>
              <w:ind w:right="23"/>
              <w:spacing w:after="0"/>
              <w:rPr>
                <w:sz w:val="20"/>
                <w:szCs w:val="20"/>
                <w:color w:val="auto"/>
              </w:rPr>
            </w:pPr>
            <w:r>
              <w:rPr>
                <w:rFonts w:ascii="Arial" w:cs="Arial" w:eastAsia="Arial" w:hAnsi="Arial"/>
                <w:sz w:val="16"/>
                <w:szCs w:val="16"/>
                <w:color w:val="auto"/>
              </w:rPr>
              <w:t>0</w:t>
            </w:r>
          </w:p>
        </w:tc>
        <w:tc>
          <w:tcPr>
            <w:tcW w:w="940" w:type="dxa"/>
            <w:vAlign w:val="bottom"/>
            <w:tcBorders>
              <w:bottom w:val="single" w:sz="8" w:color="595959"/>
            </w:tcBorders>
          </w:tcPr>
          <w:p>
            <w:pPr>
              <w:jc w:val="right"/>
              <w:ind w:right="3"/>
              <w:spacing w:after="0"/>
              <w:rPr>
                <w:sz w:val="20"/>
                <w:szCs w:val="20"/>
                <w:color w:val="auto"/>
              </w:rPr>
            </w:pPr>
            <w:r>
              <w:rPr>
                <w:rFonts w:ascii="Arial" w:cs="Arial" w:eastAsia="Arial" w:hAnsi="Arial"/>
                <w:sz w:val="16"/>
                <w:szCs w:val="16"/>
                <w:color w:val="auto"/>
              </w:rPr>
              <w:t>17,864,404</w:t>
            </w:r>
          </w:p>
        </w:tc>
        <w:tc>
          <w:tcPr>
            <w:tcW w:w="1280" w:type="dxa"/>
            <w:vAlign w:val="bottom"/>
            <w:tcBorders>
              <w:bottom w:val="single" w:sz="8" w:color="595959"/>
            </w:tcBorders>
          </w:tcPr>
          <w:p>
            <w:pPr>
              <w:jc w:val="right"/>
              <w:spacing w:after="0"/>
              <w:rPr>
                <w:sz w:val="20"/>
                <w:szCs w:val="20"/>
                <w:color w:val="auto"/>
              </w:rPr>
            </w:pPr>
            <w:r>
              <w:rPr>
                <w:rFonts w:ascii="Arial" w:cs="Arial" w:eastAsia="Arial" w:hAnsi="Arial"/>
                <w:sz w:val="16"/>
                <w:szCs w:val="16"/>
                <w:color w:val="auto"/>
              </w:rPr>
              <w:t>4,543,490</w:t>
            </w:r>
          </w:p>
        </w:tc>
        <w:tc>
          <w:tcPr>
            <w:tcW w:w="1320" w:type="dxa"/>
            <w:vAlign w:val="bottom"/>
            <w:tcBorders>
              <w:bottom w:val="single" w:sz="8" w:color="595959"/>
            </w:tcBorders>
          </w:tcPr>
          <w:p>
            <w:pPr>
              <w:jc w:val="right"/>
              <w:ind w:right="23"/>
              <w:spacing w:after="0"/>
              <w:rPr>
                <w:sz w:val="20"/>
                <w:szCs w:val="20"/>
                <w:color w:val="auto"/>
              </w:rPr>
            </w:pPr>
            <w:r>
              <w:rPr>
                <w:rFonts w:ascii="Arial" w:cs="Arial" w:eastAsia="Arial" w:hAnsi="Arial"/>
                <w:sz w:val="16"/>
                <w:szCs w:val="16"/>
                <w:color w:val="auto"/>
              </w:rPr>
              <w:t>62,414</w:t>
            </w:r>
          </w:p>
        </w:tc>
        <w:tc>
          <w:tcPr>
            <w:tcW w:w="940" w:type="dxa"/>
            <w:vAlign w:val="bottom"/>
            <w:tcBorders>
              <w:bottom w:val="single" w:sz="8" w:color="595959"/>
            </w:tcBorders>
          </w:tcPr>
          <w:p>
            <w:pPr>
              <w:jc w:val="right"/>
              <w:spacing w:after="0"/>
              <w:rPr>
                <w:sz w:val="20"/>
                <w:szCs w:val="20"/>
                <w:color w:val="auto"/>
              </w:rPr>
            </w:pPr>
            <w:r>
              <w:rPr>
                <w:rFonts w:ascii="Arial" w:cs="Arial" w:eastAsia="Arial" w:hAnsi="Arial"/>
                <w:sz w:val="16"/>
                <w:szCs w:val="16"/>
                <w:color w:val="auto"/>
              </w:rPr>
              <w:t>23,466,141</w:t>
            </w:r>
          </w:p>
        </w:tc>
        <w:tc>
          <w:tcPr>
            <w:tcW w:w="0" w:type="dxa"/>
            <w:vAlign w:val="bottom"/>
          </w:tcPr>
          <w:p>
            <w:pPr>
              <w:spacing w:after="0"/>
              <w:rPr>
                <w:sz w:val="1"/>
                <w:szCs w:val="1"/>
                <w:color w:val="auto"/>
              </w:rPr>
            </w:pPr>
          </w:p>
        </w:tc>
      </w:tr>
      <w:tr>
        <w:trPr>
          <w:trHeight w:val="193"/>
        </w:trPr>
        <w:tc>
          <w:tcPr>
            <w:tcW w:w="2280" w:type="dxa"/>
            <w:vAlign w:val="bottom"/>
          </w:tcPr>
          <w:p>
            <w:pPr>
              <w:ind w:left="80"/>
              <w:spacing w:after="0"/>
              <w:rPr>
                <w:sz w:val="20"/>
                <w:szCs w:val="20"/>
                <w:color w:val="auto"/>
              </w:rPr>
            </w:pPr>
            <w:r>
              <w:rPr>
                <w:rFonts w:ascii="Arial" w:cs="Arial" w:eastAsia="Arial" w:hAnsi="Arial"/>
                <w:sz w:val="16"/>
                <w:szCs w:val="16"/>
                <w:i w:val="1"/>
                <w:iCs w:val="1"/>
                <w:color w:val="auto"/>
              </w:rPr>
              <w:t>Executive Vice President and</w:t>
            </w: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2020</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975,000</w:t>
            </w: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0</w:t>
            </w:r>
          </w:p>
        </w:tc>
        <w:tc>
          <w:tcPr>
            <w:tcW w:w="940" w:type="dxa"/>
            <w:vAlign w:val="bottom"/>
          </w:tcPr>
          <w:p>
            <w:pPr>
              <w:jc w:val="right"/>
              <w:ind w:right="3"/>
              <w:spacing w:after="0"/>
              <w:rPr>
                <w:sz w:val="20"/>
                <w:szCs w:val="20"/>
                <w:color w:val="auto"/>
              </w:rPr>
            </w:pPr>
            <w:r>
              <w:rPr>
                <w:rFonts w:ascii="Arial" w:cs="Arial" w:eastAsia="Arial" w:hAnsi="Arial"/>
                <w:sz w:val="16"/>
                <w:szCs w:val="16"/>
                <w:color w:val="auto"/>
              </w:rPr>
              <w:t>14,792,679</w:t>
            </w:r>
          </w:p>
        </w:tc>
        <w:tc>
          <w:tcPr>
            <w:tcW w:w="1280" w:type="dxa"/>
            <w:vAlign w:val="bottom"/>
          </w:tcPr>
          <w:p>
            <w:pPr>
              <w:jc w:val="right"/>
              <w:spacing w:after="0"/>
              <w:rPr>
                <w:sz w:val="20"/>
                <w:szCs w:val="20"/>
                <w:color w:val="auto"/>
              </w:rPr>
            </w:pPr>
            <w:r>
              <w:rPr>
                <w:rFonts w:ascii="Arial" w:cs="Arial" w:eastAsia="Arial" w:hAnsi="Arial"/>
                <w:sz w:val="16"/>
                <w:szCs w:val="16"/>
                <w:color w:val="auto"/>
              </w:rPr>
              <w:t>3,734,981</w:t>
            </w:r>
          </w:p>
        </w:tc>
        <w:tc>
          <w:tcPr>
            <w:tcW w:w="1320" w:type="dxa"/>
            <w:vAlign w:val="bottom"/>
          </w:tcPr>
          <w:p>
            <w:pPr>
              <w:jc w:val="right"/>
              <w:ind w:right="23"/>
              <w:spacing w:after="0"/>
              <w:rPr>
                <w:sz w:val="20"/>
                <w:szCs w:val="20"/>
                <w:color w:val="auto"/>
              </w:rPr>
            </w:pPr>
            <w:r>
              <w:rPr>
                <w:rFonts w:ascii="Arial" w:cs="Arial" w:eastAsia="Arial" w:hAnsi="Arial"/>
                <w:sz w:val="16"/>
                <w:szCs w:val="16"/>
                <w:color w:val="auto"/>
              </w:rPr>
              <w:t>123,574</w:t>
            </w:r>
          </w:p>
        </w:tc>
        <w:tc>
          <w:tcPr>
            <w:tcW w:w="940" w:type="dxa"/>
            <w:vAlign w:val="bottom"/>
          </w:tcPr>
          <w:p>
            <w:pPr>
              <w:jc w:val="right"/>
              <w:spacing w:after="0"/>
              <w:rPr>
                <w:sz w:val="20"/>
                <w:szCs w:val="20"/>
                <w:color w:val="auto"/>
              </w:rPr>
            </w:pPr>
            <w:r>
              <w:rPr>
                <w:rFonts w:ascii="Arial" w:cs="Arial" w:eastAsia="Arial" w:hAnsi="Arial"/>
                <w:sz w:val="16"/>
                <w:szCs w:val="16"/>
                <w:color w:val="auto"/>
              </w:rPr>
              <w:t>19,626,234</w:t>
            </w:r>
          </w:p>
        </w:tc>
        <w:tc>
          <w:tcPr>
            <w:tcW w:w="0" w:type="dxa"/>
            <w:vAlign w:val="bottom"/>
          </w:tcPr>
          <w:p>
            <w:pPr>
              <w:spacing w:after="0"/>
              <w:rPr>
                <w:sz w:val="1"/>
                <w:szCs w:val="1"/>
                <w:color w:val="auto"/>
              </w:rPr>
            </w:pPr>
          </w:p>
        </w:tc>
      </w:tr>
      <w:tr>
        <w:trPr>
          <w:trHeight w:val="40"/>
        </w:trPr>
        <w:tc>
          <w:tcPr>
            <w:tcW w:w="2280" w:type="dxa"/>
            <w:vAlign w:val="bottom"/>
            <w:vMerge w:val="restart"/>
          </w:tcPr>
          <w:p>
            <w:pPr>
              <w:ind w:left="80"/>
              <w:spacing w:after="0"/>
              <w:rPr>
                <w:sz w:val="20"/>
                <w:szCs w:val="20"/>
                <w:color w:val="auto"/>
              </w:rPr>
            </w:pPr>
            <w:r>
              <w:rPr>
                <w:rFonts w:ascii="Arial" w:cs="Arial" w:eastAsia="Arial" w:hAnsi="Arial"/>
                <w:sz w:val="16"/>
                <w:szCs w:val="16"/>
                <w:i w:val="1"/>
                <w:iCs w:val="1"/>
                <w:color w:val="auto"/>
              </w:rPr>
              <w:t>Chief Financial Officer</w:t>
            </w:r>
          </w:p>
        </w:tc>
        <w:tc>
          <w:tcPr>
            <w:tcW w:w="540" w:type="dxa"/>
            <w:vAlign w:val="bottom"/>
            <w:tcBorders>
              <w:bottom w:val="single" w:sz="8" w:color="595959"/>
            </w:tcBorders>
          </w:tcPr>
          <w:p>
            <w:pPr>
              <w:spacing w:after="0"/>
              <w:rPr>
                <w:sz w:val="3"/>
                <w:szCs w:val="3"/>
                <w:color w:val="auto"/>
              </w:rPr>
            </w:pPr>
          </w:p>
        </w:tc>
        <w:tc>
          <w:tcPr>
            <w:tcW w:w="880" w:type="dxa"/>
            <w:vAlign w:val="bottom"/>
            <w:tcBorders>
              <w:bottom w:val="single" w:sz="8" w:color="595959"/>
            </w:tcBorders>
          </w:tcPr>
          <w:p>
            <w:pPr>
              <w:spacing w:after="0"/>
              <w:rPr>
                <w:sz w:val="3"/>
                <w:szCs w:val="3"/>
                <w:color w:val="auto"/>
              </w:rPr>
            </w:pPr>
          </w:p>
        </w:tc>
        <w:tc>
          <w:tcPr>
            <w:tcW w:w="860" w:type="dxa"/>
            <w:vAlign w:val="bottom"/>
            <w:tcBorders>
              <w:bottom w:val="single" w:sz="8" w:color="595959"/>
            </w:tcBorders>
          </w:tcPr>
          <w:p>
            <w:pPr>
              <w:spacing w:after="0"/>
              <w:rPr>
                <w:sz w:val="3"/>
                <w:szCs w:val="3"/>
                <w:color w:val="auto"/>
              </w:rPr>
            </w:pPr>
          </w:p>
        </w:tc>
        <w:tc>
          <w:tcPr>
            <w:tcW w:w="940" w:type="dxa"/>
            <w:vAlign w:val="bottom"/>
            <w:tcBorders>
              <w:bottom w:val="single" w:sz="8" w:color="595959"/>
            </w:tcBorders>
          </w:tcPr>
          <w:p>
            <w:pPr>
              <w:spacing w:after="0"/>
              <w:rPr>
                <w:sz w:val="3"/>
                <w:szCs w:val="3"/>
                <w:color w:val="auto"/>
              </w:rPr>
            </w:pPr>
          </w:p>
        </w:tc>
        <w:tc>
          <w:tcPr>
            <w:tcW w:w="1280" w:type="dxa"/>
            <w:vAlign w:val="bottom"/>
            <w:tcBorders>
              <w:bottom w:val="single" w:sz="8" w:color="595959"/>
            </w:tcBorders>
          </w:tcPr>
          <w:p>
            <w:pPr>
              <w:spacing w:after="0"/>
              <w:rPr>
                <w:sz w:val="3"/>
                <w:szCs w:val="3"/>
                <w:color w:val="auto"/>
              </w:rPr>
            </w:pPr>
          </w:p>
        </w:tc>
        <w:tc>
          <w:tcPr>
            <w:tcW w:w="1320" w:type="dxa"/>
            <w:vAlign w:val="bottom"/>
            <w:tcBorders>
              <w:bottom w:val="single" w:sz="8" w:color="595959"/>
            </w:tcBorders>
          </w:tcPr>
          <w:p>
            <w:pPr>
              <w:spacing w:after="0"/>
              <w:rPr>
                <w:sz w:val="3"/>
                <w:szCs w:val="3"/>
                <w:color w:val="auto"/>
              </w:rPr>
            </w:pPr>
          </w:p>
        </w:tc>
        <w:tc>
          <w:tcPr>
            <w:tcW w:w="940" w:type="dxa"/>
            <w:vAlign w:val="bottom"/>
            <w:tcBorders>
              <w:bottom w:val="single" w:sz="8" w:color="595959"/>
            </w:tcBorders>
          </w:tcPr>
          <w:p>
            <w:pPr>
              <w:spacing w:after="0"/>
              <w:rPr>
                <w:sz w:val="3"/>
                <w:szCs w:val="3"/>
                <w:color w:val="auto"/>
              </w:rPr>
            </w:pPr>
          </w:p>
        </w:tc>
        <w:tc>
          <w:tcPr>
            <w:tcW w:w="0" w:type="dxa"/>
            <w:vAlign w:val="bottom"/>
          </w:tcPr>
          <w:p>
            <w:pPr>
              <w:spacing w:after="0"/>
              <w:rPr>
                <w:sz w:val="1"/>
                <w:szCs w:val="1"/>
                <w:color w:val="auto"/>
              </w:rPr>
            </w:pPr>
          </w:p>
        </w:tc>
      </w:tr>
      <w:tr>
        <w:trPr>
          <w:trHeight w:val="143"/>
        </w:trPr>
        <w:tc>
          <w:tcPr>
            <w:tcW w:w="2280" w:type="dxa"/>
            <w:vAlign w:val="bottom"/>
            <w:vMerge w:val="continue"/>
          </w:tcPr>
          <w:p>
            <w:pPr>
              <w:spacing w:after="0"/>
              <w:rPr>
                <w:sz w:val="12"/>
                <w:szCs w:val="12"/>
                <w:color w:val="auto"/>
              </w:rPr>
            </w:pPr>
          </w:p>
        </w:tc>
        <w:tc>
          <w:tcPr>
            <w:tcW w:w="540" w:type="dxa"/>
            <w:vAlign w:val="bottom"/>
            <w:vMerge w:val="restart"/>
          </w:tcPr>
          <w:p>
            <w:pPr>
              <w:jc w:val="right"/>
              <w:ind w:right="2"/>
              <w:spacing w:after="0"/>
              <w:rPr>
                <w:sz w:val="20"/>
                <w:szCs w:val="20"/>
                <w:color w:val="auto"/>
              </w:rPr>
            </w:pPr>
            <w:r>
              <w:rPr>
                <w:rFonts w:ascii="Arial" w:cs="Arial" w:eastAsia="Arial" w:hAnsi="Arial"/>
                <w:sz w:val="16"/>
                <w:szCs w:val="16"/>
                <w:color w:val="auto"/>
              </w:rPr>
              <w:t>2019</w:t>
            </w:r>
          </w:p>
        </w:tc>
        <w:tc>
          <w:tcPr>
            <w:tcW w:w="880" w:type="dxa"/>
            <w:vAlign w:val="bottom"/>
            <w:vMerge w:val="restart"/>
          </w:tcPr>
          <w:p>
            <w:pPr>
              <w:jc w:val="right"/>
              <w:ind w:right="22"/>
              <w:spacing w:after="0"/>
              <w:rPr>
                <w:sz w:val="20"/>
                <w:szCs w:val="20"/>
                <w:color w:val="auto"/>
              </w:rPr>
            </w:pPr>
            <w:r>
              <w:rPr>
                <w:rFonts w:ascii="Arial" w:cs="Arial" w:eastAsia="Arial" w:hAnsi="Arial"/>
                <w:sz w:val="16"/>
                <w:szCs w:val="16"/>
                <w:color w:val="auto"/>
              </w:rPr>
              <w:t>958,333</w:t>
            </w:r>
          </w:p>
        </w:tc>
        <w:tc>
          <w:tcPr>
            <w:tcW w:w="860" w:type="dxa"/>
            <w:vAlign w:val="bottom"/>
            <w:vMerge w:val="restart"/>
          </w:tcPr>
          <w:p>
            <w:pPr>
              <w:jc w:val="right"/>
              <w:ind w:right="23"/>
              <w:spacing w:after="0"/>
              <w:rPr>
                <w:sz w:val="20"/>
                <w:szCs w:val="20"/>
                <w:color w:val="auto"/>
              </w:rPr>
            </w:pPr>
            <w:r>
              <w:rPr>
                <w:rFonts w:ascii="Arial" w:cs="Arial" w:eastAsia="Arial" w:hAnsi="Arial"/>
                <w:sz w:val="16"/>
                <w:szCs w:val="16"/>
                <w:color w:val="auto"/>
              </w:rPr>
              <w:t>0</w:t>
            </w:r>
          </w:p>
        </w:tc>
        <w:tc>
          <w:tcPr>
            <w:tcW w:w="940" w:type="dxa"/>
            <w:vAlign w:val="bottom"/>
            <w:vMerge w:val="restart"/>
          </w:tcPr>
          <w:p>
            <w:pPr>
              <w:jc w:val="right"/>
              <w:ind w:right="3"/>
              <w:spacing w:after="0"/>
              <w:rPr>
                <w:sz w:val="20"/>
                <w:szCs w:val="20"/>
                <w:color w:val="auto"/>
              </w:rPr>
            </w:pPr>
            <w:r>
              <w:rPr>
                <w:rFonts w:ascii="Arial" w:cs="Arial" w:eastAsia="Arial" w:hAnsi="Arial"/>
                <w:sz w:val="16"/>
                <w:szCs w:val="16"/>
                <w:color w:val="auto"/>
              </w:rPr>
              <w:t>15,316,653</w:t>
            </w: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3,855,040</w:t>
            </w:r>
          </w:p>
        </w:tc>
        <w:tc>
          <w:tcPr>
            <w:tcW w:w="1320" w:type="dxa"/>
            <w:vAlign w:val="bottom"/>
            <w:vMerge w:val="restart"/>
          </w:tcPr>
          <w:p>
            <w:pPr>
              <w:jc w:val="right"/>
              <w:ind w:right="23"/>
              <w:spacing w:after="0"/>
              <w:rPr>
                <w:sz w:val="20"/>
                <w:szCs w:val="20"/>
                <w:color w:val="auto"/>
              </w:rPr>
            </w:pPr>
            <w:r>
              <w:rPr>
                <w:rFonts w:ascii="Arial" w:cs="Arial" w:eastAsia="Arial" w:hAnsi="Arial"/>
                <w:sz w:val="16"/>
                <w:szCs w:val="16"/>
                <w:color w:val="auto"/>
              </w:rPr>
              <w:t>97,608</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20,227,634</w:t>
            </w:r>
          </w:p>
        </w:tc>
        <w:tc>
          <w:tcPr>
            <w:tcW w:w="0" w:type="dxa"/>
            <w:vAlign w:val="bottom"/>
          </w:tcPr>
          <w:p>
            <w:pPr>
              <w:spacing w:after="0"/>
              <w:rPr>
                <w:sz w:val="1"/>
                <w:szCs w:val="1"/>
                <w:color w:val="auto"/>
              </w:rPr>
            </w:pPr>
          </w:p>
        </w:tc>
      </w:tr>
      <w:tr>
        <w:trPr>
          <w:trHeight w:val="76"/>
        </w:trPr>
        <w:tc>
          <w:tcPr>
            <w:tcW w:w="2280" w:type="dxa"/>
            <w:vAlign w:val="bottom"/>
            <w:tcBorders>
              <w:bottom w:val="single" w:sz="8" w:color="0075C9"/>
            </w:tcBorders>
          </w:tcPr>
          <w:p>
            <w:pPr>
              <w:spacing w:after="0"/>
              <w:rPr>
                <w:sz w:val="6"/>
                <w:szCs w:val="6"/>
                <w:color w:val="auto"/>
              </w:rPr>
            </w:pPr>
          </w:p>
        </w:tc>
        <w:tc>
          <w:tcPr>
            <w:tcW w:w="540" w:type="dxa"/>
            <w:vAlign w:val="bottom"/>
            <w:tcBorders>
              <w:bottom w:val="single" w:sz="8" w:color="0075C9"/>
            </w:tcBorders>
            <w:vMerge w:val="continue"/>
          </w:tcPr>
          <w:p>
            <w:pPr>
              <w:spacing w:after="0"/>
              <w:rPr>
                <w:sz w:val="6"/>
                <w:szCs w:val="6"/>
                <w:color w:val="auto"/>
              </w:rPr>
            </w:pPr>
          </w:p>
        </w:tc>
        <w:tc>
          <w:tcPr>
            <w:tcW w:w="880" w:type="dxa"/>
            <w:vAlign w:val="bottom"/>
            <w:tcBorders>
              <w:bottom w:val="single" w:sz="8" w:color="0075C9"/>
            </w:tcBorders>
            <w:vMerge w:val="continue"/>
          </w:tcPr>
          <w:p>
            <w:pPr>
              <w:spacing w:after="0"/>
              <w:rPr>
                <w:sz w:val="6"/>
                <w:szCs w:val="6"/>
                <w:color w:val="auto"/>
              </w:rPr>
            </w:pPr>
          </w:p>
        </w:tc>
        <w:tc>
          <w:tcPr>
            <w:tcW w:w="860" w:type="dxa"/>
            <w:vAlign w:val="bottom"/>
            <w:tcBorders>
              <w:bottom w:val="single" w:sz="8" w:color="0075C9"/>
            </w:tcBorders>
            <w:vMerge w:val="continue"/>
          </w:tcPr>
          <w:p>
            <w:pPr>
              <w:spacing w:after="0"/>
              <w:rPr>
                <w:sz w:val="6"/>
                <w:szCs w:val="6"/>
                <w:color w:val="auto"/>
              </w:rPr>
            </w:pPr>
          </w:p>
        </w:tc>
        <w:tc>
          <w:tcPr>
            <w:tcW w:w="940" w:type="dxa"/>
            <w:vAlign w:val="bottom"/>
            <w:tcBorders>
              <w:bottom w:val="single" w:sz="8" w:color="0075C9"/>
            </w:tcBorders>
            <w:vMerge w:val="continue"/>
          </w:tcPr>
          <w:p>
            <w:pPr>
              <w:spacing w:after="0"/>
              <w:rPr>
                <w:sz w:val="6"/>
                <w:szCs w:val="6"/>
                <w:color w:val="auto"/>
              </w:rPr>
            </w:pPr>
          </w:p>
        </w:tc>
        <w:tc>
          <w:tcPr>
            <w:tcW w:w="1280" w:type="dxa"/>
            <w:vAlign w:val="bottom"/>
            <w:tcBorders>
              <w:bottom w:val="single" w:sz="8" w:color="0075C9"/>
            </w:tcBorders>
            <w:vMerge w:val="continue"/>
          </w:tcPr>
          <w:p>
            <w:pPr>
              <w:spacing w:after="0"/>
              <w:rPr>
                <w:sz w:val="6"/>
                <w:szCs w:val="6"/>
                <w:color w:val="auto"/>
              </w:rPr>
            </w:pPr>
          </w:p>
        </w:tc>
        <w:tc>
          <w:tcPr>
            <w:tcW w:w="1320" w:type="dxa"/>
            <w:vAlign w:val="bottom"/>
            <w:tcBorders>
              <w:bottom w:val="single" w:sz="8" w:color="0075C9"/>
            </w:tcBorders>
            <w:vMerge w:val="continue"/>
          </w:tcPr>
          <w:p>
            <w:pPr>
              <w:spacing w:after="0"/>
              <w:rPr>
                <w:sz w:val="6"/>
                <w:szCs w:val="6"/>
                <w:color w:val="auto"/>
              </w:rPr>
            </w:pPr>
          </w:p>
        </w:tc>
        <w:tc>
          <w:tcPr>
            <w:tcW w:w="940" w:type="dxa"/>
            <w:vAlign w:val="bottom"/>
            <w:tcBorders>
              <w:bottom w:val="single" w:sz="8" w:color="0075C9"/>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2280" w:type="dxa"/>
            <w:vAlign w:val="bottom"/>
          </w:tcPr>
          <w:p>
            <w:pPr>
              <w:ind w:left="80"/>
              <w:spacing w:after="0" w:line="233" w:lineRule="exact"/>
              <w:rPr>
                <w:sz w:val="20"/>
                <w:szCs w:val="20"/>
                <w:color w:val="auto"/>
              </w:rPr>
            </w:pPr>
            <w:r>
              <w:rPr>
                <w:rFonts w:ascii="Arial" w:cs="Arial" w:eastAsia="Arial" w:hAnsi="Arial"/>
                <w:sz w:val="16"/>
                <w:szCs w:val="16"/>
                <w:b w:val="1"/>
                <w:bCs w:val="1"/>
                <w:color w:val="0075C9"/>
              </w:rPr>
              <w:t>Jean-Philippe Courtois</w:t>
            </w:r>
            <w:r>
              <w:rPr>
                <w:rFonts w:ascii="Arial" w:cs="Arial" w:eastAsia="Arial" w:hAnsi="Arial"/>
                <w:sz w:val="26"/>
                <w:szCs w:val="26"/>
                <w:color w:val="0075C9"/>
                <w:vertAlign w:val="superscript"/>
              </w:rPr>
              <w:t>5</w:t>
            </w:r>
          </w:p>
        </w:tc>
        <w:tc>
          <w:tcPr>
            <w:tcW w:w="540" w:type="dxa"/>
            <w:vAlign w:val="bottom"/>
            <w:tcBorders>
              <w:bottom w:val="single" w:sz="8" w:color="595959"/>
            </w:tcBorders>
          </w:tcPr>
          <w:p>
            <w:pPr>
              <w:jc w:val="right"/>
              <w:ind w:right="2"/>
              <w:spacing w:after="0"/>
              <w:rPr>
                <w:sz w:val="20"/>
                <w:szCs w:val="20"/>
                <w:color w:val="auto"/>
              </w:rPr>
            </w:pPr>
            <w:r>
              <w:rPr>
                <w:rFonts w:ascii="Arial" w:cs="Arial" w:eastAsia="Arial" w:hAnsi="Arial"/>
                <w:sz w:val="16"/>
                <w:szCs w:val="16"/>
                <w:color w:val="auto"/>
              </w:rPr>
              <w:t>2021</w:t>
            </w:r>
          </w:p>
        </w:tc>
        <w:tc>
          <w:tcPr>
            <w:tcW w:w="880" w:type="dxa"/>
            <w:vAlign w:val="bottom"/>
            <w:tcBorders>
              <w:bottom w:val="single" w:sz="8" w:color="595959"/>
            </w:tcBorders>
          </w:tcPr>
          <w:p>
            <w:pPr>
              <w:jc w:val="right"/>
              <w:ind w:right="22"/>
              <w:spacing w:after="0"/>
              <w:rPr>
                <w:sz w:val="20"/>
                <w:szCs w:val="20"/>
                <w:color w:val="auto"/>
              </w:rPr>
            </w:pPr>
            <w:r>
              <w:rPr>
                <w:rFonts w:ascii="Arial" w:cs="Arial" w:eastAsia="Arial" w:hAnsi="Arial"/>
                <w:sz w:val="16"/>
                <w:szCs w:val="16"/>
                <w:color w:val="auto"/>
              </w:rPr>
              <w:t>932,167</w:t>
            </w:r>
          </w:p>
        </w:tc>
        <w:tc>
          <w:tcPr>
            <w:tcW w:w="860" w:type="dxa"/>
            <w:vAlign w:val="bottom"/>
            <w:tcBorders>
              <w:bottom w:val="single" w:sz="8" w:color="595959"/>
            </w:tcBorders>
          </w:tcPr>
          <w:p>
            <w:pPr>
              <w:jc w:val="right"/>
              <w:ind w:right="23"/>
              <w:spacing w:after="0"/>
              <w:rPr>
                <w:sz w:val="20"/>
                <w:szCs w:val="20"/>
                <w:color w:val="auto"/>
              </w:rPr>
            </w:pPr>
            <w:r>
              <w:rPr>
                <w:rFonts w:ascii="Arial" w:cs="Arial" w:eastAsia="Arial" w:hAnsi="Arial"/>
                <w:sz w:val="16"/>
                <w:szCs w:val="16"/>
                <w:color w:val="auto"/>
              </w:rPr>
              <w:t>0</w:t>
            </w:r>
          </w:p>
        </w:tc>
        <w:tc>
          <w:tcPr>
            <w:tcW w:w="940" w:type="dxa"/>
            <w:vAlign w:val="bottom"/>
            <w:tcBorders>
              <w:bottom w:val="single" w:sz="8" w:color="595959"/>
            </w:tcBorders>
          </w:tcPr>
          <w:p>
            <w:pPr>
              <w:jc w:val="right"/>
              <w:ind w:right="3"/>
              <w:spacing w:after="0"/>
              <w:rPr>
                <w:sz w:val="20"/>
                <w:szCs w:val="20"/>
                <w:color w:val="auto"/>
              </w:rPr>
            </w:pPr>
            <w:r>
              <w:rPr>
                <w:rFonts w:ascii="Arial" w:cs="Arial" w:eastAsia="Arial" w:hAnsi="Arial"/>
                <w:sz w:val="16"/>
                <w:szCs w:val="16"/>
                <w:color w:val="auto"/>
              </w:rPr>
              <w:t>12,141,344</w:t>
            </w:r>
          </w:p>
        </w:tc>
        <w:tc>
          <w:tcPr>
            <w:tcW w:w="1280" w:type="dxa"/>
            <w:vAlign w:val="bottom"/>
            <w:tcBorders>
              <w:bottom w:val="single" w:sz="8" w:color="595959"/>
            </w:tcBorders>
          </w:tcPr>
          <w:p>
            <w:pPr>
              <w:jc w:val="right"/>
              <w:spacing w:after="0"/>
              <w:rPr>
                <w:sz w:val="20"/>
                <w:szCs w:val="20"/>
                <w:color w:val="auto"/>
              </w:rPr>
            </w:pPr>
            <w:r>
              <w:rPr>
                <w:rFonts w:ascii="Arial" w:cs="Arial" w:eastAsia="Arial" w:hAnsi="Arial"/>
                <w:sz w:val="16"/>
                <w:szCs w:val="16"/>
                <w:color w:val="auto"/>
              </w:rPr>
              <w:t>3,670,406</w:t>
            </w:r>
          </w:p>
        </w:tc>
        <w:tc>
          <w:tcPr>
            <w:tcW w:w="1320" w:type="dxa"/>
            <w:vAlign w:val="bottom"/>
            <w:tcBorders>
              <w:bottom w:val="single" w:sz="8" w:color="595959"/>
            </w:tcBorders>
          </w:tcPr>
          <w:p>
            <w:pPr>
              <w:jc w:val="right"/>
              <w:ind w:right="23"/>
              <w:spacing w:after="0"/>
              <w:rPr>
                <w:sz w:val="20"/>
                <w:szCs w:val="20"/>
                <w:color w:val="auto"/>
              </w:rPr>
            </w:pPr>
            <w:r>
              <w:rPr>
                <w:rFonts w:ascii="Arial" w:cs="Arial" w:eastAsia="Arial" w:hAnsi="Arial"/>
                <w:sz w:val="16"/>
                <w:szCs w:val="16"/>
                <w:color w:val="auto"/>
              </w:rPr>
              <w:t>65,948</w:t>
            </w:r>
          </w:p>
        </w:tc>
        <w:tc>
          <w:tcPr>
            <w:tcW w:w="940" w:type="dxa"/>
            <w:vAlign w:val="bottom"/>
            <w:tcBorders>
              <w:bottom w:val="single" w:sz="8" w:color="595959"/>
            </w:tcBorders>
          </w:tcPr>
          <w:p>
            <w:pPr>
              <w:jc w:val="right"/>
              <w:spacing w:after="0"/>
              <w:rPr>
                <w:sz w:val="20"/>
                <w:szCs w:val="20"/>
                <w:color w:val="auto"/>
              </w:rPr>
            </w:pPr>
            <w:r>
              <w:rPr>
                <w:rFonts w:ascii="Arial" w:cs="Arial" w:eastAsia="Arial" w:hAnsi="Arial"/>
                <w:sz w:val="16"/>
                <w:szCs w:val="16"/>
                <w:color w:val="auto"/>
              </w:rPr>
              <w:t>16,809,865</w:t>
            </w:r>
          </w:p>
        </w:tc>
        <w:tc>
          <w:tcPr>
            <w:tcW w:w="0" w:type="dxa"/>
            <w:vAlign w:val="bottom"/>
          </w:tcPr>
          <w:p>
            <w:pPr>
              <w:spacing w:after="0"/>
              <w:rPr>
                <w:sz w:val="1"/>
                <w:szCs w:val="1"/>
                <w:color w:val="auto"/>
              </w:rPr>
            </w:pPr>
          </w:p>
        </w:tc>
      </w:tr>
      <w:tr>
        <w:trPr>
          <w:trHeight w:val="186"/>
        </w:trPr>
        <w:tc>
          <w:tcPr>
            <w:tcW w:w="2280" w:type="dxa"/>
            <w:vAlign w:val="bottom"/>
          </w:tcPr>
          <w:p>
            <w:pPr>
              <w:ind w:left="80"/>
              <w:spacing w:after="0"/>
              <w:rPr>
                <w:sz w:val="20"/>
                <w:szCs w:val="20"/>
                <w:color w:val="auto"/>
              </w:rPr>
            </w:pPr>
            <w:r>
              <w:rPr>
                <w:rFonts w:ascii="Arial" w:cs="Arial" w:eastAsia="Arial" w:hAnsi="Arial"/>
                <w:sz w:val="16"/>
                <w:szCs w:val="16"/>
                <w:i w:val="1"/>
                <w:iCs w:val="1"/>
                <w:color w:val="auto"/>
              </w:rPr>
              <w:t>Executive Vice President,</w:t>
            </w: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2020</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777,000</w:t>
            </w: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0</w:t>
            </w:r>
          </w:p>
        </w:tc>
        <w:tc>
          <w:tcPr>
            <w:tcW w:w="940" w:type="dxa"/>
            <w:vAlign w:val="bottom"/>
          </w:tcPr>
          <w:p>
            <w:pPr>
              <w:jc w:val="right"/>
              <w:ind w:right="3"/>
              <w:spacing w:after="0"/>
              <w:rPr>
                <w:sz w:val="20"/>
                <w:szCs w:val="20"/>
                <w:color w:val="auto"/>
              </w:rPr>
            </w:pPr>
            <w:r>
              <w:rPr>
                <w:rFonts w:ascii="Arial" w:cs="Arial" w:eastAsia="Arial" w:hAnsi="Arial"/>
                <w:sz w:val="16"/>
                <w:szCs w:val="16"/>
                <w:color w:val="auto"/>
              </w:rPr>
              <w:t>10,475,186</w:t>
            </w:r>
          </w:p>
        </w:tc>
        <w:tc>
          <w:tcPr>
            <w:tcW w:w="1280" w:type="dxa"/>
            <w:vAlign w:val="bottom"/>
          </w:tcPr>
          <w:p>
            <w:pPr>
              <w:jc w:val="right"/>
              <w:spacing w:after="0"/>
              <w:rPr>
                <w:sz w:val="20"/>
                <w:szCs w:val="20"/>
                <w:color w:val="auto"/>
              </w:rPr>
            </w:pPr>
            <w:r>
              <w:rPr>
                <w:rFonts w:ascii="Arial" w:cs="Arial" w:eastAsia="Arial" w:hAnsi="Arial"/>
                <w:sz w:val="16"/>
                <w:szCs w:val="16"/>
                <w:color w:val="auto"/>
              </w:rPr>
              <w:t>2,591,432</w:t>
            </w:r>
          </w:p>
        </w:tc>
        <w:tc>
          <w:tcPr>
            <w:tcW w:w="1320" w:type="dxa"/>
            <w:vAlign w:val="bottom"/>
          </w:tcPr>
          <w:p>
            <w:pPr>
              <w:jc w:val="right"/>
              <w:ind w:right="23"/>
              <w:spacing w:after="0"/>
              <w:rPr>
                <w:sz w:val="20"/>
                <w:szCs w:val="20"/>
                <w:color w:val="auto"/>
              </w:rPr>
            </w:pPr>
            <w:r>
              <w:rPr>
                <w:rFonts w:ascii="Arial" w:cs="Arial" w:eastAsia="Arial" w:hAnsi="Arial"/>
                <w:sz w:val="16"/>
                <w:szCs w:val="16"/>
                <w:color w:val="auto"/>
              </w:rPr>
              <w:t>105,686</w:t>
            </w:r>
          </w:p>
        </w:tc>
        <w:tc>
          <w:tcPr>
            <w:tcW w:w="940" w:type="dxa"/>
            <w:vAlign w:val="bottom"/>
          </w:tcPr>
          <w:p>
            <w:pPr>
              <w:jc w:val="right"/>
              <w:spacing w:after="0"/>
              <w:rPr>
                <w:sz w:val="20"/>
                <w:szCs w:val="20"/>
                <w:color w:val="auto"/>
              </w:rPr>
            </w:pPr>
            <w:r>
              <w:rPr>
                <w:rFonts w:ascii="Arial" w:cs="Arial" w:eastAsia="Arial" w:hAnsi="Arial"/>
                <w:sz w:val="16"/>
                <w:szCs w:val="16"/>
                <w:color w:val="auto"/>
              </w:rPr>
              <w:t>13,949,304</w:t>
            </w:r>
          </w:p>
        </w:tc>
        <w:tc>
          <w:tcPr>
            <w:tcW w:w="0" w:type="dxa"/>
            <w:vAlign w:val="bottom"/>
          </w:tcPr>
          <w:p>
            <w:pPr>
              <w:spacing w:after="0"/>
              <w:rPr>
                <w:sz w:val="1"/>
                <w:szCs w:val="1"/>
                <w:color w:val="auto"/>
              </w:rPr>
            </w:pPr>
          </w:p>
        </w:tc>
      </w:tr>
      <w:tr>
        <w:trPr>
          <w:trHeight w:val="40"/>
        </w:trPr>
        <w:tc>
          <w:tcPr>
            <w:tcW w:w="2280" w:type="dxa"/>
            <w:vAlign w:val="bottom"/>
            <w:vMerge w:val="restart"/>
          </w:tcPr>
          <w:p>
            <w:pPr>
              <w:ind w:left="80"/>
              <w:spacing w:after="0" w:line="181" w:lineRule="exact"/>
              <w:rPr>
                <w:sz w:val="20"/>
                <w:szCs w:val="20"/>
                <w:color w:val="auto"/>
              </w:rPr>
            </w:pPr>
            <w:r>
              <w:rPr>
                <w:rFonts w:ascii="Arial" w:cs="Arial" w:eastAsia="Arial" w:hAnsi="Arial"/>
                <w:sz w:val="16"/>
                <w:szCs w:val="16"/>
                <w:i w:val="1"/>
                <w:iCs w:val="1"/>
                <w:color w:val="auto"/>
              </w:rPr>
              <w:t>President, Global Sales,</w:t>
            </w:r>
          </w:p>
        </w:tc>
        <w:tc>
          <w:tcPr>
            <w:tcW w:w="540" w:type="dxa"/>
            <w:vAlign w:val="bottom"/>
            <w:tcBorders>
              <w:bottom w:val="single" w:sz="8" w:color="595959"/>
            </w:tcBorders>
          </w:tcPr>
          <w:p>
            <w:pPr>
              <w:spacing w:after="0"/>
              <w:rPr>
                <w:sz w:val="3"/>
                <w:szCs w:val="3"/>
                <w:color w:val="auto"/>
              </w:rPr>
            </w:pPr>
          </w:p>
        </w:tc>
        <w:tc>
          <w:tcPr>
            <w:tcW w:w="880" w:type="dxa"/>
            <w:vAlign w:val="bottom"/>
            <w:tcBorders>
              <w:bottom w:val="single" w:sz="8" w:color="595959"/>
            </w:tcBorders>
          </w:tcPr>
          <w:p>
            <w:pPr>
              <w:spacing w:after="0"/>
              <w:rPr>
                <w:sz w:val="3"/>
                <w:szCs w:val="3"/>
                <w:color w:val="auto"/>
              </w:rPr>
            </w:pPr>
          </w:p>
        </w:tc>
        <w:tc>
          <w:tcPr>
            <w:tcW w:w="860" w:type="dxa"/>
            <w:vAlign w:val="bottom"/>
            <w:tcBorders>
              <w:bottom w:val="single" w:sz="8" w:color="595959"/>
            </w:tcBorders>
          </w:tcPr>
          <w:p>
            <w:pPr>
              <w:spacing w:after="0"/>
              <w:rPr>
                <w:sz w:val="3"/>
                <w:szCs w:val="3"/>
                <w:color w:val="auto"/>
              </w:rPr>
            </w:pPr>
          </w:p>
        </w:tc>
        <w:tc>
          <w:tcPr>
            <w:tcW w:w="940" w:type="dxa"/>
            <w:vAlign w:val="bottom"/>
            <w:tcBorders>
              <w:bottom w:val="single" w:sz="8" w:color="595959"/>
            </w:tcBorders>
          </w:tcPr>
          <w:p>
            <w:pPr>
              <w:spacing w:after="0"/>
              <w:rPr>
                <w:sz w:val="3"/>
                <w:szCs w:val="3"/>
                <w:color w:val="auto"/>
              </w:rPr>
            </w:pPr>
          </w:p>
        </w:tc>
        <w:tc>
          <w:tcPr>
            <w:tcW w:w="1280" w:type="dxa"/>
            <w:vAlign w:val="bottom"/>
            <w:tcBorders>
              <w:bottom w:val="single" w:sz="8" w:color="595959"/>
            </w:tcBorders>
          </w:tcPr>
          <w:p>
            <w:pPr>
              <w:spacing w:after="0"/>
              <w:rPr>
                <w:sz w:val="3"/>
                <w:szCs w:val="3"/>
                <w:color w:val="auto"/>
              </w:rPr>
            </w:pPr>
          </w:p>
        </w:tc>
        <w:tc>
          <w:tcPr>
            <w:tcW w:w="1320" w:type="dxa"/>
            <w:vAlign w:val="bottom"/>
            <w:tcBorders>
              <w:bottom w:val="single" w:sz="8" w:color="595959"/>
            </w:tcBorders>
          </w:tcPr>
          <w:p>
            <w:pPr>
              <w:spacing w:after="0"/>
              <w:rPr>
                <w:sz w:val="3"/>
                <w:szCs w:val="3"/>
                <w:color w:val="auto"/>
              </w:rPr>
            </w:pPr>
          </w:p>
        </w:tc>
        <w:tc>
          <w:tcPr>
            <w:tcW w:w="940" w:type="dxa"/>
            <w:vAlign w:val="bottom"/>
            <w:tcBorders>
              <w:bottom w:val="single" w:sz="8" w:color="595959"/>
            </w:tcBorders>
          </w:tcPr>
          <w:p>
            <w:pPr>
              <w:spacing w:after="0"/>
              <w:rPr>
                <w:sz w:val="3"/>
                <w:szCs w:val="3"/>
                <w:color w:val="auto"/>
              </w:rPr>
            </w:pPr>
          </w:p>
        </w:tc>
        <w:tc>
          <w:tcPr>
            <w:tcW w:w="0" w:type="dxa"/>
            <w:vAlign w:val="bottom"/>
          </w:tcPr>
          <w:p>
            <w:pPr>
              <w:spacing w:after="0"/>
              <w:rPr>
                <w:sz w:val="1"/>
                <w:szCs w:val="1"/>
                <w:color w:val="auto"/>
              </w:rPr>
            </w:pPr>
          </w:p>
        </w:tc>
      </w:tr>
      <w:tr>
        <w:trPr>
          <w:trHeight w:val="121"/>
        </w:trPr>
        <w:tc>
          <w:tcPr>
            <w:tcW w:w="2280" w:type="dxa"/>
            <w:vAlign w:val="bottom"/>
            <w:vMerge w:val="continue"/>
          </w:tcPr>
          <w:p>
            <w:pPr>
              <w:spacing w:after="0"/>
              <w:rPr>
                <w:sz w:val="10"/>
                <w:szCs w:val="10"/>
                <w:color w:val="auto"/>
              </w:rPr>
            </w:pPr>
          </w:p>
        </w:tc>
        <w:tc>
          <w:tcPr>
            <w:tcW w:w="540" w:type="dxa"/>
            <w:vAlign w:val="bottom"/>
            <w:vMerge w:val="restart"/>
          </w:tcPr>
          <w:p>
            <w:pPr>
              <w:jc w:val="right"/>
              <w:ind w:right="2"/>
              <w:spacing w:after="0"/>
              <w:rPr>
                <w:sz w:val="20"/>
                <w:szCs w:val="20"/>
                <w:color w:val="auto"/>
              </w:rPr>
            </w:pPr>
            <w:r>
              <w:rPr>
                <w:rFonts w:ascii="Arial" w:cs="Arial" w:eastAsia="Arial" w:hAnsi="Arial"/>
                <w:sz w:val="16"/>
                <w:szCs w:val="16"/>
                <w:color w:val="auto"/>
              </w:rPr>
              <w:t>2019</w:t>
            </w:r>
          </w:p>
        </w:tc>
        <w:tc>
          <w:tcPr>
            <w:tcW w:w="880" w:type="dxa"/>
            <w:vAlign w:val="bottom"/>
            <w:vMerge w:val="restart"/>
          </w:tcPr>
          <w:p>
            <w:pPr>
              <w:jc w:val="right"/>
              <w:ind w:right="22"/>
              <w:spacing w:after="0"/>
              <w:rPr>
                <w:sz w:val="20"/>
                <w:szCs w:val="20"/>
                <w:color w:val="auto"/>
              </w:rPr>
            </w:pPr>
            <w:r>
              <w:rPr>
                <w:rFonts w:ascii="Arial" w:cs="Arial" w:eastAsia="Arial" w:hAnsi="Arial"/>
                <w:sz w:val="16"/>
                <w:szCs w:val="16"/>
                <w:color w:val="auto"/>
              </w:rPr>
              <w:t>798,000</w:t>
            </w:r>
          </w:p>
        </w:tc>
        <w:tc>
          <w:tcPr>
            <w:tcW w:w="860" w:type="dxa"/>
            <w:vAlign w:val="bottom"/>
            <w:vMerge w:val="restart"/>
          </w:tcPr>
          <w:p>
            <w:pPr>
              <w:jc w:val="right"/>
              <w:ind w:right="23"/>
              <w:spacing w:after="0"/>
              <w:rPr>
                <w:sz w:val="20"/>
                <w:szCs w:val="20"/>
                <w:color w:val="auto"/>
              </w:rPr>
            </w:pPr>
            <w:r>
              <w:rPr>
                <w:rFonts w:ascii="Arial" w:cs="Arial" w:eastAsia="Arial" w:hAnsi="Arial"/>
                <w:sz w:val="16"/>
                <w:szCs w:val="16"/>
                <w:color w:val="auto"/>
              </w:rPr>
              <w:t>0</w:t>
            </w:r>
          </w:p>
        </w:tc>
        <w:tc>
          <w:tcPr>
            <w:tcW w:w="940" w:type="dxa"/>
            <w:vAlign w:val="bottom"/>
            <w:vMerge w:val="restart"/>
          </w:tcPr>
          <w:p>
            <w:pPr>
              <w:jc w:val="right"/>
              <w:ind w:right="3"/>
              <w:spacing w:after="0"/>
              <w:rPr>
                <w:sz w:val="20"/>
                <w:szCs w:val="20"/>
                <w:color w:val="auto"/>
              </w:rPr>
            </w:pPr>
            <w:r>
              <w:rPr>
                <w:rFonts w:ascii="Arial" w:cs="Arial" w:eastAsia="Arial" w:hAnsi="Arial"/>
                <w:sz w:val="16"/>
                <w:szCs w:val="16"/>
                <w:color w:val="auto"/>
              </w:rPr>
              <w:t>11,309,474</w:t>
            </w: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2,889,049</w:t>
            </w:r>
          </w:p>
        </w:tc>
        <w:tc>
          <w:tcPr>
            <w:tcW w:w="1320" w:type="dxa"/>
            <w:vAlign w:val="bottom"/>
            <w:vMerge w:val="restart"/>
          </w:tcPr>
          <w:p>
            <w:pPr>
              <w:jc w:val="right"/>
              <w:ind w:right="23"/>
              <w:spacing w:after="0"/>
              <w:rPr>
                <w:sz w:val="20"/>
                <w:szCs w:val="20"/>
                <w:color w:val="auto"/>
              </w:rPr>
            </w:pPr>
            <w:r>
              <w:rPr>
                <w:rFonts w:ascii="Arial" w:cs="Arial" w:eastAsia="Arial" w:hAnsi="Arial"/>
                <w:sz w:val="16"/>
                <w:szCs w:val="16"/>
                <w:color w:val="auto"/>
              </w:rPr>
              <w:t>88,231</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15,084,754</w:t>
            </w:r>
          </w:p>
        </w:tc>
        <w:tc>
          <w:tcPr>
            <w:tcW w:w="0" w:type="dxa"/>
            <w:vAlign w:val="bottom"/>
          </w:tcPr>
          <w:p>
            <w:pPr>
              <w:spacing w:after="0"/>
              <w:rPr>
                <w:sz w:val="1"/>
                <w:szCs w:val="1"/>
                <w:color w:val="auto"/>
              </w:rPr>
            </w:pPr>
          </w:p>
        </w:tc>
      </w:tr>
      <w:tr>
        <w:trPr>
          <w:trHeight w:val="86"/>
        </w:trPr>
        <w:tc>
          <w:tcPr>
            <w:tcW w:w="2280" w:type="dxa"/>
            <w:vAlign w:val="bottom"/>
            <w:vMerge w:val="restart"/>
          </w:tcPr>
          <w:p>
            <w:pPr>
              <w:ind w:left="80"/>
              <w:spacing w:after="0"/>
              <w:rPr>
                <w:sz w:val="20"/>
                <w:szCs w:val="20"/>
                <w:color w:val="auto"/>
              </w:rPr>
            </w:pPr>
            <w:r>
              <w:rPr>
                <w:rFonts w:ascii="Arial" w:cs="Arial" w:eastAsia="Arial" w:hAnsi="Arial"/>
                <w:sz w:val="16"/>
                <w:szCs w:val="16"/>
                <w:i w:val="1"/>
                <w:iCs w:val="1"/>
                <w:color w:val="auto"/>
              </w:rPr>
              <w:t>Marketing and Operations</w:t>
            </w:r>
          </w:p>
        </w:tc>
        <w:tc>
          <w:tcPr>
            <w:tcW w:w="54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132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228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280" w:type="dxa"/>
            <w:vAlign w:val="bottom"/>
            <w:tcBorders>
              <w:bottom w:val="single" w:sz="8" w:color="0075C9"/>
            </w:tcBorders>
          </w:tcPr>
          <w:p>
            <w:pPr>
              <w:spacing w:after="0"/>
              <w:rPr>
                <w:sz w:val="6"/>
                <w:szCs w:val="6"/>
                <w:color w:val="auto"/>
              </w:rPr>
            </w:pPr>
          </w:p>
        </w:tc>
        <w:tc>
          <w:tcPr>
            <w:tcW w:w="540" w:type="dxa"/>
            <w:vAlign w:val="bottom"/>
            <w:tcBorders>
              <w:bottom w:val="single" w:sz="8" w:color="0075C9"/>
            </w:tcBorders>
          </w:tcPr>
          <w:p>
            <w:pPr>
              <w:spacing w:after="0"/>
              <w:rPr>
                <w:sz w:val="6"/>
                <w:szCs w:val="6"/>
                <w:color w:val="auto"/>
              </w:rPr>
            </w:pPr>
          </w:p>
        </w:tc>
        <w:tc>
          <w:tcPr>
            <w:tcW w:w="880" w:type="dxa"/>
            <w:vAlign w:val="bottom"/>
            <w:tcBorders>
              <w:bottom w:val="single" w:sz="8" w:color="0075C9"/>
            </w:tcBorders>
          </w:tcPr>
          <w:p>
            <w:pPr>
              <w:spacing w:after="0"/>
              <w:rPr>
                <w:sz w:val="6"/>
                <w:szCs w:val="6"/>
                <w:color w:val="auto"/>
              </w:rPr>
            </w:pPr>
          </w:p>
        </w:tc>
        <w:tc>
          <w:tcPr>
            <w:tcW w:w="860" w:type="dxa"/>
            <w:vAlign w:val="bottom"/>
            <w:tcBorders>
              <w:bottom w:val="single" w:sz="8" w:color="0075C9"/>
            </w:tcBorders>
          </w:tcPr>
          <w:p>
            <w:pPr>
              <w:spacing w:after="0"/>
              <w:rPr>
                <w:sz w:val="6"/>
                <w:szCs w:val="6"/>
                <w:color w:val="auto"/>
              </w:rPr>
            </w:pPr>
          </w:p>
        </w:tc>
        <w:tc>
          <w:tcPr>
            <w:tcW w:w="940" w:type="dxa"/>
            <w:vAlign w:val="bottom"/>
            <w:tcBorders>
              <w:bottom w:val="single" w:sz="8" w:color="0075C9"/>
            </w:tcBorders>
          </w:tcPr>
          <w:p>
            <w:pPr>
              <w:spacing w:after="0"/>
              <w:rPr>
                <w:sz w:val="6"/>
                <w:szCs w:val="6"/>
                <w:color w:val="auto"/>
              </w:rPr>
            </w:pPr>
          </w:p>
        </w:tc>
        <w:tc>
          <w:tcPr>
            <w:tcW w:w="1280" w:type="dxa"/>
            <w:vAlign w:val="bottom"/>
            <w:tcBorders>
              <w:bottom w:val="single" w:sz="8" w:color="0075C9"/>
            </w:tcBorders>
          </w:tcPr>
          <w:p>
            <w:pPr>
              <w:spacing w:after="0"/>
              <w:rPr>
                <w:sz w:val="6"/>
                <w:szCs w:val="6"/>
                <w:color w:val="auto"/>
              </w:rPr>
            </w:pPr>
          </w:p>
        </w:tc>
        <w:tc>
          <w:tcPr>
            <w:tcW w:w="1320" w:type="dxa"/>
            <w:vAlign w:val="bottom"/>
            <w:tcBorders>
              <w:bottom w:val="single" w:sz="8" w:color="0075C9"/>
            </w:tcBorders>
          </w:tcPr>
          <w:p>
            <w:pPr>
              <w:spacing w:after="0"/>
              <w:rPr>
                <w:sz w:val="6"/>
                <w:szCs w:val="6"/>
                <w:color w:val="auto"/>
              </w:rPr>
            </w:pPr>
          </w:p>
        </w:tc>
        <w:tc>
          <w:tcPr>
            <w:tcW w:w="940" w:type="dxa"/>
            <w:vAlign w:val="bottom"/>
            <w:tcBorders>
              <w:bottom w:val="single" w:sz="8" w:color="0075C9"/>
            </w:tcBorders>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280" w:type="dxa"/>
            <w:vAlign w:val="bottom"/>
          </w:tcPr>
          <w:p>
            <w:pPr>
              <w:ind w:left="80"/>
              <w:spacing w:after="0"/>
              <w:rPr>
                <w:sz w:val="20"/>
                <w:szCs w:val="20"/>
                <w:color w:val="auto"/>
              </w:rPr>
            </w:pPr>
            <w:r>
              <w:rPr>
                <w:rFonts w:ascii="Arial" w:cs="Arial" w:eastAsia="Arial" w:hAnsi="Arial"/>
                <w:sz w:val="16"/>
                <w:szCs w:val="16"/>
                <w:b w:val="1"/>
                <w:bCs w:val="1"/>
                <w:color w:val="0075C9"/>
              </w:rPr>
              <w:t>Bradford L. Smith</w:t>
            </w:r>
          </w:p>
        </w:tc>
        <w:tc>
          <w:tcPr>
            <w:tcW w:w="540" w:type="dxa"/>
            <w:vAlign w:val="bottom"/>
            <w:tcBorders>
              <w:bottom w:val="single" w:sz="8" w:color="595959"/>
            </w:tcBorders>
          </w:tcPr>
          <w:p>
            <w:pPr>
              <w:jc w:val="right"/>
              <w:ind w:right="2"/>
              <w:spacing w:after="0"/>
              <w:rPr>
                <w:sz w:val="20"/>
                <w:szCs w:val="20"/>
                <w:color w:val="auto"/>
              </w:rPr>
            </w:pPr>
            <w:r>
              <w:rPr>
                <w:rFonts w:ascii="Arial" w:cs="Arial" w:eastAsia="Arial" w:hAnsi="Arial"/>
                <w:sz w:val="16"/>
                <w:szCs w:val="16"/>
                <w:color w:val="auto"/>
              </w:rPr>
              <w:t>2021</w:t>
            </w:r>
          </w:p>
        </w:tc>
        <w:tc>
          <w:tcPr>
            <w:tcW w:w="880" w:type="dxa"/>
            <w:vAlign w:val="bottom"/>
            <w:tcBorders>
              <w:bottom w:val="single" w:sz="8" w:color="595959"/>
            </w:tcBorders>
          </w:tcPr>
          <w:p>
            <w:pPr>
              <w:jc w:val="right"/>
              <w:ind w:right="22"/>
              <w:spacing w:after="0"/>
              <w:rPr>
                <w:sz w:val="20"/>
                <w:szCs w:val="20"/>
                <w:color w:val="auto"/>
              </w:rPr>
            </w:pPr>
            <w:r>
              <w:rPr>
                <w:rFonts w:ascii="Arial" w:cs="Arial" w:eastAsia="Arial" w:hAnsi="Arial"/>
                <w:sz w:val="16"/>
                <w:szCs w:val="16"/>
                <w:color w:val="auto"/>
              </w:rPr>
              <w:t>943,333</w:t>
            </w:r>
          </w:p>
        </w:tc>
        <w:tc>
          <w:tcPr>
            <w:tcW w:w="860" w:type="dxa"/>
            <w:vAlign w:val="bottom"/>
            <w:tcBorders>
              <w:bottom w:val="single" w:sz="8" w:color="595959"/>
            </w:tcBorders>
          </w:tcPr>
          <w:p>
            <w:pPr>
              <w:jc w:val="right"/>
              <w:ind w:right="23"/>
              <w:spacing w:after="0"/>
              <w:rPr>
                <w:sz w:val="20"/>
                <w:szCs w:val="20"/>
                <w:color w:val="auto"/>
              </w:rPr>
            </w:pPr>
            <w:r>
              <w:rPr>
                <w:rFonts w:ascii="Arial" w:cs="Arial" w:eastAsia="Arial" w:hAnsi="Arial"/>
                <w:sz w:val="16"/>
                <w:szCs w:val="16"/>
                <w:color w:val="auto"/>
              </w:rPr>
              <w:t>0</w:t>
            </w:r>
          </w:p>
        </w:tc>
        <w:tc>
          <w:tcPr>
            <w:tcW w:w="940" w:type="dxa"/>
            <w:vAlign w:val="bottom"/>
            <w:tcBorders>
              <w:bottom w:val="single" w:sz="8" w:color="595959"/>
            </w:tcBorders>
          </w:tcPr>
          <w:p>
            <w:pPr>
              <w:jc w:val="right"/>
              <w:ind w:right="3"/>
              <w:spacing w:after="0"/>
              <w:rPr>
                <w:sz w:val="20"/>
                <w:szCs w:val="20"/>
                <w:color w:val="auto"/>
              </w:rPr>
            </w:pPr>
            <w:r>
              <w:rPr>
                <w:rFonts w:ascii="Arial" w:cs="Arial" w:eastAsia="Arial" w:hAnsi="Arial"/>
                <w:sz w:val="16"/>
                <w:szCs w:val="16"/>
                <w:color w:val="auto"/>
              </w:rPr>
              <w:t>15,098,855</w:t>
            </w:r>
          </w:p>
        </w:tc>
        <w:tc>
          <w:tcPr>
            <w:tcW w:w="1280" w:type="dxa"/>
            <w:vAlign w:val="bottom"/>
            <w:tcBorders>
              <w:bottom w:val="single" w:sz="8" w:color="595959"/>
            </w:tcBorders>
          </w:tcPr>
          <w:p>
            <w:pPr>
              <w:jc w:val="right"/>
              <w:spacing w:after="0"/>
              <w:rPr>
                <w:sz w:val="20"/>
                <w:szCs w:val="20"/>
                <w:color w:val="auto"/>
              </w:rPr>
            </w:pPr>
            <w:r>
              <w:rPr>
                <w:rFonts w:ascii="Arial" w:cs="Arial" w:eastAsia="Arial" w:hAnsi="Arial"/>
                <w:sz w:val="16"/>
                <w:szCs w:val="16"/>
                <w:color w:val="auto"/>
              </w:rPr>
              <w:t>4,303,958</w:t>
            </w:r>
          </w:p>
        </w:tc>
        <w:tc>
          <w:tcPr>
            <w:tcW w:w="1320" w:type="dxa"/>
            <w:vAlign w:val="bottom"/>
            <w:tcBorders>
              <w:bottom w:val="single" w:sz="8" w:color="595959"/>
            </w:tcBorders>
          </w:tcPr>
          <w:p>
            <w:pPr>
              <w:jc w:val="right"/>
              <w:ind w:right="23"/>
              <w:spacing w:after="0"/>
              <w:rPr>
                <w:sz w:val="20"/>
                <w:szCs w:val="20"/>
                <w:color w:val="auto"/>
              </w:rPr>
            </w:pPr>
            <w:r>
              <w:rPr>
                <w:rFonts w:ascii="Arial" w:cs="Arial" w:eastAsia="Arial" w:hAnsi="Arial"/>
                <w:sz w:val="16"/>
                <w:szCs w:val="16"/>
                <w:color w:val="auto"/>
              </w:rPr>
              <w:t>109,750</w:t>
            </w:r>
          </w:p>
        </w:tc>
        <w:tc>
          <w:tcPr>
            <w:tcW w:w="940" w:type="dxa"/>
            <w:vAlign w:val="bottom"/>
            <w:tcBorders>
              <w:bottom w:val="single" w:sz="8" w:color="595959"/>
            </w:tcBorders>
          </w:tcPr>
          <w:p>
            <w:pPr>
              <w:jc w:val="right"/>
              <w:spacing w:after="0"/>
              <w:rPr>
                <w:sz w:val="20"/>
                <w:szCs w:val="20"/>
                <w:color w:val="auto"/>
              </w:rPr>
            </w:pPr>
            <w:r>
              <w:rPr>
                <w:rFonts w:ascii="Arial" w:cs="Arial" w:eastAsia="Arial" w:hAnsi="Arial"/>
                <w:sz w:val="16"/>
                <w:szCs w:val="16"/>
                <w:color w:val="auto"/>
              </w:rPr>
              <w:t>20,455,896</w:t>
            </w:r>
          </w:p>
        </w:tc>
        <w:tc>
          <w:tcPr>
            <w:tcW w:w="0" w:type="dxa"/>
            <w:vAlign w:val="bottom"/>
          </w:tcPr>
          <w:p>
            <w:pPr>
              <w:spacing w:after="0"/>
              <w:rPr>
                <w:sz w:val="1"/>
                <w:szCs w:val="1"/>
                <w:color w:val="auto"/>
              </w:rPr>
            </w:pPr>
          </w:p>
        </w:tc>
      </w:tr>
      <w:tr>
        <w:trPr>
          <w:trHeight w:val="190"/>
        </w:trPr>
        <w:tc>
          <w:tcPr>
            <w:tcW w:w="2280" w:type="dxa"/>
            <w:vAlign w:val="bottom"/>
          </w:tcPr>
          <w:p>
            <w:pPr>
              <w:ind w:left="80"/>
              <w:spacing w:after="0"/>
              <w:rPr>
                <w:sz w:val="20"/>
                <w:szCs w:val="20"/>
                <w:color w:val="auto"/>
              </w:rPr>
            </w:pPr>
            <w:r>
              <w:rPr>
                <w:rFonts w:ascii="Arial" w:cs="Arial" w:eastAsia="Arial" w:hAnsi="Arial"/>
                <w:sz w:val="16"/>
                <w:szCs w:val="16"/>
                <w:i w:val="1"/>
                <w:iCs w:val="1"/>
                <w:color w:val="auto"/>
              </w:rPr>
              <w:t>President and Chief</w:t>
            </w: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2020</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860,000</w:t>
            </w: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0</w:t>
            </w:r>
          </w:p>
        </w:tc>
        <w:tc>
          <w:tcPr>
            <w:tcW w:w="940" w:type="dxa"/>
            <w:vAlign w:val="bottom"/>
          </w:tcPr>
          <w:p>
            <w:pPr>
              <w:jc w:val="right"/>
              <w:ind w:right="3"/>
              <w:spacing w:after="0"/>
              <w:rPr>
                <w:sz w:val="20"/>
                <w:szCs w:val="20"/>
                <w:color w:val="auto"/>
              </w:rPr>
            </w:pPr>
            <w:r>
              <w:rPr>
                <w:rFonts w:ascii="Arial" w:cs="Arial" w:eastAsia="Arial" w:hAnsi="Arial"/>
                <w:sz w:val="16"/>
                <w:szCs w:val="16"/>
                <w:color w:val="auto"/>
              </w:rPr>
              <w:t>12,402,137</w:t>
            </w:r>
          </w:p>
        </w:tc>
        <w:tc>
          <w:tcPr>
            <w:tcW w:w="1280" w:type="dxa"/>
            <w:vAlign w:val="bottom"/>
          </w:tcPr>
          <w:p>
            <w:pPr>
              <w:jc w:val="right"/>
              <w:spacing w:after="0"/>
              <w:rPr>
                <w:sz w:val="20"/>
                <w:szCs w:val="20"/>
                <w:color w:val="auto"/>
              </w:rPr>
            </w:pPr>
            <w:r>
              <w:rPr>
                <w:rFonts w:ascii="Arial" w:cs="Arial" w:eastAsia="Arial" w:hAnsi="Arial"/>
                <w:sz w:val="16"/>
                <w:szCs w:val="16"/>
                <w:color w:val="auto"/>
              </w:rPr>
              <w:t>3,294,445</w:t>
            </w:r>
          </w:p>
        </w:tc>
        <w:tc>
          <w:tcPr>
            <w:tcW w:w="1320" w:type="dxa"/>
            <w:vAlign w:val="bottom"/>
          </w:tcPr>
          <w:p>
            <w:pPr>
              <w:jc w:val="right"/>
              <w:ind w:right="23"/>
              <w:spacing w:after="0"/>
              <w:rPr>
                <w:sz w:val="20"/>
                <w:szCs w:val="20"/>
                <w:color w:val="auto"/>
              </w:rPr>
            </w:pPr>
            <w:r>
              <w:rPr>
                <w:rFonts w:ascii="Arial" w:cs="Arial" w:eastAsia="Arial" w:hAnsi="Arial"/>
                <w:sz w:val="16"/>
                <w:szCs w:val="16"/>
                <w:color w:val="auto"/>
              </w:rPr>
              <w:t>111,131</w:t>
            </w:r>
          </w:p>
        </w:tc>
        <w:tc>
          <w:tcPr>
            <w:tcW w:w="940" w:type="dxa"/>
            <w:vAlign w:val="bottom"/>
          </w:tcPr>
          <w:p>
            <w:pPr>
              <w:jc w:val="right"/>
              <w:spacing w:after="0"/>
              <w:rPr>
                <w:sz w:val="20"/>
                <w:szCs w:val="20"/>
                <w:color w:val="auto"/>
              </w:rPr>
            </w:pPr>
            <w:r>
              <w:rPr>
                <w:rFonts w:ascii="Arial" w:cs="Arial" w:eastAsia="Arial" w:hAnsi="Arial"/>
                <w:sz w:val="16"/>
                <w:szCs w:val="16"/>
                <w:color w:val="auto"/>
              </w:rPr>
              <w:t>16,667,713</w:t>
            </w:r>
          </w:p>
        </w:tc>
        <w:tc>
          <w:tcPr>
            <w:tcW w:w="0" w:type="dxa"/>
            <w:vAlign w:val="bottom"/>
          </w:tcPr>
          <w:p>
            <w:pPr>
              <w:spacing w:after="0"/>
              <w:rPr>
                <w:sz w:val="1"/>
                <w:szCs w:val="1"/>
                <w:color w:val="auto"/>
              </w:rPr>
            </w:pPr>
          </w:p>
        </w:tc>
      </w:tr>
      <w:tr>
        <w:trPr>
          <w:trHeight w:val="43"/>
        </w:trPr>
        <w:tc>
          <w:tcPr>
            <w:tcW w:w="2280" w:type="dxa"/>
            <w:vAlign w:val="bottom"/>
            <w:vMerge w:val="restart"/>
          </w:tcPr>
          <w:p>
            <w:pPr>
              <w:ind w:left="80"/>
              <w:spacing w:after="0" w:line="224" w:lineRule="exact"/>
              <w:rPr>
                <w:sz w:val="20"/>
                <w:szCs w:val="20"/>
                <w:color w:val="auto"/>
              </w:rPr>
            </w:pPr>
            <w:r>
              <w:rPr>
                <w:rFonts w:ascii="Arial" w:cs="Arial" w:eastAsia="Arial" w:hAnsi="Arial"/>
                <w:sz w:val="15"/>
                <w:szCs w:val="15"/>
                <w:i w:val="1"/>
                <w:iCs w:val="1"/>
                <w:color w:val="auto"/>
              </w:rPr>
              <w:t>Legal Officer</w:t>
            </w:r>
            <w:r>
              <w:rPr>
                <w:rFonts w:ascii="Arial" w:cs="Arial" w:eastAsia="Arial" w:hAnsi="Arial"/>
                <w:sz w:val="25"/>
                <w:szCs w:val="25"/>
                <w:i w:val="1"/>
                <w:iCs w:val="1"/>
                <w:color w:val="auto"/>
                <w:vertAlign w:val="superscript"/>
              </w:rPr>
              <w:t>6</w:t>
            </w:r>
          </w:p>
        </w:tc>
        <w:tc>
          <w:tcPr>
            <w:tcW w:w="540" w:type="dxa"/>
            <w:vAlign w:val="bottom"/>
            <w:tcBorders>
              <w:bottom w:val="single" w:sz="8" w:color="595959"/>
            </w:tcBorders>
          </w:tcPr>
          <w:p>
            <w:pPr>
              <w:spacing w:after="0"/>
              <w:rPr>
                <w:sz w:val="3"/>
                <w:szCs w:val="3"/>
                <w:color w:val="auto"/>
              </w:rPr>
            </w:pPr>
          </w:p>
        </w:tc>
        <w:tc>
          <w:tcPr>
            <w:tcW w:w="880" w:type="dxa"/>
            <w:vAlign w:val="bottom"/>
            <w:tcBorders>
              <w:bottom w:val="single" w:sz="8" w:color="595959"/>
            </w:tcBorders>
          </w:tcPr>
          <w:p>
            <w:pPr>
              <w:spacing w:after="0"/>
              <w:rPr>
                <w:sz w:val="3"/>
                <w:szCs w:val="3"/>
                <w:color w:val="auto"/>
              </w:rPr>
            </w:pPr>
          </w:p>
        </w:tc>
        <w:tc>
          <w:tcPr>
            <w:tcW w:w="860" w:type="dxa"/>
            <w:vAlign w:val="bottom"/>
            <w:tcBorders>
              <w:bottom w:val="single" w:sz="8" w:color="595959"/>
            </w:tcBorders>
          </w:tcPr>
          <w:p>
            <w:pPr>
              <w:spacing w:after="0"/>
              <w:rPr>
                <w:sz w:val="3"/>
                <w:szCs w:val="3"/>
                <w:color w:val="auto"/>
              </w:rPr>
            </w:pPr>
          </w:p>
        </w:tc>
        <w:tc>
          <w:tcPr>
            <w:tcW w:w="940" w:type="dxa"/>
            <w:vAlign w:val="bottom"/>
            <w:tcBorders>
              <w:bottom w:val="single" w:sz="8" w:color="595959"/>
            </w:tcBorders>
          </w:tcPr>
          <w:p>
            <w:pPr>
              <w:spacing w:after="0"/>
              <w:rPr>
                <w:sz w:val="3"/>
                <w:szCs w:val="3"/>
                <w:color w:val="auto"/>
              </w:rPr>
            </w:pPr>
          </w:p>
        </w:tc>
        <w:tc>
          <w:tcPr>
            <w:tcW w:w="1280" w:type="dxa"/>
            <w:vAlign w:val="bottom"/>
            <w:tcBorders>
              <w:bottom w:val="single" w:sz="8" w:color="595959"/>
            </w:tcBorders>
          </w:tcPr>
          <w:p>
            <w:pPr>
              <w:spacing w:after="0"/>
              <w:rPr>
                <w:sz w:val="3"/>
                <w:szCs w:val="3"/>
                <w:color w:val="auto"/>
              </w:rPr>
            </w:pPr>
          </w:p>
        </w:tc>
        <w:tc>
          <w:tcPr>
            <w:tcW w:w="1320" w:type="dxa"/>
            <w:vAlign w:val="bottom"/>
            <w:tcBorders>
              <w:bottom w:val="single" w:sz="8" w:color="595959"/>
            </w:tcBorders>
          </w:tcPr>
          <w:p>
            <w:pPr>
              <w:spacing w:after="0"/>
              <w:rPr>
                <w:sz w:val="3"/>
                <w:szCs w:val="3"/>
                <w:color w:val="auto"/>
              </w:rPr>
            </w:pPr>
          </w:p>
        </w:tc>
        <w:tc>
          <w:tcPr>
            <w:tcW w:w="940" w:type="dxa"/>
            <w:vAlign w:val="bottom"/>
            <w:tcBorders>
              <w:bottom w:val="single" w:sz="8" w:color="595959"/>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280" w:type="dxa"/>
            <w:vAlign w:val="bottom"/>
            <w:vMerge w:val="continue"/>
          </w:tcPr>
          <w:p>
            <w:pPr>
              <w:spacing w:after="0"/>
              <w:rPr>
                <w:sz w:val="14"/>
                <w:szCs w:val="14"/>
                <w:color w:val="auto"/>
              </w:rPr>
            </w:pPr>
          </w:p>
        </w:tc>
        <w:tc>
          <w:tcPr>
            <w:tcW w:w="540" w:type="dxa"/>
            <w:vAlign w:val="bottom"/>
            <w:vMerge w:val="restart"/>
          </w:tcPr>
          <w:p>
            <w:pPr>
              <w:jc w:val="right"/>
              <w:ind w:right="2"/>
              <w:spacing w:after="0"/>
              <w:rPr>
                <w:sz w:val="20"/>
                <w:szCs w:val="20"/>
                <w:color w:val="auto"/>
              </w:rPr>
            </w:pPr>
            <w:r>
              <w:rPr>
                <w:rFonts w:ascii="Arial" w:cs="Arial" w:eastAsia="Arial" w:hAnsi="Arial"/>
                <w:sz w:val="16"/>
                <w:szCs w:val="16"/>
                <w:color w:val="auto"/>
              </w:rPr>
              <w:t>2019</w:t>
            </w:r>
          </w:p>
        </w:tc>
        <w:tc>
          <w:tcPr>
            <w:tcW w:w="880" w:type="dxa"/>
            <w:vAlign w:val="bottom"/>
            <w:vMerge w:val="restart"/>
          </w:tcPr>
          <w:p>
            <w:pPr>
              <w:jc w:val="right"/>
              <w:ind w:right="22"/>
              <w:spacing w:after="0"/>
              <w:rPr>
                <w:sz w:val="20"/>
                <w:szCs w:val="20"/>
                <w:color w:val="auto"/>
              </w:rPr>
            </w:pPr>
            <w:r>
              <w:rPr>
                <w:rFonts w:ascii="Arial" w:cs="Arial" w:eastAsia="Arial" w:hAnsi="Arial"/>
                <w:sz w:val="16"/>
                <w:szCs w:val="16"/>
                <w:color w:val="auto"/>
              </w:rPr>
              <w:t>850,000</w:t>
            </w:r>
          </w:p>
        </w:tc>
        <w:tc>
          <w:tcPr>
            <w:tcW w:w="860" w:type="dxa"/>
            <w:vAlign w:val="bottom"/>
            <w:vMerge w:val="restart"/>
          </w:tcPr>
          <w:p>
            <w:pPr>
              <w:jc w:val="right"/>
              <w:ind w:right="23"/>
              <w:spacing w:after="0"/>
              <w:rPr>
                <w:sz w:val="20"/>
                <w:szCs w:val="20"/>
                <w:color w:val="auto"/>
              </w:rPr>
            </w:pPr>
            <w:r>
              <w:rPr>
                <w:rFonts w:ascii="Arial" w:cs="Arial" w:eastAsia="Arial" w:hAnsi="Arial"/>
                <w:sz w:val="16"/>
                <w:szCs w:val="16"/>
                <w:color w:val="auto"/>
              </w:rPr>
              <w:t>0</w:t>
            </w:r>
          </w:p>
        </w:tc>
        <w:tc>
          <w:tcPr>
            <w:tcW w:w="940" w:type="dxa"/>
            <w:vAlign w:val="bottom"/>
            <w:vMerge w:val="restart"/>
          </w:tcPr>
          <w:p>
            <w:pPr>
              <w:jc w:val="right"/>
              <w:ind w:right="3"/>
              <w:spacing w:after="0"/>
              <w:rPr>
                <w:sz w:val="20"/>
                <w:szCs w:val="20"/>
                <w:color w:val="auto"/>
              </w:rPr>
            </w:pPr>
            <w:r>
              <w:rPr>
                <w:rFonts w:ascii="Arial" w:cs="Arial" w:eastAsia="Arial" w:hAnsi="Arial"/>
                <w:sz w:val="16"/>
                <w:szCs w:val="16"/>
                <w:color w:val="auto"/>
              </w:rPr>
              <w:t>13,045,437</w:t>
            </w: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3,366,148</w:t>
            </w:r>
          </w:p>
        </w:tc>
        <w:tc>
          <w:tcPr>
            <w:tcW w:w="1320" w:type="dxa"/>
            <w:vAlign w:val="bottom"/>
            <w:vMerge w:val="restart"/>
          </w:tcPr>
          <w:p>
            <w:pPr>
              <w:jc w:val="right"/>
              <w:ind w:right="23"/>
              <w:spacing w:after="0"/>
              <w:rPr>
                <w:sz w:val="20"/>
                <w:szCs w:val="20"/>
                <w:color w:val="auto"/>
              </w:rPr>
            </w:pPr>
            <w:r>
              <w:rPr>
                <w:rFonts w:ascii="Arial" w:cs="Arial" w:eastAsia="Arial" w:hAnsi="Arial"/>
                <w:sz w:val="16"/>
                <w:szCs w:val="16"/>
                <w:color w:val="auto"/>
              </w:rPr>
              <w:t>111,412</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17,372,997</w:t>
            </w:r>
          </w:p>
        </w:tc>
        <w:tc>
          <w:tcPr>
            <w:tcW w:w="0" w:type="dxa"/>
            <w:vAlign w:val="bottom"/>
          </w:tcPr>
          <w:p>
            <w:pPr>
              <w:spacing w:after="0"/>
              <w:rPr>
                <w:sz w:val="1"/>
                <w:szCs w:val="1"/>
                <w:color w:val="auto"/>
              </w:rPr>
            </w:pPr>
          </w:p>
        </w:tc>
      </w:tr>
      <w:tr>
        <w:trPr>
          <w:trHeight w:val="58"/>
        </w:trPr>
        <w:tc>
          <w:tcPr>
            <w:tcW w:w="2280" w:type="dxa"/>
            <w:vAlign w:val="bottom"/>
            <w:tcBorders>
              <w:bottom w:val="single" w:sz="8" w:color="0075C9"/>
            </w:tcBorders>
          </w:tcPr>
          <w:p>
            <w:pPr>
              <w:spacing w:after="0"/>
              <w:rPr>
                <w:sz w:val="5"/>
                <w:szCs w:val="5"/>
                <w:color w:val="auto"/>
              </w:rPr>
            </w:pPr>
          </w:p>
        </w:tc>
        <w:tc>
          <w:tcPr>
            <w:tcW w:w="540" w:type="dxa"/>
            <w:vAlign w:val="bottom"/>
            <w:tcBorders>
              <w:bottom w:val="single" w:sz="8" w:color="0075C9"/>
            </w:tcBorders>
            <w:vMerge w:val="continue"/>
          </w:tcPr>
          <w:p>
            <w:pPr>
              <w:spacing w:after="0"/>
              <w:rPr>
                <w:sz w:val="5"/>
                <w:szCs w:val="5"/>
                <w:color w:val="auto"/>
              </w:rPr>
            </w:pPr>
          </w:p>
        </w:tc>
        <w:tc>
          <w:tcPr>
            <w:tcW w:w="880" w:type="dxa"/>
            <w:vAlign w:val="bottom"/>
            <w:tcBorders>
              <w:bottom w:val="single" w:sz="8" w:color="0075C9"/>
            </w:tcBorders>
            <w:vMerge w:val="continue"/>
          </w:tcPr>
          <w:p>
            <w:pPr>
              <w:spacing w:after="0"/>
              <w:rPr>
                <w:sz w:val="5"/>
                <w:szCs w:val="5"/>
                <w:color w:val="auto"/>
              </w:rPr>
            </w:pPr>
          </w:p>
        </w:tc>
        <w:tc>
          <w:tcPr>
            <w:tcW w:w="860" w:type="dxa"/>
            <w:vAlign w:val="bottom"/>
            <w:tcBorders>
              <w:bottom w:val="single" w:sz="8" w:color="0075C9"/>
            </w:tcBorders>
            <w:vMerge w:val="continue"/>
          </w:tcPr>
          <w:p>
            <w:pPr>
              <w:spacing w:after="0"/>
              <w:rPr>
                <w:sz w:val="5"/>
                <w:szCs w:val="5"/>
                <w:color w:val="auto"/>
              </w:rPr>
            </w:pPr>
          </w:p>
        </w:tc>
        <w:tc>
          <w:tcPr>
            <w:tcW w:w="940" w:type="dxa"/>
            <w:vAlign w:val="bottom"/>
            <w:tcBorders>
              <w:bottom w:val="single" w:sz="8" w:color="0075C9"/>
            </w:tcBorders>
            <w:vMerge w:val="continue"/>
          </w:tcPr>
          <w:p>
            <w:pPr>
              <w:spacing w:after="0"/>
              <w:rPr>
                <w:sz w:val="5"/>
                <w:szCs w:val="5"/>
                <w:color w:val="auto"/>
              </w:rPr>
            </w:pPr>
          </w:p>
        </w:tc>
        <w:tc>
          <w:tcPr>
            <w:tcW w:w="1280" w:type="dxa"/>
            <w:vAlign w:val="bottom"/>
            <w:tcBorders>
              <w:bottom w:val="single" w:sz="8" w:color="0075C9"/>
            </w:tcBorders>
            <w:vMerge w:val="continue"/>
          </w:tcPr>
          <w:p>
            <w:pPr>
              <w:spacing w:after="0"/>
              <w:rPr>
                <w:sz w:val="5"/>
                <w:szCs w:val="5"/>
                <w:color w:val="auto"/>
              </w:rPr>
            </w:pPr>
          </w:p>
        </w:tc>
        <w:tc>
          <w:tcPr>
            <w:tcW w:w="1320" w:type="dxa"/>
            <w:vAlign w:val="bottom"/>
            <w:tcBorders>
              <w:bottom w:val="single" w:sz="8" w:color="0075C9"/>
            </w:tcBorders>
            <w:vMerge w:val="continue"/>
          </w:tcPr>
          <w:p>
            <w:pPr>
              <w:spacing w:after="0"/>
              <w:rPr>
                <w:sz w:val="5"/>
                <w:szCs w:val="5"/>
                <w:color w:val="auto"/>
              </w:rPr>
            </w:pPr>
          </w:p>
        </w:tc>
        <w:tc>
          <w:tcPr>
            <w:tcW w:w="940" w:type="dxa"/>
            <w:vAlign w:val="bottom"/>
            <w:tcBorders>
              <w:bottom w:val="single" w:sz="8" w:color="0075C9"/>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280" w:type="dxa"/>
            <w:vAlign w:val="bottom"/>
          </w:tcPr>
          <w:p>
            <w:pPr>
              <w:ind w:left="80"/>
              <w:spacing w:after="0" w:line="261" w:lineRule="exact"/>
              <w:rPr>
                <w:sz w:val="20"/>
                <w:szCs w:val="20"/>
                <w:color w:val="auto"/>
              </w:rPr>
            </w:pPr>
            <w:r>
              <w:rPr>
                <w:rFonts w:ascii="Arial" w:cs="Arial" w:eastAsia="Arial" w:hAnsi="Arial"/>
                <w:sz w:val="16"/>
                <w:szCs w:val="16"/>
                <w:b w:val="1"/>
                <w:bCs w:val="1"/>
                <w:color w:val="0075C9"/>
              </w:rPr>
              <w:t>Christopher D. Young</w:t>
            </w:r>
            <w:r>
              <w:rPr>
                <w:rFonts w:ascii="Arial" w:cs="Arial" w:eastAsia="Arial" w:hAnsi="Arial"/>
                <w:sz w:val="26"/>
                <w:szCs w:val="26"/>
                <w:color w:val="0075C9"/>
                <w:vertAlign w:val="superscript"/>
              </w:rPr>
              <w:t>7</w:t>
            </w: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2021</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541,875</w:t>
            </w: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3,500,000</w:t>
            </w:r>
          </w:p>
        </w:tc>
        <w:tc>
          <w:tcPr>
            <w:tcW w:w="940" w:type="dxa"/>
            <w:vAlign w:val="bottom"/>
          </w:tcPr>
          <w:p>
            <w:pPr>
              <w:jc w:val="right"/>
              <w:ind w:right="3"/>
              <w:spacing w:after="0"/>
              <w:rPr>
                <w:sz w:val="20"/>
                <w:szCs w:val="20"/>
                <w:color w:val="auto"/>
              </w:rPr>
            </w:pPr>
            <w:r>
              <w:rPr>
                <w:rFonts w:ascii="Arial" w:cs="Arial" w:eastAsia="Arial" w:hAnsi="Arial"/>
                <w:sz w:val="16"/>
                <w:szCs w:val="16"/>
                <w:color w:val="auto"/>
              </w:rPr>
              <w:t>22,594,634</w:t>
            </w:r>
          </w:p>
        </w:tc>
        <w:tc>
          <w:tcPr>
            <w:tcW w:w="1280" w:type="dxa"/>
            <w:vAlign w:val="bottom"/>
          </w:tcPr>
          <w:p>
            <w:pPr>
              <w:jc w:val="right"/>
              <w:spacing w:after="0"/>
              <w:rPr>
                <w:sz w:val="20"/>
                <w:szCs w:val="20"/>
                <w:color w:val="auto"/>
              </w:rPr>
            </w:pPr>
            <w:r>
              <w:rPr>
                <w:rFonts w:ascii="Arial" w:cs="Arial" w:eastAsia="Arial" w:hAnsi="Arial"/>
                <w:sz w:val="16"/>
                <w:szCs w:val="16"/>
                <w:color w:val="auto"/>
              </w:rPr>
              <w:t>1,788,188</w:t>
            </w:r>
          </w:p>
        </w:tc>
        <w:tc>
          <w:tcPr>
            <w:tcW w:w="1320" w:type="dxa"/>
            <w:vAlign w:val="bottom"/>
          </w:tcPr>
          <w:p>
            <w:pPr>
              <w:jc w:val="right"/>
              <w:ind w:right="23"/>
              <w:spacing w:after="0"/>
              <w:rPr>
                <w:sz w:val="20"/>
                <w:szCs w:val="20"/>
                <w:color w:val="auto"/>
              </w:rPr>
            </w:pPr>
            <w:r>
              <w:rPr>
                <w:rFonts w:ascii="Arial" w:cs="Arial" w:eastAsia="Arial" w:hAnsi="Arial"/>
                <w:sz w:val="16"/>
                <w:szCs w:val="16"/>
                <w:color w:val="auto"/>
              </w:rPr>
              <w:t>70,386</w:t>
            </w:r>
          </w:p>
        </w:tc>
        <w:tc>
          <w:tcPr>
            <w:tcW w:w="940" w:type="dxa"/>
            <w:vAlign w:val="bottom"/>
          </w:tcPr>
          <w:p>
            <w:pPr>
              <w:jc w:val="right"/>
              <w:spacing w:after="0"/>
              <w:rPr>
                <w:sz w:val="20"/>
                <w:szCs w:val="20"/>
                <w:color w:val="auto"/>
              </w:rPr>
            </w:pPr>
            <w:r>
              <w:rPr>
                <w:rFonts w:ascii="Arial" w:cs="Arial" w:eastAsia="Arial" w:hAnsi="Arial"/>
                <w:sz w:val="16"/>
                <w:szCs w:val="16"/>
                <w:color w:val="auto"/>
              </w:rPr>
              <w:t>28,495,083</w:t>
            </w:r>
          </w:p>
        </w:tc>
        <w:tc>
          <w:tcPr>
            <w:tcW w:w="0" w:type="dxa"/>
            <w:vAlign w:val="bottom"/>
          </w:tcPr>
          <w:p>
            <w:pPr>
              <w:spacing w:after="0"/>
              <w:rPr>
                <w:sz w:val="1"/>
                <w:szCs w:val="1"/>
                <w:color w:val="auto"/>
              </w:rPr>
            </w:pPr>
          </w:p>
        </w:tc>
      </w:tr>
    </w:tbl>
    <w:p>
      <w:pPr>
        <w:ind w:left="1180"/>
        <w:spacing w:after="0" w:line="236" w:lineRule="auto"/>
        <w:rPr>
          <w:sz w:val="20"/>
          <w:szCs w:val="20"/>
          <w:color w:val="auto"/>
        </w:rPr>
      </w:pPr>
      <w:r>
        <w:rPr>
          <w:rFonts w:ascii="Arial" w:cs="Arial" w:eastAsia="Arial" w:hAnsi="Arial"/>
          <w:sz w:val="16"/>
          <w:szCs w:val="16"/>
          <w:i w:val="1"/>
          <w:iCs w:val="1"/>
          <w:color w:val="auto"/>
        </w:rPr>
        <w:t>Executive Vice President,</w:t>
      </w:r>
    </w:p>
    <w:p>
      <w:pPr>
        <w:ind w:left="1180"/>
        <w:spacing w:after="0" w:line="237" w:lineRule="auto"/>
        <w:rPr>
          <w:sz w:val="20"/>
          <w:szCs w:val="20"/>
          <w:color w:val="auto"/>
        </w:rPr>
      </w:pPr>
      <w:r>
        <w:rPr>
          <w:rFonts w:ascii="Arial" w:cs="Arial" w:eastAsia="Arial" w:hAnsi="Arial"/>
          <w:sz w:val="16"/>
          <w:szCs w:val="16"/>
          <w:i w:val="1"/>
          <w:iCs w:val="1"/>
          <w:color w:val="auto"/>
        </w:rPr>
        <w:t>Business Development,</w:t>
      </w:r>
    </w:p>
    <w:p>
      <w:pPr>
        <w:ind w:left="1180"/>
        <w:spacing w:after="0"/>
        <w:rPr>
          <w:sz w:val="20"/>
          <w:szCs w:val="20"/>
          <w:color w:val="auto"/>
        </w:rPr>
      </w:pPr>
      <w:r>
        <w:rPr>
          <w:rFonts w:ascii="Arial" w:cs="Arial" w:eastAsia="Arial" w:hAnsi="Arial"/>
          <w:sz w:val="16"/>
          <w:szCs w:val="16"/>
          <w:i w:val="1"/>
          <w:iCs w:val="1"/>
          <w:color w:val="auto"/>
        </w:rPr>
        <w:t>Strategy, and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5080</wp:posOffset>
            </wp:positionV>
            <wp:extent cx="573976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73" w:lineRule="exact"/>
        <w:rPr>
          <w:sz w:val="20"/>
          <w:szCs w:val="20"/>
          <w:color w:val="auto"/>
        </w:rPr>
      </w:pPr>
    </w:p>
    <w:p>
      <w:pPr>
        <w:ind w:left="1360" w:hanging="258"/>
        <w:spacing w:after="0"/>
        <w:tabs>
          <w:tab w:leader="none" w:pos="1360" w:val="left"/>
        </w:tabs>
        <w:numPr>
          <w:ilvl w:val="0"/>
          <w:numId w:val="82"/>
        </w:numPr>
        <w:rPr>
          <w:rFonts w:ascii="Arial" w:cs="Arial" w:eastAsia="Arial" w:hAnsi="Arial"/>
          <w:sz w:val="12"/>
          <w:szCs w:val="12"/>
          <w:color w:val="auto"/>
        </w:rPr>
      </w:pPr>
      <w:r>
        <w:rPr>
          <w:rFonts w:ascii="Arial" w:cs="Arial" w:eastAsia="Arial" w:hAnsi="Arial"/>
          <w:sz w:val="12"/>
          <w:szCs w:val="12"/>
          <w:color w:val="auto"/>
        </w:rPr>
        <w:t>Includes on-hire cash bonus made in connection with Mr. Young’s commencement of employment as described on page 44.</w:t>
      </w:r>
    </w:p>
    <w:p>
      <w:pPr>
        <w:spacing w:after="0" w:line="69" w:lineRule="exact"/>
        <w:rPr>
          <w:rFonts w:ascii="Arial" w:cs="Arial" w:eastAsia="Arial" w:hAnsi="Arial"/>
          <w:sz w:val="12"/>
          <w:szCs w:val="12"/>
          <w:color w:val="auto"/>
        </w:rPr>
      </w:pPr>
    </w:p>
    <w:p>
      <w:pPr>
        <w:ind w:left="1360" w:right="160" w:hanging="258"/>
        <w:spacing w:after="0" w:line="227" w:lineRule="auto"/>
        <w:tabs>
          <w:tab w:leader="none" w:pos="1360" w:val="left"/>
        </w:tabs>
        <w:numPr>
          <w:ilvl w:val="0"/>
          <w:numId w:val="82"/>
        </w:numPr>
        <w:rPr>
          <w:rFonts w:ascii="Arial" w:cs="Arial" w:eastAsia="Arial" w:hAnsi="Arial"/>
          <w:sz w:val="12"/>
          <w:szCs w:val="12"/>
          <w:color w:val="auto"/>
        </w:rPr>
      </w:pPr>
      <w:r>
        <w:rPr>
          <w:rFonts w:ascii="Arial" w:cs="Arial" w:eastAsia="Arial" w:hAnsi="Arial"/>
          <w:sz w:val="12"/>
          <w:szCs w:val="12"/>
          <w:color w:val="auto"/>
        </w:rPr>
        <w:t>Includes the grant date fair values for SAs and PSAs calculated in accordance with Financial Accounting Standards Board (“FASB”) Accounting Standards Codification (“ASC”) Topic 718 based on the market price of the shares subject to the award on the date of grant. The value of SAs is reduced by the present value of estimated future dividends because dividends are not paid on SA shares until vesting. The value of PSAs is calculated using a Monte-Carlo simulation valuation performed as of the date of grant by an independent third party. Because the grant date for a PSA occurs when performance targets are approved, and we approved performance targets in each of fiscal years 2021, 2020, and 2019, PSA values in this column include: (i) for fiscal year 2021, 33.33% of each of the fiscal year 2021 PSAs, the fiscal year 2020 PSAs, and the fiscal year 2019 PSAs; (ii) for fiscal year 2020, 33.33% of each of the fiscal year 2020 PSAs, the fiscal year 2019 PSAs, and the fiscal year 2018 PSAs; and (iii) for fiscal year 2019, 33.33% of each of the fiscal year 2019 PSAs, the fiscal year 2018 PSAs, and the fiscal year 2017 PSAs. The grant date fair values of included PSAs, assuming at the grant date that the highest level of performance conditions will be achieved for each PSA are: (i) for fiscal year 2021, Mr. Nadella, $52,529,846; Ms. Hood, $22,824,789; Mr. Courtois, $15,383,505; Mr. Smith, $18,984,417; and Mr. Young, $2,775,988; (ii) for fiscal year 2020, Mr. Nadella, $37,150,358; Ms. Hood, $18,704,870; Mr. Courtois, $13,664,213; and Mr. Smith, $15,866,522; (ii) for fiscal year 2019, Mr. Nadella, $35,050,220; Ms. Hood, $19,823,991; Mr. Courtois, $15,380,642; and Mr. Smith, $17,211,903.</w:t>
      </w:r>
    </w:p>
    <w:p>
      <w:pPr>
        <w:spacing w:after="0" w:line="66" w:lineRule="exact"/>
        <w:rPr>
          <w:rFonts w:ascii="Arial" w:cs="Arial" w:eastAsia="Arial" w:hAnsi="Arial"/>
          <w:sz w:val="12"/>
          <w:szCs w:val="12"/>
          <w:color w:val="auto"/>
        </w:rPr>
      </w:pPr>
    </w:p>
    <w:p>
      <w:pPr>
        <w:ind w:left="1360" w:hanging="258"/>
        <w:spacing w:after="0"/>
        <w:tabs>
          <w:tab w:leader="none" w:pos="1360" w:val="left"/>
        </w:tabs>
        <w:numPr>
          <w:ilvl w:val="0"/>
          <w:numId w:val="82"/>
        </w:numPr>
        <w:rPr>
          <w:rFonts w:ascii="Arial" w:cs="Arial" w:eastAsia="Arial" w:hAnsi="Arial"/>
          <w:sz w:val="12"/>
          <w:szCs w:val="12"/>
          <w:color w:val="auto"/>
        </w:rPr>
      </w:pPr>
      <w:r>
        <w:rPr>
          <w:rFonts w:ascii="Arial" w:cs="Arial" w:eastAsia="Arial" w:hAnsi="Arial"/>
          <w:sz w:val="12"/>
          <w:szCs w:val="12"/>
          <w:color w:val="auto"/>
        </w:rPr>
        <w:t>Includes Incentive Plan cash incentives.</w:t>
      </w:r>
    </w:p>
    <w:p>
      <w:pPr>
        <w:spacing w:after="0" w:line="69" w:lineRule="exact"/>
        <w:rPr>
          <w:rFonts w:ascii="Arial" w:cs="Arial" w:eastAsia="Arial" w:hAnsi="Arial"/>
          <w:sz w:val="12"/>
          <w:szCs w:val="12"/>
          <w:color w:val="auto"/>
        </w:rPr>
      </w:pPr>
    </w:p>
    <w:p>
      <w:pPr>
        <w:ind w:left="1360" w:right="200" w:hanging="258"/>
        <w:spacing w:after="0" w:line="239" w:lineRule="auto"/>
        <w:tabs>
          <w:tab w:leader="none" w:pos="1360" w:val="left"/>
        </w:tabs>
        <w:numPr>
          <w:ilvl w:val="0"/>
          <w:numId w:val="82"/>
        </w:numPr>
        <w:rPr>
          <w:rFonts w:ascii="Arial" w:cs="Arial" w:eastAsia="Arial" w:hAnsi="Arial"/>
          <w:sz w:val="12"/>
          <w:szCs w:val="12"/>
          <w:color w:val="auto"/>
        </w:rPr>
      </w:pPr>
      <w:r>
        <w:rPr>
          <w:rFonts w:ascii="Arial" w:cs="Arial" w:eastAsia="Arial" w:hAnsi="Arial"/>
          <w:sz w:val="12"/>
          <w:szCs w:val="12"/>
          <w:color w:val="auto"/>
        </w:rPr>
        <w:t>None of our Named Executives received reimbursements for relocation expenses or tax-gross-up payments in the last three fiscal years. Details about the amounts in the “All Other Compensation” column for fiscal year 2021 are set forth in the table below.</w:t>
      </w:r>
    </w:p>
    <w:p>
      <w:pPr>
        <w:spacing w:after="0" w:line="73" w:lineRule="exact"/>
        <w:rPr>
          <w:rFonts w:ascii="Arial" w:cs="Arial" w:eastAsia="Arial" w:hAnsi="Arial"/>
          <w:sz w:val="12"/>
          <w:szCs w:val="12"/>
          <w:color w:val="auto"/>
        </w:rPr>
      </w:pPr>
    </w:p>
    <w:p>
      <w:pPr>
        <w:ind w:left="1380"/>
        <w:spacing w:after="0"/>
        <w:rPr>
          <w:rFonts w:ascii="Arial" w:cs="Arial" w:eastAsia="Arial" w:hAnsi="Arial"/>
          <w:sz w:val="12"/>
          <w:szCs w:val="12"/>
          <w:color w:val="auto"/>
        </w:rPr>
      </w:pPr>
      <w:r>
        <w:rPr>
          <w:rFonts w:ascii="Arial" w:cs="Arial" w:eastAsia="Arial" w:hAnsi="Arial"/>
          <w:sz w:val="12"/>
          <w:szCs w:val="12"/>
          <w:b w:val="1"/>
          <w:bCs w:val="1"/>
          <w:color w:val="auto"/>
        </w:rPr>
        <w:t>All other compensation details</w:t>
      </w:r>
    </w:p>
    <w:p>
      <w:pPr>
        <w:spacing w:after="0" w:line="104"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2640" w:type="dxa"/>
            <w:vAlign w:val="bottom"/>
          </w:tcPr>
          <w:p>
            <w:pPr>
              <w:spacing w:after="0"/>
              <w:rPr>
                <w:sz w:val="12"/>
                <w:szCs w:val="12"/>
                <w:color w:val="auto"/>
              </w:rPr>
            </w:pPr>
          </w:p>
        </w:tc>
        <w:tc>
          <w:tcPr>
            <w:tcW w:w="2300" w:type="dxa"/>
            <w:vAlign w:val="bottom"/>
          </w:tcPr>
          <w:p>
            <w:pPr>
              <w:jc w:val="right"/>
              <w:ind w:right="95"/>
              <w:spacing w:after="0"/>
              <w:rPr>
                <w:sz w:val="20"/>
                <w:szCs w:val="20"/>
                <w:color w:val="auto"/>
              </w:rPr>
            </w:pPr>
            <w:r>
              <w:rPr>
                <w:rFonts w:ascii="Arial" w:cs="Arial" w:eastAsia="Arial" w:hAnsi="Arial"/>
                <w:sz w:val="13"/>
                <w:szCs w:val="13"/>
                <w:b w:val="1"/>
                <w:bCs w:val="1"/>
                <w:color w:val="auto"/>
              </w:rPr>
              <w:t>Retirement Plan</w:t>
            </w:r>
          </w:p>
        </w:tc>
        <w:tc>
          <w:tcPr>
            <w:tcW w:w="1200" w:type="dxa"/>
            <w:vAlign w:val="bottom"/>
          </w:tcPr>
          <w:p>
            <w:pPr>
              <w:jc w:val="right"/>
              <w:ind w:right="75"/>
              <w:spacing w:after="0"/>
              <w:rPr>
                <w:sz w:val="20"/>
                <w:szCs w:val="20"/>
                <w:color w:val="auto"/>
              </w:rPr>
            </w:pPr>
            <w:r>
              <w:rPr>
                <w:rFonts w:ascii="Arial" w:cs="Arial" w:eastAsia="Arial" w:hAnsi="Arial"/>
                <w:sz w:val="13"/>
                <w:szCs w:val="13"/>
                <w:b w:val="1"/>
                <w:bCs w:val="1"/>
                <w:color w:val="auto"/>
              </w:rPr>
              <w:t>Broad-Based</w:t>
            </w:r>
          </w:p>
        </w:tc>
        <w:tc>
          <w:tcPr>
            <w:tcW w:w="940" w:type="dxa"/>
            <w:vAlign w:val="bottom"/>
          </w:tcPr>
          <w:p>
            <w:pPr>
              <w:jc w:val="right"/>
              <w:ind w:right="95"/>
              <w:spacing w:after="0"/>
              <w:rPr>
                <w:sz w:val="20"/>
                <w:szCs w:val="20"/>
                <w:color w:val="auto"/>
              </w:rPr>
            </w:pPr>
            <w:r>
              <w:rPr>
                <w:rFonts w:ascii="Arial" w:cs="Arial" w:eastAsia="Arial" w:hAnsi="Arial"/>
                <w:sz w:val="13"/>
                <w:szCs w:val="13"/>
                <w:b w:val="1"/>
                <w:bCs w:val="1"/>
                <w:color w:val="auto"/>
              </w:rPr>
              <w:t>Charitable</w:t>
            </w: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2"/>
        </w:trPr>
        <w:tc>
          <w:tcPr>
            <w:tcW w:w="2640" w:type="dxa"/>
            <w:vAlign w:val="bottom"/>
          </w:tcPr>
          <w:p>
            <w:pPr>
              <w:spacing w:after="0"/>
              <w:rPr>
                <w:sz w:val="12"/>
                <w:szCs w:val="12"/>
                <w:color w:val="auto"/>
              </w:rPr>
            </w:pPr>
          </w:p>
        </w:tc>
        <w:tc>
          <w:tcPr>
            <w:tcW w:w="2300" w:type="dxa"/>
            <w:vAlign w:val="bottom"/>
          </w:tcPr>
          <w:p>
            <w:pPr>
              <w:jc w:val="right"/>
              <w:ind w:right="95"/>
              <w:spacing w:after="0" w:line="143" w:lineRule="exact"/>
              <w:rPr>
                <w:sz w:val="20"/>
                <w:szCs w:val="20"/>
                <w:color w:val="auto"/>
              </w:rPr>
            </w:pPr>
            <w:r>
              <w:rPr>
                <w:rFonts w:ascii="Arial" w:cs="Arial" w:eastAsia="Arial" w:hAnsi="Arial"/>
                <w:sz w:val="13"/>
                <w:szCs w:val="13"/>
                <w:b w:val="1"/>
                <w:bCs w:val="1"/>
                <w:color w:val="auto"/>
              </w:rPr>
              <w:t>Contributions</w:t>
            </w:r>
            <w:r>
              <w:rPr>
                <w:rFonts w:ascii="Arial" w:cs="Arial" w:eastAsia="Arial" w:hAnsi="Arial"/>
                <w:sz w:val="11"/>
                <w:szCs w:val="11"/>
                <w:b w:val="1"/>
                <w:bCs w:val="1"/>
                <w:color w:val="auto"/>
              </w:rPr>
              <w:t>A</w:t>
            </w:r>
          </w:p>
        </w:tc>
        <w:tc>
          <w:tcPr>
            <w:tcW w:w="1200" w:type="dxa"/>
            <w:vAlign w:val="bottom"/>
          </w:tcPr>
          <w:p>
            <w:pPr>
              <w:jc w:val="right"/>
              <w:ind w:right="75"/>
              <w:spacing w:after="0" w:line="143" w:lineRule="exact"/>
              <w:rPr>
                <w:sz w:val="20"/>
                <w:szCs w:val="20"/>
                <w:color w:val="auto"/>
              </w:rPr>
            </w:pPr>
            <w:r>
              <w:rPr>
                <w:rFonts w:ascii="Arial" w:cs="Arial" w:eastAsia="Arial" w:hAnsi="Arial"/>
                <w:sz w:val="13"/>
                <w:szCs w:val="13"/>
                <w:b w:val="1"/>
                <w:bCs w:val="1"/>
                <w:color w:val="auto"/>
              </w:rPr>
              <w:t>Plan Benefits</w:t>
            </w:r>
            <w:r>
              <w:rPr>
                <w:rFonts w:ascii="Arial" w:cs="Arial" w:eastAsia="Arial" w:hAnsi="Arial"/>
                <w:sz w:val="11"/>
                <w:szCs w:val="11"/>
                <w:b w:val="1"/>
                <w:bCs w:val="1"/>
                <w:color w:val="auto"/>
              </w:rPr>
              <w:t>B</w:t>
            </w:r>
          </w:p>
        </w:tc>
        <w:tc>
          <w:tcPr>
            <w:tcW w:w="940" w:type="dxa"/>
            <w:vAlign w:val="bottom"/>
          </w:tcPr>
          <w:p>
            <w:pPr>
              <w:jc w:val="right"/>
              <w:ind w:right="95"/>
              <w:spacing w:after="0" w:line="143" w:lineRule="exact"/>
              <w:rPr>
                <w:sz w:val="20"/>
                <w:szCs w:val="20"/>
                <w:color w:val="auto"/>
              </w:rPr>
            </w:pPr>
            <w:r>
              <w:rPr>
                <w:rFonts w:ascii="Arial" w:cs="Arial" w:eastAsia="Arial" w:hAnsi="Arial"/>
                <w:sz w:val="13"/>
                <w:szCs w:val="13"/>
                <w:b w:val="1"/>
                <w:bCs w:val="1"/>
                <w:color w:val="auto"/>
              </w:rPr>
              <w:t>Gifts</w:t>
            </w:r>
            <w:r>
              <w:rPr>
                <w:rFonts w:ascii="Arial" w:cs="Arial" w:eastAsia="Arial" w:hAnsi="Arial"/>
                <w:sz w:val="11"/>
                <w:szCs w:val="11"/>
                <w:b w:val="1"/>
                <w:bCs w:val="1"/>
                <w:color w:val="auto"/>
              </w:rPr>
              <w:t>C</w:t>
            </w:r>
          </w:p>
        </w:tc>
        <w:tc>
          <w:tcPr>
            <w:tcW w:w="700" w:type="dxa"/>
            <w:vAlign w:val="bottom"/>
          </w:tcPr>
          <w:p>
            <w:pPr>
              <w:jc w:val="right"/>
              <w:ind w:right="55"/>
              <w:spacing w:after="0" w:line="143" w:lineRule="exact"/>
              <w:rPr>
                <w:sz w:val="20"/>
                <w:szCs w:val="20"/>
                <w:color w:val="auto"/>
              </w:rPr>
            </w:pPr>
            <w:r>
              <w:rPr>
                <w:rFonts w:ascii="Arial" w:cs="Arial" w:eastAsia="Arial" w:hAnsi="Arial"/>
                <w:sz w:val="13"/>
                <w:szCs w:val="13"/>
                <w:b w:val="1"/>
                <w:bCs w:val="1"/>
                <w:color w:val="auto"/>
              </w:rPr>
              <w:t>Other</w:t>
            </w:r>
            <w:r>
              <w:rPr>
                <w:rFonts w:ascii="Arial" w:cs="Arial" w:eastAsia="Arial" w:hAnsi="Arial"/>
                <w:sz w:val="11"/>
                <w:szCs w:val="11"/>
                <w:b w:val="1"/>
                <w:bCs w:val="1"/>
                <w:color w:val="auto"/>
              </w:rPr>
              <w:t>D</w:t>
            </w:r>
          </w:p>
        </w:tc>
        <w:tc>
          <w:tcPr>
            <w:tcW w:w="720" w:type="dxa"/>
            <w:vAlign w:val="bottom"/>
          </w:tcPr>
          <w:p>
            <w:pPr>
              <w:jc w:val="right"/>
              <w:ind w:right="75"/>
              <w:spacing w:after="0" w:line="143" w:lineRule="exact"/>
              <w:rPr>
                <w:sz w:val="20"/>
                <w:szCs w:val="20"/>
                <w:color w:val="auto"/>
              </w:rPr>
            </w:pPr>
            <w:r>
              <w:rPr>
                <w:rFonts w:ascii="Arial" w:cs="Arial" w:eastAsia="Arial" w:hAnsi="Arial"/>
                <w:sz w:val="13"/>
                <w:szCs w:val="13"/>
                <w:b w:val="1"/>
                <w:bCs w:val="1"/>
                <w:color w:val="auto"/>
              </w:rPr>
              <w:t>Total</w:t>
            </w:r>
          </w:p>
        </w:tc>
      </w:tr>
      <w:tr>
        <w:trPr>
          <w:trHeight w:val="191"/>
        </w:trPr>
        <w:tc>
          <w:tcPr>
            <w:tcW w:w="26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Named Executive</w:t>
            </w:r>
          </w:p>
        </w:tc>
        <w:tc>
          <w:tcPr>
            <w:tcW w:w="230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b w:val="1"/>
                <w:bCs w:val="1"/>
                <w:color w:val="auto"/>
              </w:rPr>
              <w:t>($)</w:t>
            </w:r>
          </w:p>
        </w:tc>
        <w:tc>
          <w:tcPr>
            <w:tcW w:w="120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b w:val="1"/>
                <w:bCs w:val="1"/>
                <w:color w:val="auto"/>
              </w:rPr>
              <w:t>($)</w:t>
            </w:r>
          </w:p>
        </w:tc>
      </w:tr>
      <w:tr>
        <w:trPr>
          <w:trHeight w:val="213"/>
        </w:trPr>
        <w:tc>
          <w:tcPr>
            <w:tcW w:w="2640" w:type="dxa"/>
            <w:vAlign w:val="bottom"/>
            <w:tcBorders>
              <w:bottom w:val="single" w:sz="8" w:color="0075C9"/>
            </w:tcBorders>
          </w:tcPr>
          <w:p>
            <w:pPr>
              <w:ind w:left="80"/>
              <w:spacing w:after="0"/>
              <w:rPr>
                <w:sz w:val="20"/>
                <w:szCs w:val="20"/>
                <w:color w:val="auto"/>
              </w:rPr>
            </w:pPr>
            <w:r>
              <w:rPr>
                <w:rFonts w:ascii="Arial" w:cs="Arial" w:eastAsia="Arial" w:hAnsi="Arial"/>
                <w:sz w:val="13"/>
                <w:szCs w:val="13"/>
                <w:b w:val="1"/>
                <w:bCs w:val="1"/>
                <w:color w:val="0075C9"/>
              </w:rPr>
              <w:t>Satya Nadella</w:t>
            </w:r>
          </w:p>
        </w:tc>
        <w:tc>
          <w:tcPr>
            <w:tcW w:w="2300" w:type="dxa"/>
            <w:vAlign w:val="bottom"/>
            <w:tcBorders>
              <w:bottom w:val="single" w:sz="8" w:color="0075C9"/>
            </w:tcBorders>
          </w:tcPr>
          <w:p>
            <w:pPr>
              <w:jc w:val="right"/>
              <w:ind w:right="95"/>
              <w:spacing w:after="0"/>
              <w:rPr>
                <w:sz w:val="20"/>
                <w:szCs w:val="20"/>
                <w:color w:val="auto"/>
              </w:rPr>
            </w:pPr>
            <w:r>
              <w:rPr>
                <w:rFonts w:ascii="Arial" w:cs="Arial" w:eastAsia="Arial" w:hAnsi="Arial"/>
                <w:sz w:val="13"/>
                <w:szCs w:val="13"/>
                <w:color w:val="auto"/>
              </w:rPr>
              <w:t>9,750</w:t>
            </w:r>
          </w:p>
        </w:tc>
        <w:tc>
          <w:tcPr>
            <w:tcW w:w="1200" w:type="dxa"/>
            <w:vAlign w:val="bottom"/>
            <w:tcBorders>
              <w:bottom w:val="single" w:sz="8" w:color="0075C9"/>
            </w:tcBorders>
          </w:tcPr>
          <w:p>
            <w:pPr>
              <w:jc w:val="right"/>
              <w:ind w:right="75"/>
              <w:spacing w:after="0"/>
              <w:rPr>
                <w:sz w:val="20"/>
                <w:szCs w:val="20"/>
                <w:color w:val="auto"/>
              </w:rPr>
            </w:pPr>
            <w:r>
              <w:rPr>
                <w:rFonts w:ascii="Arial" w:cs="Arial" w:eastAsia="Arial" w:hAnsi="Arial"/>
                <w:sz w:val="13"/>
                <w:szCs w:val="13"/>
                <w:color w:val="auto"/>
              </w:rPr>
              <w:t>0</w:t>
            </w:r>
          </w:p>
        </w:tc>
        <w:tc>
          <w:tcPr>
            <w:tcW w:w="940" w:type="dxa"/>
            <w:vAlign w:val="bottom"/>
            <w:tcBorders>
              <w:bottom w:val="single" w:sz="8" w:color="0075C9"/>
            </w:tcBorders>
          </w:tcPr>
          <w:p>
            <w:pPr>
              <w:jc w:val="right"/>
              <w:ind w:right="95"/>
              <w:spacing w:after="0"/>
              <w:rPr>
                <w:sz w:val="20"/>
                <w:szCs w:val="20"/>
                <w:color w:val="auto"/>
              </w:rPr>
            </w:pPr>
            <w:r>
              <w:rPr>
                <w:rFonts w:ascii="Arial" w:cs="Arial" w:eastAsia="Arial" w:hAnsi="Arial"/>
                <w:sz w:val="13"/>
                <w:szCs w:val="13"/>
                <w:color w:val="auto"/>
              </w:rPr>
              <w:t>100,000</w:t>
            </w:r>
          </w:p>
        </w:tc>
        <w:tc>
          <w:tcPr>
            <w:tcW w:w="700" w:type="dxa"/>
            <w:vAlign w:val="bottom"/>
            <w:tcBorders>
              <w:bottom w:val="single" w:sz="8" w:color="0075C9"/>
            </w:tcBorders>
          </w:tcPr>
          <w:p>
            <w:pPr>
              <w:jc w:val="right"/>
              <w:ind w:right="55"/>
              <w:spacing w:after="0"/>
              <w:rPr>
                <w:sz w:val="20"/>
                <w:szCs w:val="20"/>
                <w:color w:val="auto"/>
              </w:rPr>
            </w:pPr>
            <w:r>
              <w:rPr>
                <w:rFonts w:ascii="Arial" w:cs="Arial" w:eastAsia="Arial" w:hAnsi="Arial"/>
                <w:sz w:val="13"/>
                <w:szCs w:val="13"/>
                <w:color w:val="auto"/>
              </w:rPr>
              <w:t>0</w:t>
            </w:r>
          </w:p>
        </w:tc>
        <w:tc>
          <w:tcPr>
            <w:tcW w:w="720" w:type="dxa"/>
            <w:vAlign w:val="bottom"/>
            <w:tcBorders>
              <w:bottom w:val="single" w:sz="8" w:color="0075C9"/>
            </w:tcBorders>
          </w:tcPr>
          <w:p>
            <w:pPr>
              <w:jc w:val="right"/>
              <w:ind w:right="75"/>
              <w:spacing w:after="0"/>
              <w:rPr>
                <w:sz w:val="20"/>
                <w:szCs w:val="20"/>
                <w:color w:val="auto"/>
              </w:rPr>
            </w:pPr>
            <w:r>
              <w:rPr>
                <w:rFonts w:ascii="Arial" w:cs="Arial" w:eastAsia="Arial" w:hAnsi="Arial"/>
                <w:sz w:val="13"/>
                <w:szCs w:val="13"/>
                <w:color w:val="auto"/>
              </w:rPr>
              <w:t>109,750</w:t>
            </w:r>
          </w:p>
        </w:tc>
      </w:tr>
      <w:tr>
        <w:trPr>
          <w:trHeight w:val="213"/>
        </w:trPr>
        <w:tc>
          <w:tcPr>
            <w:tcW w:w="2640" w:type="dxa"/>
            <w:vAlign w:val="bottom"/>
            <w:tcBorders>
              <w:bottom w:val="single" w:sz="8" w:color="0075C9"/>
            </w:tcBorders>
          </w:tcPr>
          <w:p>
            <w:pPr>
              <w:ind w:left="80"/>
              <w:spacing w:after="0"/>
              <w:rPr>
                <w:sz w:val="20"/>
                <w:szCs w:val="20"/>
                <w:color w:val="auto"/>
              </w:rPr>
            </w:pPr>
            <w:r>
              <w:rPr>
                <w:rFonts w:ascii="Arial" w:cs="Arial" w:eastAsia="Arial" w:hAnsi="Arial"/>
                <w:sz w:val="13"/>
                <w:szCs w:val="13"/>
                <w:b w:val="1"/>
                <w:bCs w:val="1"/>
                <w:color w:val="0075C9"/>
              </w:rPr>
              <w:t>Amy E. Hood</w:t>
            </w:r>
          </w:p>
        </w:tc>
        <w:tc>
          <w:tcPr>
            <w:tcW w:w="2300" w:type="dxa"/>
            <w:vAlign w:val="bottom"/>
            <w:tcBorders>
              <w:bottom w:val="single" w:sz="8" w:color="0075C9"/>
            </w:tcBorders>
          </w:tcPr>
          <w:p>
            <w:pPr>
              <w:jc w:val="right"/>
              <w:ind w:right="95"/>
              <w:spacing w:after="0"/>
              <w:rPr>
                <w:sz w:val="20"/>
                <w:szCs w:val="20"/>
                <w:color w:val="auto"/>
              </w:rPr>
            </w:pPr>
            <w:r>
              <w:rPr>
                <w:rFonts w:ascii="Arial" w:cs="Arial" w:eastAsia="Arial" w:hAnsi="Arial"/>
                <w:sz w:val="13"/>
                <w:szCs w:val="13"/>
                <w:color w:val="auto"/>
              </w:rPr>
              <w:t>9,750</w:t>
            </w:r>
          </w:p>
        </w:tc>
        <w:tc>
          <w:tcPr>
            <w:tcW w:w="1200" w:type="dxa"/>
            <w:vAlign w:val="bottom"/>
            <w:tcBorders>
              <w:bottom w:val="single" w:sz="8" w:color="0075C9"/>
            </w:tcBorders>
          </w:tcPr>
          <w:p>
            <w:pPr>
              <w:jc w:val="right"/>
              <w:ind w:right="75"/>
              <w:spacing w:after="0"/>
              <w:rPr>
                <w:sz w:val="20"/>
                <w:szCs w:val="20"/>
                <w:color w:val="auto"/>
              </w:rPr>
            </w:pPr>
            <w:r>
              <w:rPr>
                <w:rFonts w:ascii="Arial" w:cs="Arial" w:eastAsia="Arial" w:hAnsi="Arial"/>
                <w:sz w:val="13"/>
                <w:szCs w:val="13"/>
                <w:color w:val="auto"/>
              </w:rPr>
              <w:t>2,664</w:t>
            </w:r>
          </w:p>
        </w:tc>
        <w:tc>
          <w:tcPr>
            <w:tcW w:w="940" w:type="dxa"/>
            <w:vAlign w:val="bottom"/>
            <w:tcBorders>
              <w:bottom w:val="single" w:sz="8" w:color="0075C9"/>
            </w:tcBorders>
          </w:tcPr>
          <w:p>
            <w:pPr>
              <w:jc w:val="right"/>
              <w:ind w:right="95"/>
              <w:spacing w:after="0"/>
              <w:rPr>
                <w:sz w:val="20"/>
                <w:szCs w:val="20"/>
                <w:color w:val="auto"/>
              </w:rPr>
            </w:pPr>
            <w:r>
              <w:rPr>
                <w:rFonts w:ascii="Arial" w:cs="Arial" w:eastAsia="Arial" w:hAnsi="Arial"/>
                <w:sz w:val="13"/>
                <w:szCs w:val="13"/>
                <w:color w:val="auto"/>
              </w:rPr>
              <w:t>50,000</w:t>
            </w:r>
          </w:p>
        </w:tc>
        <w:tc>
          <w:tcPr>
            <w:tcW w:w="700" w:type="dxa"/>
            <w:vAlign w:val="bottom"/>
            <w:tcBorders>
              <w:bottom w:val="single" w:sz="8" w:color="0075C9"/>
            </w:tcBorders>
          </w:tcPr>
          <w:p>
            <w:pPr>
              <w:jc w:val="right"/>
              <w:ind w:right="55"/>
              <w:spacing w:after="0"/>
              <w:rPr>
                <w:sz w:val="20"/>
                <w:szCs w:val="20"/>
                <w:color w:val="auto"/>
              </w:rPr>
            </w:pPr>
            <w:r>
              <w:rPr>
                <w:rFonts w:ascii="Arial" w:cs="Arial" w:eastAsia="Arial" w:hAnsi="Arial"/>
                <w:sz w:val="13"/>
                <w:szCs w:val="13"/>
                <w:color w:val="auto"/>
              </w:rPr>
              <w:t>0</w:t>
            </w:r>
          </w:p>
        </w:tc>
        <w:tc>
          <w:tcPr>
            <w:tcW w:w="720" w:type="dxa"/>
            <w:vAlign w:val="bottom"/>
            <w:tcBorders>
              <w:bottom w:val="single" w:sz="8" w:color="0075C9"/>
            </w:tcBorders>
          </w:tcPr>
          <w:p>
            <w:pPr>
              <w:jc w:val="right"/>
              <w:ind w:right="75"/>
              <w:spacing w:after="0"/>
              <w:rPr>
                <w:sz w:val="20"/>
                <w:szCs w:val="20"/>
                <w:color w:val="auto"/>
              </w:rPr>
            </w:pPr>
            <w:r>
              <w:rPr>
                <w:rFonts w:ascii="Arial" w:cs="Arial" w:eastAsia="Arial" w:hAnsi="Arial"/>
                <w:sz w:val="13"/>
                <w:szCs w:val="13"/>
                <w:color w:val="auto"/>
              </w:rPr>
              <w:t>62,414</w:t>
            </w:r>
          </w:p>
        </w:tc>
      </w:tr>
      <w:tr>
        <w:trPr>
          <w:trHeight w:val="213"/>
        </w:trPr>
        <w:tc>
          <w:tcPr>
            <w:tcW w:w="2640" w:type="dxa"/>
            <w:vAlign w:val="bottom"/>
            <w:tcBorders>
              <w:bottom w:val="single" w:sz="8" w:color="0075C9"/>
            </w:tcBorders>
          </w:tcPr>
          <w:p>
            <w:pPr>
              <w:ind w:left="80"/>
              <w:spacing w:after="0"/>
              <w:rPr>
                <w:sz w:val="20"/>
                <w:szCs w:val="20"/>
                <w:color w:val="auto"/>
              </w:rPr>
            </w:pPr>
            <w:r>
              <w:rPr>
                <w:rFonts w:ascii="Arial" w:cs="Arial" w:eastAsia="Arial" w:hAnsi="Arial"/>
                <w:sz w:val="13"/>
                <w:szCs w:val="13"/>
                <w:b w:val="1"/>
                <w:bCs w:val="1"/>
                <w:color w:val="0075C9"/>
              </w:rPr>
              <w:t>Jean-Philippe Courtois</w:t>
            </w:r>
          </w:p>
        </w:tc>
        <w:tc>
          <w:tcPr>
            <w:tcW w:w="2300" w:type="dxa"/>
            <w:vAlign w:val="bottom"/>
            <w:tcBorders>
              <w:bottom w:val="single" w:sz="8" w:color="0075C9"/>
            </w:tcBorders>
          </w:tcPr>
          <w:p>
            <w:pPr>
              <w:jc w:val="right"/>
              <w:ind w:right="95"/>
              <w:spacing w:after="0"/>
              <w:rPr>
                <w:sz w:val="20"/>
                <w:szCs w:val="20"/>
                <w:color w:val="auto"/>
              </w:rPr>
            </w:pPr>
            <w:r>
              <w:rPr>
                <w:rFonts w:ascii="Arial" w:cs="Arial" w:eastAsia="Arial" w:hAnsi="Arial"/>
                <w:sz w:val="13"/>
                <w:szCs w:val="13"/>
                <w:color w:val="auto"/>
              </w:rPr>
              <w:t>8,435</w:t>
            </w:r>
          </w:p>
        </w:tc>
        <w:tc>
          <w:tcPr>
            <w:tcW w:w="1200" w:type="dxa"/>
            <w:vAlign w:val="bottom"/>
            <w:tcBorders>
              <w:bottom w:val="single" w:sz="8" w:color="0075C9"/>
            </w:tcBorders>
          </w:tcPr>
          <w:p>
            <w:pPr>
              <w:jc w:val="right"/>
              <w:ind w:right="75"/>
              <w:spacing w:after="0"/>
              <w:rPr>
                <w:sz w:val="20"/>
                <w:szCs w:val="20"/>
                <w:color w:val="auto"/>
              </w:rPr>
            </w:pPr>
            <w:r>
              <w:rPr>
                <w:rFonts w:ascii="Arial" w:cs="Arial" w:eastAsia="Arial" w:hAnsi="Arial"/>
                <w:sz w:val="13"/>
                <w:szCs w:val="13"/>
                <w:color w:val="auto"/>
              </w:rPr>
              <w:t>0</w:t>
            </w:r>
          </w:p>
        </w:tc>
        <w:tc>
          <w:tcPr>
            <w:tcW w:w="940" w:type="dxa"/>
            <w:vAlign w:val="bottom"/>
            <w:tcBorders>
              <w:bottom w:val="single" w:sz="8" w:color="0075C9"/>
            </w:tcBorders>
          </w:tcPr>
          <w:p>
            <w:pPr>
              <w:jc w:val="right"/>
              <w:ind w:right="95"/>
              <w:spacing w:after="0"/>
              <w:rPr>
                <w:sz w:val="20"/>
                <w:szCs w:val="20"/>
                <w:color w:val="auto"/>
              </w:rPr>
            </w:pPr>
            <w:r>
              <w:rPr>
                <w:rFonts w:ascii="Arial" w:cs="Arial" w:eastAsia="Arial" w:hAnsi="Arial"/>
                <w:sz w:val="13"/>
                <w:szCs w:val="13"/>
                <w:color w:val="auto"/>
              </w:rPr>
              <w:t>0</w:t>
            </w:r>
          </w:p>
        </w:tc>
        <w:tc>
          <w:tcPr>
            <w:tcW w:w="700" w:type="dxa"/>
            <w:vAlign w:val="bottom"/>
            <w:tcBorders>
              <w:bottom w:val="single" w:sz="8" w:color="0075C9"/>
            </w:tcBorders>
          </w:tcPr>
          <w:p>
            <w:pPr>
              <w:jc w:val="right"/>
              <w:ind w:right="55"/>
              <w:spacing w:after="0"/>
              <w:rPr>
                <w:sz w:val="20"/>
                <w:szCs w:val="20"/>
                <w:color w:val="auto"/>
              </w:rPr>
            </w:pPr>
            <w:r>
              <w:rPr>
                <w:rFonts w:ascii="Arial" w:cs="Arial" w:eastAsia="Arial" w:hAnsi="Arial"/>
                <w:sz w:val="13"/>
                <w:szCs w:val="13"/>
                <w:color w:val="auto"/>
              </w:rPr>
              <w:t>57,513</w:t>
            </w:r>
          </w:p>
        </w:tc>
        <w:tc>
          <w:tcPr>
            <w:tcW w:w="720" w:type="dxa"/>
            <w:vAlign w:val="bottom"/>
            <w:tcBorders>
              <w:bottom w:val="single" w:sz="8" w:color="0075C9"/>
            </w:tcBorders>
          </w:tcPr>
          <w:p>
            <w:pPr>
              <w:jc w:val="right"/>
              <w:ind w:right="75"/>
              <w:spacing w:after="0"/>
              <w:rPr>
                <w:sz w:val="20"/>
                <w:szCs w:val="20"/>
                <w:color w:val="auto"/>
              </w:rPr>
            </w:pPr>
            <w:r>
              <w:rPr>
                <w:rFonts w:ascii="Arial" w:cs="Arial" w:eastAsia="Arial" w:hAnsi="Arial"/>
                <w:sz w:val="13"/>
                <w:szCs w:val="13"/>
                <w:color w:val="auto"/>
              </w:rPr>
              <w:t>65,948</w:t>
            </w:r>
          </w:p>
        </w:tc>
      </w:tr>
      <w:tr>
        <w:trPr>
          <w:trHeight w:val="213"/>
        </w:trPr>
        <w:tc>
          <w:tcPr>
            <w:tcW w:w="2640" w:type="dxa"/>
            <w:vAlign w:val="bottom"/>
            <w:tcBorders>
              <w:bottom w:val="single" w:sz="8" w:color="0075C9"/>
            </w:tcBorders>
          </w:tcPr>
          <w:p>
            <w:pPr>
              <w:ind w:left="80"/>
              <w:spacing w:after="0"/>
              <w:rPr>
                <w:sz w:val="20"/>
                <w:szCs w:val="20"/>
                <w:color w:val="auto"/>
              </w:rPr>
            </w:pPr>
            <w:r>
              <w:rPr>
                <w:rFonts w:ascii="Arial" w:cs="Arial" w:eastAsia="Arial" w:hAnsi="Arial"/>
                <w:sz w:val="13"/>
                <w:szCs w:val="13"/>
                <w:b w:val="1"/>
                <w:bCs w:val="1"/>
                <w:color w:val="0075C9"/>
              </w:rPr>
              <w:t>Bradford L. Smith</w:t>
            </w:r>
          </w:p>
        </w:tc>
        <w:tc>
          <w:tcPr>
            <w:tcW w:w="2300" w:type="dxa"/>
            <w:vAlign w:val="bottom"/>
            <w:tcBorders>
              <w:bottom w:val="single" w:sz="8" w:color="0075C9"/>
            </w:tcBorders>
          </w:tcPr>
          <w:p>
            <w:pPr>
              <w:jc w:val="right"/>
              <w:ind w:right="95"/>
              <w:spacing w:after="0"/>
              <w:rPr>
                <w:sz w:val="20"/>
                <w:szCs w:val="20"/>
                <w:color w:val="auto"/>
              </w:rPr>
            </w:pPr>
            <w:r>
              <w:rPr>
                <w:rFonts w:ascii="Arial" w:cs="Arial" w:eastAsia="Arial" w:hAnsi="Arial"/>
                <w:sz w:val="13"/>
                <w:szCs w:val="13"/>
                <w:color w:val="auto"/>
              </w:rPr>
              <w:t>9,750</w:t>
            </w:r>
          </w:p>
        </w:tc>
        <w:tc>
          <w:tcPr>
            <w:tcW w:w="1200" w:type="dxa"/>
            <w:vAlign w:val="bottom"/>
            <w:tcBorders>
              <w:bottom w:val="single" w:sz="8" w:color="0075C9"/>
            </w:tcBorders>
          </w:tcPr>
          <w:p>
            <w:pPr>
              <w:jc w:val="right"/>
              <w:ind w:right="75"/>
              <w:spacing w:after="0"/>
              <w:rPr>
                <w:sz w:val="20"/>
                <w:szCs w:val="20"/>
                <w:color w:val="auto"/>
              </w:rPr>
            </w:pPr>
            <w:r>
              <w:rPr>
                <w:rFonts w:ascii="Arial" w:cs="Arial" w:eastAsia="Arial" w:hAnsi="Arial"/>
                <w:sz w:val="13"/>
                <w:szCs w:val="13"/>
                <w:color w:val="auto"/>
              </w:rPr>
              <w:t>0</w:t>
            </w:r>
          </w:p>
        </w:tc>
        <w:tc>
          <w:tcPr>
            <w:tcW w:w="940" w:type="dxa"/>
            <w:vAlign w:val="bottom"/>
            <w:tcBorders>
              <w:bottom w:val="single" w:sz="8" w:color="0075C9"/>
            </w:tcBorders>
          </w:tcPr>
          <w:p>
            <w:pPr>
              <w:jc w:val="right"/>
              <w:ind w:right="95"/>
              <w:spacing w:after="0"/>
              <w:rPr>
                <w:sz w:val="20"/>
                <w:szCs w:val="20"/>
                <w:color w:val="auto"/>
              </w:rPr>
            </w:pPr>
            <w:r>
              <w:rPr>
                <w:rFonts w:ascii="Arial" w:cs="Arial" w:eastAsia="Arial" w:hAnsi="Arial"/>
                <w:sz w:val="13"/>
                <w:szCs w:val="13"/>
                <w:color w:val="auto"/>
              </w:rPr>
              <w:t>100,000</w:t>
            </w:r>
          </w:p>
        </w:tc>
        <w:tc>
          <w:tcPr>
            <w:tcW w:w="700" w:type="dxa"/>
            <w:vAlign w:val="bottom"/>
            <w:tcBorders>
              <w:bottom w:val="single" w:sz="8" w:color="0075C9"/>
            </w:tcBorders>
          </w:tcPr>
          <w:p>
            <w:pPr>
              <w:jc w:val="right"/>
              <w:ind w:right="55"/>
              <w:spacing w:after="0"/>
              <w:rPr>
                <w:sz w:val="20"/>
                <w:szCs w:val="20"/>
                <w:color w:val="auto"/>
              </w:rPr>
            </w:pPr>
            <w:r>
              <w:rPr>
                <w:rFonts w:ascii="Arial" w:cs="Arial" w:eastAsia="Arial" w:hAnsi="Arial"/>
                <w:sz w:val="13"/>
                <w:szCs w:val="13"/>
                <w:color w:val="auto"/>
              </w:rPr>
              <w:t>0</w:t>
            </w:r>
          </w:p>
        </w:tc>
        <w:tc>
          <w:tcPr>
            <w:tcW w:w="720" w:type="dxa"/>
            <w:vAlign w:val="bottom"/>
            <w:tcBorders>
              <w:bottom w:val="single" w:sz="8" w:color="0075C9"/>
            </w:tcBorders>
          </w:tcPr>
          <w:p>
            <w:pPr>
              <w:jc w:val="right"/>
              <w:ind w:right="75"/>
              <w:spacing w:after="0"/>
              <w:rPr>
                <w:sz w:val="20"/>
                <w:szCs w:val="20"/>
                <w:color w:val="auto"/>
              </w:rPr>
            </w:pPr>
            <w:r>
              <w:rPr>
                <w:rFonts w:ascii="Arial" w:cs="Arial" w:eastAsia="Arial" w:hAnsi="Arial"/>
                <w:sz w:val="13"/>
                <w:szCs w:val="13"/>
                <w:color w:val="auto"/>
              </w:rPr>
              <w:t>109,750</w:t>
            </w:r>
          </w:p>
        </w:tc>
      </w:tr>
      <w:tr>
        <w:trPr>
          <w:trHeight w:val="213"/>
        </w:trPr>
        <w:tc>
          <w:tcPr>
            <w:tcW w:w="2640" w:type="dxa"/>
            <w:vAlign w:val="bottom"/>
            <w:tcBorders>
              <w:bottom w:val="single" w:sz="8" w:color="0075C9"/>
            </w:tcBorders>
          </w:tcPr>
          <w:p>
            <w:pPr>
              <w:ind w:left="80"/>
              <w:spacing w:after="0"/>
              <w:rPr>
                <w:sz w:val="20"/>
                <w:szCs w:val="20"/>
                <w:color w:val="auto"/>
              </w:rPr>
            </w:pPr>
            <w:r>
              <w:rPr>
                <w:rFonts w:ascii="Arial" w:cs="Arial" w:eastAsia="Arial" w:hAnsi="Arial"/>
                <w:sz w:val="13"/>
                <w:szCs w:val="13"/>
                <w:b w:val="1"/>
                <w:bCs w:val="1"/>
                <w:color w:val="0075C9"/>
              </w:rPr>
              <w:t>Christopher D. Young</w:t>
            </w:r>
          </w:p>
        </w:tc>
        <w:tc>
          <w:tcPr>
            <w:tcW w:w="2300" w:type="dxa"/>
            <w:vAlign w:val="bottom"/>
            <w:tcBorders>
              <w:bottom w:val="single" w:sz="8" w:color="0075C9"/>
            </w:tcBorders>
          </w:tcPr>
          <w:p>
            <w:pPr>
              <w:jc w:val="right"/>
              <w:ind w:right="95"/>
              <w:spacing w:after="0"/>
              <w:rPr>
                <w:sz w:val="20"/>
                <w:szCs w:val="20"/>
                <w:color w:val="auto"/>
              </w:rPr>
            </w:pPr>
            <w:r>
              <w:rPr>
                <w:rFonts w:ascii="Arial" w:cs="Arial" w:eastAsia="Arial" w:hAnsi="Arial"/>
                <w:sz w:val="13"/>
                <w:szCs w:val="13"/>
                <w:color w:val="auto"/>
              </w:rPr>
              <w:t>4,958</w:t>
            </w:r>
          </w:p>
        </w:tc>
        <w:tc>
          <w:tcPr>
            <w:tcW w:w="1200" w:type="dxa"/>
            <w:vAlign w:val="bottom"/>
            <w:tcBorders>
              <w:bottom w:val="single" w:sz="8" w:color="0075C9"/>
            </w:tcBorders>
          </w:tcPr>
          <w:p>
            <w:pPr>
              <w:jc w:val="right"/>
              <w:ind w:right="75"/>
              <w:spacing w:after="0"/>
              <w:rPr>
                <w:sz w:val="20"/>
                <w:szCs w:val="20"/>
                <w:color w:val="auto"/>
              </w:rPr>
            </w:pPr>
            <w:r>
              <w:rPr>
                <w:rFonts w:ascii="Arial" w:cs="Arial" w:eastAsia="Arial" w:hAnsi="Arial"/>
                <w:sz w:val="13"/>
                <w:szCs w:val="13"/>
                <w:color w:val="auto"/>
              </w:rPr>
              <w:t>0</w:t>
            </w:r>
          </w:p>
        </w:tc>
        <w:tc>
          <w:tcPr>
            <w:tcW w:w="940" w:type="dxa"/>
            <w:vAlign w:val="bottom"/>
            <w:tcBorders>
              <w:bottom w:val="single" w:sz="8" w:color="0075C9"/>
            </w:tcBorders>
          </w:tcPr>
          <w:p>
            <w:pPr>
              <w:jc w:val="right"/>
              <w:ind w:right="95"/>
              <w:spacing w:after="0"/>
              <w:rPr>
                <w:sz w:val="20"/>
                <w:szCs w:val="20"/>
                <w:color w:val="auto"/>
              </w:rPr>
            </w:pPr>
            <w:r>
              <w:rPr>
                <w:rFonts w:ascii="Arial" w:cs="Arial" w:eastAsia="Arial" w:hAnsi="Arial"/>
                <w:sz w:val="13"/>
                <w:szCs w:val="13"/>
                <w:color w:val="auto"/>
              </w:rPr>
              <w:t>65,428</w:t>
            </w:r>
          </w:p>
        </w:tc>
        <w:tc>
          <w:tcPr>
            <w:tcW w:w="700" w:type="dxa"/>
            <w:vAlign w:val="bottom"/>
            <w:tcBorders>
              <w:bottom w:val="single" w:sz="8" w:color="0075C9"/>
            </w:tcBorders>
          </w:tcPr>
          <w:p>
            <w:pPr>
              <w:jc w:val="right"/>
              <w:ind w:right="55"/>
              <w:spacing w:after="0"/>
              <w:rPr>
                <w:sz w:val="20"/>
                <w:szCs w:val="20"/>
                <w:color w:val="auto"/>
              </w:rPr>
            </w:pPr>
            <w:r>
              <w:rPr>
                <w:rFonts w:ascii="Arial" w:cs="Arial" w:eastAsia="Arial" w:hAnsi="Arial"/>
                <w:sz w:val="13"/>
                <w:szCs w:val="13"/>
                <w:color w:val="auto"/>
              </w:rPr>
              <w:t>0</w:t>
            </w:r>
          </w:p>
        </w:tc>
        <w:tc>
          <w:tcPr>
            <w:tcW w:w="720" w:type="dxa"/>
            <w:vAlign w:val="bottom"/>
            <w:tcBorders>
              <w:bottom w:val="single" w:sz="8" w:color="0075C9"/>
            </w:tcBorders>
          </w:tcPr>
          <w:p>
            <w:pPr>
              <w:jc w:val="right"/>
              <w:ind w:right="75"/>
              <w:spacing w:after="0"/>
              <w:rPr>
                <w:sz w:val="20"/>
                <w:szCs w:val="20"/>
                <w:color w:val="auto"/>
              </w:rPr>
            </w:pPr>
            <w:r>
              <w:rPr>
                <w:rFonts w:ascii="Arial" w:cs="Arial" w:eastAsia="Arial" w:hAnsi="Arial"/>
                <w:sz w:val="13"/>
                <w:szCs w:val="13"/>
                <w:color w:val="auto"/>
              </w:rPr>
              <w:t>70,386</w:t>
            </w:r>
          </w:p>
        </w:tc>
      </w:tr>
    </w:tbl>
    <w:p>
      <w:pPr>
        <w:spacing w:after="0" w:line="72" w:lineRule="exact"/>
        <w:rPr>
          <w:sz w:val="20"/>
          <w:szCs w:val="20"/>
          <w:color w:val="auto"/>
        </w:rPr>
      </w:pPr>
    </w:p>
    <w:p>
      <w:pPr>
        <w:ind w:left="1620" w:right="260" w:hanging="259"/>
        <w:spacing w:after="0" w:line="239" w:lineRule="auto"/>
        <w:tabs>
          <w:tab w:leader="none" w:pos="1620" w:val="left"/>
        </w:tabs>
        <w:numPr>
          <w:ilvl w:val="1"/>
          <w:numId w:val="83"/>
        </w:numPr>
        <w:rPr>
          <w:rFonts w:ascii="Arial" w:cs="Arial" w:eastAsia="Arial" w:hAnsi="Arial"/>
          <w:sz w:val="12"/>
          <w:szCs w:val="12"/>
          <w:color w:val="auto"/>
        </w:rPr>
      </w:pPr>
      <w:r>
        <w:rPr>
          <w:rFonts w:ascii="Arial" w:cs="Arial" w:eastAsia="Arial" w:hAnsi="Arial"/>
          <w:sz w:val="12"/>
          <w:szCs w:val="12"/>
          <w:color w:val="auto"/>
        </w:rPr>
        <w:t>Includes 401(k) plan matching contributions and, for Mr. Courtois, the employer contribution to a mandatory supplemental defined contribution plan for eligible French employees.</w:t>
      </w:r>
    </w:p>
    <w:p>
      <w:pPr>
        <w:spacing w:after="0" w:line="61" w:lineRule="exact"/>
        <w:rPr>
          <w:rFonts w:ascii="Arial" w:cs="Arial" w:eastAsia="Arial" w:hAnsi="Arial"/>
          <w:sz w:val="12"/>
          <w:szCs w:val="12"/>
          <w:color w:val="auto"/>
        </w:rPr>
      </w:pPr>
    </w:p>
    <w:p>
      <w:pPr>
        <w:ind w:left="1620" w:right="280" w:hanging="259"/>
        <w:spacing w:after="0" w:line="239" w:lineRule="auto"/>
        <w:tabs>
          <w:tab w:leader="none" w:pos="1620" w:val="left"/>
        </w:tabs>
        <w:numPr>
          <w:ilvl w:val="1"/>
          <w:numId w:val="83"/>
        </w:numPr>
        <w:rPr>
          <w:rFonts w:ascii="Arial" w:cs="Arial" w:eastAsia="Arial" w:hAnsi="Arial"/>
          <w:sz w:val="12"/>
          <w:szCs w:val="12"/>
          <w:color w:val="auto"/>
        </w:rPr>
      </w:pPr>
      <w:r>
        <w:rPr>
          <w:rFonts w:ascii="Arial" w:cs="Arial" w:eastAsia="Arial" w:hAnsi="Arial"/>
          <w:sz w:val="12"/>
          <w:szCs w:val="12"/>
          <w:color w:val="auto"/>
        </w:rPr>
        <w:t>Includes payments in lieu of athletic club membership and credits for waived life insurance coverage under programs that are available to substantially all our U.S.-based employees.</w:t>
      </w:r>
    </w:p>
    <w:p>
      <w:pPr>
        <w:spacing w:after="0" w:line="61" w:lineRule="exact"/>
        <w:rPr>
          <w:rFonts w:ascii="Arial" w:cs="Arial" w:eastAsia="Arial" w:hAnsi="Arial"/>
          <w:sz w:val="12"/>
          <w:szCs w:val="12"/>
          <w:color w:val="auto"/>
        </w:rPr>
      </w:pPr>
    </w:p>
    <w:p>
      <w:pPr>
        <w:ind w:left="1620" w:hanging="259"/>
        <w:spacing w:after="0"/>
        <w:tabs>
          <w:tab w:leader="none" w:pos="1620" w:val="left"/>
        </w:tabs>
        <w:numPr>
          <w:ilvl w:val="1"/>
          <w:numId w:val="83"/>
        </w:numPr>
        <w:rPr>
          <w:rFonts w:ascii="Arial" w:cs="Arial" w:eastAsia="Arial" w:hAnsi="Arial"/>
          <w:sz w:val="12"/>
          <w:szCs w:val="12"/>
          <w:color w:val="auto"/>
        </w:rPr>
      </w:pPr>
      <w:r>
        <w:rPr>
          <w:rFonts w:ascii="Arial" w:cs="Arial" w:eastAsia="Arial" w:hAnsi="Arial"/>
          <w:sz w:val="12"/>
          <w:szCs w:val="12"/>
          <w:color w:val="auto"/>
        </w:rPr>
        <w:t>Includes matching charitable contributions under our corporate giving program.</w:t>
      </w:r>
    </w:p>
    <w:p>
      <w:pPr>
        <w:spacing w:after="0" w:line="69" w:lineRule="exact"/>
        <w:rPr>
          <w:rFonts w:ascii="Arial" w:cs="Arial" w:eastAsia="Arial" w:hAnsi="Arial"/>
          <w:sz w:val="12"/>
          <w:szCs w:val="12"/>
          <w:color w:val="auto"/>
        </w:rPr>
      </w:pPr>
    </w:p>
    <w:p>
      <w:pPr>
        <w:ind w:left="1620" w:right="620" w:hanging="259"/>
        <w:spacing w:after="0" w:line="239" w:lineRule="auto"/>
        <w:tabs>
          <w:tab w:leader="none" w:pos="1620" w:val="left"/>
        </w:tabs>
        <w:numPr>
          <w:ilvl w:val="1"/>
          <w:numId w:val="83"/>
        </w:numPr>
        <w:rPr>
          <w:rFonts w:ascii="Arial" w:cs="Arial" w:eastAsia="Arial" w:hAnsi="Arial"/>
          <w:sz w:val="12"/>
          <w:szCs w:val="12"/>
          <w:color w:val="auto"/>
        </w:rPr>
      </w:pPr>
      <w:r>
        <w:rPr>
          <w:rFonts w:ascii="Arial" w:cs="Arial" w:eastAsia="Arial" w:hAnsi="Arial"/>
          <w:sz w:val="12"/>
          <w:szCs w:val="12"/>
          <w:color w:val="auto"/>
        </w:rPr>
        <w:t>Includes for Mr. Courtois profit sharing mandated by French law of $34,946, car allowance that includes business and personal use of $20,369, a $298 allowance that was granted to all work-from-home employees in France during the COVID-19 pandemic, and a tax assistance allowance of $1,900.</w:t>
      </w:r>
    </w:p>
    <w:p>
      <w:pPr>
        <w:spacing w:after="0" w:line="61" w:lineRule="exact"/>
        <w:rPr>
          <w:rFonts w:ascii="Arial" w:cs="Arial" w:eastAsia="Arial" w:hAnsi="Arial"/>
          <w:sz w:val="12"/>
          <w:szCs w:val="12"/>
          <w:color w:val="auto"/>
        </w:rPr>
      </w:pPr>
    </w:p>
    <w:p>
      <w:pPr>
        <w:ind w:left="1360" w:right="240" w:hanging="258"/>
        <w:spacing w:after="0" w:line="239" w:lineRule="auto"/>
        <w:tabs>
          <w:tab w:leader="none" w:pos="1360" w:val="left"/>
        </w:tabs>
        <w:numPr>
          <w:ilvl w:val="0"/>
          <w:numId w:val="84"/>
        </w:numPr>
        <w:rPr>
          <w:rFonts w:ascii="Arial" w:cs="Arial" w:eastAsia="Arial" w:hAnsi="Arial"/>
          <w:sz w:val="12"/>
          <w:szCs w:val="12"/>
          <w:color w:val="auto"/>
        </w:rPr>
      </w:pPr>
      <w:r>
        <w:rPr>
          <w:rFonts w:ascii="Arial" w:cs="Arial" w:eastAsia="Arial" w:hAnsi="Arial"/>
          <w:sz w:val="12"/>
          <w:szCs w:val="12"/>
          <w:color w:val="auto"/>
        </w:rPr>
        <w:t>Amounts paid in Euros have been converted to U.S. dollars using the average daily exchange rates during the fiscal year, as follows: from July 1, 2018 to June 30, 2019 of €1 to $1.14, from July 1, 2019 to June 30, 2020 of €1 to $1.11, and from July 1, 2020 to June 30, 2021 of €1 to $1.19.</w:t>
      </w:r>
    </w:p>
    <w:p>
      <w:pPr>
        <w:spacing w:after="0" w:line="61" w:lineRule="exact"/>
        <w:rPr>
          <w:rFonts w:ascii="Arial" w:cs="Arial" w:eastAsia="Arial" w:hAnsi="Arial"/>
          <w:sz w:val="12"/>
          <w:szCs w:val="12"/>
          <w:color w:val="auto"/>
        </w:rPr>
      </w:pPr>
    </w:p>
    <w:p>
      <w:pPr>
        <w:ind w:left="1360" w:hanging="258"/>
        <w:spacing w:after="0"/>
        <w:tabs>
          <w:tab w:leader="none" w:pos="1360" w:val="left"/>
        </w:tabs>
        <w:numPr>
          <w:ilvl w:val="0"/>
          <w:numId w:val="84"/>
        </w:numPr>
        <w:rPr>
          <w:rFonts w:ascii="Arial" w:cs="Arial" w:eastAsia="Arial" w:hAnsi="Arial"/>
          <w:sz w:val="12"/>
          <w:szCs w:val="12"/>
          <w:color w:val="auto"/>
        </w:rPr>
      </w:pPr>
      <w:r>
        <w:rPr>
          <w:rFonts w:ascii="Arial" w:cs="Arial" w:eastAsia="Arial" w:hAnsi="Arial"/>
          <w:sz w:val="12"/>
          <w:szCs w:val="12"/>
          <w:color w:val="auto"/>
        </w:rPr>
        <w:t>Effective September 14, 2021, Mr. Smith’s title became President and Vice Chair.</w:t>
      </w:r>
    </w:p>
    <w:p>
      <w:pPr>
        <w:spacing w:after="0" w:line="108" w:lineRule="exact"/>
        <w:rPr>
          <w:rFonts w:ascii="Arial" w:cs="Arial" w:eastAsia="Arial" w:hAnsi="Arial"/>
          <w:sz w:val="12"/>
          <w:szCs w:val="12"/>
          <w:color w:val="auto"/>
        </w:rPr>
      </w:pPr>
    </w:p>
    <w:p>
      <w:pPr>
        <w:ind w:left="1360" w:right="580" w:hanging="258"/>
        <w:spacing w:after="0" w:line="239" w:lineRule="auto"/>
        <w:tabs>
          <w:tab w:leader="none" w:pos="1360" w:val="left"/>
        </w:tabs>
        <w:numPr>
          <w:ilvl w:val="0"/>
          <w:numId w:val="84"/>
        </w:numPr>
        <w:rPr>
          <w:rFonts w:ascii="Arial" w:cs="Arial" w:eastAsia="Arial" w:hAnsi="Arial"/>
          <w:sz w:val="12"/>
          <w:szCs w:val="12"/>
          <w:color w:val="auto"/>
        </w:rPr>
      </w:pPr>
      <w:r>
        <w:rPr>
          <w:rFonts w:ascii="Arial" w:cs="Arial" w:eastAsia="Arial" w:hAnsi="Arial"/>
          <w:sz w:val="12"/>
          <w:szCs w:val="12"/>
          <w:color w:val="auto"/>
        </w:rPr>
        <w:t>Mr. Young’s stock awards for fiscal year 2021 include an on-hire stock award with a value of $17,536,215 made in connection with the commencement of his employment.</w:t>
      </w:r>
    </w:p>
    <w:p>
      <w:pPr>
        <w:sectPr>
          <w:pgSz w:w="11900" w:h="16838" w:orient="portrait"/>
          <w:cols w:equalWidth="0" w:num="1">
            <w:col w:w="10280"/>
          </w:cols>
          <w:pgMar w:left="320" w:top="445" w:right="129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ind w:left="8240"/>
        <w:spacing w:after="0"/>
        <w:tabs>
          <w:tab w:leader="none" w:pos="10120" w:val="left"/>
        </w:tabs>
        <w:rPr>
          <w:sz w:val="20"/>
          <w:szCs w:val="20"/>
          <w:color w:val="auto"/>
        </w:rPr>
      </w:pPr>
      <w:r>
        <w:rPr>
          <w:rFonts w:ascii="Arial" w:cs="Arial" w:eastAsia="Arial" w:hAnsi="Arial"/>
          <w:sz w:val="14"/>
          <w:szCs w:val="14"/>
          <w:color w:val="auto"/>
        </w:rPr>
        <w:t>2021 PROXY STATEMENT</w:t>
      </w:r>
      <w:r>
        <w:rPr>
          <w:sz w:val="20"/>
          <w:szCs w:val="20"/>
          <w:color w:val="auto"/>
        </w:rPr>
        <w:tab/>
      </w:r>
      <w:r>
        <w:rPr>
          <w:rFonts w:ascii="Arial" w:cs="Arial" w:eastAsia="Arial" w:hAnsi="Arial"/>
          <w:sz w:val="12"/>
          <w:szCs w:val="12"/>
          <w:b w:val="1"/>
          <w:bCs w:val="1"/>
          <w:color w:val="0075C9"/>
        </w:rPr>
        <w:t>55</w:t>
      </w:r>
    </w:p>
    <w:p>
      <w:pPr>
        <w:sectPr>
          <w:pgSz w:w="11900" w:h="16838" w:orient="portrait"/>
          <w:cols w:equalWidth="0" w:num="1">
            <w:col w:w="10280"/>
          </w:cols>
          <w:pgMar w:left="320" w:top="445" w:right="1299" w:bottom="1440" w:gutter="0" w:footer="0" w:header="0"/>
          <w:type w:val="continuous"/>
        </w:sectPr>
      </w:pPr>
    </w:p>
    <w:bookmarkStart w:id="63" w:name="page64"/>
    <w:bookmarkEnd w:id="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auto"/>
                <w:w w:val="89"/>
              </w:rPr>
              <w:t>1</w:t>
            </w:r>
          </w:p>
        </w:tc>
        <w:tc>
          <w:tcPr>
            <w:tcW w:w="1380" w:type="dxa"/>
            <w:vAlign w:val="bottom"/>
            <w:vMerge w:val="restart"/>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gridSpan w:val="2"/>
          </w:tcPr>
          <w:p>
            <w:pPr>
              <w:jc w:val="right"/>
              <w:ind w:right="80"/>
              <w:spacing w:after="0"/>
              <w:rPr>
                <w:sz w:val="20"/>
                <w:szCs w:val="20"/>
                <w:color w:val="auto"/>
              </w:rPr>
            </w:pPr>
            <w:r>
              <w:rPr>
                <w:rFonts w:ascii="Arial" w:cs="Arial" w:eastAsia="Arial" w:hAnsi="Arial"/>
                <w:sz w:val="36"/>
                <w:szCs w:val="36"/>
                <w:color w:val="0075C9"/>
              </w:rPr>
              <w:t>2</w:t>
            </w:r>
          </w:p>
        </w:tc>
        <w:tc>
          <w:tcPr>
            <w:tcW w:w="1320" w:type="dxa"/>
            <w:vAlign w:val="bottom"/>
            <w:vMerge w:val="restart"/>
          </w:tcPr>
          <w:p>
            <w:pPr>
              <w:ind w:left="60"/>
              <w:spacing w:after="0"/>
              <w:rPr>
                <w:sz w:val="20"/>
                <w:szCs w:val="20"/>
                <w:color w:val="auto"/>
              </w:rPr>
            </w:pPr>
            <w:r>
              <w:rPr>
                <w:rFonts w:ascii="Arial" w:cs="Arial" w:eastAsia="Arial" w:hAnsi="Arial"/>
                <w:sz w:val="12"/>
                <w:szCs w:val="12"/>
                <w:color w:val="0075C9"/>
              </w:rPr>
              <w:t>NAMED</w:t>
            </w:r>
          </w:p>
        </w:tc>
        <w:tc>
          <w:tcPr>
            <w:tcW w:w="740" w:type="dxa"/>
            <w:vAlign w:val="bottom"/>
          </w:tcPr>
          <w:p>
            <w:pPr>
              <w:jc w:val="right"/>
              <w:spacing w:after="0"/>
              <w:rPr>
                <w:sz w:val="20"/>
                <w:szCs w:val="20"/>
                <w:color w:val="auto"/>
              </w:rPr>
            </w:pPr>
            <w:r>
              <w:rPr>
                <w:rFonts w:ascii="Arial" w:cs="Arial" w:eastAsia="Arial" w:hAnsi="Arial"/>
                <w:sz w:val="36"/>
                <w:szCs w:val="36"/>
                <w:color w:val="auto"/>
              </w:rPr>
              <w:t>3</w:t>
            </w:r>
          </w:p>
        </w:tc>
        <w:tc>
          <w:tcPr>
            <w:tcW w:w="1020" w:type="dxa"/>
            <w:vAlign w:val="bottom"/>
            <w:vMerge w:val="restart"/>
          </w:tcPr>
          <w:p>
            <w:pPr>
              <w:ind w:left="60"/>
              <w:spacing w:after="0"/>
              <w:rPr>
                <w:sz w:val="20"/>
                <w:szCs w:val="20"/>
                <w:color w:val="auto"/>
              </w:rPr>
            </w:pPr>
            <w:r>
              <w:rPr>
                <w:rFonts w:ascii="Arial" w:cs="Arial" w:eastAsia="Arial" w:hAnsi="Arial"/>
                <w:sz w:val="12"/>
                <w:szCs w:val="12"/>
                <w:color w:val="auto"/>
              </w:rPr>
              <w:t>AUDIT</w:t>
            </w:r>
          </w:p>
        </w:tc>
        <w:tc>
          <w:tcPr>
            <w:tcW w:w="500" w:type="dxa"/>
            <w:vAlign w:val="bottom"/>
          </w:tcPr>
          <w:p>
            <w:pPr>
              <w:jc w:val="right"/>
              <w:spacing w:after="0"/>
              <w:rPr>
                <w:sz w:val="20"/>
                <w:szCs w:val="20"/>
                <w:color w:val="auto"/>
              </w:rPr>
            </w:pPr>
            <w:r>
              <w:rPr>
                <w:rFonts w:ascii="Arial" w:cs="Arial" w:eastAsia="Arial" w:hAnsi="Arial"/>
                <w:sz w:val="36"/>
                <w:szCs w:val="36"/>
                <w:color w:val="auto"/>
              </w:rPr>
              <w:t>4</w:t>
            </w:r>
          </w:p>
        </w:tc>
        <w:tc>
          <w:tcPr>
            <w:tcW w:w="1580" w:type="dxa"/>
            <w:vAlign w:val="bottom"/>
            <w:vMerge w:val="restart"/>
          </w:tcPr>
          <w:p>
            <w:pPr>
              <w:ind w:left="80"/>
              <w:spacing w:after="0"/>
              <w:rPr>
                <w:sz w:val="20"/>
                <w:szCs w:val="20"/>
                <w:color w:val="auto"/>
              </w:rPr>
            </w:pPr>
            <w:r>
              <w:rPr>
                <w:rFonts w:ascii="Arial" w:cs="Arial" w:eastAsia="Arial" w:hAnsi="Arial"/>
                <w:sz w:val="12"/>
                <w:szCs w:val="12"/>
                <w:color w:val="auto"/>
              </w:rPr>
              <w:t>PROPOSALS TO</w:t>
            </w:r>
          </w:p>
        </w:tc>
        <w:tc>
          <w:tcPr>
            <w:tcW w:w="420" w:type="dxa"/>
            <w:vAlign w:val="bottom"/>
          </w:tcPr>
          <w:p>
            <w:pPr>
              <w:jc w:val="right"/>
              <w:spacing w:after="0"/>
              <w:rPr>
                <w:sz w:val="20"/>
                <w:szCs w:val="20"/>
                <w:color w:val="auto"/>
              </w:rPr>
            </w:pPr>
            <w:r>
              <w:rPr>
                <w:rFonts w:ascii="Arial" w:cs="Arial" w:eastAsia="Arial" w:hAnsi="Arial"/>
                <w:sz w:val="36"/>
                <w:szCs w:val="36"/>
                <w:color w:val="auto"/>
              </w:rPr>
              <w:t>5</w:t>
            </w:r>
          </w:p>
        </w:tc>
        <w:tc>
          <w:tcPr>
            <w:tcW w:w="920" w:type="dxa"/>
            <w:vAlign w:val="bottom"/>
            <w:vMerge w:val="restart"/>
          </w:tcPr>
          <w:p>
            <w:pPr>
              <w:ind w:left="8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38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tcPr>
          <w:p>
            <w:pPr>
              <w:ind w:left="60"/>
              <w:spacing w:after="0" w:line="130" w:lineRule="exact"/>
              <w:rPr>
                <w:sz w:val="20"/>
                <w:szCs w:val="20"/>
                <w:color w:val="auto"/>
              </w:rPr>
            </w:pPr>
            <w:r>
              <w:rPr>
                <w:rFonts w:ascii="Arial" w:cs="Arial" w:eastAsia="Arial" w:hAnsi="Arial"/>
                <w:sz w:val="12"/>
                <w:szCs w:val="12"/>
                <w:color w:val="0075C9"/>
                <w:w w:val="99"/>
              </w:rPr>
              <w:t>EXECUTIVE OFFICER</w:t>
            </w:r>
          </w:p>
        </w:tc>
        <w:tc>
          <w:tcPr>
            <w:tcW w:w="740" w:type="dxa"/>
            <w:vAlign w:val="bottom"/>
          </w:tcPr>
          <w:p>
            <w:pPr>
              <w:spacing w:after="0"/>
              <w:rPr>
                <w:sz w:val="11"/>
                <w:szCs w:val="11"/>
                <w:color w:val="auto"/>
              </w:rPr>
            </w:pPr>
          </w:p>
        </w:tc>
        <w:tc>
          <w:tcPr>
            <w:tcW w:w="1020" w:type="dxa"/>
            <w:vAlign w:val="bottom"/>
          </w:tcPr>
          <w:p>
            <w:pPr>
              <w:ind w:left="60"/>
              <w:spacing w:after="0" w:line="130" w:lineRule="exact"/>
              <w:rPr>
                <w:sz w:val="20"/>
                <w:szCs w:val="20"/>
                <w:color w:val="auto"/>
              </w:rPr>
            </w:pPr>
            <w:r>
              <w:rPr>
                <w:rFonts w:ascii="Arial" w:cs="Arial" w:eastAsia="Arial" w:hAnsi="Arial"/>
                <w:sz w:val="12"/>
                <w:szCs w:val="12"/>
                <w:color w:val="auto"/>
              </w:rPr>
              <w:t>COMMITTEE</w:t>
            </w:r>
          </w:p>
        </w:tc>
        <w:tc>
          <w:tcPr>
            <w:tcW w:w="500" w:type="dxa"/>
            <w:vAlign w:val="bottom"/>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20" w:type="dxa"/>
            <w:vAlign w:val="bottom"/>
          </w:tcPr>
          <w:p>
            <w:pPr>
              <w:spacing w:after="0"/>
              <w:rPr>
                <w:sz w:val="11"/>
                <w:szCs w:val="11"/>
                <w:color w:val="auto"/>
              </w:rPr>
            </w:pPr>
          </w:p>
        </w:tc>
        <w:tc>
          <w:tcPr>
            <w:tcW w:w="92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380" w:type="dxa"/>
            <w:vAlign w:val="bottom"/>
          </w:tcPr>
          <w:p>
            <w:pPr>
              <w:ind w:left="80"/>
              <w:spacing w:after="0"/>
              <w:rPr>
                <w:sz w:val="20"/>
                <w:szCs w:val="20"/>
                <w:color w:val="auto"/>
              </w:rPr>
            </w:pPr>
            <w:r>
              <w:rPr>
                <w:rFonts w:ascii="Arial" w:cs="Arial" w:eastAsia="Arial" w:hAnsi="Arial"/>
                <w:sz w:val="12"/>
                <w:szCs w:val="12"/>
                <w:color w:val="auto"/>
              </w:rPr>
              <w:t>DIRECTORS</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0075C9"/>
              </w:rPr>
              <w:t>COMPENSATION</w:t>
            </w:r>
          </w:p>
        </w:tc>
        <w:tc>
          <w:tcPr>
            <w:tcW w:w="740" w:type="dxa"/>
            <w:vAlign w:val="bottom"/>
          </w:tcPr>
          <w:p>
            <w:pPr>
              <w:spacing w:after="0"/>
              <w:rPr>
                <w:sz w:val="12"/>
                <w:szCs w:val="12"/>
                <w:color w:val="auto"/>
              </w:rPr>
            </w:pPr>
          </w:p>
        </w:tc>
        <w:tc>
          <w:tcPr>
            <w:tcW w:w="1020" w:type="dxa"/>
            <w:vAlign w:val="bottom"/>
          </w:tcPr>
          <w:p>
            <w:pPr>
              <w:ind w:left="60"/>
              <w:spacing w:after="0"/>
              <w:rPr>
                <w:sz w:val="20"/>
                <w:szCs w:val="20"/>
                <w:color w:val="auto"/>
              </w:rPr>
            </w:pPr>
            <w:r>
              <w:rPr>
                <w:rFonts w:ascii="Arial" w:cs="Arial" w:eastAsia="Arial" w:hAnsi="Arial"/>
                <w:sz w:val="12"/>
                <w:szCs w:val="12"/>
                <w:color w:val="auto"/>
              </w:rPr>
              <w:t>MATTERS</w:t>
            </w:r>
          </w:p>
        </w:tc>
        <w:tc>
          <w:tcPr>
            <w:tcW w:w="500" w:type="dxa"/>
            <w:vAlign w:val="bottom"/>
          </w:tcPr>
          <w:p>
            <w:pPr>
              <w:spacing w:after="0"/>
              <w:rPr>
                <w:sz w:val="12"/>
                <w:szCs w:val="12"/>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20" w:type="dxa"/>
            <w:vAlign w:val="bottom"/>
          </w:tcPr>
          <w:p>
            <w:pPr>
              <w:spacing w:after="0"/>
              <w:rPr>
                <w:sz w:val="12"/>
                <w:szCs w:val="12"/>
                <w:color w:val="auto"/>
              </w:rPr>
            </w:pPr>
          </w:p>
        </w:tc>
        <w:tc>
          <w:tcPr>
            <w:tcW w:w="92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Grants of Plan-Based Awards</w:t>
      </w:r>
    </w:p>
    <w:p>
      <w:pPr>
        <w:spacing w:after="0" w:line="129" w:lineRule="exact"/>
        <w:rPr>
          <w:sz w:val="20"/>
          <w:szCs w:val="20"/>
          <w:color w:val="auto"/>
        </w:rPr>
      </w:pPr>
    </w:p>
    <w:p>
      <w:pPr>
        <w:ind w:left="1100" w:right="540"/>
        <w:spacing w:after="0" w:line="239" w:lineRule="auto"/>
        <w:rPr>
          <w:sz w:val="20"/>
          <w:szCs w:val="20"/>
          <w:color w:val="auto"/>
        </w:rPr>
      </w:pPr>
      <w:r>
        <w:rPr>
          <w:rFonts w:ascii="Arial" w:cs="Arial" w:eastAsia="Arial" w:hAnsi="Arial"/>
          <w:sz w:val="16"/>
          <w:szCs w:val="16"/>
          <w:color w:val="auto"/>
        </w:rPr>
        <w:t>This table provides information on grants of awards under any plan to the Named Executives in the fiscal year ended June 30, 2021.</w:t>
      </w:r>
    </w:p>
    <w:p>
      <w:pPr>
        <w:spacing w:after="0" w:line="255" w:lineRule="exact"/>
        <w:rPr>
          <w:sz w:val="20"/>
          <w:szCs w:val="20"/>
          <w:color w:val="auto"/>
        </w:rPr>
      </w:pPr>
    </w:p>
    <w:tbl>
      <w:tblPr>
        <w:tblLayout w:type="fixed"/>
        <w:tblInd w:w="1100" w:type="dxa"/>
        <w:tblCellMar>
          <w:top w:w="0" w:type="dxa"/>
          <w:left w:w="0" w:type="dxa"/>
          <w:bottom w:w="0" w:type="dxa"/>
          <w:right w:w="0" w:type="dxa"/>
        </w:tblCellMar>
      </w:tblPr>
      <w:tr>
        <w:trPr>
          <w:trHeight w:val="167"/>
        </w:trPr>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8"/>
              </w:rPr>
              <w:t>Estimated Possible Payouts under</w:t>
            </w: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All</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53"/>
        </w:trPr>
        <w:tc>
          <w:tcPr>
            <w:tcW w:w="1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9"/>
              </w:rPr>
              <w:t>Non-Equity</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gridSpan w:val="3"/>
          </w:tcPr>
          <w:p>
            <w:pPr>
              <w:jc w:val="right"/>
              <w:spacing w:after="0" w:line="153" w:lineRule="exact"/>
              <w:rPr>
                <w:sz w:val="20"/>
                <w:szCs w:val="20"/>
                <w:color w:val="auto"/>
              </w:rPr>
            </w:pPr>
            <w:r>
              <w:rPr>
                <w:rFonts w:ascii="Arial" w:cs="Arial" w:eastAsia="Arial" w:hAnsi="Arial"/>
                <w:sz w:val="14"/>
                <w:szCs w:val="14"/>
                <w:b w:val="1"/>
                <w:bCs w:val="1"/>
                <w:color w:val="auto"/>
                <w:w w:val="97"/>
              </w:rPr>
              <w:t>Estimated Future Payouts under</w:t>
            </w:r>
          </w:p>
        </w:tc>
        <w:tc>
          <w:tcPr>
            <w:tcW w:w="6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Other</w:t>
            </w:r>
          </w:p>
        </w:tc>
        <w:tc>
          <w:tcPr>
            <w:tcW w:w="8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8"/>
        </w:trPr>
        <w:tc>
          <w:tcPr>
            <w:tcW w:w="10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Named</w:t>
            </w: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20" w:type="dxa"/>
            <w:vAlign w:val="bottom"/>
            <w:gridSpan w:val="4"/>
          </w:tcPr>
          <w:p>
            <w:pPr>
              <w:jc w:val="center"/>
              <w:ind w:right="100"/>
              <w:spacing w:after="0" w:line="138" w:lineRule="exact"/>
              <w:rPr>
                <w:sz w:val="20"/>
                <w:szCs w:val="20"/>
                <w:color w:val="auto"/>
              </w:rPr>
            </w:pPr>
            <w:r>
              <w:rPr>
                <w:rFonts w:ascii="Arial" w:cs="Arial" w:eastAsia="Arial" w:hAnsi="Arial"/>
                <w:sz w:val="10"/>
                <w:szCs w:val="10"/>
                <w:b w:val="1"/>
                <w:bCs w:val="1"/>
                <w:color w:val="auto"/>
              </w:rPr>
              <w:t>Incentive Plan Awards</w:t>
            </w:r>
            <w:r>
              <w:rPr>
                <w:rFonts w:ascii="Arial" w:cs="Arial" w:eastAsia="Arial" w:hAnsi="Arial"/>
                <w:sz w:val="15"/>
                <w:szCs w:val="15"/>
                <w:b w:val="1"/>
                <w:bCs w:val="1"/>
                <w:color w:val="auto"/>
                <w:vertAlign w:val="superscript"/>
              </w:rPr>
              <w:t>2</w:t>
            </w:r>
          </w:p>
        </w:tc>
        <w:tc>
          <w:tcPr>
            <w:tcW w:w="2140" w:type="dxa"/>
            <w:vAlign w:val="bottom"/>
            <w:gridSpan w:val="3"/>
          </w:tcPr>
          <w:p>
            <w:pPr>
              <w:jc w:val="right"/>
              <w:ind w:right="11"/>
              <w:spacing w:after="0" w:line="138" w:lineRule="exact"/>
              <w:rPr>
                <w:sz w:val="20"/>
                <w:szCs w:val="20"/>
                <w:color w:val="auto"/>
              </w:rPr>
            </w:pPr>
            <w:r>
              <w:rPr>
                <w:rFonts w:ascii="Arial" w:cs="Arial" w:eastAsia="Arial" w:hAnsi="Arial"/>
                <w:sz w:val="10"/>
                <w:szCs w:val="10"/>
                <w:b w:val="1"/>
                <w:bCs w:val="1"/>
                <w:color w:val="auto"/>
              </w:rPr>
              <w:t>Equity Incentive Plan Awards</w:t>
            </w:r>
            <w:r>
              <w:rPr>
                <w:rFonts w:ascii="Arial" w:cs="Arial" w:eastAsia="Arial" w:hAnsi="Arial"/>
                <w:sz w:val="15"/>
                <w:szCs w:val="15"/>
                <w:b w:val="1"/>
                <w:bCs w:val="1"/>
                <w:color w:val="auto"/>
                <w:vertAlign w:val="superscript"/>
              </w:rPr>
              <w:t>3</w:t>
            </w:r>
          </w:p>
        </w:tc>
        <w:tc>
          <w:tcPr>
            <w:tcW w:w="640" w:type="dxa"/>
            <w:vAlign w:val="bottom"/>
          </w:tcPr>
          <w:p>
            <w:pPr>
              <w:jc w:val="right"/>
              <w:spacing w:after="0" w:line="138" w:lineRule="exact"/>
              <w:rPr>
                <w:sz w:val="20"/>
                <w:szCs w:val="20"/>
                <w:color w:val="auto"/>
              </w:rPr>
            </w:pPr>
            <w:r>
              <w:rPr>
                <w:rFonts w:ascii="Arial" w:cs="Arial" w:eastAsia="Arial" w:hAnsi="Arial"/>
                <w:sz w:val="14"/>
                <w:szCs w:val="14"/>
                <w:b w:val="1"/>
                <w:bCs w:val="1"/>
                <w:color w:val="auto"/>
              </w:rPr>
              <w:t>Stock</w:t>
            </w:r>
          </w:p>
        </w:tc>
        <w:tc>
          <w:tcPr>
            <w:tcW w:w="800" w:type="dxa"/>
            <w:vAlign w:val="bottom"/>
          </w:tcPr>
          <w:p>
            <w:pPr>
              <w:jc w:val="right"/>
              <w:spacing w:after="0" w:line="138" w:lineRule="exact"/>
              <w:rPr>
                <w:sz w:val="20"/>
                <w:szCs w:val="20"/>
                <w:color w:val="auto"/>
              </w:rPr>
            </w:pPr>
            <w:r>
              <w:rPr>
                <w:rFonts w:ascii="Arial" w:cs="Arial" w:eastAsia="Arial" w:hAnsi="Arial"/>
                <w:sz w:val="14"/>
                <w:szCs w:val="14"/>
                <w:b w:val="1"/>
                <w:bCs w:val="1"/>
                <w:color w:val="auto"/>
              </w:rPr>
              <w:t>of Stock</w:t>
            </w:r>
          </w:p>
        </w:tc>
        <w:tc>
          <w:tcPr>
            <w:tcW w:w="0" w:type="dxa"/>
            <w:vAlign w:val="bottom"/>
          </w:tcPr>
          <w:p>
            <w:pPr>
              <w:spacing w:after="0"/>
              <w:rPr>
                <w:sz w:val="1"/>
                <w:szCs w:val="1"/>
                <w:color w:val="auto"/>
              </w:rPr>
            </w:pPr>
          </w:p>
        </w:tc>
      </w:tr>
      <w:tr>
        <w:trPr>
          <w:trHeight w:val="137"/>
        </w:trPr>
        <w:tc>
          <w:tcPr>
            <w:tcW w:w="100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w w:val="94"/>
              </w:rPr>
              <w:t>Threshold</w:t>
            </w:r>
          </w:p>
        </w:tc>
        <w:tc>
          <w:tcPr>
            <w:tcW w:w="860" w:type="dxa"/>
            <w:vAlign w:val="bottom"/>
            <w:tcBorders>
              <w:top w:val="single" w:sz="8" w:color="auto"/>
            </w:tcBorders>
          </w:tcPr>
          <w:p>
            <w:pPr>
              <w:jc w:val="right"/>
              <w:ind w:right="31"/>
              <w:spacing w:after="0" w:line="137" w:lineRule="exact"/>
              <w:rPr>
                <w:sz w:val="20"/>
                <w:szCs w:val="20"/>
                <w:color w:val="auto"/>
              </w:rPr>
            </w:pPr>
            <w:r>
              <w:rPr>
                <w:rFonts w:ascii="Arial" w:cs="Arial" w:eastAsia="Arial" w:hAnsi="Arial"/>
                <w:sz w:val="14"/>
                <w:szCs w:val="14"/>
                <w:b w:val="1"/>
                <w:bCs w:val="1"/>
                <w:color w:val="auto"/>
              </w:rPr>
              <w:t>Target</w:t>
            </w:r>
          </w:p>
        </w:tc>
        <w:tc>
          <w:tcPr>
            <w:tcW w:w="74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rPr>
              <w:t>Maximum</w:t>
            </w:r>
          </w:p>
        </w:tc>
        <w:tc>
          <w:tcPr>
            <w:tcW w:w="100" w:type="dxa"/>
            <w:vAlign w:val="bottom"/>
          </w:tcPr>
          <w:p>
            <w:pPr>
              <w:spacing w:after="0"/>
              <w:rPr>
                <w:sz w:val="11"/>
                <w:szCs w:val="11"/>
                <w:color w:val="auto"/>
              </w:rPr>
            </w:pPr>
          </w:p>
        </w:tc>
        <w:tc>
          <w:tcPr>
            <w:tcW w:w="800" w:type="dxa"/>
            <w:vAlign w:val="bottom"/>
            <w:tcBorders>
              <w:top w:val="single" w:sz="8" w:color="auto"/>
            </w:tcBorders>
          </w:tcPr>
          <w:p>
            <w:pPr>
              <w:jc w:val="right"/>
              <w:ind w:right="32"/>
              <w:spacing w:after="0" w:line="137" w:lineRule="exact"/>
              <w:rPr>
                <w:sz w:val="20"/>
                <w:szCs w:val="20"/>
                <w:color w:val="auto"/>
              </w:rPr>
            </w:pPr>
            <w:r>
              <w:rPr>
                <w:rFonts w:ascii="Arial" w:cs="Arial" w:eastAsia="Arial" w:hAnsi="Arial"/>
                <w:sz w:val="14"/>
                <w:szCs w:val="14"/>
                <w:b w:val="1"/>
                <w:bCs w:val="1"/>
                <w:color w:val="auto"/>
              </w:rPr>
              <w:t>Threshold</w:t>
            </w:r>
          </w:p>
        </w:tc>
        <w:tc>
          <w:tcPr>
            <w:tcW w:w="600" w:type="dxa"/>
            <w:vAlign w:val="bottom"/>
            <w:tcBorders>
              <w:top w:val="single" w:sz="8" w:color="auto"/>
            </w:tcBorders>
          </w:tcPr>
          <w:p>
            <w:pPr>
              <w:jc w:val="right"/>
              <w:ind w:right="31"/>
              <w:spacing w:after="0" w:line="137" w:lineRule="exact"/>
              <w:rPr>
                <w:sz w:val="20"/>
                <w:szCs w:val="20"/>
                <w:color w:val="auto"/>
              </w:rPr>
            </w:pPr>
            <w:r>
              <w:rPr>
                <w:rFonts w:ascii="Arial" w:cs="Arial" w:eastAsia="Arial" w:hAnsi="Arial"/>
                <w:sz w:val="14"/>
                <w:szCs w:val="14"/>
                <w:b w:val="1"/>
                <w:bCs w:val="1"/>
                <w:color w:val="auto"/>
              </w:rPr>
              <w:t>Target</w:t>
            </w:r>
          </w:p>
        </w:tc>
        <w:tc>
          <w:tcPr>
            <w:tcW w:w="74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rPr>
              <w:t>Maximum</w:t>
            </w:r>
          </w:p>
        </w:tc>
        <w:tc>
          <w:tcPr>
            <w:tcW w:w="640" w:type="dxa"/>
            <w:vAlign w:val="bottom"/>
          </w:tcPr>
          <w:p>
            <w:pPr>
              <w:jc w:val="right"/>
              <w:spacing w:after="0" w:line="137" w:lineRule="exact"/>
              <w:rPr>
                <w:sz w:val="20"/>
                <w:szCs w:val="20"/>
                <w:color w:val="auto"/>
              </w:rPr>
            </w:pPr>
            <w:r>
              <w:rPr>
                <w:rFonts w:ascii="Arial" w:cs="Arial" w:eastAsia="Arial" w:hAnsi="Arial"/>
                <w:sz w:val="14"/>
                <w:szCs w:val="14"/>
                <w:b w:val="1"/>
                <w:bCs w:val="1"/>
                <w:color w:val="auto"/>
              </w:rPr>
              <w:t>Awards</w:t>
            </w:r>
          </w:p>
        </w:tc>
        <w:tc>
          <w:tcPr>
            <w:tcW w:w="800" w:type="dxa"/>
            <w:vAlign w:val="bottom"/>
          </w:tcPr>
          <w:p>
            <w:pPr>
              <w:jc w:val="right"/>
              <w:spacing w:after="0" w:line="137" w:lineRule="exact"/>
              <w:rPr>
                <w:sz w:val="20"/>
                <w:szCs w:val="20"/>
                <w:color w:val="auto"/>
              </w:rPr>
            </w:pPr>
            <w:r>
              <w:rPr>
                <w:rFonts w:ascii="Arial" w:cs="Arial" w:eastAsia="Arial" w:hAnsi="Arial"/>
                <w:sz w:val="10"/>
                <w:szCs w:val="10"/>
                <w:b w:val="1"/>
                <w:bCs w:val="1"/>
                <w:color w:val="auto"/>
              </w:rPr>
              <w:t>Awards</w:t>
            </w:r>
            <w:r>
              <w:rPr>
                <w:rFonts w:ascii="Arial" w:cs="Arial" w:eastAsia="Arial" w:hAnsi="Arial"/>
                <w:sz w:val="15"/>
                <w:szCs w:val="15"/>
                <w:b w:val="1"/>
                <w:bCs w:val="1"/>
                <w:color w:val="auto"/>
                <w:vertAlign w:val="superscript"/>
              </w:rPr>
              <w:t>4</w:t>
            </w:r>
          </w:p>
        </w:tc>
        <w:tc>
          <w:tcPr>
            <w:tcW w:w="0" w:type="dxa"/>
            <w:vAlign w:val="bottom"/>
          </w:tcPr>
          <w:p>
            <w:pPr>
              <w:spacing w:after="0"/>
              <w:rPr>
                <w:sz w:val="1"/>
                <w:szCs w:val="1"/>
                <w:color w:val="auto"/>
              </w:rPr>
            </w:pPr>
          </w:p>
        </w:tc>
      </w:tr>
      <w:tr>
        <w:trPr>
          <w:trHeight w:val="180"/>
        </w:trPr>
        <w:tc>
          <w:tcPr>
            <w:tcW w:w="10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Executive</w:t>
            </w:r>
          </w:p>
        </w:tc>
        <w:tc>
          <w:tcPr>
            <w:tcW w:w="1320" w:type="dxa"/>
            <w:vAlign w:val="bottom"/>
            <w:tcBorders>
              <w:bottom w:val="single" w:sz="8" w:color="auto"/>
            </w:tcBorders>
            <w:gridSpan w:val="2"/>
          </w:tcPr>
          <w:p>
            <w:pPr>
              <w:ind w:left="40"/>
              <w:spacing w:after="0" w:line="180" w:lineRule="exact"/>
              <w:rPr>
                <w:sz w:val="20"/>
                <w:szCs w:val="20"/>
                <w:color w:val="auto"/>
              </w:rPr>
            </w:pPr>
            <w:r>
              <w:rPr>
                <w:rFonts w:ascii="Arial" w:cs="Arial" w:eastAsia="Arial" w:hAnsi="Arial"/>
                <w:sz w:val="12"/>
                <w:szCs w:val="12"/>
                <w:b w:val="1"/>
                <w:bCs w:val="1"/>
                <w:color w:val="auto"/>
              </w:rPr>
              <w:t>Award</w:t>
            </w:r>
            <w:r>
              <w:rPr>
                <w:rFonts w:ascii="Arial" w:cs="Arial" w:eastAsia="Arial" w:hAnsi="Arial"/>
                <w:sz w:val="20"/>
                <w:szCs w:val="20"/>
                <w:b w:val="1"/>
                <w:bCs w:val="1"/>
                <w:color w:val="auto"/>
                <w:vertAlign w:val="superscript"/>
              </w:rPr>
              <w:t>1</w:t>
            </w:r>
          </w:p>
        </w:tc>
        <w:tc>
          <w:tcPr>
            <w:tcW w:w="8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Grant Date</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0"/>
        </w:trPr>
        <w:tc>
          <w:tcPr>
            <w:tcW w:w="1000" w:type="dxa"/>
            <w:vAlign w:val="bottom"/>
          </w:tcPr>
          <w:p>
            <w:pPr>
              <w:ind w:left="80"/>
              <w:spacing w:after="0"/>
              <w:rPr>
                <w:sz w:val="20"/>
                <w:szCs w:val="20"/>
                <w:color w:val="auto"/>
              </w:rPr>
            </w:pPr>
            <w:r>
              <w:rPr>
                <w:rFonts w:ascii="Arial" w:cs="Arial" w:eastAsia="Arial" w:hAnsi="Arial"/>
                <w:sz w:val="14"/>
                <w:szCs w:val="14"/>
                <w:b w:val="1"/>
                <w:bCs w:val="1"/>
                <w:color w:val="0075C9"/>
                <w:w w:val="98"/>
              </w:rPr>
              <w:t>Satya Nadella</w:t>
            </w:r>
          </w:p>
        </w:tc>
        <w:tc>
          <w:tcPr>
            <w:tcW w:w="360" w:type="dxa"/>
            <w:vAlign w:val="bottom"/>
            <w:tcBorders>
              <w:bottom w:val="single" w:sz="8" w:color="595959"/>
            </w:tcBorders>
          </w:tcPr>
          <w:p>
            <w:pPr>
              <w:ind w:left="40"/>
              <w:spacing w:after="0"/>
              <w:rPr>
                <w:sz w:val="20"/>
                <w:szCs w:val="20"/>
                <w:color w:val="auto"/>
              </w:rPr>
            </w:pPr>
            <w:r>
              <w:rPr>
                <w:rFonts w:ascii="Arial" w:cs="Arial" w:eastAsia="Arial" w:hAnsi="Arial"/>
                <w:sz w:val="14"/>
                <w:szCs w:val="14"/>
                <w:color w:val="auto"/>
                <w:w w:val="96"/>
              </w:rPr>
              <w:t>2021</w:t>
            </w:r>
          </w:p>
        </w:tc>
        <w:tc>
          <w:tcPr>
            <w:tcW w:w="960" w:type="dxa"/>
            <w:vAlign w:val="bottom"/>
            <w:tcBorders>
              <w:bottom w:val="single" w:sz="8" w:color="595959"/>
            </w:tcBorders>
          </w:tcPr>
          <w:p>
            <w:pPr>
              <w:ind w:left="20"/>
              <w:spacing w:after="0"/>
              <w:rPr>
                <w:sz w:val="20"/>
                <w:szCs w:val="20"/>
                <w:color w:val="auto"/>
              </w:rPr>
            </w:pPr>
            <w:r>
              <w:rPr>
                <w:rFonts w:ascii="Arial" w:cs="Arial" w:eastAsia="Arial" w:hAnsi="Arial"/>
                <w:sz w:val="14"/>
                <w:szCs w:val="14"/>
                <w:color w:val="auto"/>
                <w:w w:val="99"/>
              </w:rPr>
              <w:t>Cash Incentive</w:t>
            </w:r>
          </w:p>
        </w:tc>
        <w:tc>
          <w:tcPr>
            <w:tcW w:w="860" w:type="dxa"/>
            <w:vAlign w:val="bottom"/>
            <w:tcBorders>
              <w:bottom w:val="single" w:sz="8" w:color="595959"/>
            </w:tcBorders>
          </w:tcPr>
          <w:p>
            <w:pPr>
              <w:spacing w:after="0"/>
              <w:rPr>
                <w:sz w:val="19"/>
                <w:szCs w:val="19"/>
                <w:color w:val="auto"/>
              </w:rPr>
            </w:pPr>
          </w:p>
        </w:tc>
        <w:tc>
          <w:tcPr>
            <w:tcW w:w="72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0</w:t>
            </w:r>
          </w:p>
        </w:tc>
        <w:tc>
          <w:tcPr>
            <w:tcW w:w="86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7,500,000</w:t>
            </w:r>
          </w:p>
        </w:tc>
        <w:tc>
          <w:tcPr>
            <w:tcW w:w="74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15,000,000</w:t>
            </w:r>
          </w:p>
        </w:tc>
        <w:tc>
          <w:tcPr>
            <w:tcW w:w="10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spacing w:after="0"/>
              <w:rPr>
                <w:sz w:val="19"/>
                <w:szCs w:val="19"/>
                <w:color w:val="auto"/>
              </w:rPr>
            </w:pPr>
          </w:p>
        </w:tc>
        <w:tc>
          <w:tcPr>
            <w:tcW w:w="600" w:type="dxa"/>
            <w:vAlign w:val="bottom"/>
            <w:tcBorders>
              <w:bottom w:val="single" w:sz="8" w:color="595959"/>
            </w:tcBorders>
          </w:tcPr>
          <w:p>
            <w:pPr>
              <w:spacing w:after="0"/>
              <w:rPr>
                <w:sz w:val="19"/>
                <w:szCs w:val="19"/>
                <w:color w:val="auto"/>
              </w:rPr>
            </w:pPr>
          </w:p>
        </w:tc>
        <w:tc>
          <w:tcPr>
            <w:tcW w:w="740" w:type="dxa"/>
            <w:vAlign w:val="bottom"/>
            <w:tcBorders>
              <w:bottom w:val="single" w:sz="8" w:color="595959"/>
            </w:tcBorders>
          </w:tcPr>
          <w:p>
            <w:pPr>
              <w:spacing w:after="0"/>
              <w:rPr>
                <w:sz w:val="19"/>
                <w:szCs w:val="19"/>
                <w:color w:val="auto"/>
              </w:rPr>
            </w:pPr>
          </w:p>
        </w:tc>
        <w:tc>
          <w:tcPr>
            <w:tcW w:w="64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000" w:type="dxa"/>
            <w:vAlign w:val="bottom"/>
          </w:tcPr>
          <w:p>
            <w:pPr>
              <w:spacing w:after="0"/>
              <w:rPr>
                <w:sz w:val="19"/>
                <w:szCs w:val="19"/>
                <w:color w:val="auto"/>
              </w:rPr>
            </w:pPr>
          </w:p>
        </w:tc>
        <w:tc>
          <w:tcPr>
            <w:tcW w:w="360" w:type="dxa"/>
            <w:vAlign w:val="bottom"/>
            <w:tcBorders>
              <w:bottom w:val="single" w:sz="8" w:color="595959"/>
            </w:tcBorders>
          </w:tcPr>
          <w:p>
            <w:pPr>
              <w:ind w:left="40"/>
              <w:spacing w:after="0"/>
              <w:rPr>
                <w:sz w:val="20"/>
                <w:szCs w:val="20"/>
                <w:color w:val="auto"/>
              </w:rPr>
            </w:pPr>
            <w:r>
              <w:rPr>
                <w:rFonts w:ascii="Arial" w:cs="Arial" w:eastAsia="Arial" w:hAnsi="Arial"/>
                <w:sz w:val="14"/>
                <w:szCs w:val="14"/>
                <w:color w:val="auto"/>
                <w:w w:val="96"/>
              </w:rPr>
              <w:t>2021</w:t>
            </w:r>
          </w:p>
        </w:tc>
        <w:tc>
          <w:tcPr>
            <w:tcW w:w="960" w:type="dxa"/>
            <w:vAlign w:val="bottom"/>
            <w:tcBorders>
              <w:bottom w:val="single" w:sz="8" w:color="595959"/>
            </w:tcBorders>
          </w:tcPr>
          <w:p>
            <w:pPr>
              <w:ind w:left="20"/>
              <w:spacing w:after="0"/>
              <w:rPr>
                <w:sz w:val="20"/>
                <w:szCs w:val="20"/>
                <w:color w:val="auto"/>
              </w:rPr>
            </w:pPr>
            <w:r>
              <w:rPr>
                <w:rFonts w:ascii="Arial" w:cs="Arial" w:eastAsia="Arial" w:hAnsi="Arial"/>
                <w:sz w:val="14"/>
                <w:szCs w:val="14"/>
                <w:color w:val="auto"/>
              </w:rPr>
              <w:t>PSA</w:t>
            </w:r>
          </w:p>
        </w:tc>
        <w:tc>
          <w:tcPr>
            <w:tcW w:w="86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9/15/2020</w:t>
            </w:r>
          </w:p>
        </w:tc>
        <w:tc>
          <w:tcPr>
            <w:tcW w:w="720" w:type="dxa"/>
            <w:vAlign w:val="bottom"/>
            <w:tcBorders>
              <w:bottom w:val="single" w:sz="8" w:color="595959"/>
            </w:tcBorders>
          </w:tcPr>
          <w:p>
            <w:pPr>
              <w:spacing w:after="0"/>
              <w:rPr>
                <w:sz w:val="19"/>
                <w:szCs w:val="19"/>
                <w:color w:val="auto"/>
              </w:rPr>
            </w:pPr>
          </w:p>
        </w:tc>
        <w:tc>
          <w:tcPr>
            <w:tcW w:w="860" w:type="dxa"/>
            <w:vAlign w:val="bottom"/>
            <w:tcBorders>
              <w:bottom w:val="single" w:sz="8" w:color="595959"/>
            </w:tcBorders>
          </w:tcPr>
          <w:p>
            <w:pPr>
              <w:spacing w:after="0"/>
              <w:rPr>
                <w:sz w:val="19"/>
                <w:szCs w:val="19"/>
                <w:color w:val="auto"/>
              </w:rPr>
            </w:pPr>
          </w:p>
        </w:tc>
        <w:tc>
          <w:tcPr>
            <w:tcW w:w="740" w:type="dxa"/>
            <w:vAlign w:val="bottom"/>
            <w:tcBorders>
              <w:bottom w:val="single" w:sz="8" w:color="595959"/>
            </w:tcBorders>
          </w:tcPr>
          <w:p>
            <w:pPr>
              <w:spacing w:after="0"/>
              <w:rPr>
                <w:sz w:val="19"/>
                <w:szCs w:val="19"/>
                <w:color w:val="auto"/>
              </w:rPr>
            </w:pPr>
          </w:p>
        </w:tc>
        <w:tc>
          <w:tcPr>
            <w:tcW w:w="10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jc w:val="right"/>
              <w:ind w:right="32"/>
              <w:spacing w:after="0"/>
              <w:rPr>
                <w:sz w:val="20"/>
                <w:szCs w:val="20"/>
                <w:color w:val="auto"/>
              </w:rPr>
            </w:pPr>
            <w:r>
              <w:rPr>
                <w:rFonts w:ascii="Arial" w:cs="Arial" w:eastAsia="Arial" w:hAnsi="Arial"/>
                <w:sz w:val="14"/>
                <w:szCs w:val="14"/>
                <w:color w:val="auto"/>
              </w:rPr>
              <w:t>262</w:t>
            </w:r>
          </w:p>
        </w:tc>
        <w:tc>
          <w:tcPr>
            <w:tcW w:w="60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20,951</w:t>
            </w:r>
          </w:p>
        </w:tc>
        <w:tc>
          <w:tcPr>
            <w:tcW w:w="74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62,853</w:t>
            </w:r>
          </w:p>
        </w:tc>
        <w:tc>
          <w:tcPr>
            <w:tcW w:w="64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4,893,443</w:t>
            </w:r>
          </w:p>
        </w:tc>
        <w:tc>
          <w:tcPr>
            <w:tcW w:w="0" w:type="dxa"/>
            <w:vAlign w:val="bottom"/>
          </w:tcPr>
          <w:p>
            <w:pPr>
              <w:spacing w:after="0"/>
              <w:rPr>
                <w:sz w:val="1"/>
                <w:szCs w:val="1"/>
                <w:color w:val="auto"/>
              </w:rPr>
            </w:pPr>
          </w:p>
        </w:tc>
      </w:tr>
      <w:tr>
        <w:trPr>
          <w:trHeight w:val="226"/>
        </w:trPr>
        <w:tc>
          <w:tcPr>
            <w:tcW w:w="1000" w:type="dxa"/>
            <w:vAlign w:val="bottom"/>
          </w:tcPr>
          <w:p>
            <w:pPr>
              <w:spacing w:after="0"/>
              <w:rPr>
                <w:sz w:val="19"/>
                <w:szCs w:val="19"/>
                <w:color w:val="auto"/>
              </w:rPr>
            </w:pPr>
          </w:p>
        </w:tc>
        <w:tc>
          <w:tcPr>
            <w:tcW w:w="360" w:type="dxa"/>
            <w:vAlign w:val="bottom"/>
            <w:tcBorders>
              <w:bottom w:val="single" w:sz="8" w:color="595959"/>
            </w:tcBorders>
          </w:tcPr>
          <w:p>
            <w:pPr>
              <w:ind w:left="40"/>
              <w:spacing w:after="0"/>
              <w:rPr>
                <w:sz w:val="20"/>
                <w:szCs w:val="20"/>
                <w:color w:val="auto"/>
              </w:rPr>
            </w:pPr>
            <w:r>
              <w:rPr>
                <w:rFonts w:ascii="Arial" w:cs="Arial" w:eastAsia="Arial" w:hAnsi="Arial"/>
                <w:sz w:val="14"/>
                <w:szCs w:val="14"/>
                <w:color w:val="auto"/>
                <w:w w:val="96"/>
              </w:rPr>
              <w:t>2021</w:t>
            </w:r>
          </w:p>
        </w:tc>
        <w:tc>
          <w:tcPr>
            <w:tcW w:w="960" w:type="dxa"/>
            <w:vAlign w:val="bottom"/>
            <w:tcBorders>
              <w:bottom w:val="single" w:sz="8" w:color="595959"/>
            </w:tcBorders>
          </w:tcPr>
          <w:p>
            <w:pPr>
              <w:ind w:left="20"/>
              <w:spacing w:after="0"/>
              <w:rPr>
                <w:sz w:val="20"/>
                <w:szCs w:val="20"/>
                <w:color w:val="auto"/>
              </w:rPr>
            </w:pPr>
            <w:r>
              <w:rPr>
                <w:rFonts w:ascii="Arial" w:cs="Arial" w:eastAsia="Arial" w:hAnsi="Arial"/>
                <w:sz w:val="14"/>
                <w:szCs w:val="14"/>
                <w:color w:val="auto"/>
              </w:rPr>
              <w:t>PSA</w:t>
            </w:r>
          </w:p>
        </w:tc>
        <w:tc>
          <w:tcPr>
            <w:tcW w:w="86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12/1/2020</w:t>
            </w:r>
          </w:p>
        </w:tc>
        <w:tc>
          <w:tcPr>
            <w:tcW w:w="720" w:type="dxa"/>
            <w:vAlign w:val="bottom"/>
            <w:tcBorders>
              <w:bottom w:val="single" w:sz="8" w:color="595959"/>
            </w:tcBorders>
          </w:tcPr>
          <w:p>
            <w:pPr>
              <w:spacing w:after="0"/>
              <w:rPr>
                <w:sz w:val="19"/>
                <w:szCs w:val="19"/>
                <w:color w:val="auto"/>
              </w:rPr>
            </w:pPr>
          </w:p>
        </w:tc>
        <w:tc>
          <w:tcPr>
            <w:tcW w:w="860" w:type="dxa"/>
            <w:vAlign w:val="bottom"/>
            <w:tcBorders>
              <w:bottom w:val="single" w:sz="8" w:color="595959"/>
            </w:tcBorders>
          </w:tcPr>
          <w:p>
            <w:pPr>
              <w:spacing w:after="0"/>
              <w:rPr>
                <w:sz w:val="19"/>
                <w:szCs w:val="19"/>
                <w:color w:val="auto"/>
              </w:rPr>
            </w:pPr>
          </w:p>
        </w:tc>
        <w:tc>
          <w:tcPr>
            <w:tcW w:w="740" w:type="dxa"/>
            <w:vAlign w:val="bottom"/>
            <w:tcBorders>
              <w:bottom w:val="single" w:sz="8" w:color="595959"/>
            </w:tcBorders>
          </w:tcPr>
          <w:p>
            <w:pPr>
              <w:spacing w:after="0"/>
              <w:rPr>
                <w:sz w:val="19"/>
                <w:szCs w:val="19"/>
                <w:color w:val="auto"/>
              </w:rPr>
            </w:pPr>
          </w:p>
        </w:tc>
        <w:tc>
          <w:tcPr>
            <w:tcW w:w="10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jc w:val="right"/>
              <w:ind w:right="32"/>
              <w:spacing w:after="0"/>
              <w:rPr>
                <w:sz w:val="20"/>
                <w:szCs w:val="20"/>
                <w:color w:val="auto"/>
              </w:rPr>
            </w:pPr>
            <w:r>
              <w:rPr>
                <w:rFonts w:ascii="Arial" w:cs="Arial" w:eastAsia="Arial" w:hAnsi="Arial"/>
                <w:sz w:val="14"/>
                <w:szCs w:val="14"/>
                <w:color w:val="auto"/>
              </w:rPr>
              <w:t>62</w:t>
            </w:r>
          </w:p>
        </w:tc>
        <w:tc>
          <w:tcPr>
            <w:tcW w:w="60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4,914</w:t>
            </w:r>
          </w:p>
        </w:tc>
        <w:tc>
          <w:tcPr>
            <w:tcW w:w="74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14,742</w:t>
            </w:r>
          </w:p>
        </w:tc>
        <w:tc>
          <w:tcPr>
            <w:tcW w:w="64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1,161,556</w:t>
            </w:r>
          </w:p>
        </w:tc>
        <w:tc>
          <w:tcPr>
            <w:tcW w:w="0" w:type="dxa"/>
            <w:vAlign w:val="bottom"/>
          </w:tcPr>
          <w:p>
            <w:pPr>
              <w:spacing w:after="0"/>
              <w:rPr>
                <w:sz w:val="1"/>
                <w:szCs w:val="1"/>
                <w:color w:val="auto"/>
              </w:rPr>
            </w:pPr>
          </w:p>
        </w:tc>
      </w:tr>
      <w:tr>
        <w:trPr>
          <w:trHeight w:val="226"/>
        </w:trPr>
        <w:tc>
          <w:tcPr>
            <w:tcW w:w="1000" w:type="dxa"/>
            <w:vAlign w:val="bottom"/>
          </w:tcPr>
          <w:p>
            <w:pPr>
              <w:spacing w:after="0"/>
              <w:rPr>
                <w:sz w:val="19"/>
                <w:szCs w:val="19"/>
                <w:color w:val="auto"/>
              </w:rPr>
            </w:pPr>
          </w:p>
        </w:tc>
        <w:tc>
          <w:tcPr>
            <w:tcW w:w="360" w:type="dxa"/>
            <w:vAlign w:val="bottom"/>
            <w:tcBorders>
              <w:bottom w:val="single" w:sz="8" w:color="595959"/>
            </w:tcBorders>
          </w:tcPr>
          <w:p>
            <w:pPr>
              <w:ind w:left="40"/>
              <w:spacing w:after="0"/>
              <w:rPr>
                <w:sz w:val="20"/>
                <w:szCs w:val="20"/>
                <w:color w:val="auto"/>
              </w:rPr>
            </w:pPr>
            <w:r>
              <w:rPr>
                <w:rFonts w:ascii="Arial" w:cs="Arial" w:eastAsia="Arial" w:hAnsi="Arial"/>
                <w:sz w:val="14"/>
                <w:szCs w:val="14"/>
                <w:color w:val="auto"/>
                <w:w w:val="96"/>
              </w:rPr>
              <w:t>2020</w:t>
            </w:r>
          </w:p>
        </w:tc>
        <w:tc>
          <w:tcPr>
            <w:tcW w:w="960" w:type="dxa"/>
            <w:vAlign w:val="bottom"/>
            <w:tcBorders>
              <w:bottom w:val="single" w:sz="8" w:color="595959"/>
            </w:tcBorders>
          </w:tcPr>
          <w:p>
            <w:pPr>
              <w:ind w:left="20"/>
              <w:spacing w:after="0"/>
              <w:rPr>
                <w:sz w:val="20"/>
                <w:szCs w:val="20"/>
                <w:color w:val="auto"/>
              </w:rPr>
            </w:pPr>
            <w:r>
              <w:rPr>
                <w:rFonts w:ascii="Arial" w:cs="Arial" w:eastAsia="Arial" w:hAnsi="Arial"/>
                <w:sz w:val="14"/>
                <w:szCs w:val="14"/>
                <w:color w:val="auto"/>
              </w:rPr>
              <w:t>PSA</w:t>
            </w:r>
          </w:p>
        </w:tc>
        <w:tc>
          <w:tcPr>
            <w:tcW w:w="86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9/15/2020</w:t>
            </w:r>
          </w:p>
        </w:tc>
        <w:tc>
          <w:tcPr>
            <w:tcW w:w="720" w:type="dxa"/>
            <w:vAlign w:val="bottom"/>
            <w:tcBorders>
              <w:bottom w:val="single" w:sz="8" w:color="595959"/>
            </w:tcBorders>
          </w:tcPr>
          <w:p>
            <w:pPr>
              <w:spacing w:after="0"/>
              <w:rPr>
                <w:sz w:val="19"/>
                <w:szCs w:val="19"/>
                <w:color w:val="auto"/>
              </w:rPr>
            </w:pPr>
          </w:p>
        </w:tc>
        <w:tc>
          <w:tcPr>
            <w:tcW w:w="860" w:type="dxa"/>
            <w:vAlign w:val="bottom"/>
            <w:tcBorders>
              <w:bottom w:val="single" w:sz="8" w:color="595959"/>
            </w:tcBorders>
          </w:tcPr>
          <w:p>
            <w:pPr>
              <w:spacing w:after="0"/>
              <w:rPr>
                <w:sz w:val="19"/>
                <w:szCs w:val="19"/>
                <w:color w:val="auto"/>
              </w:rPr>
            </w:pPr>
          </w:p>
        </w:tc>
        <w:tc>
          <w:tcPr>
            <w:tcW w:w="740" w:type="dxa"/>
            <w:vAlign w:val="bottom"/>
            <w:tcBorders>
              <w:bottom w:val="single" w:sz="8" w:color="595959"/>
            </w:tcBorders>
          </w:tcPr>
          <w:p>
            <w:pPr>
              <w:spacing w:after="0"/>
              <w:rPr>
                <w:sz w:val="19"/>
                <w:szCs w:val="19"/>
                <w:color w:val="auto"/>
              </w:rPr>
            </w:pPr>
          </w:p>
        </w:tc>
        <w:tc>
          <w:tcPr>
            <w:tcW w:w="10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jc w:val="right"/>
              <w:ind w:right="32"/>
              <w:spacing w:after="0"/>
              <w:rPr>
                <w:sz w:val="20"/>
                <w:szCs w:val="20"/>
                <w:color w:val="auto"/>
              </w:rPr>
            </w:pPr>
            <w:r>
              <w:rPr>
                <w:rFonts w:ascii="Arial" w:cs="Arial" w:eastAsia="Arial" w:hAnsi="Arial"/>
                <w:sz w:val="14"/>
                <w:szCs w:val="14"/>
                <w:color w:val="auto"/>
              </w:rPr>
              <w:t>857</w:t>
            </w:r>
          </w:p>
        </w:tc>
        <w:tc>
          <w:tcPr>
            <w:tcW w:w="60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24,481</w:t>
            </w:r>
          </w:p>
        </w:tc>
        <w:tc>
          <w:tcPr>
            <w:tcW w:w="74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73,443</w:t>
            </w:r>
          </w:p>
        </w:tc>
        <w:tc>
          <w:tcPr>
            <w:tcW w:w="64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7,045,514</w:t>
            </w:r>
          </w:p>
        </w:tc>
        <w:tc>
          <w:tcPr>
            <w:tcW w:w="0" w:type="dxa"/>
            <w:vAlign w:val="bottom"/>
          </w:tcPr>
          <w:p>
            <w:pPr>
              <w:spacing w:after="0"/>
              <w:rPr>
                <w:sz w:val="1"/>
                <w:szCs w:val="1"/>
                <w:color w:val="auto"/>
              </w:rPr>
            </w:pPr>
          </w:p>
        </w:tc>
      </w:tr>
      <w:tr>
        <w:trPr>
          <w:trHeight w:val="226"/>
        </w:trPr>
        <w:tc>
          <w:tcPr>
            <w:tcW w:w="1000" w:type="dxa"/>
            <w:vAlign w:val="bottom"/>
          </w:tcPr>
          <w:p>
            <w:pPr>
              <w:spacing w:after="0"/>
              <w:rPr>
                <w:sz w:val="19"/>
                <w:szCs w:val="19"/>
                <w:color w:val="auto"/>
              </w:rPr>
            </w:pPr>
          </w:p>
        </w:tc>
        <w:tc>
          <w:tcPr>
            <w:tcW w:w="360" w:type="dxa"/>
            <w:vAlign w:val="bottom"/>
            <w:tcBorders>
              <w:bottom w:val="single" w:sz="8" w:color="595959"/>
            </w:tcBorders>
          </w:tcPr>
          <w:p>
            <w:pPr>
              <w:ind w:left="40"/>
              <w:spacing w:after="0"/>
              <w:rPr>
                <w:sz w:val="20"/>
                <w:szCs w:val="20"/>
                <w:color w:val="auto"/>
              </w:rPr>
            </w:pPr>
            <w:r>
              <w:rPr>
                <w:rFonts w:ascii="Arial" w:cs="Arial" w:eastAsia="Arial" w:hAnsi="Arial"/>
                <w:sz w:val="14"/>
                <w:szCs w:val="14"/>
                <w:color w:val="auto"/>
                <w:w w:val="96"/>
              </w:rPr>
              <w:t>2020</w:t>
            </w:r>
          </w:p>
        </w:tc>
        <w:tc>
          <w:tcPr>
            <w:tcW w:w="960" w:type="dxa"/>
            <w:vAlign w:val="bottom"/>
            <w:tcBorders>
              <w:bottom w:val="single" w:sz="8" w:color="595959"/>
            </w:tcBorders>
          </w:tcPr>
          <w:p>
            <w:pPr>
              <w:ind w:left="20"/>
              <w:spacing w:after="0"/>
              <w:rPr>
                <w:sz w:val="20"/>
                <w:szCs w:val="20"/>
                <w:color w:val="auto"/>
              </w:rPr>
            </w:pPr>
            <w:r>
              <w:rPr>
                <w:rFonts w:ascii="Arial" w:cs="Arial" w:eastAsia="Arial" w:hAnsi="Arial"/>
                <w:sz w:val="14"/>
                <w:szCs w:val="14"/>
                <w:color w:val="auto"/>
              </w:rPr>
              <w:t>PSA</w:t>
            </w:r>
          </w:p>
        </w:tc>
        <w:tc>
          <w:tcPr>
            <w:tcW w:w="86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12/1/2020</w:t>
            </w:r>
          </w:p>
        </w:tc>
        <w:tc>
          <w:tcPr>
            <w:tcW w:w="720" w:type="dxa"/>
            <w:vAlign w:val="bottom"/>
            <w:tcBorders>
              <w:bottom w:val="single" w:sz="8" w:color="595959"/>
            </w:tcBorders>
          </w:tcPr>
          <w:p>
            <w:pPr>
              <w:spacing w:after="0"/>
              <w:rPr>
                <w:sz w:val="19"/>
                <w:szCs w:val="19"/>
                <w:color w:val="auto"/>
              </w:rPr>
            </w:pPr>
          </w:p>
        </w:tc>
        <w:tc>
          <w:tcPr>
            <w:tcW w:w="860" w:type="dxa"/>
            <w:vAlign w:val="bottom"/>
            <w:tcBorders>
              <w:bottom w:val="single" w:sz="8" w:color="595959"/>
            </w:tcBorders>
          </w:tcPr>
          <w:p>
            <w:pPr>
              <w:spacing w:after="0"/>
              <w:rPr>
                <w:sz w:val="19"/>
                <w:szCs w:val="19"/>
                <w:color w:val="auto"/>
              </w:rPr>
            </w:pPr>
          </w:p>
        </w:tc>
        <w:tc>
          <w:tcPr>
            <w:tcW w:w="740" w:type="dxa"/>
            <w:vAlign w:val="bottom"/>
            <w:tcBorders>
              <w:bottom w:val="single" w:sz="8" w:color="595959"/>
            </w:tcBorders>
          </w:tcPr>
          <w:p>
            <w:pPr>
              <w:spacing w:after="0"/>
              <w:rPr>
                <w:sz w:val="19"/>
                <w:szCs w:val="19"/>
                <w:color w:val="auto"/>
              </w:rPr>
            </w:pPr>
          </w:p>
        </w:tc>
        <w:tc>
          <w:tcPr>
            <w:tcW w:w="10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jc w:val="right"/>
              <w:ind w:right="32"/>
              <w:spacing w:after="0"/>
              <w:rPr>
                <w:sz w:val="20"/>
                <w:szCs w:val="20"/>
                <w:color w:val="auto"/>
              </w:rPr>
            </w:pPr>
            <w:r>
              <w:rPr>
                <w:rFonts w:ascii="Arial" w:cs="Arial" w:eastAsia="Arial" w:hAnsi="Arial"/>
                <w:sz w:val="14"/>
                <w:szCs w:val="14"/>
                <w:color w:val="auto"/>
              </w:rPr>
              <w:t>202</w:t>
            </w:r>
          </w:p>
        </w:tc>
        <w:tc>
          <w:tcPr>
            <w:tcW w:w="60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5,743</w:t>
            </w:r>
          </w:p>
        </w:tc>
        <w:tc>
          <w:tcPr>
            <w:tcW w:w="74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17,229</w:t>
            </w:r>
          </w:p>
        </w:tc>
        <w:tc>
          <w:tcPr>
            <w:tcW w:w="64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1,687,451</w:t>
            </w:r>
          </w:p>
        </w:tc>
        <w:tc>
          <w:tcPr>
            <w:tcW w:w="0" w:type="dxa"/>
            <w:vAlign w:val="bottom"/>
          </w:tcPr>
          <w:p>
            <w:pPr>
              <w:spacing w:after="0"/>
              <w:rPr>
                <w:sz w:val="1"/>
                <w:szCs w:val="1"/>
                <w:color w:val="auto"/>
              </w:rPr>
            </w:pPr>
          </w:p>
        </w:tc>
      </w:tr>
      <w:tr>
        <w:trPr>
          <w:trHeight w:val="226"/>
        </w:trPr>
        <w:tc>
          <w:tcPr>
            <w:tcW w:w="1000" w:type="dxa"/>
            <w:vAlign w:val="bottom"/>
          </w:tcPr>
          <w:p>
            <w:pPr>
              <w:spacing w:after="0"/>
              <w:rPr>
                <w:sz w:val="19"/>
                <w:szCs w:val="19"/>
                <w:color w:val="auto"/>
              </w:rPr>
            </w:pPr>
          </w:p>
        </w:tc>
        <w:tc>
          <w:tcPr>
            <w:tcW w:w="360" w:type="dxa"/>
            <w:vAlign w:val="bottom"/>
            <w:tcBorders>
              <w:bottom w:val="single" w:sz="8" w:color="595959"/>
            </w:tcBorders>
          </w:tcPr>
          <w:p>
            <w:pPr>
              <w:ind w:left="40"/>
              <w:spacing w:after="0"/>
              <w:rPr>
                <w:sz w:val="20"/>
                <w:szCs w:val="20"/>
                <w:color w:val="auto"/>
              </w:rPr>
            </w:pPr>
            <w:r>
              <w:rPr>
                <w:rFonts w:ascii="Arial" w:cs="Arial" w:eastAsia="Arial" w:hAnsi="Arial"/>
                <w:sz w:val="14"/>
                <w:szCs w:val="14"/>
                <w:color w:val="auto"/>
                <w:w w:val="96"/>
              </w:rPr>
              <w:t>2019</w:t>
            </w:r>
          </w:p>
        </w:tc>
        <w:tc>
          <w:tcPr>
            <w:tcW w:w="960" w:type="dxa"/>
            <w:vAlign w:val="bottom"/>
            <w:tcBorders>
              <w:bottom w:val="single" w:sz="8" w:color="595959"/>
            </w:tcBorders>
          </w:tcPr>
          <w:p>
            <w:pPr>
              <w:ind w:left="20"/>
              <w:spacing w:after="0"/>
              <w:rPr>
                <w:sz w:val="20"/>
                <w:szCs w:val="20"/>
                <w:color w:val="auto"/>
              </w:rPr>
            </w:pPr>
            <w:r>
              <w:rPr>
                <w:rFonts w:ascii="Arial" w:cs="Arial" w:eastAsia="Arial" w:hAnsi="Arial"/>
                <w:sz w:val="14"/>
                <w:szCs w:val="14"/>
                <w:color w:val="auto"/>
              </w:rPr>
              <w:t>PSA</w:t>
            </w:r>
          </w:p>
        </w:tc>
        <w:tc>
          <w:tcPr>
            <w:tcW w:w="86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9/15/2020</w:t>
            </w:r>
          </w:p>
        </w:tc>
        <w:tc>
          <w:tcPr>
            <w:tcW w:w="720" w:type="dxa"/>
            <w:vAlign w:val="bottom"/>
            <w:tcBorders>
              <w:bottom w:val="single" w:sz="8" w:color="595959"/>
            </w:tcBorders>
          </w:tcPr>
          <w:p>
            <w:pPr>
              <w:spacing w:after="0"/>
              <w:rPr>
                <w:sz w:val="19"/>
                <w:szCs w:val="19"/>
                <w:color w:val="auto"/>
              </w:rPr>
            </w:pPr>
          </w:p>
        </w:tc>
        <w:tc>
          <w:tcPr>
            <w:tcW w:w="860" w:type="dxa"/>
            <w:vAlign w:val="bottom"/>
            <w:tcBorders>
              <w:bottom w:val="single" w:sz="8" w:color="595959"/>
            </w:tcBorders>
          </w:tcPr>
          <w:p>
            <w:pPr>
              <w:spacing w:after="0"/>
              <w:rPr>
                <w:sz w:val="19"/>
                <w:szCs w:val="19"/>
                <w:color w:val="auto"/>
              </w:rPr>
            </w:pPr>
          </w:p>
        </w:tc>
        <w:tc>
          <w:tcPr>
            <w:tcW w:w="740" w:type="dxa"/>
            <w:vAlign w:val="bottom"/>
            <w:tcBorders>
              <w:bottom w:val="single" w:sz="8" w:color="595959"/>
            </w:tcBorders>
          </w:tcPr>
          <w:p>
            <w:pPr>
              <w:spacing w:after="0"/>
              <w:rPr>
                <w:sz w:val="19"/>
                <w:szCs w:val="19"/>
                <w:color w:val="auto"/>
              </w:rPr>
            </w:pPr>
          </w:p>
        </w:tc>
        <w:tc>
          <w:tcPr>
            <w:tcW w:w="10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jc w:val="right"/>
              <w:ind w:right="32"/>
              <w:spacing w:after="0"/>
              <w:rPr>
                <w:sz w:val="20"/>
                <w:szCs w:val="20"/>
                <w:color w:val="auto"/>
              </w:rPr>
            </w:pPr>
            <w:r>
              <w:rPr>
                <w:rFonts w:ascii="Arial" w:cs="Arial" w:eastAsia="Arial" w:hAnsi="Arial"/>
                <w:sz w:val="14"/>
                <w:szCs w:val="14"/>
                <w:color w:val="auto"/>
              </w:rPr>
              <w:t>752</w:t>
            </w:r>
          </w:p>
        </w:tc>
        <w:tc>
          <w:tcPr>
            <w:tcW w:w="60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30,046</w:t>
            </w:r>
          </w:p>
        </w:tc>
        <w:tc>
          <w:tcPr>
            <w:tcW w:w="74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90,138</w:t>
            </w:r>
          </w:p>
        </w:tc>
        <w:tc>
          <w:tcPr>
            <w:tcW w:w="64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9,216,187</w:t>
            </w:r>
          </w:p>
        </w:tc>
        <w:tc>
          <w:tcPr>
            <w:tcW w:w="0" w:type="dxa"/>
            <w:vAlign w:val="bottom"/>
          </w:tcPr>
          <w:p>
            <w:pPr>
              <w:spacing w:after="0"/>
              <w:rPr>
                <w:sz w:val="1"/>
                <w:szCs w:val="1"/>
                <w:color w:val="auto"/>
              </w:rPr>
            </w:pPr>
          </w:p>
        </w:tc>
      </w:tr>
      <w:tr>
        <w:trPr>
          <w:trHeight w:val="226"/>
        </w:trPr>
        <w:tc>
          <w:tcPr>
            <w:tcW w:w="1000" w:type="dxa"/>
            <w:vAlign w:val="bottom"/>
          </w:tcPr>
          <w:p>
            <w:pPr>
              <w:spacing w:after="0"/>
              <w:rPr>
                <w:sz w:val="19"/>
                <w:szCs w:val="19"/>
                <w:color w:val="auto"/>
              </w:rPr>
            </w:pPr>
          </w:p>
        </w:tc>
        <w:tc>
          <w:tcPr>
            <w:tcW w:w="360" w:type="dxa"/>
            <w:vAlign w:val="bottom"/>
            <w:tcBorders>
              <w:bottom w:val="single" w:sz="8" w:color="595959"/>
            </w:tcBorders>
          </w:tcPr>
          <w:p>
            <w:pPr>
              <w:ind w:left="40"/>
              <w:spacing w:after="0"/>
              <w:rPr>
                <w:sz w:val="20"/>
                <w:szCs w:val="20"/>
                <w:color w:val="auto"/>
              </w:rPr>
            </w:pPr>
            <w:r>
              <w:rPr>
                <w:rFonts w:ascii="Arial" w:cs="Arial" w:eastAsia="Arial" w:hAnsi="Arial"/>
                <w:sz w:val="14"/>
                <w:szCs w:val="14"/>
                <w:color w:val="auto"/>
                <w:w w:val="96"/>
              </w:rPr>
              <w:t>2019</w:t>
            </w:r>
          </w:p>
        </w:tc>
        <w:tc>
          <w:tcPr>
            <w:tcW w:w="960" w:type="dxa"/>
            <w:vAlign w:val="bottom"/>
            <w:tcBorders>
              <w:bottom w:val="single" w:sz="8" w:color="595959"/>
            </w:tcBorders>
          </w:tcPr>
          <w:p>
            <w:pPr>
              <w:ind w:left="20"/>
              <w:spacing w:after="0"/>
              <w:rPr>
                <w:sz w:val="20"/>
                <w:szCs w:val="20"/>
                <w:color w:val="auto"/>
              </w:rPr>
            </w:pPr>
            <w:r>
              <w:rPr>
                <w:rFonts w:ascii="Arial" w:cs="Arial" w:eastAsia="Arial" w:hAnsi="Arial"/>
                <w:sz w:val="14"/>
                <w:szCs w:val="14"/>
                <w:color w:val="auto"/>
              </w:rPr>
              <w:t>PSA</w:t>
            </w:r>
          </w:p>
        </w:tc>
        <w:tc>
          <w:tcPr>
            <w:tcW w:w="86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12/1/2020</w:t>
            </w:r>
          </w:p>
        </w:tc>
        <w:tc>
          <w:tcPr>
            <w:tcW w:w="720" w:type="dxa"/>
            <w:vAlign w:val="bottom"/>
            <w:tcBorders>
              <w:bottom w:val="single" w:sz="8" w:color="595959"/>
            </w:tcBorders>
          </w:tcPr>
          <w:p>
            <w:pPr>
              <w:spacing w:after="0"/>
              <w:rPr>
                <w:sz w:val="19"/>
                <w:szCs w:val="19"/>
                <w:color w:val="auto"/>
              </w:rPr>
            </w:pPr>
          </w:p>
        </w:tc>
        <w:tc>
          <w:tcPr>
            <w:tcW w:w="860" w:type="dxa"/>
            <w:vAlign w:val="bottom"/>
            <w:tcBorders>
              <w:bottom w:val="single" w:sz="8" w:color="595959"/>
            </w:tcBorders>
          </w:tcPr>
          <w:p>
            <w:pPr>
              <w:spacing w:after="0"/>
              <w:rPr>
                <w:sz w:val="19"/>
                <w:szCs w:val="19"/>
                <w:color w:val="auto"/>
              </w:rPr>
            </w:pPr>
          </w:p>
        </w:tc>
        <w:tc>
          <w:tcPr>
            <w:tcW w:w="740" w:type="dxa"/>
            <w:vAlign w:val="bottom"/>
            <w:tcBorders>
              <w:bottom w:val="single" w:sz="8" w:color="595959"/>
            </w:tcBorders>
          </w:tcPr>
          <w:p>
            <w:pPr>
              <w:spacing w:after="0"/>
              <w:rPr>
                <w:sz w:val="19"/>
                <w:szCs w:val="19"/>
                <w:color w:val="auto"/>
              </w:rPr>
            </w:pPr>
          </w:p>
        </w:tc>
        <w:tc>
          <w:tcPr>
            <w:tcW w:w="10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jc w:val="right"/>
              <w:ind w:right="32"/>
              <w:spacing w:after="0"/>
              <w:rPr>
                <w:sz w:val="20"/>
                <w:szCs w:val="20"/>
                <w:color w:val="auto"/>
              </w:rPr>
            </w:pPr>
            <w:r>
              <w:rPr>
                <w:rFonts w:ascii="Arial" w:cs="Arial" w:eastAsia="Arial" w:hAnsi="Arial"/>
                <w:sz w:val="14"/>
                <w:szCs w:val="14"/>
                <w:color w:val="auto"/>
              </w:rPr>
              <w:t>177</w:t>
            </w:r>
          </w:p>
        </w:tc>
        <w:tc>
          <w:tcPr>
            <w:tcW w:w="60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7,048</w:t>
            </w:r>
          </w:p>
        </w:tc>
        <w:tc>
          <w:tcPr>
            <w:tcW w:w="74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21,144</w:t>
            </w:r>
          </w:p>
        </w:tc>
        <w:tc>
          <w:tcPr>
            <w:tcW w:w="64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2,260,772</w:t>
            </w:r>
          </w:p>
        </w:tc>
        <w:tc>
          <w:tcPr>
            <w:tcW w:w="0" w:type="dxa"/>
            <w:vAlign w:val="bottom"/>
          </w:tcPr>
          <w:p>
            <w:pPr>
              <w:spacing w:after="0"/>
              <w:rPr>
                <w:sz w:val="1"/>
                <w:szCs w:val="1"/>
                <w:color w:val="auto"/>
              </w:rPr>
            </w:pPr>
          </w:p>
        </w:tc>
      </w:tr>
      <w:tr>
        <w:trPr>
          <w:trHeight w:val="226"/>
        </w:trPr>
        <w:tc>
          <w:tcPr>
            <w:tcW w:w="1000" w:type="dxa"/>
            <w:vAlign w:val="bottom"/>
            <w:tcBorders>
              <w:bottom w:val="single" w:sz="8" w:color="0075C9"/>
            </w:tcBorders>
          </w:tcPr>
          <w:p>
            <w:pPr>
              <w:spacing w:after="0"/>
              <w:rPr>
                <w:sz w:val="19"/>
                <w:szCs w:val="19"/>
                <w:color w:val="auto"/>
              </w:rPr>
            </w:pPr>
          </w:p>
        </w:tc>
        <w:tc>
          <w:tcPr>
            <w:tcW w:w="360" w:type="dxa"/>
            <w:vAlign w:val="bottom"/>
            <w:tcBorders>
              <w:bottom w:val="single" w:sz="8" w:color="0075C9"/>
            </w:tcBorders>
          </w:tcPr>
          <w:p>
            <w:pPr>
              <w:ind w:left="40"/>
              <w:spacing w:after="0"/>
              <w:rPr>
                <w:sz w:val="20"/>
                <w:szCs w:val="20"/>
                <w:color w:val="auto"/>
              </w:rPr>
            </w:pPr>
            <w:r>
              <w:rPr>
                <w:rFonts w:ascii="Arial" w:cs="Arial" w:eastAsia="Arial" w:hAnsi="Arial"/>
                <w:sz w:val="14"/>
                <w:szCs w:val="14"/>
                <w:color w:val="auto"/>
                <w:w w:val="96"/>
              </w:rPr>
              <w:t>2021</w:t>
            </w:r>
          </w:p>
        </w:tc>
        <w:tc>
          <w:tcPr>
            <w:tcW w:w="960" w:type="dxa"/>
            <w:vAlign w:val="bottom"/>
            <w:tcBorders>
              <w:bottom w:val="single" w:sz="8" w:color="0075C9"/>
            </w:tcBorders>
          </w:tcPr>
          <w:p>
            <w:pPr>
              <w:ind w:left="20"/>
              <w:spacing w:after="0"/>
              <w:rPr>
                <w:sz w:val="20"/>
                <w:szCs w:val="20"/>
                <w:color w:val="auto"/>
              </w:rPr>
            </w:pPr>
            <w:r>
              <w:rPr>
                <w:rFonts w:ascii="Arial" w:cs="Arial" w:eastAsia="Arial" w:hAnsi="Arial"/>
                <w:sz w:val="14"/>
                <w:szCs w:val="14"/>
                <w:color w:val="auto"/>
              </w:rPr>
              <w:t>SA</w:t>
            </w:r>
          </w:p>
        </w:tc>
        <w:tc>
          <w:tcPr>
            <w:tcW w:w="860" w:type="dxa"/>
            <w:vAlign w:val="bottom"/>
            <w:tcBorders>
              <w:bottom w:val="single" w:sz="8" w:color="0075C9"/>
            </w:tcBorders>
          </w:tcPr>
          <w:p>
            <w:pPr>
              <w:jc w:val="right"/>
              <w:ind w:right="31"/>
              <w:spacing w:after="0"/>
              <w:rPr>
                <w:sz w:val="20"/>
                <w:szCs w:val="20"/>
                <w:color w:val="auto"/>
              </w:rPr>
            </w:pPr>
            <w:r>
              <w:rPr>
                <w:rFonts w:ascii="Arial" w:cs="Arial" w:eastAsia="Arial" w:hAnsi="Arial"/>
                <w:sz w:val="14"/>
                <w:szCs w:val="14"/>
                <w:color w:val="auto"/>
              </w:rPr>
              <w:t>9/15/2020</w:t>
            </w:r>
          </w:p>
        </w:tc>
        <w:tc>
          <w:tcPr>
            <w:tcW w:w="720" w:type="dxa"/>
            <w:vAlign w:val="bottom"/>
            <w:tcBorders>
              <w:bottom w:val="single" w:sz="8" w:color="0075C9"/>
            </w:tcBorders>
          </w:tcPr>
          <w:p>
            <w:pPr>
              <w:spacing w:after="0"/>
              <w:rPr>
                <w:sz w:val="19"/>
                <w:szCs w:val="19"/>
                <w:color w:val="auto"/>
              </w:rPr>
            </w:pPr>
          </w:p>
        </w:tc>
        <w:tc>
          <w:tcPr>
            <w:tcW w:w="860" w:type="dxa"/>
            <w:vAlign w:val="bottom"/>
            <w:tcBorders>
              <w:bottom w:val="single" w:sz="8" w:color="0075C9"/>
            </w:tcBorders>
          </w:tcPr>
          <w:p>
            <w:pPr>
              <w:spacing w:after="0"/>
              <w:rPr>
                <w:sz w:val="19"/>
                <w:szCs w:val="19"/>
                <w:color w:val="auto"/>
              </w:rPr>
            </w:pPr>
          </w:p>
        </w:tc>
        <w:tc>
          <w:tcPr>
            <w:tcW w:w="740" w:type="dxa"/>
            <w:vAlign w:val="bottom"/>
            <w:tcBorders>
              <w:bottom w:val="single" w:sz="8" w:color="0075C9"/>
            </w:tcBorders>
          </w:tcPr>
          <w:p>
            <w:pPr>
              <w:spacing w:after="0"/>
              <w:rPr>
                <w:sz w:val="19"/>
                <w:szCs w:val="19"/>
                <w:color w:val="auto"/>
              </w:rPr>
            </w:pPr>
          </w:p>
        </w:tc>
        <w:tc>
          <w:tcPr>
            <w:tcW w:w="100" w:type="dxa"/>
            <w:vAlign w:val="bottom"/>
            <w:tcBorders>
              <w:bottom w:val="single" w:sz="8" w:color="0075C9"/>
            </w:tcBorders>
          </w:tcPr>
          <w:p>
            <w:pPr>
              <w:spacing w:after="0"/>
              <w:rPr>
                <w:sz w:val="19"/>
                <w:szCs w:val="19"/>
                <w:color w:val="auto"/>
              </w:rPr>
            </w:pPr>
          </w:p>
        </w:tc>
        <w:tc>
          <w:tcPr>
            <w:tcW w:w="800" w:type="dxa"/>
            <w:vAlign w:val="bottom"/>
            <w:tcBorders>
              <w:bottom w:val="single" w:sz="8" w:color="0075C9"/>
            </w:tcBorders>
          </w:tcPr>
          <w:p>
            <w:pPr>
              <w:spacing w:after="0"/>
              <w:rPr>
                <w:sz w:val="19"/>
                <w:szCs w:val="19"/>
                <w:color w:val="auto"/>
              </w:rPr>
            </w:pPr>
          </w:p>
        </w:tc>
        <w:tc>
          <w:tcPr>
            <w:tcW w:w="600" w:type="dxa"/>
            <w:vAlign w:val="bottom"/>
            <w:tcBorders>
              <w:bottom w:val="single" w:sz="8" w:color="0075C9"/>
            </w:tcBorders>
          </w:tcPr>
          <w:p>
            <w:pPr>
              <w:spacing w:after="0"/>
              <w:rPr>
                <w:sz w:val="19"/>
                <w:szCs w:val="19"/>
                <w:color w:val="auto"/>
              </w:rPr>
            </w:pPr>
          </w:p>
        </w:tc>
        <w:tc>
          <w:tcPr>
            <w:tcW w:w="740" w:type="dxa"/>
            <w:vAlign w:val="bottom"/>
            <w:tcBorders>
              <w:bottom w:val="single" w:sz="8" w:color="0075C9"/>
            </w:tcBorders>
          </w:tcPr>
          <w:p>
            <w:pPr>
              <w:spacing w:after="0"/>
              <w:rPr>
                <w:sz w:val="19"/>
                <w:szCs w:val="19"/>
                <w:color w:val="auto"/>
              </w:rPr>
            </w:pPr>
          </w:p>
        </w:tc>
        <w:tc>
          <w:tcPr>
            <w:tcW w:w="64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33,255</w:t>
            </w:r>
          </w:p>
        </w:tc>
        <w:tc>
          <w:tcPr>
            <w:tcW w:w="80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6,771,107</w:t>
            </w:r>
          </w:p>
        </w:tc>
        <w:tc>
          <w:tcPr>
            <w:tcW w:w="0" w:type="dxa"/>
            <w:vAlign w:val="bottom"/>
          </w:tcPr>
          <w:p>
            <w:pPr>
              <w:spacing w:after="0"/>
              <w:rPr>
                <w:sz w:val="1"/>
                <w:szCs w:val="1"/>
                <w:color w:val="auto"/>
              </w:rPr>
            </w:pPr>
          </w:p>
        </w:tc>
      </w:tr>
      <w:tr>
        <w:trPr>
          <w:trHeight w:val="226"/>
        </w:trPr>
        <w:tc>
          <w:tcPr>
            <w:tcW w:w="1000" w:type="dxa"/>
            <w:vAlign w:val="bottom"/>
          </w:tcPr>
          <w:p>
            <w:pPr>
              <w:ind w:left="80"/>
              <w:spacing w:after="0"/>
              <w:rPr>
                <w:sz w:val="20"/>
                <w:szCs w:val="20"/>
                <w:color w:val="auto"/>
              </w:rPr>
            </w:pPr>
            <w:r>
              <w:rPr>
                <w:rFonts w:ascii="Arial" w:cs="Arial" w:eastAsia="Arial" w:hAnsi="Arial"/>
                <w:sz w:val="14"/>
                <w:szCs w:val="14"/>
                <w:b w:val="1"/>
                <w:bCs w:val="1"/>
                <w:color w:val="0075C9"/>
              </w:rPr>
              <w:t>Amy E. Hood</w:t>
            </w:r>
          </w:p>
        </w:tc>
        <w:tc>
          <w:tcPr>
            <w:tcW w:w="360" w:type="dxa"/>
            <w:vAlign w:val="bottom"/>
            <w:tcBorders>
              <w:bottom w:val="single" w:sz="8" w:color="595959"/>
            </w:tcBorders>
          </w:tcPr>
          <w:p>
            <w:pPr>
              <w:ind w:left="40"/>
              <w:spacing w:after="0"/>
              <w:rPr>
                <w:sz w:val="20"/>
                <w:szCs w:val="20"/>
                <w:color w:val="auto"/>
              </w:rPr>
            </w:pPr>
            <w:r>
              <w:rPr>
                <w:rFonts w:ascii="Arial" w:cs="Arial" w:eastAsia="Arial" w:hAnsi="Arial"/>
                <w:sz w:val="14"/>
                <w:szCs w:val="14"/>
                <w:color w:val="auto"/>
                <w:w w:val="96"/>
              </w:rPr>
              <w:t>2021</w:t>
            </w:r>
          </w:p>
        </w:tc>
        <w:tc>
          <w:tcPr>
            <w:tcW w:w="960" w:type="dxa"/>
            <w:vAlign w:val="bottom"/>
            <w:tcBorders>
              <w:bottom w:val="single" w:sz="8" w:color="595959"/>
            </w:tcBorders>
          </w:tcPr>
          <w:p>
            <w:pPr>
              <w:ind w:left="20"/>
              <w:spacing w:after="0"/>
              <w:rPr>
                <w:sz w:val="20"/>
                <w:szCs w:val="20"/>
                <w:color w:val="auto"/>
              </w:rPr>
            </w:pPr>
            <w:r>
              <w:rPr>
                <w:rFonts w:ascii="Arial" w:cs="Arial" w:eastAsia="Arial" w:hAnsi="Arial"/>
                <w:sz w:val="14"/>
                <w:szCs w:val="14"/>
                <w:color w:val="auto"/>
                <w:w w:val="99"/>
              </w:rPr>
              <w:t>Cash Incentive</w:t>
            </w:r>
          </w:p>
        </w:tc>
        <w:tc>
          <w:tcPr>
            <w:tcW w:w="860" w:type="dxa"/>
            <w:vAlign w:val="bottom"/>
            <w:tcBorders>
              <w:bottom w:val="single" w:sz="8" w:color="595959"/>
            </w:tcBorders>
          </w:tcPr>
          <w:p>
            <w:pPr>
              <w:spacing w:after="0"/>
              <w:rPr>
                <w:sz w:val="19"/>
                <w:szCs w:val="19"/>
                <w:color w:val="auto"/>
              </w:rPr>
            </w:pPr>
          </w:p>
        </w:tc>
        <w:tc>
          <w:tcPr>
            <w:tcW w:w="72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0</w:t>
            </w:r>
          </w:p>
        </w:tc>
        <w:tc>
          <w:tcPr>
            <w:tcW w:w="86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2,489,584</w:t>
            </w:r>
          </w:p>
        </w:tc>
        <w:tc>
          <w:tcPr>
            <w:tcW w:w="74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4,979,167</w:t>
            </w:r>
          </w:p>
        </w:tc>
        <w:tc>
          <w:tcPr>
            <w:tcW w:w="10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spacing w:after="0"/>
              <w:rPr>
                <w:sz w:val="19"/>
                <w:szCs w:val="19"/>
                <w:color w:val="auto"/>
              </w:rPr>
            </w:pPr>
          </w:p>
        </w:tc>
        <w:tc>
          <w:tcPr>
            <w:tcW w:w="600" w:type="dxa"/>
            <w:vAlign w:val="bottom"/>
            <w:tcBorders>
              <w:bottom w:val="single" w:sz="8" w:color="595959"/>
            </w:tcBorders>
          </w:tcPr>
          <w:p>
            <w:pPr>
              <w:spacing w:after="0"/>
              <w:rPr>
                <w:sz w:val="19"/>
                <w:szCs w:val="19"/>
                <w:color w:val="auto"/>
              </w:rPr>
            </w:pPr>
          </w:p>
        </w:tc>
        <w:tc>
          <w:tcPr>
            <w:tcW w:w="740" w:type="dxa"/>
            <w:vAlign w:val="bottom"/>
            <w:tcBorders>
              <w:bottom w:val="single" w:sz="8" w:color="595959"/>
            </w:tcBorders>
          </w:tcPr>
          <w:p>
            <w:pPr>
              <w:spacing w:after="0"/>
              <w:rPr>
                <w:sz w:val="19"/>
                <w:szCs w:val="19"/>
                <w:color w:val="auto"/>
              </w:rPr>
            </w:pPr>
          </w:p>
        </w:tc>
        <w:tc>
          <w:tcPr>
            <w:tcW w:w="64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000" w:type="dxa"/>
            <w:vAlign w:val="bottom"/>
          </w:tcPr>
          <w:p>
            <w:pPr>
              <w:spacing w:after="0"/>
              <w:rPr>
                <w:sz w:val="19"/>
                <w:szCs w:val="19"/>
                <w:color w:val="auto"/>
              </w:rPr>
            </w:pPr>
          </w:p>
        </w:tc>
        <w:tc>
          <w:tcPr>
            <w:tcW w:w="360" w:type="dxa"/>
            <w:vAlign w:val="bottom"/>
            <w:tcBorders>
              <w:bottom w:val="single" w:sz="8" w:color="595959"/>
            </w:tcBorders>
          </w:tcPr>
          <w:p>
            <w:pPr>
              <w:ind w:left="40"/>
              <w:spacing w:after="0"/>
              <w:rPr>
                <w:sz w:val="20"/>
                <w:szCs w:val="20"/>
                <w:color w:val="auto"/>
              </w:rPr>
            </w:pPr>
            <w:r>
              <w:rPr>
                <w:rFonts w:ascii="Arial" w:cs="Arial" w:eastAsia="Arial" w:hAnsi="Arial"/>
                <w:sz w:val="14"/>
                <w:szCs w:val="14"/>
                <w:color w:val="auto"/>
                <w:w w:val="96"/>
              </w:rPr>
              <w:t>2021</w:t>
            </w:r>
          </w:p>
        </w:tc>
        <w:tc>
          <w:tcPr>
            <w:tcW w:w="960" w:type="dxa"/>
            <w:vAlign w:val="bottom"/>
            <w:tcBorders>
              <w:bottom w:val="single" w:sz="8" w:color="595959"/>
            </w:tcBorders>
          </w:tcPr>
          <w:p>
            <w:pPr>
              <w:ind w:left="20"/>
              <w:spacing w:after="0"/>
              <w:rPr>
                <w:sz w:val="20"/>
                <w:szCs w:val="20"/>
                <w:color w:val="auto"/>
              </w:rPr>
            </w:pPr>
            <w:r>
              <w:rPr>
                <w:rFonts w:ascii="Arial" w:cs="Arial" w:eastAsia="Arial" w:hAnsi="Arial"/>
                <w:sz w:val="14"/>
                <w:szCs w:val="14"/>
                <w:color w:val="auto"/>
              </w:rPr>
              <w:t>PSA</w:t>
            </w:r>
          </w:p>
        </w:tc>
        <w:tc>
          <w:tcPr>
            <w:tcW w:w="86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9/14/2020</w:t>
            </w:r>
          </w:p>
        </w:tc>
        <w:tc>
          <w:tcPr>
            <w:tcW w:w="720" w:type="dxa"/>
            <w:vAlign w:val="bottom"/>
            <w:tcBorders>
              <w:bottom w:val="single" w:sz="8" w:color="595959"/>
            </w:tcBorders>
          </w:tcPr>
          <w:p>
            <w:pPr>
              <w:spacing w:after="0"/>
              <w:rPr>
                <w:sz w:val="19"/>
                <w:szCs w:val="19"/>
                <w:color w:val="auto"/>
              </w:rPr>
            </w:pPr>
          </w:p>
        </w:tc>
        <w:tc>
          <w:tcPr>
            <w:tcW w:w="860" w:type="dxa"/>
            <w:vAlign w:val="bottom"/>
            <w:tcBorders>
              <w:bottom w:val="single" w:sz="8" w:color="595959"/>
            </w:tcBorders>
          </w:tcPr>
          <w:p>
            <w:pPr>
              <w:spacing w:after="0"/>
              <w:rPr>
                <w:sz w:val="19"/>
                <w:szCs w:val="19"/>
                <w:color w:val="auto"/>
              </w:rPr>
            </w:pPr>
          </w:p>
        </w:tc>
        <w:tc>
          <w:tcPr>
            <w:tcW w:w="740" w:type="dxa"/>
            <w:vAlign w:val="bottom"/>
            <w:tcBorders>
              <w:bottom w:val="single" w:sz="8" w:color="595959"/>
            </w:tcBorders>
          </w:tcPr>
          <w:p>
            <w:pPr>
              <w:spacing w:after="0"/>
              <w:rPr>
                <w:sz w:val="19"/>
                <w:szCs w:val="19"/>
                <w:color w:val="auto"/>
              </w:rPr>
            </w:pPr>
          </w:p>
        </w:tc>
        <w:tc>
          <w:tcPr>
            <w:tcW w:w="10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jc w:val="right"/>
              <w:ind w:right="32"/>
              <w:spacing w:after="0"/>
              <w:rPr>
                <w:sz w:val="20"/>
                <w:szCs w:val="20"/>
                <w:color w:val="auto"/>
              </w:rPr>
            </w:pPr>
            <w:r>
              <w:rPr>
                <w:rFonts w:ascii="Arial" w:cs="Arial" w:eastAsia="Arial" w:hAnsi="Arial"/>
                <w:sz w:val="14"/>
                <w:szCs w:val="14"/>
                <w:color w:val="auto"/>
              </w:rPr>
              <w:t>109</w:t>
            </w:r>
          </w:p>
        </w:tc>
        <w:tc>
          <w:tcPr>
            <w:tcW w:w="60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8,680</w:t>
            </w:r>
          </w:p>
        </w:tc>
        <w:tc>
          <w:tcPr>
            <w:tcW w:w="74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26,040</w:t>
            </w:r>
          </w:p>
        </w:tc>
        <w:tc>
          <w:tcPr>
            <w:tcW w:w="64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1,994,593</w:t>
            </w:r>
          </w:p>
        </w:tc>
        <w:tc>
          <w:tcPr>
            <w:tcW w:w="0" w:type="dxa"/>
            <w:vAlign w:val="bottom"/>
          </w:tcPr>
          <w:p>
            <w:pPr>
              <w:spacing w:after="0"/>
              <w:rPr>
                <w:sz w:val="1"/>
                <w:szCs w:val="1"/>
                <w:color w:val="auto"/>
              </w:rPr>
            </w:pPr>
          </w:p>
        </w:tc>
      </w:tr>
      <w:tr>
        <w:trPr>
          <w:trHeight w:val="226"/>
        </w:trPr>
        <w:tc>
          <w:tcPr>
            <w:tcW w:w="1000" w:type="dxa"/>
            <w:vAlign w:val="bottom"/>
          </w:tcPr>
          <w:p>
            <w:pPr>
              <w:spacing w:after="0"/>
              <w:rPr>
                <w:sz w:val="19"/>
                <w:szCs w:val="19"/>
                <w:color w:val="auto"/>
              </w:rPr>
            </w:pPr>
          </w:p>
        </w:tc>
        <w:tc>
          <w:tcPr>
            <w:tcW w:w="360" w:type="dxa"/>
            <w:vAlign w:val="bottom"/>
            <w:tcBorders>
              <w:bottom w:val="single" w:sz="8" w:color="595959"/>
            </w:tcBorders>
          </w:tcPr>
          <w:p>
            <w:pPr>
              <w:ind w:left="40"/>
              <w:spacing w:after="0"/>
              <w:rPr>
                <w:sz w:val="20"/>
                <w:szCs w:val="20"/>
                <w:color w:val="auto"/>
              </w:rPr>
            </w:pPr>
            <w:r>
              <w:rPr>
                <w:rFonts w:ascii="Arial" w:cs="Arial" w:eastAsia="Arial" w:hAnsi="Arial"/>
                <w:sz w:val="14"/>
                <w:szCs w:val="14"/>
                <w:color w:val="auto"/>
                <w:w w:val="96"/>
              </w:rPr>
              <w:t>2021</w:t>
            </w:r>
          </w:p>
        </w:tc>
        <w:tc>
          <w:tcPr>
            <w:tcW w:w="960" w:type="dxa"/>
            <w:vAlign w:val="bottom"/>
            <w:tcBorders>
              <w:bottom w:val="single" w:sz="8" w:color="595959"/>
            </w:tcBorders>
          </w:tcPr>
          <w:p>
            <w:pPr>
              <w:ind w:left="20"/>
              <w:spacing w:after="0"/>
              <w:rPr>
                <w:sz w:val="20"/>
                <w:szCs w:val="20"/>
                <w:color w:val="auto"/>
              </w:rPr>
            </w:pPr>
            <w:r>
              <w:rPr>
                <w:rFonts w:ascii="Arial" w:cs="Arial" w:eastAsia="Arial" w:hAnsi="Arial"/>
                <w:sz w:val="14"/>
                <w:szCs w:val="14"/>
                <w:color w:val="auto"/>
              </w:rPr>
              <w:t>PSA</w:t>
            </w:r>
          </w:p>
        </w:tc>
        <w:tc>
          <w:tcPr>
            <w:tcW w:w="86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12/1/2020</w:t>
            </w:r>
          </w:p>
        </w:tc>
        <w:tc>
          <w:tcPr>
            <w:tcW w:w="720" w:type="dxa"/>
            <w:vAlign w:val="bottom"/>
            <w:tcBorders>
              <w:bottom w:val="single" w:sz="8" w:color="595959"/>
            </w:tcBorders>
          </w:tcPr>
          <w:p>
            <w:pPr>
              <w:spacing w:after="0"/>
              <w:rPr>
                <w:sz w:val="19"/>
                <w:szCs w:val="19"/>
                <w:color w:val="auto"/>
              </w:rPr>
            </w:pPr>
          </w:p>
        </w:tc>
        <w:tc>
          <w:tcPr>
            <w:tcW w:w="860" w:type="dxa"/>
            <w:vAlign w:val="bottom"/>
            <w:tcBorders>
              <w:bottom w:val="single" w:sz="8" w:color="595959"/>
            </w:tcBorders>
          </w:tcPr>
          <w:p>
            <w:pPr>
              <w:spacing w:after="0"/>
              <w:rPr>
                <w:sz w:val="19"/>
                <w:szCs w:val="19"/>
                <w:color w:val="auto"/>
              </w:rPr>
            </w:pPr>
          </w:p>
        </w:tc>
        <w:tc>
          <w:tcPr>
            <w:tcW w:w="740" w:type="dxa"/>
            <w:vAlign w:val="bottom"/>
            <w:tcBorders>
              <w:bottom w:val="single" w:sz="8" w:color="595959"/>
            </w:tcBorders>
          </w:tcPr>
          <w:p>
            <w:pPr>
              <w:spacing w:after="0"/>
              <w:rPr>
                <w:sz w:val="19"/>
                <w:szCs w:val="19"/>
                <w:color w:val="auto"/>
              </w:rPr>
            </w:pPr>
          </w:p>
        </w:tc>
        <w:tc>
          <w:tcPr>
            <w:tcW w:w="10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jc w:val="right"/>
              <w:ind w:right="32"/>
              <w:spacing w:after="0"/>
              <w:rPr>
                <w:sz w:val="20"/>
                <w:szCs w:val="20"/>
                <w:color w:val="auto"/>
              </w:rPr>
            </w:pPr>
            <w:r>
              <w:rPr>
                <w:rFonts w:ascii="Arial" w:cs="Arial" w:eastAsia="Arial" w:hAnsi="Arial"/>
                <w:sz w:val="14"/>
                <w:szCs w:val="14"/>
                <w:color w:val="auto"/>
              </w:rPr>
              <w:t>26</w:t>
            </w:r>
          </w:p>
        </w:tc>
        <w:tc>
          <w:tcPr>
            <w:tcW w:w="60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2,036</w:t>
            </w:r>
          </w:p>
        </w:tc>
        <w:tc>
          <w:tcPr>
            <w:tcW w:w="74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6,108</w:t>
            </w:r>
          </w:p>
        </w:tc>
        <w:tc>
          <w:tcPr>
            <w:tcW w:w="64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481,223</w:t>
            </w:r>
          </w:p>
        </w:tc>
        <w:tc>
          <w:tcPr>
            <w:tcW w:w="0" w:type="dxa"/>
            <w:vAlign w:val="bottom"/>
          </w:tcPr>
          <w:p>
            <w:pPr>
              <w:spacing w:after="0"/>
              <w:rPr>
                <w:sz w:val="1"/>
                <w:szCs w:val="1"/>
                <w:color w:val="auto"/>
              </w:rPr>
            </w:pPr>
          </w:p>
        </w:tc>
      </w:tr>
      <w:tr>
        <w:trPr>
          <w:trHeight w:val="226"/>
        </w:trPr>
        <w:tc>
          <w:tcPr>
            <w:tcW w:w="1000" w:type="dxa"/>
            <w:vAlign w:val="bottom"/>
          </w:tcPr>
          <w:p>
            <w:pPr>
              <w:spacing w:after="0"/>
              <w:rPr>
                <w:sz w:val="19"/>
                <w:szCs w:val="19"/>
                <w:color w:val="auto"/>
              </w:rPr>
            </w:pPr>
          </w:p>
        </w:tc>
        <w:tc>
          <w:tcPr>
            <w:tcW w:w="360" w:type="dxa"/>
            <w:vAlign w:val="bottom"/>
            <w:tcBorders>
              <w:bottom w:val="single" w:sz="8" w:color="595959"/>
            </w:tcBorders>
          </w:tcPr>
          <w:p>
            <w:pPr>
              <w:ind w:left="40"/>
              <w:spacing w:after="0"/>
              <w:rPr>
                <w:sz w:val="20"/>
                <w:szCs w:val="20"/>
                <w:color w:val="auto"/>
              </w:rPr>
            </w:pPr>
            <w:r>
              <w:rPr>
                <w:rFonts w:ascii="Arial" w:cs="Arial" w:eastAsia="Arial" w:hAnsi="Arial"/>
                <w:sz w:val="14"/>
                <w:szCs w:val="14"/>
                <w:color w:val="auto"/>
                <w:w w:val="96"/>
              </w:rPr>
              <w:t>2020</w:t>
            </w:r>
          </w:p>
        </w:tc>
        <w:tc>
          <w:tcPr>
            <w:tcW w:w="960" w:type="dxa"/>
            <w:vAlign w:val="bottom"/>
            <w:tcBorders>
              <w:bottom w:val="single" w:sz="8" w:color="595959"/>
            </w:tcBorders>
          </w:tcPr>
          <w:p>
            <w:pPr>
              <w:ind w:left="20"/>
              <w:spacing w:after="0"/>
              <w:rPr>
                <w:sz w:val="20"/>
                <w:szCs w:val="20"/>
                <w:color w:val="auto"/>
              </w:rPr>
            </w:pPr>
            <w:r>
              <w:rPr>
                <w:rFonts w:ascii="Arial" w:cs="Arial" w:eastAsia="Arial" w:hAnsi="Arial"/>
                <w:sz w:val="14"/>
                <w:szCs w:val="14"/>
                <w:color w:val="auto"/>
              </w:rPr>
              <w:t>PSA</w:t>
            </w:r>
          </w:p>
        </w:tc>
        <w:tc>
          <w:tcPr>
            <w:tcW w:w="86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9/14/2020</w:t>
            </w:r>
          </w:p>
        </w:tc>
        <w:tc>
          <w:tcPr>
            <w:tcW w:w="720" w:type="dxa"/>
            <w:vAlign w:val="bottom"/>
            <w:tcBorders>
              <w:bottom w:val="single" w:sz="8" w:color="595959"/>
            </w:tcBorders>
          </w:tcPr>
          <w:p>
            <w:pPr>
              <w:spacing w:after="0"/>
              <w:rPr>
                <w:sz w:val="19"/>
                <w:szCs w:val="19"/>
                <w:color w:val="auto"/>
              </w:rPr>
            </w:pPr>
          </w:p>
        </w:tc>
        <w:tc>
          <w:tcPr>
            <w:tcW w:w="860" w:type="dxa"/>
            <w:vAlign w:val="bottom"/>
            <w:tcBorders>
              <w:bottom w:val="single" w:sz="8" w:color="595959"/>
            </w:tcBorders>
          </w:tcPr>
          <w:p>
            <w:pPr>
              <w:spacing w:after="0"/>
              <w:rPr>
                <w:sz w:val="19"/>
                <w:szCs w:val="19"/>
                <w:color w:val="auto"/>
              </w:rPr>
            </w:pPr>
          </w:p>
        </w:tc>
        <w:tc>
          <w:tcPr>
            <w:tcW w:w="740" w:type="dxa"/>
            <w:vAlign w:val="bottom"/>
            <w:tcBorders>
              <w:bottom w:val="single" w:sz="8" w:color="595959"/>
            </w:tcBorders>
          </w:tcPr>
          <w:p>
            <w:pPr>
              <w:spacing w:after="0"/>
              <w:rPr>
                <w:sz w:val="19"/>
                <w:szCs w:val="19"/>
                <w:color w:val="auto"/>
              </w:rPr>
            </w:pPr>
          </w:p>
        </w:tc>
        <w:tc>
          <w:tcPr>
            <w:tcW w:w="10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jc w:val="right"/>
              <w:ind w:right="32"/>
              <w:spacing w:after="0"/>
              <w:rPr>
                <w:sz w:val="20"/>
                <w:szCs w:val="20"/>
                <w:color w:val="auto"/>
              </w:rPr>
            </w:pPr>
            <w:r>
              <w:rPr>
                <w:rFonts w:ascii="Arial" w:cs="Arial" w:eastAsia="Arial" w:hAnsi="Arial"/>
                <w:sz w:val="14"/>
                <w:szCs w:val="14"/>
                <w:color w:val="auto"/>
              </w:rPr>
              <w:t>384</w:t>
            </w:r>
          </w:p>
        </w:tc>
        <w:tc>
          <w:tcPr>
            <w:tcW w:w="60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10,968</w:t>
            </w:r>
          </w:p>
        </w:tc>
        <w:tc>
          <w:tcPr>
            <w:tcW w:w="74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32,904</w:t>
            </w:r>
          </w:p>
        </w:tc>
        <w:tc>
          <w:tcPr>
            <w:tcW w:w="64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3,105,496</w:t>
            </w:r>
          </w:p>
        </w:tc>
        <w:tc>
          <w:tcPr>
            <w:tcW w:w="0" w:type="dxa"/>
            <w:vAlign w:val="bottom"/>
          </w:tcPr>
          <w:p>
            <w:pPr>
              <w:spacing w:after="0"/>
              <w:rPr>
                <w:sz w:val="1"/>
                <w:szCs w:val="1"/>
                <w:color w:val="auto"/>
              </w:rPr>
            </w:pPr>
          </w:p>
        </w:tc>
      </w:tr>
      <w:tr>
        <w:trPr>
          <w:trHeight w:val="226"/>
        </w:trPr>
        <w:tc>
          <w:tcPr>
            <w:tcW w:w="1000" w:type="dxa"/>
            <w:vAlign w:val="bottom"/>
          </w:tcPr>
          <w:p>
            <w:pPr>
              <w:spacing w:after="0"/>
              <w:rPr>
                <w:sz w:val="19"/>
                <w:szCs w:val="19"/>
                <w:color w:val="auto"/>
              </w:rPr>
            </w:pPr>
          </w:p>
        </w:tc>
        <w:tc>
          <w:tcPr>
            <w:tcW w:w="360" w:type="dxa"/>
            <w:vAlign w:val="bottom"/>
            <w:tcBorders>
              <w:bottom w:val="single" w:sz="8" w:color="595959"/>
            </w:tcBorders>
          </w:tcPr>
          <w:p>
            <w:pPr>
              <w:ind w:left="40"/>
              <w:spacing w:after="0"/>
              <w:rPr>
                <w:sz w:val="20"/>
                <w:szCs w:val="20"/>
                <w:color w:val="auto"/>
              </w:rPr>
            </w:pPr>
            <w:r>
              <w:rPr>
                <w:rFonts w:ascii="Arial" w:cs="Arial" w:eastAsia="Arial" w:hAnsi="Arial"/>
                <w:sz w:val="14"/>
                <w:szCs w:val="14"/>
                <w:color w:val="auto"/>
                <w:w w:val="96"/>
              </w:rPr>
              <w:t>2020</w:t>
            </w:r>
          </w:p>
        </w:tc>
        <w:tc>
          <w:tcPr>
            <w:tcW w:w="960" w:type="dxa"/>
            <w:vAlign w:val="bottom"/>
            <w:tcBorders>
              <w:bottom w:val="single" w:sz="8" w:color="595959"/>
            </w:tcBorders>
          </w:tcPr>
          <w:p>
            <w:pPr>
              <w:ind w:left="20"/>
              <w:spacing w:after="0"/>
              <w:rPr>
                <w:sz w:val="20"/>
                <w:szCs w:val="20"/>
                <w:color w:val="auto"/>
              </w:rPr>
            </w:pPr>
            <w:r>
              <w:rPr>
                <w:rFonts w:ascii="Arial" w:cs="Arial" w:eastAsia="Arial" w:hAnsi="Arial"/>
                <w:sz w:val="14"/>
                <w:szCs w:val="14"/>
                <w:color w:val="auto"/>
              </w:rPr>
              <w:t>PSA</w:t>
            </w:r>
          </w:p>
        </w:tc>
        <w:tc>
          <w:tcPr>
            <w:tcW w:w="86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12/1/2020</w:t>
            </w:r>
          </w:p>
        </w:tc>
        <w:tc>
          <w:tcPr>
            <w:tcW w:w="720" w:type="dxa"/>
            <w:vAlign w:val="bottom"/>
            <w:tcBorders>
              <w:bottom w:val="single" w:sz="8" w:color="595959"/>
            </w:tcBorders>
          </w:tcPr>
          <w:p>
            <w:pPr>
              <w:spacing w:after="0"/>
              <w:rPr>
                <w:sz w:val="19"/>
                <w:szCs w:val="19"/>
                <w:color w:val="auto"/>
              </w:rPr>
            </w:pPr>
          </w:p>
        </w:tc>
        <w:tc>
          <w:tcPr>
            <w:tcW w:w="860" w:type="dxa"/>
            <w:vAlign w:val="bottom"/>
            <w:tcBorders>
              <w:bottom w:val="single" w:sz="8" w:color="595959"/>
            </w:tcBorders>
          </w:tcPr>
          <w:p>
            <w:pPr>
              <w:spacing w:after="0"/>
              <w:rPr>
                <w:sz w:val="19"/>
                <w:szCs w:val="19"/>
                <w:color w:val="auto"/>
              </w:rPr>
            </w:pPr>
          </w:p>
        </w:tc>
        <w:tc>
          <w:tcPr>
            <w:tcW w:w="740" w:type="dxa"/>
            <w:vAlign w:val="bottom"/>
            <w:tcBorders>
              <w:bottom w:val="single" w:sz="8" w:color="595959"/>
            </w:tcBorders>
          </w:tcPr>
          <w:p>
            <w:pPr>
              <w:spacing w:after="0"/>
              <w:rPr>
                <w:sz w:val="19"/>
                <w:szCs w:val="19"/>
                <w:color w:val="auto"/>
              </w:rPr>
            </w:pPr>
          </w:p>
        </w:tc>
        <w:tc>
          <w:tcPr>
            <w:tcW w:w="10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jc w:val="right"/>
              <w:ind w:right="32"/>
              <w:spacing w:after="0"/>
              <w:rPr>
                <w:sz w:val="20"/>
                <w:szCs w:val="20"/>
                <w:color w:val="auto"/>
              </w:rPr>
            </w:pPr>
            <w:r>
              <w:rPr>
                <w:rFonts w:ascii="Arial" w:cs="Arial" w:eastAsia="Arial" w:hAnsi="Arial"/>
                <w:sz w:val="14"/>
                <w:szCs w:val="14"/>
                <w:color w:val="auto"/>
              </w:rPr>
              <w:t>91</w:t>
            </w:r>
          </w:p>
        </w:tc>
        <w:tc>
          <w:tcPr>
            <w:tcW w:w="60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2,573</w:t>
            </w:r>
          </w:p>
        </w:tc>
        <w:tc>
          <w:tcPr>
            <w:tcW w:w="74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7,719</w:t>
            </w:r>
          </w:p>
        </w:tc>
        <w:tc>
          <w:tcPr>
            <w:tcW w:w="64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755,977</w:t>
            </w:r>
          </w:p>
        </w:tc>
        <w:tc>
          <w:tcPr>
            <w:tcW w:w="0" w:type="dxa"/>
            <w:vAlign w:val="bottom"/>
          </w:tcPr>
          <w:p>
            <w:pPr>
              <w:spacing w:after="0"/>
              <w:rPr>
                <w:sz w:val="1"/>
                <w:szCs w:val="1"/>
                <w:color w:val="auto"/>
              </w:rPr>
            </w:pPr>
          </w:p>
        </w:tc>
      </w:tr>
      <w:tr>
        <w:trPr>
          <w:trHeight w:val="226"/>
        </w:trPr>
        <w:tc>
          <w:tcPr>
            <w:tcW w:w="1000" w:type="dxa"/>
            <w:vAlign w:val="bottom"/>
          </w:tcPr>
          <w:p>
            <w:pPr>
              <w:spacing w:after="0"/>
              <w:rPr>
                <w:sz w:val="19"/>
                <w:szCs w:val="19"/>
                <w:color w:val="auto"/>
              </w:rPr>
            </w:pPr>
          </w:p>
        </w:tc>
        <w:tc>
          <w:tcPr>
            <w:tcW w:w="360" w:type="dxa"/>
            <w:vAlign w:val="bottom"/>
            <w:tcBorders>
              <w:bottom w:val="single" w:sz="8" w:color="595959"/>
            </w:tcBorders>
          </w:tcPr>
          <w:p>
            <w:pPr>
              <w:ind w:left="40"/>
              <w:spacing w:after="0"/>
              <w:rPr>
                <w:sz w:val="20"/>
                <w:szCs w:val="20"/>
                <w:color w:val="auto"/>
              </w:rPr>
            </w:pPr>
            <w:r>
              <w:rPr>
                <w:rFonts w:ascii="Arial" w:cs="Arial" w:eastAsia="Arial" w:hAnsi="Arial"/>
                <w:sz w:val="14"/>
                <w:szCs w:val="14"/>
                <w:color w:val="auto"/>
                <w:w w:val="96"/>
              </w:rPr>
              <w:t>2019</w:t>
            </w:r>
          </w:p>
        </w:tc>
        <w:tc>
          <w:tcPr>
            <w:tcW w:w="960" w:type="dxa"/>
            <w:vAlign w:val="bottom"/>
            <w:tcBorders>
              <w:bottom w:val="single" w:sz="8" w:color="595959"/>
            </w:tcBorders>
          </w:tcPr>
          <w:p>
            <w:pPr>
              <w:ind w:left="20"/>
              <w:spacing w:after="0"/>
              <w:rPr>
                <w:sz w:val="20"/>
                <w:szCs w:val="20"/>
                <w:color w:val="auto"/>
              </w:rPr>
            </w:pPr>
            <w:r>
              <w:rPr>
                <w:rFonts w:ascii="Arial" w:cs="Arial" w:eastAsia="Arial" w:hAnsi="Arial"/>
                <w:sz w:val="14"/>
                <w:szCs w:val="14"/>
                <w:color w:val="auto"/>
              </w:rPr>
              <w:t>PSA</w:t>
            </w:r>
          </w:p>
        </w:tc>
        <w:tc>
          <w:tcPr>
            <w:tcW w:w="86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9/14/2020</w:t>
            </w:r>
          </w:p>
        </w:tc>
        <w:tc>
          <w:tcPr>
            <w:tcW w:w="720" w:type="dxa"/>
            <w:vAlign w:val="bottom"/>
            <w:tcBorders>
              <w:bottom w:val="single" w:sz="8" w:color="595959"/>
            </w:tcBorders>
          </w:tcPr>
          <w:p>
            <w:pPr>
              <w:spacing w:after="0"/>
              <w:rPr>
                <w:sz w:val="19"/>
                <w:szCs w:val="19"/>
                <w:color w:val="auto"/>
              </w:rPr>
            </w:pPr>
          </w:p>
        </w:tc>
        <w:tc>
          <w:tcPr>
            <w:tcW w:w="860" w:type="dxa"/>
            <w:vAlign w:val="bottom"/>
            <w:tcBorders>
              <w:bottom w:val="single" w:sz="8" w:color="595959"/>
            </w:tcBorders>
          </w:tcPr>
          <w:p>
            <w:pPr>
              <w:spacing w:after="0"/>
              <w:rPr>
                <w:sz w:val="19"/>
                <w:szCs w:val="19"/>
                <w:color w:val="auto"/>
              </w:rPr>
            </w:pPr>
          </w:p>
        </w:tc>
        <w:tc>
          <w:tcPr>
            <w:tcW w:w="740" w:type="dxa"/>
            <w:vAlign w:val="bottom"/>
            <w:tcBorders>
              <w:bottom w:val="single" w:sz="8" w:color="595959"/>
            </w:tcBorders>
          </w:tcPr>
          <w:p>
            <w:pPr>
              <w:spacing w:after="0"/>
              <w:rPr>
                <w:sz w:val="19"/>
                <w:szCs w:val="19"/>
                <w:color w:val="auto"/>
              </w:rPr>
            </w:pPr>
          </w:p>
        </w:tc>
        <w:tc>
          <w:tcPr>
            <w:tcW w:w="10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jc w:val="right"/>
              <w:ind w:right="32"/>
              <w:spacing w:after="0"/>
              <w:rPr>
                <w:sz w:val="20"/>
                <w:szCs w:val="20"/>
                <w:color w:val="auto"/>
              </w:rPr>
            </w:pPr>
            <w:r>
              <w:rPr>
                <w:rFonts w:ascii="Arial" w:cs="Arial" w:eastAsia="Arial" w:hAnsi="Arial"/>
                <w:sz w:val="14"/>
                <w:szCs w:val="14"/>
                <w:color w:val="auto"/>
              </w:rPr>
              <w:t>337</w:t>
            </w:r>
          </w:p>
        </w:tc>
        <w:tc>
          <w:tcPr>
            <w:tcW w:w="60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13,461</w:t>
            </w:r>
          </w:p>
        </w:tc>
        <w:tc>
          <w:tcPr>
            <w:tcW w:w="74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40,383</w:t>
            </w:r>
          </w:p>
        </w:tc>
        <w:tc>
          <w:tcPr>
            <w:tcW w:w="64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4,062,268</w:t>
            </w:r>
          </w:p>
        </w:tc>
        <w:tc>
          <w:tcPr>
            <w:tcW w:w="0" w:type="dxa"/>
            <w:vAlign w:val="bottom"/>
          </w:tcPr>
          <w:p>
            <w:pPr>
              <w:spacing w:after="0"/>
              <w:rPr>
                <w:sz w:val="1"/>
                <w:szCs w:val="1"/>
                <w:color w:val="auto"/>
              </w:rPr>
            </w:pPr>
          </w:p>
        </w:tc>
      </w:tr>
      <w:tr>
        <w:trPr>
          <w:trHeight w:val="226"/>
        </w:trPr>
        <w:tc>
          <w:tcPr>
            <w:tcW w:w="1000" w:type="dxa"/>
            <w:vAlign w:val="bottom"/>
          </w:tcPr>
          <w:p>
            <w:pPr>
              <w:spacing w:after="0"/>
              <w:rPr>
                <w:sz w:val="19"/>
                <w:szCs w:val="19"/>
                <w:color w:val="auto"/>
              </w:rPr>
            </w:pPr>
          </w:p>
        </w:tc>
        <w:tc>
          <w:tcPr>
            <w:tcW w:w="360" w:type="dxa"/>
            <w:vAlign w:val="bottom"/>
            <w:tcBorders>
              <w:bottom w:val="single" w:sz="8" w:color="595959"/>
            </w:tcBorders>
          </w:tcPr>
          <w:p>
            <w:pPr>
              <w:ind w:left="40"/>
              <w:spacing w:after="0"/>
              <w:rPr>
                <w:sz w:val="20"/>
                <w:szCs w:val="20"/>
                <w:color w:val="auto"/>
              </w:rPr>
            </w:pPr>
            <w:r>
              <w:rPr>
                <w:rFonts w:ascii="Arial" w:cs="Arial" w:eastAsia="Arial" w:hAnsi="Arial"/>
                <w:sz w:val="14"/>
                <w:szCs w:val="14"/>
                <w:color w:val="auto"/>
                <w:w w:val="96"/>
              </w:rPr>
              <w:t>2019</w:t>
            </w:r>
          </w:p>
        </w:tc>
        <w:tc>
          <w:tcPr>
            <w:tcW w:w="960" w:type="dxa"/>
            <w:vAlign w:val="bottom"/>
            <w:tcBorders>
              <w:bottom w:val="single" w:sz="8" w:color="595959"/>
            </w:tcBorders>
          </w:tcPr>
          <w:p>
            <w:pPr>
              <w:ind w:left="20"/>
              <w:spacing w:after="0"/>
              <w:rPr>
                <w:sz w:val="20"/>
                <w:szCs w:val="20"/>
                <w:color w:val="auto"/>
              </w:rPr>
            </w:pPr>
            <w:r>
              <w:rPr>
                <w:rFonts w:ascii="Arial" w:cs="Arial" w:eastAsia="Arial" w:hAnsi="Arial"/>
                <w:sz w:val="14"/>
                <w:szCs w:val="14"/>
                <w:color w:val="auto"/>
              </w:rPr>
              <w:t>PSA</w:t>
            </w:r>
          </w:p>
        </w:tc>
        <w:tc>
          <w:tcPr>
            <w:tcW w:w="86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12/1/2020</w:t>
            </w:r>
          </w:p>
        </w:tc>
        <w:tc>
          <w:tcPr>
            <w:tcW w:w="720" w:type="dxa"/>
            <w:vAlign w:val="bottom"/>
            <w:tcBorders>
              <w:bottom w:val="single" w:sz="8" w:color="595959"/>
            </w:tcBorders>
          </w:tcPr>
          <w:p>
            <w:pPr>
              <w:spacing w:after="0"/>
              <w:rPr>
                <w:sz w:val="19"/>
                <w:szCs w:val="19"/>
                <w:color w:val="auto"/>
              </w:rPr>
            </w:pPr>
          </w:p>
        </w:tc>
        <w:tc>
          <w:tcPr>
            <w:tcW w:w="860" w:type="dxa"/>
            <w:vAlign w:val="bottom"/>
            <w:tcBorders>
              <w:bottom w:val="single" w:sz="8" w:color="595959"/>
            </w:tcBorders>
          </w:tcPr>
          <w:p>
            <w:pPr>
              <w:spacing w:after="0"/>
              <w:rPr>
                <w:sz w:val="19"/>
                <w:szCs w:val="19"/>
                <w:color w:val="auto"/>
              </w:rPr>
            </w:pPr>
          </w:p>
        </w:tc>
        <w:tc>
          <w:tcPr>
            <w:tcW w:w="740" w:type="dxa"/>
            <w:vAlign w:val="bottom"/>
            <w:tcBorders>
              <w:bottom w:val="single" w:sz="8" w:color="595959"/>
            </w:tcBorders>
          </w:tcPr>
          <w:p>
            <w:pPr>
              <w:spacing w:after="0"/>
              <w:rPr>
                <w:sz w:val="19"/>
                <w:szCs w:val="19"/>
                <w:color w:val="auto"/>
              </w:rPr>
            </w:pPr>
          </w:p>
        </w:tc>
        <w:tc>
          <w:tcPr>
            <w:tcW w:w="10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jc w:val="right"/>
              <w:ind w:right="32"/>
              <w:spacing w:after="0"/>
              <w:rPr>
                <w:sz w:val="20"/>
                <w:szCs w:val="20"/>
                <w:color w:val="auto"/>
              </w:rPr>
            </w:pPr>
            <w:r>
              <w:rPr>
                <w:rFonts w:ascii="Arial" w:cs="Arial" w:eastAsia="Arial" w:hAnsi="Arial"/>
                <w:sz w:val="14"/>
                <w:szCs w:val="14"/>
                <w:color w:val="auto"/>
              </w:rPr>
              <w:t>79</w:t>
            </w:r>
          </w:p>
        </w:tc>
        <w:tc>
          <w:tcPr>
            <w:tcW w:w="60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3,157</w:t>
            </w:r>
          </w:p>
        </w:tc>
        <w:tc>
          <w:tcPr>
            <w:tcW w:w="74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9,471</w:t>
            </w:r>
          </w:p>
        </w:tc>
        <w:tc>
          <w:tcPr>
            <w:tcW w:w="64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1,012,837</w:t>
            </w:r>
          </w:p>
        </w:tc>
        <w:tc>
          <w:tcPr>
            <w:tcW w:w="0" w:type="dxa"/>
            <w:vAlign w:val="bottom"/>
          </w:tcPr>
          <w:p>
            <w:pPr>
              <w:spacing w:after="0"/>
              <w:rPr>
                <w:sz w:val="1"/>
                <w:szCs w:val="1"/>
                <w:color w:val="auto"/>
              </w:rPr>
            </w:pPr>
          </w:p>
        </w:tc>
      </w:tr>
      <w:tr>
        <w:trPr>
          <w:trHeight w:val="226"/>
        </w:trPr>
        <w:tc>
          <w:tcPr>
            <w:tcW w:w="1000" w:type="dxa"/>
            <w:vAlign w:val="bottom"/>
            <w:tcBorders>
              <w:bottom w:val="single" w:sz="8" w:color="0075C9"/>
            </w:tcBorders>
          </w:tcPr>
          <w:p>
            <w:pPr>
              <w:spacing w:after="0"/>
              <w:rPr>
                <w:sz w:val="19"/>
                <w:szCs w:val="19"/>
                <w:color w:val="auto"/>
              </w:rPr>
            </w:pPr>
          </w:p>
        </w:tc>
        <w:tc>
          <w:tcPr>
            <w:tcW w:w="360" w:type="dxa"/>
            <w:vAlign w:val="bottom"/>
            <w:tcBorders>
              <w:bottom w:val="single" w:sz="8" w:color="0075C9"/>
            </w:tcBorders>
          </w:tcPr>
          <w:p>
            <w:pPr>
              <w:ind w:left="40"/>
              <w:spacing w:after="0"/>
              <w:rPr>
                <w:sz w:val="20"/>
                <w:szCs w:val="20"/>
                <w:color w:val="auto"/>
              </w:rPr>
            </w:pPr>
            <w:r>
              <w:rPr>
                <w:rFonts w:ascii="Arial" w:cs="Arial" w:eastAsia="Arial" w:hAnsi="Arial"/>
                <w:sz w:val="14"/>
                <w:szCs w:val="14"/>
                <w:color w:val="auto"/>
                <w:w w:val="96"/>
              </w:rPr>
              <w:t>2021</w:t>
            </w:r>
          </w:p>
        </w:tc>
        <w:tc>
          <w:tcPr>
            <w:tcW w:w="960" w:type="dxa"/>
            <w:vAlign w:val="bottom"/>
            <w:tcBorders>
              <w:bottom w:val="single" w:sz="8" w:color="0075C9"/>
            </w:tcBorders>
          </w:tcPr>
          <w:p>
            <w:pPr>
              <w:ind w:left="20"/>
              <w:spacing w:after="0"/>
              <w:rPr>
                <w:sz w:val="20"/>
                <w:szCs w:val="20"/>
                <w:color w:val="auto"/>
              </w:rPr>
            </w:pPr>
            <w:r>
              <w:rPr>
                <w:rFonts w:ascii="Arial" w:cs="Arial" w:eastAsia="Arial" w:hAnsi="Arial"/>
                <w:sz w:val="14"/>
                <w:szCs w:val="14"/>
                <w:color w:val="auto"/>
              </w:rPr>
              <w:t>SA</w:t>
            </w:r>
          </w:p>
        </w:tc>
        <w:tc>
          <w:tcPr>
            <w:tcW w:w="860" w:type="dxa"/>
            <w:vAlign w:val="bottom"/>
            <w:tcBorders>
              <w:bottom w:val="single" w:sz="8" w:color="0075C9"/>
            </w:tcBorders>
          </w:tcPr>
          <w:p>
            <w:pPr>
              <w:jc w:val="right"/>
              <w:ind w:right="31"/>
              <w:spacing w:after="0"/>
              <w:rPr>
                <w:sz w:val="20"/>
                <w:szCs w:val="20"/>
                <w:color w:val="auto"/>
              </w:rPr>
            </w:pPr>
            <w:r>
              <w:rPr>
                <w:rFonts w:ascii="Arial" w:cs="Arial" w:eastAsia="Arial" w:hAnsi="Arial"/>
                <w:sz w:val="14"/>
                <w:szCs w:val="14"/>
                <w:color w:val="auto"/>
              </w:rPr>
              <w:t>9/14/2020</w:t>
            </w:r>
          </w:p>
        </w:tc>
        <w:tc>
          <w:tcPr>
            <w:tcW w:w="720" w:type="dxa"/>
            <w:vAlign w:val="bottom"/>
            <w:tcBorders>
              <w:bottom w:val="single" w:sz="8" w:color="0075C9"/>
            </w:tcBorders>
          </w:tcPr>
          <w:p>
            <w:pPr>
              <w:spacing w:after="0"/>
              <w:rPr>
                <w:sz w:val="19"/>
                <w:szCs w:val="19"/>
                <w:color w:val="auto"/>
              </w:rPr>
            </w:pPr>
          </w:p>
        </w:tc>
        <w:tc>
          <w:tcPr>
            <w:tcW w:w="860" w:type="dxa"/>
            <w:vAlign w:val="bottom"/>
            <w:tcBorders>
              <w:bottom w:val="single" w:sz="8" w:color="0075C9"/>
            </w:tcBorders>
          </w:tcPr>
          <w:p>
            <w:pPr>
              <w:spacing w:after="0"/>
              <w:rPr>
                <w:sz w:val="19"/>
                <w:szCs w:val="19"/>
                <w:color w:val="auto"/>
              </w:rPr>
            </w:pPr>
          </w:p>
        </w:tc>
        <w:tc>
          <w:tcPr>
            <w:tcW w:w="740" w:type="dxa"/>
            <w:vAlign w:val="bottom"/>
            <w:tcBorders>
              <w:bottom w:val="single" w:sz="8" w:color="0075C9"/>
            </w:tcBorders>
          </w:tcPr>
          <w:p>
            <w:pPr>
              <w:spacing w:after="0"/>
              <w:rPr>
                <w:sz w:val="19"/>
                <w:szCs w:val="19"/>
                <w:color w:val="auto"/>
              </w:rPr>
            </w:pPr>
          </w:p>
        </w:tc>
        <w:tc>
          <w:tcPr>
            <w:tcW w:w="100" w:type="dxa"/>
            <w:vAlign w:val="bottom"/>
            <w:tcBorders>
              <w:bottom w:val="single" w:sz="8" w:color="0075C9"/>
            </w:tcBorders>
          </w:tcPr>
          <w:p>
            <w:pPr>
              <w:spacing w:after="0"/>
              <w:rPr>
                <w:sz w:val="19"/>
                <w:szCs w:val="19"/>
                <w:color w:val="auto"/>
              </w:rPr>
            </w:pPr>
          </w:p>
        </w:tc>
        <w:tc>
          <w:tcPr>
            <w:tcW w:w="800" w:type="dxa"/>
            <w:vAlign w:val="bottom"/>
            <w:tcBorders>
              <w:bottom w:val="single" w:sz="8" w:color="0075C9"/>
            </w:tcBorders>
          </w:tcPr>
          <w:p>
            <w:pPr>
              <w:spacing w:after="0"/>
              <w:rPr>
                <w:sz w:val="19"/>
                <w:szCs w:val="19"/>
                <w:color w:val="auto"/>
              </w:rPr>
            </w:pPr>
          </w:p>
        </w:tc>
        <w:tc>
          <w:tcPr>
            <w:tcW w:w="600" w:type="dxa"/>
            <w:vAlign w:val="bottom"/>
            <w:tcBorders>
              <w:bottom w:val="single" w:sz="8" w:color="0075C9"/>
            </w:tcBorders>
          </w:tcPr>
          <w:p>
            <w:pPr>
              <w:spacing w:after="0"/>
              <w:rPr>
                <w:sz w:val="19"/>
                <w:szCs w:val="19"/>
                <w:color w:val="auto"/>
              </w:rPr>
            </w:pPr>
          </w:p>
        </w:tc>
        <w:tc>
          <w:tcPr>
            <w:tcW w:w="740" w:type="dxa"/>
            <w:vAlign w:val="bottom"/>
            <w:tcBorders>
              <w:bottom w:val="single" w:sz="8" w:color="0075C9"/>
            </w:tcBorders>
          </w:tcPr>
          <w:p>
            <w:pPr>
              <w:spacing w:after="0"/>
              <w:rPr>
                <w:sz w:val="19"/>
                <w:szCs w:val="19"/>
                <w:color w:val="auto"/>
              </w:rPr>
            </w:pPr>
          </w:p>
        </w:tc>
        <w:tc>
          <w:tcPr>
            <w:tcW w:w="64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32,147</w:t>
            </w:r>
          </w:p>
        </w:tc>
        <w:tc>
          <w:tcPr>
            <w:tcW w:w="80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6,452,009</w:t>
            </w:r>
          </w:p>
        </w:tc>
        <w:tc>
          <w:tcPr>
            <w:tcW w:w="0" w:type="dxa"/>
            <w:vAlign w:val="bottom"/>
          </w:tcPr>
          <w:p>
            <w:pPr>
              <w:spacing w:after="0"/>
              <w:rPr>
                <w:sz w:val="1"/>
                <w:szCs w:val="1"/>
                <w:color w:val="auto"/>
              </w:rPr>
            </w:pPr>
          </w:p>
        </w:tc>
      </w:tr>
      <w:tr>
        <w:trPr>
          <w:trHeight w:val="195"/>
        </w:trPr>
        <w:tc>
          <w:tcPr>
            <w:tcW w:w="1000" w:type="dxa"/>
            <w:vAlign w:val="bottom"/>
          </w:tcPr>
          <w:p>
            <w:pPr>
              <w:ind w:left="80"/>
              <w:spacing w:after="0"/>
              <w:rPr>
                <w:sz w:val="20"/>
                <w:szCs w:val="20"/>
                <w:color w:val="auto"/>
              </w:rPr>
            </w:pPr>
            <w:r>
              <w:rPr>
                <w:rFonts w:ascii="Arial" w:cs="Arial" w:eastAsia="Arial" w:hAnsi="Arial"/>
                <w:sz w:val="14"/>
                <w:szCs w:val="14"/>
                <w:b w:val="1"/>
                <w:bCs w:val="1"/>
                <w:color w:val="0075C9"/>
                <w:w w:val="98"/>
              </w:rPr>
              <w:t>Jean-Philippe</w:t>
            </w:r>
          </w:p>
        </w:tc>
        <w:tc>
          <w:tcPr>
            <w:tcW w:w="360" w:type="dxa"/>
            <w:vAlign w:val="bottom"/>
          </w:tcPr>
          <w:p>
            <w:pPr>
              <w:ind w:left="40"/>
              <w:spacing w:after="0"/>
              <w:rPr>
                <w:sz w:val="20"/>
                <w:szCs w:val="20"/>
                <w:color w:val="auto"/>
              </w:rPr>
            </w:pPr>
            <w:r>
              <w:rPr>
                <w:rFonts w:ascii="Arial" w:cs="Arial" w:eastAsia="Arial" w:hAnsi="Arial"/>
                <w:sz w:val="14"/>
                <w:szCs w:val="14"/>
                <w:color w:val="auto"/>
                <w:w w:val="96"/>
              </w:rPr>
              <w:t>2021</w:t>
            </w:r>
          </w:p>
        </w:tc>
        <w:tc>
          <w:tcPr>
            <w:tcW w:w="960" w:type="dxa"/>
            <w:vAlign w:val="bottom"/>
          </w:tcPr>
          <w:p>
            <w:pPr>
              <w:ind w:left="20"/>
              <w:spacing w:after="0"/>
              <w:rPr>
                <w:sz w:val="20"/>
                <w:szCs w:val="20"/>
                <w:color w:val="auto"/>
              </w:rPr>
            </w:pPr>
            <w:r>
              <w:rPr>
                <w:rFonts w:ascii="Arial" w:cs="Arial" w:eastAsia="Arial" w:hAnsi="Arial"/>
                <w:sz w:val="14"/>
                <w:szCs w:val="14"/>
                <w:color w:val="auto"/>
                <w:w w:val="99"/>
              </w:rPr>
              <w:t>Cash Incentive</w:t>
            </w:r>
          </w:p>
        </w:tc>
        <w:tc>
          <w:tcPr>
            <w:tcW w:w="8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w:t>
            </w:r>
          </w:p>
        </w:tc>
        <w:tc>
          <w:tcPr>
            <w:tcW w:w="860" w:type="dxa"/>
            <w:vAlign w:val="bottom"/>
          </w:tcPr>
          <w:p>
            <w:pPr>
              <w:jc w:val="right"/>
              <w:ind w:right="31"/>
              <w:spacing w:after="0"/>
              <w:rPr>
                <w:sz w:val="20"/>
                <w:szCs w:val="20"/>
                <w:color w:val="auto"/>
              </w:rPr>
            </w:pPr>
            <w:r>
              <w:rPr>
                <w:rFonts w:ascii="Arial" w:cs="Arial" w:eastAsia="Arial" w:hAnsi="Arial"/>
                <w:sz w:val="14"/>
                <w:szCs w:val="14"/>
                <w:color w:val="auto"/>
              </w:rPr>
              <w:t>2,097,375</w:t>
            </w:r>
          </w:p>
        </w:tc>
        <w:tc>
          <w:tcPr>
            <w:tcW w:w="740" w:type="dxa"/>
            <w:vAlign w:val="bottom"/>
          </w:tcPr>
          <w:p>
            <w:pPr>
              <w:jc w:val="right"/>
              <w:spacing w:after="0"/>
              <w:rPr>
                <w:sz w:val="20"/>
                <w:szCs w:val="20"/>
                <w:color w:val="auto"/>
              </w:rPr>
            </w:pPr>
            <w:r>
              <w:rPr>
                <w:rFonts w:ascii="Arial" w:cs="Arial" w:eastAsia="Arial" w:hAnsi="Arial"/>
                <w:sz w:val="14"/>
                <w:szCs w:val="14"/>
                <w:color w:val="auto"/>
              </w:rPr>
              <w:t>4,194,750</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000" w:type="dxa"/>
            <w:vAlign w:val="bottom"/>
            <w:vMerge w:val="restart"/>
          </w:tcPr>
          <w:p>
            <w:pPr>
              <w:ind w:left="200"/>
              <w:spacing w:after="0"/>
              <w:rPr>
                <w:sz w:val="20"/>
                <w:szCs w:val="20"/>
                <w:color w:val="auto"/>
              </w:rPr>
            </w:pPr>
            <w:r>
              <w:rPr>
                <w:rFonts w:ascii="Arial" w:cs="Arial" w:eastAsia="Arial" w:hAnsi="Arial"/>
                <w:sz w:val="14"/>
                <w:szCs w:val="14"/>
                <w:b w:val="1"/>
                <w:bCs w:val="1"/>
                <w:color w:val="0075C9"/>
              </w:rPr>
              <w:t>Courtois</w:t>
            </w:r>
          </w:p>
        </w:tc>
        <w:tc>
          <w:tcPr>
            <w:tcW w:w="360" w:type="dxa"/>
            <w:vAlign w:val="bottom"/>
            <w:tcBorders>
              <w:bottom w:val="single" w:sz="8" w:color="595959"/>
            </w:tcBorders>
          </w:tcPr>
          <w:p>
            <w:pPr>
              <w:spacing w:after="0"/>
              <w:rPr>
                <w:sz w:val="3"/>
                <w:szCs w:val="3"/>
                <w:color w:val="auto"/>
              </w:rPr>
            </w:pPr>
          </w:p>
        </w:tc>
        <w:tc>
          <w:tcPr>
            <w:tcW w:w="960" w:type="dxa"/>
            <w:vAlign w:val="bottom"/>
            <w:tcBorders>
              <w:bottom w:val="single" w:sz="8" w:color="595959"/>
            </w:tcBorders>
          </w:tcPr>
          <w:p>
            <w:pPr>
              <w:spacing w:after="0"/>
              <w:rPr>
                <w:sz w:val="3"/>
                <w:szCs w:val="3"/>
                <w:color w:val="auto"/>
              </w:rPr>
            </w:pPr>
          </w:p>
        </w:tc>
        <w:tc>
          <w:tcPr>
            <w:tcW w:w="860" w:type="dxa"/>
            <w:vAlign w:val="bottom"/>
            <w:tcBorders>
              <w:bottom w:val="single" w:sz="8" w:color="595959"/>
            </w:tcBorders>
          </w:tcPr>
          <w:p>
            <w:pPr>
              <w:spacing w:after="0"/>
              <w:rPr>
                <w:sz w:val="3"/>
                <w:szCs w:val="3"/>
                <w:color w:val="auto"/>
              </w:rPr>
            </w:pPr>
          </w:p>
        </w:tc>
        <w:tc>
          <w:tcPr>
            <w:tcW w:w="720" w:type="dxa"/>
            <w:vAlign w:val="bottom"/>
            <w:tcBorders>
              <w:bottom w:val="single" w:sz="8" w:color="595959"/>
            </w:tcBorders>
          </w:tcPr>
          <w:p>
            <w:pPr>
              <w:spacing w:after="0"/>
              <w:rPr>
                <w:sz w:val="3"/>
                <w:szCs w:val="3"/>
                <w:color w:val="auto"/>
              </w:rPr>
            </w:pPr>
          </w:p>
        </w:tc>
        <w:tc>
          <w:tcPr>
            <w:tcW w:w="860" w:type="dxa"/>
            <w:vAlign w:val="bottom"/>
            <w:tcBorders>
              <w:bottom w:val="single" w:sz="8" w:color="595959"/>
            </w:tcBorders>
          </w:tcPr>
          <w:p>
            <w:pPr>
              <w:spacing w:after="0"/>
              <w:rPr>
                <w:sz w:val="3"/>
                <w:szCs w:val="3"/>
                <w:color w:val="auto"/>
              </w:rPr>
            </w:pPr>
          </w:p>
        </w:tc>
        <w:tc>
          <w:tcPr>
            <w:tcW w:w="740" w:type="dxa"/>
            <w:vAlign w:val="bottom"/>
            <w:tcBorders>
              <w:bottom w:val="single" w:sz="8" w:color="595959"/>
            </w:tcBorders>
          </w:tcPr>
          <w:p>
            <w:pPr>
              <w:spacing w:after="0"/>
              <w:rPr>
                <w:sz w:val="3"/>
                <w:szCs w:val="3"/>
                <w:color w:val="auto"/>
              </w:rPr>
            </w:pPr>
          </w:p>
        </w:tc>
        <w:tc>
          <w:tcPr>
            <w:tcW w:w="100" w:type="dxa"/>
            <w:vAlign w:val="bottom"/>
            <w:tcBorders>
              <w:bottom w:val="single" w:sz="8" w:color="595959"/>
            </w:tcBorders>
          </w:tcPr>
          <w:p>
            <w:pPr>
              <w:spacing w:after="0"/>
              <w:rPr>
                <w:sz w:val="3"/>
                <w:szCs w:val="3"/>
                <w:color w:val="auto"/>
              </w:rPr>
            </w:pPr>
          </w:p>
        </w:tc>
        <w:tc>
          <w:tcPr>
            <w:tcW w:w="800" w:type="dxa"/>
            <w:vAlign w:val="bottom"/>
            <w:tcBorders>
              <w:bottom w:val="single" w:sz="8" w:color="595959"/>
            </w:tcBorders>
          </w:tcPr>
          <w:p>
            <w:pPr>
              <w:spacing w:after="0"/>
              <w:rPr>
                <w:sz w:val="3"/>
                <w:szCs w:val="3"/>
                <w:color w:val="auto"/>
              </w:rPr>
            </w:pPr>
          </w:p>
        </w:tc>
        <w:tc>
          <w:tcPr>
            <w:tcW w:w="600" w:type="dxa"/>
            <w:vAlign w:val="bottom"/>
            <w:tcBorders>
              <w:bottom w:val="single" w:sz="8" w:color="595959"/>
            </w:tcBorders>
          </w:tcPr>
          <w:p>
            <w:pPr>
              <w:spacing w:after="0"/>
              <w:rPr>
                <w:sz w:val="3"/>
                <w:szCs w:val="3"/>
                <w:color w:val="auto"/>
              </w:rPr>
            </w:pPr>
          </w:p>
        </w:tc>
        <w:tc>
          <w:tcPr>
            <w:tcW w:w="740" w:type="dxa"/>
            <w:vAlign w:val="bottom"/>
            <w:tcBorders>
              <w:bottom w:val="single" w:sz="8" w:color="595959"/>
            </w:tcBorders>
          </w:tcPr>
          <w:p>
            <w:pPr>
              <w:spacing w:after="0"/>
              <w:rPr>
                <w:sz w:val="3"/>
                <w:szCs w:val="3"/>
                <w:color w:val="auto"/>
              </w:rPr>
            </w:pPr>
          </w:p>
        </w:tc>
        <w:tc>
          <w:tcPr>
            <w:tcW w:w="640" w:type="dxa"/>
            <w:vAlign w:val="bottom"/>
            <w:tcBorders>
              <w:bottom w:val="single" w:sz="8" w:color="595959"/>
            </w:tcBorders>
          </w:tcPr>
          <w:p>
            <w:pPr>
              <w:spacing w:after="0"/>
              <w:rPr>
                <w:sz w:val="3"/>
                <w:szCs w:val="3"/>
                <w:color w:val="auto"/>
              </w:rPr>
            </w:pPr>
          </w:p>
        </w:tc>
        <w:tc>
          <w:tcPr>
            <w:tcW w:w="800" w:type="dxa"/>
            <w:vAlign w:val="bottom"/>
            <w:tcBorders>
              <w:bottom w:val="single" w:sz="8" w:color="595959"/>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1000" w:type="dxa"/>
            <w:vAlign w:val="bottom"/>
            <w:vMerge w:val="continue"/>
          </w:tcPr>
          <w:p>
            <w:pPr>
              <w:spacing w:after="0"/>
              <w:rPr>
                <w:sz w:val="14"/>
                <w:szCs w:val="14"/>
                <w:color w:val="auto"/>
              </w:rPr>
            </w:pPr>
          </w:p>
        </w:tc>
        <w:tc>
          <w:tcPr>
            <w:tcW w:w="360" w:type="dxa"/>
            <w:vAlign w:val="bottom"/>
            <w:tcBorders>
              <w:bottom w:val="single" w:sz="8" w:color="595959"/>
            </w:tcBorders>
          </w:tcPr>
          <w:p>
            <w:pPr>
              <w:ind w:left="40"/>
              <w:spacing w:after="0"/>
              <w:rPr>
                <w:sz w:val="20"/>
                <w:szCs w:val="20"/>
                <w:color w:val="auto"/>
              </w:rPr>
            </w:pPr>
            <w:r>
              <w:rPr>
                <w:rFonts w:ascii="Arial" w:cs="Arial" w:eastAsia="Arial" w:hAnsi="Arial"/>
                <w:sz w:val="14"/>
                <w:szCs w:val="14"/>
                <w:color w:val="auto"/>
                <w:w w:val="96"/>
              </w:rPr>
              <w:t>2021</w:t>
            </w:r>
          </w:p>
        </w:tc>
        <w:tc>
          <w:tcPr>
            <w:tcW w:w="960" w:type="dxa"/>
            <w:vAlign w:val="bottom"/>
            <w:tcBorders>
              <w:bottom w:val="single" w:sz="8" w:color="595959"/>
            </w:tcBorders>
          </w:tcPr>
          <w:p>
            <w:pPr>
              <w:ind w:left="20"/>
              <w:spacing w:after="0"/>
              <w:rPr>
                <w:sz w:val="20"/>
                <w:szCs w:val="20"/>
                <w:color w:val="auto"/>
              </w:rPr>
            </w:pPr>
            <w:r>
              <w:rPr>
                <w:rFonts w:ascii="Arial" w:cs="Arial" w:eastAsia="Arial" w:hAnsi="Arial"/>
                <w:sz w:val="14"/>
                <w:szCs w:val="14"/>
                <w:color w:val="auto"/>
              </w:rPr>
              <w:t>PSA</w:t>
            </w:r>
          </w:p>
        </w:tc>
        <w:tc>
          <w:tcPr>
            <w:tcW w:w="86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9/14/2020</w:t>
            </w:r>
          </w:p>
        </w:tc>
        <w:tc>
          <w:tcPr>
            <w:tcW w:w="720" w:type="dxa"/>
            <w:vAlign w:val="bottom"/>
            <w:tcBorders>
              <w:bottom w:val="single" w:sz="8" w:color="595959"/>
            </w:tcBorders>
          </w:tcPr>
          <w:p>
            <w:pPr>
              <w:spacing w:after="0"/>
              <w:rPr>
                <w:sz w:val="14"/>
                <w:szCs w:val="14"/>
                <w:color w:val="auto"/>
              </w:rPr>
            </w:pPr>
          </w:p>
        </w:tc>
        <w:tc>
          <w:tcPr>
            <w:tcW w:w="860" w:type="dxa"/>
            <w:vAlign w:val="bottom"/>
            <w:tcBorders>
              <w:bottom w:val="single" w:sz="8" w:color="595959"/>
            </w:tcBorders>
          </w:tcPr>
          <w:p>
            <w:pPr>
              <w:spacing w:after="0"/>
              <w:rPr>
                <w:sz w:val="14"/>
                <w:szCs w:val="14"/>
                <w:color w:val="auto"/>
              </w:rPr>
            </w:pPr>
          </w:p>
        </w:tc>
        <w:tc>
          <w:tcPr>
            <w:tcW w:w="740" w:type="dxa"/>
            <w:vAlign w:val="bottom"/>
            <w:tcBorders>
              <w:bottom w:val="single" w:sz="8" w:color="595959"/>
            </w:tcBorders>
          </w:tcPr>
          <w:p>
            <w:pPr>
              <w:spacing w:after="0"/>
              <w:rPr>
                <w:sz w:val="14"/>
                <w:szCs w:val="14"/>
                <w:color w:val="auto"/>
              </w:rPr>
            </w:pPr>
          </w:p>
        </w:tc>
        <w:tc>
          <w:tcPr>
            <w:tcW w:w="100" w:type="dxa"/>
            <w:vAlign w:val="bottom"/>
            <w:tcBorders>
              <w:bottom w:val="single" w:sz="8" w:color="595959"/>
            </w:tcBorders>
          </w:tcPr>
          <w:p>
            <w:pPr>
              <w:spacing w:after="0"/>
              <w:rPr>
                <w:sz w:val="14"/>
                <w:szCs w:val="14"/>
                <w:color w:val="auto"/>
              </w:rPr>
            </w:pPr>
          </w:p>
        </w:tc>
        <w:tc>
          <w:tcPr>
            <w:tcW w:w="800" w:type="dxa"/>
            <w:vAlign w:val="bottom"/>
            <w:tcBorders>
              <w:bottom w:val="single" w:sz="8" w:color="595959"/>
            </w:tcBorders>
          </w:tcPr>
          <w:p>
            <w:pPr>
              <w:jc w:val="right"/>
              <w:ind w:right="32"/>
              <w:spacing w:after="0"/>
              <w:rPr>
                <w:sz w:val="20"/>
                <w:szCs w:val="20"/>
                <w:color w:val="auto"/>
              </w:rPr>
            </w:pPr>
            <w:r>
              <w:rPr>
                <w:rFonts w:ascii="Arial" w:cs="Arial" w:eastAsia="Arial" w:hAnsi="Arial"/>
                <w:sz w:val="14"/>
                <w:szCs w:val="14"/>
                <w:color w:val="auto"/>
              </w:rPr>
              <w:t>75</w:t>
            </w:r>
          </w:p>
        </w:tc>
        <w:tc>
          <w:tcPr>
            <w:tcW w:w="60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5,986</w:t>
            </w:r>
          </w:p>
        </w:tc>
        <w:tc>
          <w:tcPr>
            <w:tcW w:w="74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17,958</w:t>
            </w:r>
          </w:p>
        </w:tc>
        <w:tc>
          <w:tcPr>
            <w:tcW w:w="640" w:type="dxa"/>
            <w:vAlign w:val="bottom"/>
            <w:tcBorders>
              <w:bottom w:val="single" w:sz="8" w:color="595959"/>
            </w:tcBorders>
          </w:tcPr>
          <w:p>
            <w:pPr>
              <w:spacing w:after="0"/>
              <w:rPr>
                <w:sz w:val="14"/>
                <w:szCs w:val="14"/>
                <w:color w:val="auto"/>
              </w:rPr>
            </w:pPr>
          </w:p>
        </w:tc>
        <w:tc>
          <w:tcPr>
            <w:tcW w:w="80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1,375,560</w:t>
            </w:r>
          </w:p>
        </w:tc>
        <w:tc>
          <w:tcPr>
            <w:tcW w:w="0" w:type="dxa"/>
            <w:vAlign w:val="bottom"/>
          </w:tcPr>
          <w:p>
            <w:pPr>
              <w:spacing w:after="0"/>
              <w:rPr>
                <w:sz w:val="1"/>
                <w:szCs w:val="1"/>
                <w:color w:val="auto"/>
              </w:rPr>
            </w:pPr>
          </w:p>
        </w:tc>
      </w:tr>
      <w:tr>
        <w:trPr>
          <w:trHeight w:val="226"/>
        </w:trPr>
        <w:tc>
          <w:tcPr>
            <w:tcW w:w="1000" w:type="dxa"/>
            <w:vAlign w:val="bottom"/>
          </w:tcPr>
          <w:p>
            <w:pPr>
              <w:spacing w:after="0"/>
              <w:rPr>
                <w:sz w:val="19"/>
                <w:szCs w:val="19"/>
                <w:color w:val="auto"/>
              </w:rPr>
            </w:pPr>
          </w:p>
        </w:tc>
        <w:tc>
          <w:tcPr>
            <w:tcW w:w="360" w:type="dxa"/>
            <w:vAlign w:val="bottom"/>
            <w:tcBorders>
              <w:bottom w:val="single" w:sz="8" w:color="595959"/>
            </w:tcBorders>
          </w:tcPr>
          <w:p>
            <w:pPr>
              <w:ind w:left="40"/>
              <w:spacing w:after="0"/>
              <w:rPr>
                <w:sz w:val="20"/>
                <w:szCs w:val="20"/>
                <w:color w:val="auto"/>
              </w:rPr>
            </w:pPr>
            <w:r>
              <w:rPr>
                <w:rFonts w:ascii="Arial" w:cs="Arial" w:eastAsia="Arial" w:hAnsi="Arial"/>
                <w:sz w:val="14"/>
                <w:szCs w:val="14"/>
                <w:color w:val="auto"/>
                <w:w w:val="96"/>
              </w:rPr>
              <w:t>2021</w:t>
            </w:r>
          </w:p>
        </w:tc>
        <w:tc>
          <w:tcPr>
            <w:tcW w:w="960" w:type="dxa"/>
            <w:vAlign w:val="bottom"/>
            <w:tcBorders>
              <w:bottom w:val="single" w:sz="8" w:color="595959"/>
            </w:tcBorders>
          </w:tcPr>
          <w:p>
            <w:pPr>
              <w:ind w:left="20"/>
              <w:spacing w:after="0"/>
              <w:rPr>
                <w:sz w:val="20"/>
                <w:szCs w:val="20"/>
                <w:color w:val="auto"/>
              </w:rPr>
            </w:pPr>
            <w:r>
              <w:rPr>
                <w:rFonts w:ascii="Arial" w:cs="Arial" w:eastAsia="Arial" w:hAnsi="Arial"/>
                <w:sz w:val="14"/>
                <w:szCs w:val="14"/>
                <w:color w:val="auto"/>
              </w:rPr>
              <w:t>PSA</w:t>
            </w:r>
          </w:p>
        </w:tc>
        <w:tc>
          <w:tcPr>
            <w:tcW w:w="86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12/1/2020</w:t>
            </w:r>
          </w:p>
        </w:tc>
        <w:tc>
          <w:tcPr>
            <w:tcW w:w="720" w:type="dxa"/>
            <w:vAlign w:val="bottom"/>
            <w:tcBorders>
              <w:bottom w:val="single" w:sz="8" w:color="595959"/>
            </w:tcBorders>
          </w:tcPr>
          <w:p>
            <w:pPr>
              <w:spacing w:after="0"/>
              <w:rPr>
                <w:sz w:val="19"/>
                <w:szCs w:val="19"/>
                <w:color w:val="auto"/>
              </w:rPr>
            </w:pPr>
          </w:p>
        </w:tc>
        <w:tc>
          <w:tcPr>
            <w:tcW w:w="860" w:type="dxa"/>
            <w:vAlign w:val="bottom"/>
            <w:tcBorders>
              <w:bottom w:val="single" w:sz="8" w:color="595959"/>
            </w:tcBorders>
          </w:tcPr>
          <w:p>
            <w:pPr>
              <w:spacing w:after="0"/>
              <w:rPr>
                <w:sz w:val="19"/>
                <w:szCs w:val="19"/>
                <w:color w:val="auto"/>
              </w:rPr>
            </w:pPr>
          </w:p>
        </w:tc>
        <w:tc>
          <w:tcPr>
            <w:tcW w:w="740" w:type="dxa"/>
            <w:vAlign w:val="bottom"/>
            <w:tcBorders>
              <w:bottom w:val="single" w:sz="8" w:color="595959"/>
            </w:tcBorders>
          </w:tcPr>
          <w:p>
            <w:pPr>
              <w:spacing w:after="0"/>
              <w:rPr>
                <w:sz w:val="19"/>
                <w:szCs w:val="19"/>
                <w:color w:val="auto"/>
              </w:rPr>
            </w:pPr>
          </w:p>
        </w:tc>
        <w:tc>
          <w:tcPr>
            <w:tcW w:w="10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jc w:val="right"/>
              <w:ind w:right="32"/>
              <w:spacing w:after="0"/>
              <w:rPr>
                <w:sz w:val="20"/>
                <w:szCs w:val="20"/>
                <w:color w:val="auto"/>
              </w:rPr>
            </w:pPr>
            <w:r>
              <w:rPr>
                <w:rFonts w:ascii="Arial" w:cs="Arial" w:eastAsia="Arial" w:hAnsi="Arial"/>
                <w:sz w:val="14"/>
                <w:szCs w:val="14"/>
                <w:color w:val="auto"/>
              </w:rPr>
              <w:t>18</w:t>
            </w:r>
          </w:p>
        </w:tc>
        <w:tc>
          <w:tcPr>
            <w:tcW w:w="60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1,404</w:t>
            </w:r>
          </w:p>
        </w:tc>
        <w:tc>
          <w:tcPr>
            <w:tcW w:w="74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4,212</w:t>
            </w:r>
          </w:p>
        </w:tc>
        <w:tc>
          <w:tcPr>
            <w:tcW w:w="64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331,873</w:t>
            </w:r>
          </w:p>
        </w:tc>
        <w:tc>
          <w:tcPr>
            <w:tcW w:w="0" w:type="dxa"/>
            <w:vAlign w:val="bottom"/>
          </w:tcPr>
          <w:p>
            <w:pPr>
              <w:spacing w:after="0"/>
              <w:rPr>
                <w:sz w:val="1"/>
                <w:szCs w:val="1"/>
                <w:color w:val="auto"/>
              </w:rPr>
            </w:pPr>
          </w:p>
        </w:tc>
      </w:tr>
      <w:tr>
        <w:trPr>
          <w:trHeight w:val="226"/>
        </w:trPr>
        <w:tc>
          <w:tcPr>
            <w:tcW w:w="1000" w:type="dxa"/>
            <w:vAlign w:val="bottom"/>
          </w:tcPr>
          <w:p>
            <w:pPr>
              <w:spacing w:after="0"/>
              <w:rPr>
                <w:sz w:val="19"/>
                <w:szCs w:val="19"/>
                <w:color w:val="auto"/>
              </w:rPr>
            </w:pPr>
          </w:p>
        </w:tc>
        <w:tc>
          <w:tcPr>
            <w:tcW w:w="360" w:type="dxa"/>
            <w:vAlign w:val="bottom"/>
            <w:tcBorders>
              <w:bottom w:val="single" w:sz="8" w:color="595959"/>
            </w:tcBorders>
          </w:tcPr>
          <w:p>
            <w:pPr>
              <w:ind w:left="40"/>
              <w:spacing w:after="0"/>
              <w:rPr>
                <w:sz w:val="20"/>
                <w:szCs w:val="20"/>
                <w:color w:val="auto"/>
              </w:rPr>
            </w:pPr>
            <w:r>
              <w:rPr>
                <w:rFonts w:ascii="Arial" w:cs="Arial" w:eastAsia="Arial" w:hAnsi="Arial"/>
                <w:sz w:val="14"/>
                <w:szCs w:val="14"/>
                <w:color w:val="auto"/>
                <w:w w:val="96"/>
              </w:rPr>
              <w:t>2020</w:t>
            </w:r>
          </w:p>
        </w:tc>
        <w:tc>
          <w:tcPr>
            <w:tcW w:w="960" w:type="dxa"/>
            <w:vAlign w:val="bottom"/>
            <w:tcBorders>
              <w:bottom w:val="single" w:sz="8" w:color="595959"/>
            </w:tcBorders>
          </w:tcPr>
          <w:p>
            <w:pPr>
              <w:ind w:left="20"/>
              <w:spacing w:after="0"/>
              <w:rPr>
                <w:sz w:val="20"/>
                <w:szCs w:val="20"/>
                <w:color w:val="auto"/>
              </w:rPr>
            </w:pPr>
            <w:r>
              <w:rPr>
                <w:rFonts w:ascii="Arial" w:cs="Arial" w:eastAsia="Arial" w:hAnsi="Arial"/>
                <w:sz w:val="14"/>
                <w:szCs w:val="14"/>
                <w:color w:val="auto"/>
              </w:rPr>
              <w:t>PSA</w:t>
            </w:r>
          </w:p>
        </w:tc>
        <w:tc>
          <w:tcPr>
            <w:tcW w:w="86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9/14/2020</w:t>
            </w:r>
          </w:p>
        </w:tc>
        <w:tc>
          <w:tcPr>
            <w:tcW w:w="720" w:type="dxa"/>
            <w:vAlign w:val="bottom"/>
            <w:tcBorders>
              <w:bottom w:val="single" w:sz="8" w:color="595959"/>
            </w:tcBorders>
          </w:tcPr>
          <w:p>
            <w:pPr>
              <w:spacing w:after="0"/>
              <w:rPr>
                <w:sz w:val="19"/>
                <w:szCs w:val="19"/>
                <w:color w:val="auto"/>
              </w:rPr>
            </w:pPr>
          </w:p>
        </w:tc>
        <w:tc>
          <w:tcPr>
            <w:tcW w:w="860" w:type="dxa"/>
            <w:vAlign w:val="bottom"/>
            <w:tcBorders>
              <w:bottom w:val="single" w:sz="8" w:color="595959"/>
            </w:tcBorders>
          </w:tcPr>
          <w:p>
            <w:pPr>
              <w:spacing w:after="0"/>
              <w:rPr>
                <w:sz w:val="19"/>
                <w:szCs w:val="19"/>
                <w:color w:val="auto"/>
              </w:rPr>
            </w:pPr>
          </w:p>
        </w:tc>
        <w:tc>
          <w:tcPr>
            <w:tcW w:w="740" w:type="dxa"/>
            <w:vAlign w:val="bottom"/>
            <w:tcBorders>
              <w:bottom w:val="single" w:sz="8" w:color="595959"/>
            </w:tcBorders>
          </w:tcPr>
          <w:p>
            <w:pPr>
              <w:spacing w:after="0"/>
              <w:rPr>
                <w:sz w:val="19"/>
                <w:szCs w:val="19"/>
                <w:color w:val="auto"/>
              </w:rPr>
            </w:pPr>
          </w:p>
        </w:tc>
        <w:tc>
          <w:tcPr>
            <w:tcW w:w="10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jc w:val="right"/>
              <w:ind w:right="32"/>
              <w:spacing w:after="0"/>
              <w:rPr>
                <w:sz w:val="20"/>
                <w:szCs w:val="20"/>
                <w:color w:val="auto"/>
              </w:rPr>
            </w:pPr>
            <w:r>
              <w:rPr>
                <w:rFonts w:ascii="Arial" w:cs="Arial" w:eastAsia="Arial" w:hAnsi="Arial"/>
                <w:sz w:val="14"/>
                <w:szCs w:val="14"/>
                <w:color w:val="auto"/>
              </w:rPr>
              <w:t>258</w:t>
            </w:r>
          </w:p>
        </w:tc>
        <w:tc>
          <w:tcPr>
            <w:tcW w:w="60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7,345</w:t>
            </w:r>
          </w:p>
        </w:tc>
        <w:tc>
          <w:tcPr>
            <w:tcW w:w="74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22,035</w:t>
            </w:r>
          </w:p>
        </w:tc>
        <w:tc>
          <w:tcPr>
            <w:tcW w:w="64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2,079,607</w:t>
            </w:r>
          </w:p>
        </w:tc>
        <w:tc>
          <w:tcPr>
            <w:tcW w:w="0" w:type="dxa"/>
            <w:vAlign w:val="bottom"/>
          </w:tcPr>
          <w:p>
            <w:pPr>
              <w:spacing w:after="0"/>
              <w:rPr>
                <w:sz w:val="1"/>
                <w:szCs w:val="1"/>
                <w:color w:val="auto"/>
              </w:rPr>
            </w:pPr>
          </w:p>
        </w:tc>
      </w:tr>
      <w:tr>
        <w:trPr>
          <w:trHeight w:val="226"/>
        </w:trPr>
        <w:tc>
          <w:tcPr>
            <w:tcW w:w="1000" w:type="dxa"/>
            <w:vAlign w:val="bottom"/>
          </w:tcPr>
          <w:p>
            <w:pPr>
              <w:spacing w:after="0"/>
              <w:rPr>
                <w:sz w:val="19"/>
                <w:szCs w:val="19"/>
                <w:color w:val="auto"/>
              </w:rPr>
            </w:pPr>
          </w:p>
        </w:tc>
        <w:tc>
          <w:tcPr>
            <w:tcW w:w="360" w:type="dxa"/>
            <w:vAlign w:val="bottom"/>
            <w:tcBorders>
              <w:bottom w:val="single" w:sz="8" w:color="595959"/>
            </w:tcBorders>
          </w:tcPr>
          <w:p>
            <w:pPr>
              <w:ind w:left="40"/>
              <w:spacing w:after="0"/>
              <w:rPr>
                <w:sz w:val="20"/>
                <w:szCs w:val="20"/>
                <w:color w:val="auto"/>
              </w:rPr>
            </w:pPr>
            <w:r>
              <w:rPr>
                <w:rFonts w:ascii="Arial" w:cs="Arial" w:eastAsia="Arial" w:hAnsi="Arial"/>
                <w:sz w:val="14"/>
                <w:szCs w:val="14"/>
                <w:color w:val="auto"/>
                <w:w w:val="96"/>
              </w:rPr>
              <w:t>2020</w:t>
            </w:r>
          </w:p>
        </w:tc>
        <w:tc>
          <w:tcPr>
            <w:tcW w:w="960" w:type="dxa"/>
            <w:vAlign w:val="bottom"/>
            <w:tcBorders>
              <w:bottom w:val="single" w:sz="8" w:color="595959"/>
            </w:tcBorders>
          </w:tcPr>
          <w:p>
            <w:pPr>
              <w:ind w:left="20"/>
              <w:spacing w:after="0"/>
              <w:rPr>
                <w:sz w:val="20"/>
                <w:szCs w:val="20"/>
                <w:color w:val="auto"/>
              </w:rPr>
            </w:pPr>
            <w:r>
              <w:rPr>
                <w:rFonts w:ascii="Arial" w:cs="Arial" w:eastAsia="Arial" w:hAnsi="Arial"/>
                <w:sz w:val="14"/>
                <w:szCs w:val="14"/>
                <w:color w:val="auto"/>
              </w:rPr>
              <w:t>PSA</w:t>
            </w:r>
          </w:p>
        </w:tc>
        <w:tc>
          <w:tcPr>
            <w:tcW w:w="86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12/1/2020</w:t>
            </w:r>
          </w:p>
        </w:tc>
        <w:tc>
          <w:tcPr>
            <w:tcW w:w="720" w:type="dxa"/>
            <w:vAlign w:val="bottom"/>
            <w:tcBorders>
              <w:bottom w:val="single" w:sz="8" w:color="595959"/>
            </w:tcBorders>
          </w:tcPr>
          <w:p>
            <w:pPr>
              <w:spacing w:after="0"/>
              <w:rPr>
                <w:sz w:val="19"/>
                <w:szCs w:val="19"/>
                <w:color w:val="auto"/>
              </w:rPr>
            </w:pPr>
          </w:p>
        </w:tc>
        <w:tc>
          <w:tcPr>
            <w:tcW w:w="860" w:type="dxa"/>
            <w:vAlign w:val="bottom"/>
            <w:tcBorders>
              <w:bottom w:val="single" w:sz="8" w:color="595959"/>
            </w:tcBorders>
          </w:tcPr>
          <w:p>
            <w:pPr>
              <w:spacing w:after="0"/>
              <w:rPr>
                <w:sz w:val="19"/>
                <w:szCs w:val="19"/>
                <w:color w:val="auto"/>
              </w:rPr>
            </w:pPr>
          </w:p>
        </w:tc>
        <w:tc>
          <w:tcPr>
            <w:tcW w:w="740" w:type="dxa"/>
            <w:vAlign w:val="bottom"/>
            <w:tcBorders>
              <w:bottom w:val="single" w:sz="8" w:color="595959"/>
            </w:tcBorders>
          </w:tcPr>
          <w:p>
            <w:pPr>
              <w:spacing w:after="0"/>
              <w:rPr>
                <w:sz w:val="19"/>
                <w:szCs w:val="19"/>
                <w:color w:val="auto"/>
              </w:rPr>
            </w:pPr>
          </w:p>
        </w:tc>
        <w:tc>
          <w:tcPr>
            <w:tcW w:w="10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jc w:val="right"/>
              <w:ind w:right="32"/>
              <w:spacing w:after="0"/>
              <w:rPr>
                <w:sz w:val="20"/>
                <w:szCs w:val="20"/>
                <w:color w:val="auto"/>
              </w:rPr>
            </w:pPr>
            <w:r>
              <w:rPr>
                <w:rFonts w:ascii="Arial" w:cs="Arial" w:eastAsia="Arial" w:hAnsi="Arial"/>
                <w:sz w:val="14"/>
                <w:szCs w:val="14"/>
                <w:color w:val="auto"/>
              </w:rPr>
              <w:t>61</w:t>
            </w:r>
          </w:p>
        </w:tc>
        <w:tc>
          <w:tcPr>
            <w:tcW w:w="60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1,723</w:t>
            </w:r>
          </w:p>
        </w:tc>
        <w:tc>
          <w:tcPr>
            <w:tcW w:w="74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5,169</w:t>
            </w:r>
          </w:p>
        </w:tc>
        <w:tc>
          <w:tcPr>
            <w:tcW w:w="64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506,243</w:t>
            </w:r>
          </w:p>
        </w:tc>
        <w:tc>
          <w:tcPr>
            <w:tcW w:w="0" w:type="dxa"/>
            <w:vAlign w:val="bottom"/>
          </w:tcPr>
          <w:p>
            <w:pPr>
              <w:spacing w:after="0"/>
              <w:rPr>
                <w:sz w:val="1"/>
                <w:szCs w:val="1"/>
                <w:color w:val="auto"/>
              </w:rPr>
            </w:pPr>
          </w:p>
        </w:tc>
      </w:tr>
      <w:tr>
        <w:trPr>
          <w:trHeight w:val="226"/>
        </w:trPr>
        <w:tc>
          <w:tcPr>
            <w:tcW w:w="1000" w:type="dxa"/>
            <w:vAlign w:val="bottom"/>
          </w:tcPr>
          <w:p>
            <w:pPr>
              <w:spacing w:after="0"/>
              <w:rPr>
                <w:sz w:val="19"/>
                <w:szCs w:val="19"/>
                <w:color w:val="auto"/>
              </w:rPr>
            </w:pPr>
          </w:p>
        </w:tc>
        <w:tc>
          <w:tcPr>
            <w:tcW w:w="360" w:type="dxa"/>
            <w:vAlign w:val="bottom"/>
            <w:tcBorders>
              <w:bottom w:val="single" w:sz="8" w:color="595959"/>
            </w:tcBorders>
          </w:tcPr>
          <w:p>
            <w:pPr>
              <w:ind w:left="40"/>
              <w:spacing w:after="0"/>
              <w:rPr>
                <w:sz w:val="20"/>
                <w:szCs w:val="20"/>
                <w:color w:val="auto"/>
              </w:rPr>
            </w:pPr>
            <w:r>
              <w:rPr>
                <w:rFonts w:ascii="Arial" w:cs="Arial" w:eastAsia="Arial" w:hAnsi="Arial"/>
                <w:sz w:val="14"/>
                <w:szCs w:val="14"/>
                <w:color w:val="auto"/>
                <w:w w:val="96"/>
              </w:rPr>
              <w:t>2019</w:t>
            </w:r>
          </w:p>
        </w:tc>
        <w:tc>
          <w:tcPr>
            <w:tcW w:w="960" w:type="dxa"/>
            <w:vAlign w:val="bottom"/>
            <w:tcBorders>
              <w:bottom w:val="single" w:sz="8" w:color="595959"/>
            </w:tcBorders>
          </w:tcPr>
          <w:p>
            <w:pPr>
              <w:ind w:left="20"/>
              <w:spacing w:after="0"/>
              <w:rPr>
                <w:sz w:val="20"/>
                <w:szCs w:val="20"/>
                <w:color w:val="auto"/>
              </w:rPr>
            </w:pPr>
            <w:r>
              <w:rPr>
                <w:rFonts w:ascii="Arial" w:cs="Arial" w:eastAsia="Arial" w:hAnsi="Arial"/>
                <w:sz w:val="14"/>
                <w:szCs w:val="14"/>
                <w:color w:val="auto"/>
              </w:rPr>
              <w:t>PSA</w:t>
            </w:r>
          </w:p>
        </w:tc>
        <w:tc>
          <w:tcPr>
            <w:tcW w:w="86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9/14/2020</w:t>
            </w:r>
          </w:p>
        </w:tc>
        <w:tc>
          <w:tcPr>
            <w:tcW w:w="720" w:type="dxa"/>
            <w:vAlign w:val="bottom"/>
            <w:tcBorders>
              <w:bottom w:val="single" w:sz="8" w:color="595959"/>
            </w:tcBorders>
          </w:tcPr>
          <w:p>
            <w:pPr>
              <w:spacing w:after="0"/>
              <w:rPr>
                <w:sz w:val="19"/>
                <w:szCs w:val="19"/>
                <w:color w:val="auto"/>
              </w:rPr>
            </w:pPr>
          </w:p>
        </w:tc>
        <w:tc>
          <w:tcPr>
            <w:tcW w:w="860" w:type="dxa"/>
            <w:vAlign w:val="bottom"/>
            <w:tcBorders>
              <w:bottom w:val="single" w:sz="8" w:color="595959"/>
            </w:tcBorders>
          </w:tcPr>
          <w:p>
            <w:pPr>
              <w:spacing w:after="0"/>
              <w:rPr>
                <w:sz w:val="19"/>
                <w:szCs w:val="19"/>
                <w:color w:val="auto"/>
              </w:rPr>
            </w:pPr>
          </w:p>
        </w:tc>
        <w:tc>
          <w:tcPr>
            <w:tcW w:w="740" w:type="dxa"/>
            <w:vAlign w:val="bottom"/>
            <w:tcBorders>
              <w:bottom w:val="single" w:sz="8" w:color="595959"/>
            </w:tcBorders>
          </w:tcPr>
          <w:p>
            <w:pPr>
              <w:spacing w:after="0"/>
              <w:rPr>
                <w:sz w:val="19"/>
                <w:szCs w:val="19"/>
                <w:color w:val="auto"/>
              </w:rPr>
            </w:pPr>
          </w:p>
        </w:tc>
        <w:tc>
          <w:tcPr>
            <w:tcW w:w="10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jc w:val="right"/>
              <w:ind w:right="32"/>
              <w:spacing w:after="0"/>
              <w:rPr>
                <w:sz w:val="20"/>
                <w:szCs w:val="20"/>
                <w:color w:val="auto"/>
              </w:rPr>
            </w:pPr>
            <w:r>
              <w:rPr>
                <w:rFonts w:ascii="Arial" w:cs="Arial" w:eastAsia="Arial" w:hAnsi="Arial"/>
                <w:sz w:val="14"/>
                <w:szCs w:val="14"/>
                <w:color w:val="auto"/>
              </w:rPr>
              <w:t>226</w:t>
            </w:r>
          </w:p>
        </w:tc>
        <w:tc>
          <w:tcPr>
            <w:tcW w:w="60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9,014</w:t>
            </w:r>
          </w:p>
        </w:tc>
        <w:tc>
          <w:tcPr>
            <w:tcW w:w="74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27,042</w:t>
            </w:r>
          </w:p>
        </w:tc>
        <w:tc>
          <w:tcPr>
            <w:tcW w:w="64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2,720,238</w:t>
            </w:r>
          </w:p>
        </w:tc>
        <w:tc>
          <w:tcPr>
            <w:tcW w:w="0" w:type="dxa"/>
            <w:vAlign w:val="bottom"/>
          </w:tcPr>
          <w:p>
            <w:pPr>
              <w:spacing w:after="0"/>
              <w:rPr>
                <w:sz w:val="1"/>
                <w:szCs w:val="1"/>
                <w:color w:val="auto"/>
              </w:rPr>
            </w:pPr>
          </w:p>
        </w:tc>
      </w:tr>
      <w:tr>
        <w:trPr>
          <w:trHeight w:val="226"/>
        </w:trPr>
        <w:tc>
          <w:tcPr>
            <w:tcW w:w="1000" w:type="dxa"/>
            <w:vAlign w:val="bottom"/>
          </w:tcPr>
          <w:p>
            <w:pPr>
              <w:spacing w:after="0"/>
              <w:rPr>
                <w:sz w:val="19"/>
                <w:szCs w:val="19"/>
                <w:color w:val="auto"/>
              </w:rPr>
            </w:pPr>
          </w:p>
        </w:tc>
        <w:tc>
          <w:tcPr>
            <w:tcW w:w="360" w:type="dxa"/>
            <w:vAlign w:val="bottom"/>
            <w:tcBorders>
              <w:bottom w:val="single" w:sz="8" w:color="595959"/>
            </w:tcBorders>
          </w:tcPr>
          <w:p>
            <w:pPr>
              <w:ind w:left="40"/>
              <w:spacing w:after="0"/>
              <w:rPr>
                <w:sz w:val="20"/>
                <w:szCs w:val="20"/>
                <w:color w:val="auto"/>
              </w:rPr>
            </w:pPr>
            <w:r>
              <w:rPr>
                <w:rFonts w:ascii="Arial" w:cs="Arial" w:eastAsia="Arial" w:hAnsi="Arial"/>
                <w:sz w:val="14"/>
                <w:szCs w:val="14"/>
                <w:color w:val="auto"/>
                <w:w w:val="96"/>
              </w:rPr>
              <w:t>2019</w:t>
            </w:r>
          </w:p>
        </w:tc>
        <w:tc>
          <w:tcPr>
            <w:tcW w:w="960" w:type="dxa"/>
            <w:vAlign w:val="bottom"/>
            <w:tcBorders>
              <w:bottom w:val="single" w:sz="8" w:color="595959"/>
            </w:tcBorders>
          </w:tcPr>
          <w:p>
            <w:pPr>
              <w:ind w:left="20"/>
              <w:spacing w:after="0"/>
              <w:rPr>
                <w:sz w:val="20"/>
                <w:szCs w:val="20"/>
                <w:color w:val="auto"/>
              </w:rPr>
            </w:pPr>
            <w:r>
              <w:rPr>
                <w:rFonts w:ascii="Arial" w:cs="Arial" w:eastAsia="Arial" w:hAnsi="Arial"/>
                <w:sz w:val="14"/>
                <w:szCs w:val="14"/>
                <w:color w:val="auto"/>
              </w:rPr>
              <w:t>PSA</w:t>
            </w:r>
          </w:p>
        </w:tc>
        <w:tc>
          <w:tcPr>
            <w:tcW w:w="86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12/1/2020</w:t>
            </w:r>
          </w:p>
        </w:tc>
        <w:tc>
          <w:tcPr>
            <w:tcW w:w="720" w:type="dxa"/>
            <w:vAlign w:val="bottom"/>
            <w:tcBorders>
              <w:bottom w:val="single" w:sz="8" w:color="595959"/>
            </w:tcBorders>
          </w:tcPr>
          <w:p>
            <w:pPr>
              <w:spacing w:after="0"/>
              <w:rPr>
                <w:sz w:val="19"/>
                <w:szCs w:val="19"/>
                <w:color w:val="auto"/>
              </w:rPr>
            </w:pPr>
          </w:p>
        </w:tc>
        <w:tc>
          <w:tcPr>
            <w:tcW w:w="860" w:type="dxa"/>
            <w:vAlign w:val="bottom"/>
            <w:tcBorders>
              <w:bottom w:val="single" w:sz="8" w:color="595959"/>
            </w:tcBorders>
          </w:tcPr>
          <w:p>
            <w:pPr>
              <w:spacing w:after="0"/>
              <w:rPr>
                <w:sz w:val="19"/>
                <w:szCs w:val="19"/>
                <w:color w:val="auto"/>
              </w:rPr>
            </w:pPr>
          </w:p>
        </w:tc>
        <w:tc>
          <w:tcPr>
            <w:tcW w:w="740" w:type="dxa"/>
            <w:vAlign w:val="bottom"/>
            <w:tcBorders>
              <w:bottom w:val="single" w:sz="8" w:color="595959"/>
            </w:tcBorders>
          </w:tcPr>
          <w:p>
            <w:pPr>
              <w:spacing w:after="0"/>
              <w:rPr>
                <w:sz w:val="19"/>
                <w:szCs w:val="19"/>
                <w:color w:val="auto"/>
              </w:rPr>
            </w:pPr>
          </w:p>
        </w:tc>
        <w:tc>
          <w:tcPr>
            <w:tcW w:w="10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jc w:val="right"/>
              <w:ind w:right="32"/>
              <w:spacing w:after="0"/>
              <w:rPr>
                <w:sz w:val="20"/>
                <w:szCs w:val="20"/>
                <w:color w:val="auto"/>
              </w:rPr>
            </w:pPr>
            <w:r>
              <w:rPr>
                <w:rFonts w:ascii="Arial" w:cs="Arial" w:eastAsia="Arial" w:hAnsi="Arial"/>
                <w:sz w:val="14"/>
                <w:szCs w:val="14"/>
                <w:color w:val="auto"/>
              </w:rPr>
              <w:t>53</w:t>
            </w:r>
          </w:p>
        </w:tc>
        <w:tc>
          <w:tcPr>
            <w:tcW w:w="60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2,114</w:t>
            </w:r>
          </w:p>
        </w:tc>
        <w:tc>
          <w:tcPr>
            <w:tcW w:w="74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6,342</w:t>
            </w:r>
          </w:p>
        </w:tc>
        <w:tc>
          <w:tcPr>
            <w:tcW w:w="64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678,232</w:t>
            </w:r>
          </w:p>
        </w:tc>
        <w:tc>
          <w:tcPr>
            <w:tcW w:w="0" w:type="dxa"/>
            <w:vAlign w:val="bottom"/>
          </w:tcPr>
          <w:p>
            <w:pPr>
              <w:spacing w:after="0"/>
              <w:rPr>
                <w:sz w:val="1"/>
                <w:szCs w:val="1"/>
                <w:color w:val="auto"/>
              </w:rPr>
            </w:pPr>
          </w:p>
        </w:tc>
      </w:tr>
      <w:tr>
        <w:trPr>
          <w:trHeight w:val="226"/>
        </w:trPr>
        <w:tc>
          <w:tcPr>
            <w:tcW w:w="1000" w:type="dxa"/>
            <w:vAlign w:val="bottom"/>
            <w:tcBorders>
              <w:bottom w:val="single" w:sz="8" w:color="0075C9"/>
            </w:tcBorders>
          </w:tcPr>
          <w:p>
            <w:pPr>
              <w:spacing w:after="0"/>
              <w:rPr>
                <w:sz w:val="19"/>
                <w:szCs w:val="19"/>
                <w:color w:val="auto"/>
              </w:rPr>
            </w:pPr>
          </w:p>
        </w:tc>
        <w:tc>
          <w:tcPr>
            <w:tcW w:w="360" w:type="dxa"/>
            <w:vAlign w:val="bottom"/>
            <w:tcBorders>
              <w:bottom w:val="single" w:sz="8" w:color="0075C9"/>
            </w:tcBorders>
          </w:tcPr>
          <w:p>
            <w:pPr>
              <w:ind w:left="40"/>
              <w:spacing w:after="0"/>
              <w:rPr>
                <w:sz w:val="20"/>
                <w:szCs w:val="20"/>
                <w:color w:val="auto"/>
              </w:rPr>
            </w:pPr>
            <w:r>
              <w:rPr>
                <w:rFonts w:ascii="Arial" w:cs="Arial" w:eastAsia="Arial" w:hAnsi="Arial"/>
                <w:sz w:val="14"/>
                <w:szCs w:val="14"/>
                <w:color w:val="auto"/>
                <w:w w:val="96"/>
              </w:rPr>
              <w:t>2021</w:t>
            </w:r>
          </w:p>
        </w:tc>
        <w:tc>
          <w:tcPr>
            <w:tcW w:w="960" w:type="dxa"/>
            <w:vAlign w:val="bottom"/>
            <w:tcBorders>
              <w:bottom w:val="single" w:sz="8" w:color="0075C9"/>
            </w:tcBorders>
          </w:tcPr>
          <w:p>
            <w:pPr>
              <w:ind w:left="20"/>
              <w:spacing w:after="0"/>
              <w:rPr>
                <w:sz w:val="20"/>
                <w:szCs w:val="20"/>
                <w:color w:val="auto"/>
              </w:rPr>
            </w:pPr>
            <w:r>
              <w:rPr>
                <w:rFonts w:ascii="Arial" w:cs="Arial" w:eastAsia="Arial" w:hAnsi="Arial"/>
                <w:sz w:val="14"/>
                <w:szCs w:val="14"/>
                <w:color w:val="auto"/>
              </w:rPr>
              <w:t>SA</w:t>
            </w:r>
          </w:p>
        </w:tc>
        <w:tc>
          <w:tcPr>
            <w:tcW w:w="860" w:type="dxa"/>
            <w:vAlign w:val="bottom"/>
            <w:tcBorders>
              <w:bottom w:val="single" w:sz="8" w:color="0075C9"/>
            </w:tcBorders>
          </w:tcPr>
          <w:p>
            <w:pPr>
              <w:jc w:val="right"/>
              <w:ind w:right="31"/>
              <w:spacing w:after="0"/>
              <w:rPr>
                <w:sz w:val="20"/>
                <w:szCs w:val="20"/>
                <w:color w:val="auto"/>
              </w:rPr>
            </w:pPr>
            <w:r>
              <w:rPr>
                <w:rFonts w:ascii="Arial" w:cs="Arial" w:eastAsia="Arial" w:hAnsi="Arial"/>
                <w:sz w:val="14"/>
                <w:szCs w:val="14"/>
                <w:color w:val="auto"/>
              </w:rPr>
              <w:t>9/14/2020</w:t>
            </w:r>
          </w:p>
        </w:tc>
        <w:tc>
          <w:tcPr>
            <w:tcW w:w="720" w:type="dxa"/>
            <w:vAlign w:val="bottom"/>
            <w:tcBorders>
              <w:bottom w:val="single" w:sz="8" w:color="0075C9"/>
            </w:tcBorders>
          </w:tcPr>
          <w:p>
            <w:pPr>
              <w:spacing w:after="0"/>
              <w:rPr>
                <w:sz w:val="19"/>
                <w:szCs w:val="19"/>
                <w:color w:val="auto"/>
              </w:rPr>
            </w:pPr>
          </w:p>
        </w:tc>
        <w:tc>
          <w:tcPr>
            <w:tcW w:w="860" w:type="dxa"/>
            <w:vAlign w:val="bottom"/>
            <w:tcBorders>
              <w:bottom w:val="single" w:sz="8" w:color="0075C9"/>
            </w:tcBorders>
          </w:tcPr>
          <w:p>
            <w:pPr>
              <w:spacing w:after="0"/>
              <w:rPr>
                <w:sz w:val="19"/>
                <w:szCs w:val="19"/>
                <w:color w:val="auto"/>
              </w:rPr>
            </w:pPr>
          </w:p>
        </w:tc>
        <w:tc>
          <w:tcPr>
            <w:tcW w:w="740" w:type="dxa"/>
            <w:vAlign w:val="bottom"/>
            <w:tcBorders>
              <w:bottom w:val="single" w:sz="8" w:color="0075C9"/>
            </w:tcBorders>
          </w:tcPr>
          <w:p>
            <w:pPr>
              <w:spacing w:after="0"/>
              <w:rPr>
                <w:sz w:val="19"/>
                <w:szCs w:val="19"/>
                <w:color w:val="auto"/>
              </w:rPr>
            </w:pPr>
          </w:p>
        </w:tc>
        <w:tc>
          <w:tcPr>
            <w:tcW w:w="100" w:type="dxa"/>
            <w:vAlign w:val="bottom"/>
            <w:tcBorders>
              <w:bottom w:val="single" w:sz="8" w:color="0075C9"/>
            </w:tcBorders>
          </w:tcPr>
          <w:p>
            <w:pPr>
              <w:spacing w:after="0"/>
              <w:rPr>
                <w:sz w:val="19"/>
                <w:szCs w:val="19"/>
                <w:color w:val="auto"/>
              </w:rPr>
            </w:pPr>
          </w:p>
        </w:tc>
        <w:tc>
          <w:tcPr>
            <w:tcW w:w="800" w:type="dxa"/>
            <w:vAlign w:val="bottom"/>
            <w:tcBorders>
              <w:bottom w:val="single" w:sz="8" w:color="0075C9"/>
            </w:tcBorders>
          </w:tcPr>
          <w:p>
            <w:pPr>
              <w:spacing w:after="0"/>
              <w:rPr>
                <w:sz w:val="19"/>
                <w:szCs w:val="19"/>
                <w:color w:val="auto"/>
              </w:rPr>
            </w:pPr>
          </w:p>
        </w:tc>
        <w:tc>
          <w:tcPr>
            <w:tcW w:w="600" w:type="dxa"/>
            <w:vAlign w:val="bottom"/>
            <w:tcBorders>
              <w:bottom w:val="single" w:sz="8" w:color="0075C9"/>
            </w:tcBorders>
          </w:tcPr>
          <w:p>
            <w:pPr>
              <w:spacing w:after="0"/>
              <w:rPr>
                <w:sz w:val="19"/>
                <w:szCs w:val="19"/>
                <w:color w:val="auto"/>
              </w:rPr>
            </w:pPr>
          </w:p>
        </w:tc>
        <w:tc>
          <w:tcPr>
            <w:tcW w:w="740" w:type="dxa"/>
            <w:vAlign w:val="bottom"/>
            <w:tcBorders>
              <w:bottom w:val="single" w:sz="8" w:color="0075C9"/>
            </w:tcBorders>
          </w:tcPr>
          <w:p>
            <w:pPr>
              <w:spacing w:after="0"/>
              <w:rPr>
                <w:sz w:val="19"/>
                <w:szCs w:val="19"/>
                <w:color w:val="auto"/>
              </w:rPr>
            </w:pPr>
          </w:p>
        </w:tc>
        <w:tc>
          <w:tcPr>
            <w:tcW w:w="64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22,170</w:t>
            </w:r>
          </w:p>
        </w:tc>
        <w:tc>
          <w:tcPr>
            <w:tcW w:w="80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4,449,592</w:t>
            </w:r>
          </w:p>
        </w:tc>
        <w:tc>
          <w:tcPr>
            <w:tcW w:w="0" w:type="dxa"/>
            <w:vAlign w:val="bottom"/>
          </w:tcPr>
          <w:p>
            <w:pPr>
              <w:spacing w:after="0"/>
              <w:rPr>
                <w:sz w:val="1"/>
                <w:szCs w:val="1"/>
                <w:color w:val="auto"/>
              </w:rPr>
            </w:pPr>
          </w:p>
        </w:tc>
      </w:tr>
      <w:tr>
        <w:trPr>
          <w:trHeight w:val="195"/>
        </w:trPr>
        <w:tc>
          <w:tcPr>
            <w:tcW w:w="1000" w:type="dxa"/>
            <w:vAlign w:val="bottom"/>
          </w:tcPr>
          <w:p>
            <w:pPr>
              <w:ind w:left="80"/>
              <w:spacing w:after="0"/>
              <w:rPr>
                <w:sz w:val="20"/>
                <w:szCs w:val="20"/>
                <w:color w:val="auto"/>
              </w:rPr>
            </w:pPr>
            <w:r>
              <w:rPr>
                <w:rFonts w:ascii="Arial" w:cs="Arial" w:eastAsia="Arial" w:hAnsi="Arial"/>
                <w:sz w:val="14"/>
                <w:szCs w:val="14"/>
                <w:b w:val="1"/>
                <w:bCs w:val="1"/>
                <w:color w:val="0075C9"/>
              </w:rPr>
              <w:t>Bradford L.</w:t>
            </w:r>
          </w:p>
        </w:tc>
        <w:tc>
          <w:tcPr>
            <w:tcW w:w="360" w:type="dxa"/>
            <w:vAlign w:val="bottom"/>
          </w:tcPr>
          <w:p>
            <w:pPr>
              <w:ind w:left="40"/>
              <w:spacing w:after="0"/>
              <w:rPr>
                <w:sz w:val="20"/>
                <w:szCs w:val="20"/>
                <w:color w:val="auto"/>
              </w:rPr>
            </w:pPr>
            <w:r>
              <w:rPr>
                <w:rFonts w:ascii="Arial" w:cs="Arial" w:eastAsia="Arial" w:hAnsi="Arial"/>
                <w:sz w:val="14"/>
                <w:szCs w:val="14"/>
                <w:color w:val="auto"/>
                <w:w w:val="96"/>
              </w:rPr>
              <w:t>2021</w:t>
            </w:r>
          </w:p>
        </w:tc>
        <w:tc>
          <w:tcPr>
            <w:tcW w:w="960" w:type="dxa"/>
            <w:vAlign w:val="bottom"/>
          </w:tcPr>
          <w:p>
            <w:pPr>
              <w:ind w:left="20"/>
              <w:spacing w:after="0"/>
              <w:rPr>
                <w:sz w:val="20"/>
                <w:szCs w:val="20"/>
                <w:color w:val="auto"/>
              </w:rPr>
            </w:pPr>
            <w:r>
              <w:rPr>
                <w:rFonts w:ascii="Arial" w:cs="Arial" w:eastAsia="Arial" w:hAnsi="Arial"/>
                <w:sz w:val="14"/>
                <w:szCs w:val="14"/>
                <w:color w:val="auto"/>
                <w:w w:val="99"/>
              </w:rPr>
              <w:t>Cash Incentive</w:t>
            </w:r>
          </w:p>
        </w:tc>
        <w:tc>
          <w:tcPr>
            <w:tcW w:w="8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w:t>
            </w:r>
          </w:p>
        </w:tc>
        <w:tc>
          <w:tcPr>
            <w:tcW w:w="860" w:type="dxa"/>
            <w:vAlign w:val="bottom"/>
          </w:tcPr>
          <w:p>
            <w:pPr>
              <w:jc w:val="right"/>
              <w:ind w:right="31"/>
              <w:spacing w:after="0"/>
              <w:rPr>
                <w:sz w:val="20"/>
                <w:szCs w:val="20"/>
                <w:color w:val="auto"/>
              </w:rPr>
            </w:pPr>
            <w:r>
              <w:rPr>
                <w:rFonts w:ascii="Arial" w:cs="Arial" w:eastAsia="Arial" w:hAnsi="Arial"/>
                <w:sz w:val="14"/>
                <w:szCs w:val="14"/>
                <w:color w:val="auto"/>
              </w:rPr>
              <w:t>2,358,333</w:t>
            </w:r>
          </w:p>
        </w:tc>
        <w:tc>
          <w:tcPr>
            <w:tcW w:w="740" w:type="dxa"/>
            <w:vAlign w:val="bottom"/>
          </w:tcPr>
          <w:p>
            <w:pPr>
              <w:jc w:val="right"/>
              <w:spacing w:after="0"/>
              <w:rPr>
                <w:sz w:val="20"/>
                <w:szCs w:val="20"/>
                <w:color w:val="auto"/>
              </w:rPr>
            </w:pPr>
            <w:r>
              <w:rPr>
                <w:rFonts w:ascii="Arial" w:cs="Arial" w:eastAsia="Arial" w:hAnsi="Arial"/>
                <w:sz w:val="14"/>
                <w:szCs w:val="14"/>
                <w:color w:val="auto"/>
              </w:rPr>
              <w:t>4,716,667</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000" w:type="dxa"/>
            <w:vAlign w:val="bottom"/>
            <w:vMerge w:val="restart"/>
          </w:tcPr>
          <w:p>
            <w:pPr>
              <w:ind w:left="200"/>
              <w:spacing w:after="0"/>
              <w:rPr>
                <w:sz w:val="20"/>
                <w:szCs w:val="20"/>
                <w:color w:val="auto"/>
              </w:rPr>
            </w:pPr>
            <w:r>
              <w:rPr>
                <w:rFonts w:ascii="Arial" w:cs="Arial" w:eastAsia="Arial" w:hAnsi="Arial"/>
                <w:sz w:val="14"/>
                <w:szCs w:val="14"/>
                <w:b w:val="1"/>
                <w:bCs w:val="1"/>
                <w:color w:val="0075C9"/>
              </w:rPr>
              <w:t>Smith</w:t>
            </w:r>
          </w:p>
        </w:tc>
        <w:tc>
          <w:tcPr>
            <w:tcW w:w="360" w:type="dxa"/>
            <w:vAlign w:val="bottom"/>
            <w:tcBorders>
              <w:bottom w:val="single" w:sz="8" w:color="595959"/>
            </w:tcBorders>
          </w:tcPr>
          <w:p>
            <w:pPr>
              <w:spacing w:after="0"/>
              <w:rPr>
                <w:sz w:val="3"/>
                <w:szCs w:val="3"/>
                <w:color w:val="auto"/>
              </w:rPr>
            </w:pPr>
          </w:p>
        </w:tc>
        <w:tc>
          <w:tcPr>
            <w:tcW w:w="960" w:type="dxa"/>
            <w:vAlign w:val="bottom"/>
            <w:tcBorders>
              <w:bottom w:val="single" w:sz="8" w:color="595959"/>
            </w:tcBorders>
          </w:tcPr>
          <w:p>
            <w:pPr>
              <w:spacing w:after="0"/>
              <w:rPr>
                <w:sz w:val="3"/>
                <w:szCs w:val="3"/>
                <w:color w:val="auto"/>
              </w:rPr>
            </w:pPr>
          </w:p>
        </w:tc>
        <w:tc>
          <w:tcPr>
            <w:tcW w:w="860" w:type="dxa"/>
            <w:vAlign w:val="bottom"/>
            <w:tcBorders>
              <w:bottom w:val="single" w:sz="8" w:color="595959"/>
            </w:tcBorders>
          </w:tcPr>
          <w:p>
            <w:pPr>
              <w:spacing w:after="0"/>
              <w:rPr>
                <w:sz w:val="3"/>
                <w:szCs w:val="3"/>
                <w:color w:val="auto"/>
              </w:rPr>
            </w:pPr>
          </w:p>
        </w:tc>
        <w:tc>
          <w:tcPr>
            <w:tcW w:w="720" w:type="dxa"/>
            <w:vAlign w:val="bottom"/>
            <w:tcBorders>
              <w:bottom w:val="single" w:sz="8" w:color="595959"/>
            </w:tcBorders>
          </w:tcPr>
          <w:p>
            <w:pPr>
              <w:spacing w:after="0"/>
              <w:rPr>
                <w:sz w:val="3"/>
                <w:szCs w:val="3"/>
                <w:color w:val="auto"/>
              </w:rPr>
            </w:pPr>
          </w:p>
        </w:tc>
        <w:tc>
          <w:tcPr>
            <w:tcW w:w="860" w:type="dxa"/>
            <w:vAlign w:val="bottom"/>
            <w:tcBorders>
              <w:bottom w:val="single" w:sz="8" w:color="595959"/>
            </w:tcBorders>
          </w:tcPr>
          <w:p>
            <w:pPr>
              <w:spacing w:after="0"/>
              <w:rPr>
                <w:sz w:val="3"/>
                <w:szCs w:val="3"/>
                <w:color w:val="auto"/>
              </w:rPr>
            </w:pPr>
          </w:p>
        </w:tc>
        <w:tc>
          <w:tcPr>
            <w:tcW w:w="740" w:type="dxa"/>
            <w:vAlign w:val="bottom"/>
            <w:tcBorders>
              <w:bottom w:val="single" w:sz="8" w:color="595959"/>
            </w:tcBorders>
          </w:tcPr>
          <w:p>
            <w:pPr>
              <w:spacing w:after="0"/>
              <w:rPr>
                <w:sz w:val="3"/>
                <w:szCs w:val="3"/>
                <w:color w:val="auto"/>
              </w:rPr>
            </w:pPr>
          </w:p>
        </w:tc>
        <w:tc>
          <w:tcPr>
            <w:tcW w:w="100" w:type="dxa"/>
            <w:vAlign w:val="bottom"/>
            <w:tcBorders>
              <w:bottom w:val="single" w:sz="8" w:color="595959"/>
            </w:tcBorders>
          </w:tcPr>
          <w:p>
            <w:pPr>
              <w:spacing w:after="0"/>
              <w:rPr>
                <w:sz w:val="3"/>
                <w:szCs w:val="3"/>
                <w:color w:val="auto"/>
              </w:rPr>
            </w:pPr>
          </w:p>
        </w:tc>
        <w:tc>
          <w:tcPr>
            <w:tcW w:w="800" w:type="dxa"/>
            <w:vAlign w:val="bottom"/>
            <w:tcBorders>
              <w:bottom w:val="single" w:sz="8" w:color="595959"/>
            </w:tcBorders>
          </w:tcPr>
          <w:p>
            <w:pPr>
              <w:spacing w:after="0"/>
              <w:rPr>
                <w:sz w:val="3"/>
                <w:szCs w:val="3"/>
                <w:color w:val="auto"/>
              </w:rPr>
            </w:pPr>
          </w:p>
        </w:tc>
        <w:tc>
          <w:tcPr>
            <w:tcW w:w="600" w:type="dxa"/>
            <w:vAlign w:val="bottom"/>
            <w:tcBorders>
              <w:bottom w:val="single" w:sz="8" w:color="595959"/>
            </w:tcBorders>
          </w:tcPr>
          <w:p>
            <w:pPr>
              <w:spacing w:after="0"/>
              <w:rPr>
                <w:sz w:val="3"/>
                <w:szCs w:val="3"/>
                <w:color w:val="auto"/>
              </w:rPr>
            </w:pPr>
          </w:p>
        </w:tc>
        <w:tc>
          <w:tcPr>
            <w:tcW w:w="740" w:type="dxa"/>
            <w:vAlign w:val="bottom"/>
            <w:tcBorders>
              <w:bottom w:val="single" w:sz="8" w:color="595959"/>
            </w:tcBorders>
          </w:tcPr>
          <w:p>
            <w:pPr>
              <w:spacing w:after="0"/>
              <w:rPr>
                <w:sz w:val="3"/>
                <w:szCs w:val="3"/>
                <w:color w:val="auto"/>
              </w:rPr>
            </w:pPr>
          </w:p>
        </w:tc>
        <w:tc>
          <w:tcPr>
            <w:tcW w:w="640" w:type="dxa"/>
            <w:vAlign w:val="bottom"/>
            <w:tcBorders>
              <w:bottom w:val="single" w:sz="8" w:color="595959"/>
            </w:tcBorders>
          </w:tcPr>
          <w:p>
            <w:pPr>
              <w:spacing w:after="0"/>
              <w:rPr>
                <w:sz w:val="3"/>
                <w:szCs w:val="3"/>
                <w:color w:val="auto"/>
              </w:rPr>
            </w:pPr>
          </w:p>
        </w:tc>
        <w:tc>
          <w:tcPr>
            <w:tcW w:w="800" w:type="dxa"/>
            <w:vAlign w:val="bottom"/>
            <w:tcBorders>
              <w:bottom w:val="single" w:sz="8" w:color="595959"/>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1000" w:type="dxa"/>
            <w:vAlign w:val="bottom"/>
            <w:vMerge w:val="continue"/>
          </w:tcPr>
          <w:p>
            <w:pPr>
              <w:spacing w:after="0"/>
              <w:rPr>
                <w:sz w:val="14"/>
                <w:szCs w:val="14"/>
                <w:color w:val="auto"/>
              </w:rPr>
            </w:pPr>
          </w:p>
        </w:tc>
        <w:tc>
          <w:tcPr>
            <w:tcW w:w="360" w:type="dxa"/>
            <w:vAlign w:val="bottom"/>
            <w:tcBorders>
              <w:bottom w:val="single" w:sz="8" w:color="595959"/>
            </w:tcBorders>
          </w:tcPr>
          <w:p>
            <w:pPr>
              <w:ind w:left="40"/>
              <w:spacing w:after="0"/>
              <w:rPr>
                <w:sz w:val="20"/>
                <w:szCs w:val="20"/>
                <w:color w:val="auto"/>
              </w:rPr>
            </w:pPr>
            <w:r>
              <w:rPr>
                <w:rFonts w:ascii="Arial" w:cs="Arial" w:eastAsia="Arial" w:hAnsi="Arial"/>
                <w:sz w:val="14"/>
                <w:szCs w:val="14"/>
                <w:color w:val="auto"/>
                <w:w w:val="96"/>
              </w:rPr>
              <w:t>2021</w:t>
            </w:r>
          </w:p>
        </w:tc>
        <w:tc>
          <w:tcPr>
            <w:tcW w:w="960" w:type="dxa"/>
            <w:vAlign w:val="bottom"/>
            <w:tcBorders>
              <w:bottom w:val="single" w:sz="8" w:color="595959"/>
            </w:tcBorders>
          </w:tcPr>
          <w:p>
            <w:pPr>
              <w:ind w:left="20"/>
              <w:spacing w:after="0"/>
              <w:rPr>
                <w:sz w:val="20"/>
                <w:szCs w:val="20"/>
                <w:color w:val="auto"/>
              </w:rPr>
            </w:pPr>
            <w:r>
              <w:rPr>
                <w:rFonts w:ascii="Arial" w:cs="Arial" w:eastAsia="Arial" w:hAnsi="Arial"/>
                <w:sz w:val="14"/>
                <w:szCs w:val="14"/>
                <w:color w:val="auto"/>
              </w:rPr>
              <w:t>PSA</w:t>
            </w:r>
          </w:p>
        </w:tc>
        <w:tc>
          <w:tcPr>
            <w:tcW w:w="86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9/14/2020</w:t>
            </w:r>
          </w:p>
        </w:tc>
        <w:tc>
          <w:tcPr>
            <w:tcW w:w="720" w:type="dxa"/>
            <w:vAlign w:val="bottom"/>
            <w:tcBorders>
              <w:bottom w:val="single" w:sz="8" w:color="595959"/>
            </w:tcBorders>
          </w:tcPr>
          <w:p>
            <w:pPr>
              <w:spacing w:after="0"/>
              <w:rPr>
                <w:sz w:val="14"/>
                <w:szCs w:val="14"/>
                <w:color w:val="auto"/>
              </w:rPr>
            </w:pPr>
          </w:p>
        </w:tc>
        <w:tc>
          <w:tcPr>
            <w:tcW w:w="860" w:type="dxa"/>
            <w:vAlign w:val="bottom"/>
            <w:tcBorders>
              <w:bottom w:val="single" w:sz="8" w:color="595959"/>
            </w:tcBorders>
          </w:tcPr>
          <w:p>
            <w:pPr>
              <w:spacing w:after="0"/>
              <w:rPr>
                <w:sz w:val="14"/>
                <w:szCs w:val="14"/>
                <w:color w:val="auto"/>
              </w:rPr>
            </w:pPr>
          </w:p>
        </w:tc>
        <w:tc>
          <w:tcPr>
            <w:tcW w:w="740" w:type="dxa"/>
            <w:vAlign w:val="bottom"/>
            <w:tcBorders>
              <w:bottom w:val="single" w:sz="8" w:color="595959"/>
            </w:tcBorders>
          </w:tcPr>
          <w:p>
            <w:pPr>
              <w:spacing w:after="0"/>
              <w:rPr>
                <w:sz w:val="14"/>
                <w:szCs w:val="14"/>
                <w:color w:val="auto"/>
              </w:rPr>
            </w:pPr>
          </w:p>
        </w:tc>
        <w:tc>
          <w:tcPr>
            <w:tcW w:w="100" w:type="dxa"/>
            <w:vAlign w:val="bottom"/>
            <w:tcBorders>
              <w:bottom w:val="single" w:sz="8" w:color="595959"/>
            </w:tcBorders>
          </w:tcPr>
          <w:p>
            <w:pPr>
              <w:spacing w:after="0"/>
              <w:rPr>
                <w:sz w:val="14"/>
                <w:szCs w:val="14"/>
                <w:color w:val="auto"/>
              </w:rPr>
            </w:pPr>
          </w:p>
        </w:tc>
        <w:tc>
          <w:tcPr>
            <w:tcW w:w="800" w:type="dxa"/>
            <w:vAlign w:val="bottom"/>
            <w:tcBorders>
              <w:bottom w:val="single" w:sz="8" w:color="595959"/>
            </w:tcBorders>
          </w:tcPr>
          <w:p>
            <w:pPr>
              <w:jc w:val="right"/>
              <w:ind w:right="32"/>
              <w:spacing w:after="0"/>
              <w:rPr>
                <w:sz w:val="20"/>
                <w:szCs w:val="20"/>
                <w:color w:val="auto"/>
              </w:rPr>
            </w:pPr>
            <w:r>
              <w:rPr>
                <w:rFonts w:ascii="Arial" w:cs="Arial" w:eastAsia="Arial" w:hAnsi="Arial"/>
                <w:sz w:val="14"/>
                <w:szCs w:val="14"/>
                <w:color w:val="auto"/>
              </w:rPr>
              <w:t>95</w:t>
            </w:r>
          </w:p>
        </w:tc>
        <w:tc>
          <w:tcPr>
            <w:tcW w:w="60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7,542</w:t>
            </w:r>
          </w:p>
        </w:tc>
        <w:tc>
          <w:tcPr>
            <w:tcW w:w="74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22,626</w:t>
            </w:r>
          </w:p>
        </w:tc>
        <w:tc>
          <w:tcPr>
            <w:tcW w:w="640" w:type="dxa"/>
            <w:vAlign w:val="bottom"/>
            <w:tcBorders>
              <w:bottom w:val="single" w:sz="8" w:color="595959"/>
            </w:tcBorders>
          </w:tcPr>
          <w:p>
            <w:pPr>
              <w:spacing w:after="0"/>
              <w:rPr>
                <w:sz w:val="14"/>
                <w:szCs w:val="14"/>
                <w:color w:val="auto"/>
              </w:rPr>
            </w:pPr>
          </w:p>
        </w:tc>
        <w:tc>
          <w:tcPr>
            <w:tcW w:w="80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1,733,255</w:t>
            </w:r>
          </w:p>
        </w:tc>
        <w:tc>
          <w:tcPr>
            <w:tcW w:w="0" w:type="dxa"/>
            <w:vAlign w:val="bottom"/>
          </w:tcPr>
          <w:p>
            <w:pPr>
              <w:spacing w:after="0"/>
              <w:rPr>
                <w:sz w:val="1"/>
                <w:szCs w:val="1"/>
                <w:color w:val="auto"/>
              </w:rPr>
            </w:pPr>
          </w:p>
        </w:tc>
      </w:tr>
      <w:tr>
        <w:trPr>
          <w:trHeight w:val="226"/>
        </w:trPr>
        <w:tc>
          <w:tcPr>
            <w:tcW w:w="1000" w:type="dxa"/>
            <w:vAlign w:val="bottom"/>
          </w:tcPr>
          <w:p>
            <w:pPr>
              <w:spacing w:after="0"/>
              <w:rPr>
                <w:sz w:val="19"/>
                <w:szCs w:val="19"/>
                <w:color w:val="auto"/>
              </w:rPr>
            </w:pPr>
          </w:p>
        </w:tc>
        <w:tc>
          <w:tcPr>
            <w:tcW w:w="360" w:type="dxa"/>
            <w:vAlign w:val="bottom"/>
            <w:tcBorders>
              <w:bottom w:val="single" w:sz="8" w:color="595959"/>
            </w:tcBorders>
          </w:tcPr>
          <w:p>
            <w:pPr>
              <w:ind w:left="40"/>
              <w:spacing w:after="0"/>
              <w:rPr>
                <w:sz w:val="20"/>
                <w:szCs w:val="20"/>
                <w:color w:val="auto"/>
              </w:rPr>
            </w:pPr>
            <w:r>
              <w:rPr>
                <w:rFonts w:ascii="Arial" w:cs="Arial" w:eastAsia="Arial" w:hAnsi="Arial"/>
                <w:sz w:val="14"/>
                <w:szCs w:val="14"/>
                <w:color w:val="auto"/>
                <w:w w:val="96"/>
              </w:rPr>
              <w:t>2021</w:t>
            </w:r>
          </w:p>
        </w:tc>
        <w:tc>
          <w:tcPr>
            <w:tcW w:w="960" w:type="dxa"/>
            <w:vAlign w:val="bottom"/>
            <w:tcBorders>
              <w:bottom w:val="single" w:sz="8" w:color="595959"/>
            </w:tcBorders>
          </w:tcPr>
          <w:p>
            <w:pPr>
              <w:ind w:left="20"/>
              <w:spacing w:after="0"/>
              <w:rPr>
                <w:sz w:val="20"/>
                <w:szCs w:val="20"/>
                <w:color w:val="auto"/>
              </w:rPr>
            </w:pPr>
            <w:r>
              <w:rPr>
                <w:rFonts w:ascii="Arial" w:cs="Arial" w:eastAsia="Arial" w:hAnsi="Arial"/>
                <w:sz w:val="14"/>
                <w:szCs w:val="14"/>
                <w:color w:val="auto"/>
              </w:rPr>
              <w:t>PSA</w:t>
            </w:r>
          </w:p>
        </w:tc>
        <w:tc>
          <w:tcPr>
            <w:tcW w:w="86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12/1/2020</w:t>
            </w:r>
          </w:p>
        </w:tc>
        <w:tc>
          <w:tcPr>
            <w:tcW w:w="720" w:type="dxa"/>
            <w:vAlign w:val="bottom"/>
            <w:tcBorders>
              <w:bottom w:val="single" w:sz="8" w:color="595959"/>
            </w:tcBorders>
          </w:tcPr>
          <w:p>
            <w:pPr>
              <w:spacing w:after="0"/>
              <w:rPr>
                <w:sz w:val="19"/>
                <w:szCs w:val="19"/>
                <w:color w:val="auto"/>
              </w:rPr>
            </w:pPr>
          </w:p>
        </w:tc>
        <w:tc>
          <w:tcPr>
            <w:tcW w:w="860" w:type="dxa"/>
            <w:vAlign w:val="bottom"/>
            <w:tcBorders>
              <w:bottom w:val="single" w:sz="8" w:color="595959"/>
            </w:tcBorders>
          </w:tcPr>
          <w:p>
            <w:pPr>
              <w:spacing w:after="0"/>
              <w:rPr>
                <w:sz w:val="19"/>
                <w:szCs w:val="19"/>
                <w:color w:val="auto"/>
              </w:rPr>
            </w:pPr>
          </w:p>
        </w:tc>
        <w:tc>
          <w:tcPr>
            <w:tcW w:w="740" w:type="dxa"/>
            <w:vAlign w:val="bottom"/>
            <w:tcBorders>
              <w:bottom w:val="single" w:sz="8" w:color="595959"/>
            </w:tcBorders>
          </w:tcPr>
          <w:p>
            <w:pPr>
              <w:spacing w:after="0"/>
              <w:rPr>
                <w:sz w:val="19"/>
                <w:szCs w:val="19"/>
                <w:color w:val="auto"/>
              </w:rPr>
            </w:pPr>
          </w:p>
        </w:tc>
        <w:tc>
          <w:tcPr>
            <w:tcW w:w="10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jc w:val="right"/>
              <w:ind w:right="32"/>
              <w:spacing w:after="0"/>
              <w:rPr>
                <w:sz w:val="20"/>
                <w:szCs w:val="20"/>
                <w:color w:val="auto"/>
              </w:rPr>
            </w:pPr>
            <w:r>
              <w:rPr>
                <w:rFonts w:ascii="Arial" w:cs="Arial" w:eastAsia="Arial" w:hAnsi="Arial"/>
                <w:sz w:val="14"/>
                <w:szCs w:val="14"/>
                <w:color w:val="auto"/>
              </w:rPr>
              <w:t>23</w:t>
            </w:r>
          </w:p>
        </w:tc>
        <w:tc>
          <w:tcPr>
            <w:tcW w:w="60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1,769</w:t>
            </w:r>
          </w:p>
        </w:tc>
        <w:tc>
          <w:tcPr>
            <w:tcW w:w="74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5,307</w:t>
            </w:r>
          </w:p>
        </w:tc>
        <w:tc>
          <w:tcPr>
            <w:tcW w:w="64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418,172</w:t>
            </w:r>
          </w:p>
        </w:tc>
        <w:tc>
          <w:tcPr>
            <w:tcW w:w="0" w:type="dxa"/>
            <w:vAlign w:val="bottom"/>
          </w:tcPr>
          <w:p>
            <w:pPr>
              <w:spacing w:after="0"/>
              <w:rPr>
                <w:sz w:val="1"/>
                <w:szCs w:val="1"/>
                <w:color w:val="auto"/>
              </w:rPr>
            </w:pPr>
          </w:p>
        </w:tc>
      </w:tr>
      <w:tr>
        <w:trPr>
          <w:trHeight w:val="226"/>
        </w:trPr>
        <w:tc>
          <w:tcPr>
            <w:tcW w:w="1000" w:type="dxa"/>
            <w:vAlign w:val="bottom"/>
          </w:tcPr>
          <w:p>
            <w:pPr>
              <w:spacing w:after="0"/>
              <w:rPr>
                <w:sz w:val="19"/>
                <w:szCs w:val="19"/>
                <w:color w:val="auto"/>
              </w:rPr>
            </w:pPr>
          </w:p>
        </w:tc>
        <w:tc>
          <w:tcPr>
            <w:tcW w:w="360" w:type="dxa"/>
            <w:vAlign w:val="bottom"/>
            <w:tcBorders>
              <w:bottom w:val="single" w:sz="8" w:color="595959"/>
            </w:tcBorders>
          </w:tcPr>
          <w:p>
            <w:pPr>
              <w:ind w:left="40"/>
              <w:spacing w:after="0"/>
              <w:rPr>
                <w:sz w:val="20"/>
                <w:szCs w:val="20"/>
                <w:color w:val="auto"/>
              </w:rPr>
            </w:pPr>
            <w:r>
              <w:rPr>
                <w:rFonts w:ascii="Arial" w:cs="Arial" w:eastAsia="Arial" w:hAnsi="Arial"/>
                <w:sz w:val="14"/>
                <w:szCs w:val="14"/>
                <w:color w:val="auto"/>
                <w:w w:val="96"/>
              </w:rPr>
              <w:t>2020</w:t>
            </w:r>
          </w:p>
        </w:tc>
        <w:tc>
          <w:tcPr>
            <w:tcW w:w="960" w:type="dxa"/>
            <w:vAlign w:val="bottom"/>
            <w:tcBorders>
              <w:bottom w:val="single" w:sz="8" w:color="595959"/>
            </w:tcBorders>
          </w:tcPr>
          <w:p>
            <w:pPr>
              <w:ind w:left="20"/>
              <w:spacing w:after="0"/>
              <w:rPr>
                <w:sz w:val="20"/>
                <w:szCs w:val="20"/>
                <w:color w:val="auto"/>
              </w:rPr>
            </w:pPr>
            <w:r>
              <w:rPr>
                <w:rFonts w:ascii="Arial" w:cs="Arial" w:eastAsia="Arial" w:hAnsi="Arial"/>
                <w:sz w:val="14"/>
                <w:szCs w:val="14"/>
                <w:color w:val="auto"/>
              </w:rPr>
              <w:t>PSA</w:t>
            </w:r>
          </w:p>
        </w:tc>
        <w:tc>
          <w:tcPr>
            <w:tcW w:w="86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9/14/2020</w:t>
            </w:r>
          </w:p>
        </w:tc>
        <w:tc>
          <w:tcPr>
            <w:tcW w:w="720" w:type="dxa"/>
            <w:vAlign w:val="bottom"/>
            <w:tcBorders>
              <w:bottom w:val="single" w:sz="8" w:color="595959"/>
            </w:tcBorders>
          </w:tcPr>
          <w:p>
            <w:pPr>
              <w:spacing w:after="0"/>
              <w:rPr>
                <w:sz w:val="19"/>
                <w:szCs w:val="19"/>
                <w:color w:val="auto"/>
              </w:rPr>
            </w:pPr>
          </w:p>
        </w:tc>
        <w:tc>
          <w:tcPr>
            <w:tcW w:w="860" w:type="dxa"/>
            <w:vAlign w:val="bottom"/>
            <w:tcBorders>
              <w:bottom w:val="single" w:sz="8" w:color="595959"/>
            </w:tcBorders>
          </w:tcPr>
          <w:p>
            <w:pPr>
              <w:spacing w:after="0"/>
              <w:rPr>
                <w:sz w:val="19"/>
                <w:szCs w:val="19"/>
                <w:color w:val="auto"/>
              </w:rPr>
            </w:pPr>
          </w:p>
        </w:tc>
        <w:tc>
          <w:tcPr>
            <w:tcW w:w="740" w:type="dxa"/>
            <w:vAlign w:val="bottom"/>
            <w:tcBorders>
              <w:bottom w:val="single" w:sz="8" w:color="595959"/>
            </w:tcBorders>
          </w:tcPr>
          <w:p>
            <w:pPr>
              <w:spacing w:after="0"/>
              <w:rPr>
                <w:sz w:val="19"/>
                <w:szCs w:val="19"/>
                <w:color w:val="auto"/>
              </w:rPr>
            </w:pPr>
          </w:p>
        </w:tc>
        <w:tc>
          <w:tcPr>
            <w:tcW w:w="10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jc w:val="right"/>
              <w:ind w:right="32"/>
              <w:spacing w:after="0"/>
              <w:rPr>
                <w:sz w:val="20"/>
                <w:szCs w:val="20"/>
                <w:color w:val="auto"/>
              </w:rPr>
            </w:pPr>
            <w:r>
              <w:rPr>
                <w:rFonts w:ascii="Arial" w:cs="Arial" w:eastAsia="Arial" w:hAnsi="Arial"/>
                <w:sz w:val="14"/>
                <w:szCs w:val="14"/>
                <w:color w:val="auto"/>
              </w:rPr>
              <w:t>316</w:t>
            </w:r>
          </w:p>
        </w:tc>
        <w:tc>
          <w:tcPr>
            <w:tcW w:w="60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9,009</w:t>
            </w:r>
          </w:p>
        </w:tc>
        <w:tc>
          <w:tcPr>
            <w:tcW w:w="74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27,027</w:t>
            </w:r>
          </w:p>
        </w:tc>
        <w:tc>
          <w:tcPr>
            <w:tcW w:w="64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2,551,000</w:t>
            </w:r>
          </w:p>
        </w:tc>
        <w:tc>
          <w:tcPr>
            <w:tcW w:w="0" w:type="dxa"/>
            <w:vAlign w:val="bottom"/>
          </w:tcPr>
          <w:p>
            <w:pPr>
              <w:spacing w:after="0"/>
              <w:rPr>
                <w:sz w:val="1"/>
                <w:szCs w:val="1"/>
                <w:color w:val="auto"/>
              </w:rPr>
            </w:pPr>
          </w:p>
        </w:tc>
      </w:tr>
      <w:tr>
        <w:trPr>
          <w:trHeight w:val="226"/>
        </w:trPr>
        <w:tc>
          <w:tcPr>
            <w:tcW w:w="1000" w:type="dxa"/>
            <w:vAlign w:val="bottom"/>
          </w:tcPr>
          <w:p>
            <w:pPr>
              <w:spacing w:after="0"/>
              <w:rPr>
                <w:sz w:val="19"/>
                <w:szCs w:val="19"/>
                <w:color w:val="auto"/>
              </w:rPr>
            </w:pPr>
          </w:p>
        </w:tc>
        <w:tc>
          <w:tcPr>
            <w:tcW w:w="360" w:type="dxa"/>
            <w:vAlign w:val="bottom"/>
            <w:tcBorders>
              <w:bottom w:val="single" w:sz="8" w:color="595959"/>
            </w:tcBorders>
          </w:tcPr>
          <w:p>
            <w:pPr>
              <w:ind w:left="40"/>
              <w:spacing w:after="0"/>
              <w:rPr>
                <w:sz w:val="20"/>
                <w:szCs w:val="20"/>
                <w:color w:val="auto"/>
              </w:rPr>
            </w:pPr>
            <w:r>
              <w:rPr>
                <w:rFonts w:ascii="Arial" w:cs="Arial" w:eastAsia="Arial" w:hAnsi="Arial"/>
                <w:sz w:val="14"/>
                <w:szCs w:val="14"/>
                <w:color w:val="auto"/>
                <w:w w:val="96"/>
              </w:rPr>
              <w:t>2020</w:t>
            </w:r>
          </w:p>
        </w:tc>
        <w:tc>
          <w:tcPr>
            <w:tcW w:w="960" w:type="dxa"/>
            <w:vAlign w:val="bottom"/>
            <w:tcBorders>
              <w:bottom w:val="single" w:sz="8" w:color="595959"/>
            </w:tcBorders>
          </w:tcPr>
          <w:p>
            <w:pPr>
              <w:ind w:left="20"/>
              <w:spacing w:after="0"/>
              <w:rPr>
                <w:sz w:val="20"/>
                <w:szCs w:val="20"/>
                <w:color w:val="auto"/>
              </w:rPr>
            </w:pPr>
            <w:r>
              <w:rPr>
                <w:rFonts w:ascii="Arial" w:cs="Arial" w:eastAsia="Arial" w:hAnsi="Arial"/>
                <w:sz w:val="14"/>
                <w:szCs w:val="14"/>
                <w:color w:val="auto"/>
              </w:rPr>
              <w:t>PSA</w:t>
            </w:r>
          </w:p>
        </w:tc>
        <w:tc>
          <w:tcPr>
            <w:tcW w:w="86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12/1/2020</w:t>
            </w:r>
          </w:p>
        </w:tc>
        <w:tc>
          <w:tcPr>
            <w:tcW w:w="720" w:type="dxa"/>
            <w:vAlign w:val="bottom"/>
            <w:tcBorders>
              <w:bottom w:val="single" w:sz="8" w:color="595959"/>
            </w:tcBorders>
          </w:tcPr>
          <w:p>
            <w:pPr>
              <w:spacing w:after="0"/>
              <w:rPr>
                <w:sz w:val="19"/>
                <w:szCs w:val="19"/>
                <w:color w:val="auto"/>
              </w:rPr>
            </w:pPr>
          </w:p>
        </w:tc>
        <w:tc>
          <w:tcPr>
            <w:tcW w:w="860" w:type="dxa"/>
            <w:vAlign w:val="bottom"/>
            <w:tcBorders>
              <w:bottom w:val="single" w:sz="8" w:color="595959"/>
            </w:tcBorders>
          </w:tcPr>
          <w:p>
            <w:pPr>
              <w:spacing w:after="0"/>
              <w:rPr>
                <w:sz w:val="19"/>
                <w:szCs w:val="19"/>
                <w:color w:val="auto"/>
              </w:rPr>
            </w:pPr>
          </w:p>
        </w:tc>
        <w:tc>
          <w:tcPr>
            <w:tcW w:w="740" w:type="dxa"/>
            <w:vAlign w:val="bottom"/>
            <w:tcBorders>
              <w:bottom w:val="single" w:sz="8" w:color="595959"/>
            </w:tcBorders>
          </w:tcPr>
          <w:p>
            <w:pPr>
              <w:spacing w:after="0"/>
              <w:rPr>
                <w:sz w:val="19"/>
                <w:szCs w:val="19"/>
                <w:color w:val="auto"/>
              </w:rPr>
            </w:pPr>
          </w:p>
        </w:tc>
        <w:tc>
          <w:tcPr>
            <w:tcW w:w="10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jc w:val="right"/>
              <w:ind w:right="32"/>
              <w:spacing w:after="0"/>
              <w:rPr>
                <w:sz w:val="20"/>
                <w:szCs w:val="20"/>
                <w:color w:val="auto"/>
              </w:rPr>
            </w:pPr>
            <w:r>
              <w:rPr>
                <w:rFonts w:ascii="Arial" w:cs="Arial" w:eastAsia="Arial" w:hAnsi="Arial"/>
                <w:sz w:val="14"/>
                <w:szCs w:val="14"/>
                <w:color w:val="auto"/>
              </w:rPr>
              <w:t>74</w:t>
            </w:r>
          </w:p>
        </w:tc>
        <w:tc>
          <w:tcPr>
            <w:tcW w:w="60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2,113</w:t>
            </w:r>
          </w:p>
        </w:tc>
        <w:tc>
          <w:tcPr>
            <w:tcW w:w="74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6,339</w:t>
            </w:r>
          </w:p>
        </w:tc>
        <w:tc>
          <w:tcPr>
            <w:tcW w:w="64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620,995</w:t>
            </w:r>
          </w:p>
        </w:tc>
        <w:tc>
          <w:tcPr>
            <w:tcW w:w="0" w:type="dxa"/>
            <w:vAlign w:val="bottom"/>
          </w:tcPr>
          <w:p>
            <w:pPr>
              <w:spacing w:after="0"/>
              <w:rPr>
                <w:sz w:val="1"/>
                <w:szCs w:val="1"/>
                <w:color w:val="auto"/>
              </w:rPr>
            </w:pPr>
          </w:p>
        </w:tc>
      </w:tr>
      <w:tr>
        <w:trPr>
          <w:trHeight w:val="226"/>
        </w:trPr>
        <w:tc>
          <w:tcPr>
            <w:tcW w:w="1000" w:type="dxa"/>
            <w:vAlign w:val="bottom"/>
          </w:tcPr>
          <w:p>
            <w:pPr>
              <w:spacing w:after="0"/>
              <w:rPr>
                <w:sz w:val="19"/>
                <w:szCs w:val="19"/>
                <w:color w:val="auto"/>
              </w:rPr>
            </w:pPr>
          </w:p>
        </w:tc>
        <w:tc>
          <w:tcPr>
            <w:tcW w:w="360" w:type="dxa"/>
            <w:vAlign w:val="bottom"/>
            <w:tcBorders>
              <w:bottom w:val="single" w:sz="8" w:color="595959"/>
            </w:tcBorders>
          </w:tcPr>
          <w:p>
            <w:pPr>
              <w:ind w:left="40"/>
              <w:spacing w:after="0"/>
              <w:rPr>
                <w:sz w:val="20"/>
                <w:szCs w:val="20"/>
                <w:color w:val="auto"/>
              </w:rPr>
            </w:pPr>
            <w:r>
              <w:rPr>
                <w:rFonts w:ascii="Arial" w:cs="Arial" w:eastAsia="Arial" w:hAnsi="Arial"/>
                <w:sz w:val="14"/>
                <w:szCs w:val="14"/>
                <w:color w:val="auto"/>
                <w:w w:val="96"/>
              </w:rPr>
              <w:t>2019</w:t>
            </w:r>
          </w:p>
        </w:tc>
        <w:tc>
          <w:tcPr>
            <w:tcW w:w="960" w:type="dxa"/>
            <w:vAlign w:val="bottom"/>
            <w:tcBorders>
              <w:bottom w:val="single" w:sz="8" w:color="595959"/>
            </w:tcBorders>
          </w:tcPr>
          <w:p>
            <w:pPr>
              <w:ind w:left="20"/>
              <w:spacing w:after="0"/>
              <w:rPr>
                <w:sz w:val="20"/>
                <w:szCs w:val="20"/>
                <w:color w:val="auto"/>
              </w:rPr>
            </w:pPr>
            <w:r>
              <w:rPr>
                <w:rFonts w:ascii="Arial" w:cs="Arial" w:eastAsia="Arial" w:hAnsi="Arial"/>
                <w:sz w:val="14"/>
                <w:szCs w:val="14"/>
                <w:color w:val="auto"/>
              </w:rPr>
              <w:t>PSA</w:t>
            </w:r>
          </w:p>
        </w:tc>
        <w:tc>
          <w:tcPr>
            <w:tcW w:w="86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9/14/2020</w:t>
            </w:r>
          </w:p>
        </w:tc>
        <w:tc>
          <w:tcPr>
            <w:tcW w:w="720" w:type="dxa"/>
            <w:vAlign w:val="bottom"/>
            <w:tcBorders>
              <w:bottom w:val="single" w:sz="8" w:color="595959"/>
            </w:tcBorders>
          </w:tcPr>
          <w:p>
            <w:pPr>
              <w:spacing w:after="0"/>
              <w:rPr>
                <w:sz w:val="19"/>
                <w:szCs w:val="19"/>
                <w:color w:val="auto"/>
              </w:rPr>
            </w:pPr>
          </w:p>
        </w:tc>
        <w:tc>
          <w:tcPr>
            <w:tcW w:w="860" w:type="dxa"/>
            <w:vAlign w:val="bottom"/>
            <w:tcBorders>
              <w:bottom w:val="single" w:sz="8" w:color="595959"/>
            </w:tcBorders>
          </w:tcPr>
          <w:p>
            <w:pPr>
              <w:spacing w:after="0"/>
              <w:rPr>
                <w:sz w:val="19"/>
                <w:szCs w:val="19"/>
                <w:color w:val="auto"/>
              </w:rPr>
            </w:pPr>
          </w:p>
        </w:tc>
        <w:tc>
          <w:tcPr>
            <w:tcW w:w="740" w:type="dxa"/>
            <w:vAlign w:val="bottom"/>
            <w:tcBorders>
              <w:bottom w:val="single" w:sz="8" w:color="595959"/>
            </w:tcBorders>
          </w:tcPr>
          <w:p>
            <w:pPr>
              <w:spacing w:after="0"/>
              <w:rPr>
                <w:sz w:val="19"/>
                <w:szCs w:val="19"/>
                <w:color w:val="auto"/>
              </w:rPr>
            </w:pPr>
          </w:p>
        </w:tc>
        <w:tc>
          <w:tcPr>
            <w:tcW w:w="10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jc w:val="right"/>
              <w:ind w:right="32"/>
              <w:spacing w:after="0"/>
              <w:rPr>
                <w:sz w:val="20"/>
                <w:szCs w:val="20"/>
                <w:color w:val="auto"/>
              </w:rPr>
            </w:pPr>
            <w:r>
              <w:rPr>
                <w:rFonts w:ascii="Arial" w:cs="Arial" w:eastAsia="Arial" w:hAnsi="Arial"/>
                <w:sz w:val="14"/>
                <w:szCs w:val="14"/>
                <w:color w:val="auto"/>
              </w:rPr>
              <w:t>277</w:t>
            </w:r>
          </w:p>
        </w:tc>
        <w:tc>
          <w:tcPr>
            <w:tcW w:w="60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11,057</w:t>
            </w:r>
          </w:p>
        </w:tc>
        <w:tc>
          <w:tcPr>
            <w:tcW w:w="74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33,171</w:t>
            </w:r>
          </w:p>
        </w:tc>
        <w:tc>
          <w:tcPr>
            <w:tcW w:w="64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3,336,823</w:t>
            </w:r>
          </w:p>
        </w:tc>
        <w:tc>
          <w:tcPr>
            <w:tcW w:w="0" w:type="dxa"/>
            <w:vAlign w:val="bottom"/>
          </w:tcPr>
          <w:p>
            <w:pPr>
              <w:spacing w:after="0"/>
              <w:rPr>
                <w:sz w:val="1"/>
                <w:szCs w:val="1"/>
                <w:color w:val="auto"/>
              </w:rPr>
            </w:pPr>
          </w:p>
        </w:tc>
      </w:tr>
      <w:tr>
        <w:trPr>
          <w:trHeight w:val="226"/>
        </w:trPr>
        <w:tc>
          <w:tcPr>
            <w:tcW w:w="1000" w:type="dxa"/>
            <w:vAlign w:val="bottom"/>
          </w:tcPr>
          <w:p>
            <w:pPr>
              <w:spacing w:after="0"/>
              <w:rPr>
                <w:sz w:val="19"/>
                <w:szCs w:val="19"/>
                <w:color w:val="auto"/>
              </w:rPr>
            </w:pPr>
          </w:p>
        </w:tc>
        <w:tc>
          <w:tcPr>
            <w:tcW w:w="360" w:type="dxa"/>
            <w:vAlign w:val="bottom"/>
            <w:tcBorders>
              <w:bottom w:val="single" w:sz="8" w:color="595959"/>
            </w:tcBorders>
          </w:tcPr>
          <w:p>
            <w:pPr>
              <w:ind w:left="40"/>
              <w:spacing w:after="0"/>
              <w:rPr>
                <w:sz w:val="20"/>
                <w:szCs w:val="20"/>
                <w:color w:val="auto"/>
              </w:rPr>
            </w:pPr>
            <w:r>
              <w:rPr>
                <w:rFonts w:ascii="Arial" w:cs="Arial" w:eastAsia="Arial" w:hAnsi="Arial"/>
                <w:sz w:val="14"/>
                <w:szCs w:val="14"/>
                <w:color w:val="auto"/>
                <w:w w:val="96"/>
              </w:rPr>
              <w:t>2019</w:t>
            </w:r>
          </w:p>
        </w:tc>
        <w:tc>
          <w:tcPr>
            <w:tcW w:w="960" w:type="dxa"/>
            <w:vAlign w:val="bottom"/>
            <w:tcBorders>
              <w:bottom w:val="single" w:sz="8" w:color="595959"/>
            </w:tcBorders>
          </w:tcPr>
          <w:p>
            <w:pPr>
              <w:ind w:left="20"/>
              <w:spacing w:after="0"/>
              <w:rPr>
                <w:sz w:val="20"/>
                <w:szCs w:val="20"/>
                <w:color w:val="auto"/>
              </w:rPr>
            </w:pPr>
            <w:r>
              <w:rPr>
                <w:rFonts w:ascii="Arial" w:cs="Arial" w:eastAsia="Arial" w:hAnsi="Arial"/>
                <w:sz w:val="14"/>
                <w:szCs w:val="14"/>
                <w:color w:val="auto"/>
              </w:rPr>
              <w:t>PSA</w:t>
            </w:r>
          </w:p>
        </w:tc>
        <w:tc>
          <w:tcPr>
            <w:tcW w:w="86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12/1/2020</w:t>
            </w:r>
          </w:p>
        </w:tc>
        <w:tc>
          <w:tcPr>
            <w:tcW w:w="720" w:type="dxa"/>
            <w:vAlign w:val="bottom"/>
            <w:tcBorders>
              <w:bottom w:val="single" w:sz="8" w:color="595959"/>
            </w:tcBorders>
          </w:tcPr>
          <w:p>
            <w:pPr>
              <w:spacing w:after="0"/>
              <w:rPr>
                <w:sz w:val="19"/>
                <w:szCs w:val="19"/>
                <w:color w:val="auto"/>
              </w:rPr>
            </w:pPr>
          </w:p>
        </w:tc>
        <w:tc>
          <w:tcPr>
            <w:tcW w:w="860" w:type="dxa"/>
            <w:vAlign w:val="bottom"/>
            <w:tcBorders>
              <w:bottom w:val="single" w:sz="8" w:color="595959"/>
            </w:tcBorders>
          </w:tcPr>
          <w:p>
            <w:pPr>
              <w:spacing w:after="0"/>
              <w:rPr>
                <w:sz w:val="19"/>
                <w:szCs w:val="19"/>
                <w:color w:val="auto"/>
              </w:rPr>
            </w:pPr>
          </w:p>
        </w:tc>
        <w:tc>
          <w:tcPr>
            <w:tcW w:w="740" w:type="dxa"/>
            <w:vAlign w:val="bottom"/>
            <w:tcBorders>
              <w:bottom w:val="single" w:sz="8" w:color="595959"/>
            </w:tcBorders>
          </w:tcPr>
          <w:p>
            <w:pPr>
              <w:spacing w:after="0"/>
              <w:rPr>
                <w:sz w:val="19"/>
                <w:szCs w:val="19"/>
                <w:color w:val="auto"/>
              </w:rPr>
            </w:pPr>
          </w:p>
        </w:tc>
        <w:tc>
          <w:tcPr>
            <w:tcW w:w="10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jc w:val="right"/>
              <w:ind w:right="32"/>
              <w:spacing w:after="0"/>
              <w:rPr>
                <w:sz w:val="20"/>
                <w:szCs w:val="20"/>
                <w:color w:val="auto"/>
              </w:rPr>
            </w:pPr>
            <w:r>
              <w:rPr>
                <w:rFonts w:ascii="Arial" w:cs="Arial" w:eastAsia="Arial" w:hAnsi="Arial"/>
                <w:sz w:val="14"/>
                <w:szCs w:val="14"/>
                <w:color w:val="auto"/>
              </w:rPr>
              <w:t>65</w:t>
            </w:r>
          </w:p>
        </w:tc>
        <w:tc>
          <w:tcPr>
            <w:tcW w:w="60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2,594</w:t>
            </w:r>
          </w:p>
        </w:tc>
        <w:tc>
          <w:tcPr>
            <w:tcW w:w="74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7,782</w:t>
            </w:r>
          </w:p>
        </w:tc>
        <w:tc>
          <w:tcPr>
            <w:tcW w:w="64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831,963</w:t>
            </w:r>
          </w:p>
        </w:tc>
        <w:tc>
          <w:tcPr>
            <w:tcW w:w="0" w:type="dxa"/>
            <w:vAlign w:val="bottom"/>
          </w:tcPr>
          <w:p>
            <w:pPr>
              <w:spacing w:after="0"/>
              <w:rPr>
                <w:sz w:val="1"/>
                <w:szCs w:val="1"/>
                <w:color w:val="auto"/>
              </w:rPr>
            </w:pPr>
          </w:p>
        </w:tc>
      </w:tr>
      <w:tr>
        <w:trPr>
          <w:trHeight w:val="226"/>
        </w:trPr>
        <w:tc>
          <w:tcPr>
            <w:tcW w:w="1000" w:type="dxa"/>
            <w:vAlign w:val="bottom"/>
            <w:tcBorders>
              <w:bottom w:val="single" w:sz="8" w:color="0075C9"/>
            </w:tcBorders>
          </w:tcPr>
          <w:p>
            <w:pPr>
              <w:spacing w:after="0"/>
              <w:rPr>
                <w:sz w:val="19"/>
                <w:szCs w:val="19"/>
                <w:color w:val="auto"/>
              </w:rPr>
            </w:pPr>
          </w:p>
        </w:tc>
        <w:tc>
          <w:tcPr>
            <w:tcW w:w="360" w:type="dxa"/>
            <w:vAlign w:val="bottom"/>
            <w:tcBorders>
              <w:bottom w:val="single" w:sz="8" w:color="0075C9"/>
            </w:tcBorders>
          </w:tcPr>
          <w:p>
            <w:pPr>
              <w:ind w:left="40"/>
              <w:spacing w:after="0"/>
              <w:rPr>
                <w:sz w:val="20"/>
                <w:szCs w:val="20"/>
                <w:color w:val="auto"/>
              </w:rPr>
            </w:pPr>
            <w:r>
              <w:rPr>
                <w:rFonts w:ascii="Arial" w:cs="Arial" w:eastAsia="Arial" w:hAnsi="Arial"/>
                <w:sz w:val="14"/>
                <w:szCs w:val="14"/>
                <w:color w:val="auto"/>
                <w:w w:val="96"/>
              </w:rPr>
              <w:t>2021</w:t>
            </w:r>
          </w:p>
        </w:tc>
        <w:tc>
          <w:tcPr>
            <w:tcW w:w="960" w:type="dxa"/>
            <w:vAlign w:val="bottom"/>
            <w:tcBorders>
              <w:bottom w:val="single" w:sz="8" w:color="0075C9"/>
            </w:tcBorders>
          </w:tcPr>
          <w:p>
            <w:pPr>
              <w:ind w:left="20"/>
              <w:spacing w:after="0"/>
              <w:rPr>
                <w:sz w:val="20"/>
                <w:szCs w:val="20"/>
                <w:color w:val="auto"/>
              </w:rPr>
            </w:pPr>
            <w:r>
              <w:rPr>
                <w:rFonts w:ascii="Arial" w:cs="Arial" w:eastAsia="Arial" w:hAnsi="Arial"/>
                <w:sz w:val="14"/>
                <w:szCs w:val="14"/>
                <w:color w:val="auto"/>
              </w:rPr>
              <w:t>SA</w:t>
            </w:r>
          </w:p>
        </w:tc>
        <w:tc>
          <w:tcPr>
            <w:tcW w:w="860" w:type="dxa"/>
            <w:vAlign w:val="bottom"/>
            <w:tcBorders>
              <w:bottom w:val="single" w:sz="8" w:color="0075C9"/>
            </w:tcBorders>
          </w:tcPr>
          <w:p>
            <w:pPr>
              <w:jc w:val="right"/>
              <w:ind w:right="31"/>
              <w:spacing w:after="0"/>
              <w:rPr>
                <w:sz w:val="20"/>
                <w:szCs w:val="20"/>
                <w:color w:val="auto"/>
              </w:rPr>
            </w:pPr>
            <w:r>
              <w:rPr>
                <w:rFonts w:ascii="Arial" w:cs="Arial" w:eastAsia="Arial" w:hAnsi="Arial"/>
                <w:sz w:val="14"/>
                <w:szCs w:val="14"/>
                <w:color w:val="auto"/>
              </w:rPr>
              <w:t>9/14/2020</w:t>
            </w:r>
          </w:p>
        </w:tc>
        <w:tc>
          <w:tcPr>
            <w:tcW w:w="720" w:type="dxa"/>
            <w:vAlign w:val="bottom"/>
            <w:tcBorders>
              <w:bottom w:val="single" w:sz="8" w:color="0075C9"/>
            </w:tcBorders>
          </w:tcPr>
          <w:p>
            <w:pPr>
              <w:spacing w:after="0"/>
              <w:rPr>
                <w:sz w:val="19"/>
                <w:szCs w:val="19"/>
                <w:color w:val="auto"/>
              </w:rPr>
            </w:pPr>
          </w:p>
        </w:tc>
        <w:tc>
          <w:tcPr>
            <w:tcW w:w="860" w:type="dxa"/>
            <w:vAlign w:val="bottom"/>
            <w:tcBorders>
              <w:bottom w:val="single" w:sz="8" w:color="0075C9"/>
            </w:tcBorders>
          </w:tcPr>
          <w:p>
            <w:pPr>
              <w:spacing w:after="0"/>
              <w:rPr>
                <w:sz w:val="19"/>
                <w:szCs w:val="19"/>
                <w:color w:val="auto"/>
              </w:rPr>
            </w:pPr>
          </w:p>
        </w:tc>
        <w:tc>
          <w:tcPr>
            <w:tcW w:w="740" w:type="dxa"/>
            <w:vAlign w:val="bottom"/>
            <w:tcBorders>
              <w:bottom w:val="single" w:sz="8" w:color="0075C9"/>
            </w:tcBorders>
          </w:tcPr>
          <w:p>
            <w:pPr>
              <w:spacing w:after="0"/>
              <w:rPr>
                <w:sz w:val="19"/>
                <w:szCs w:val="19"/>
                <w:color w:val="auto"/>
              </w:rPr>
            </w:pPr>
          </w:p>
        </w:tc>
        <w:tc>
          <w:tcPr>
            <w:tcW w:w="100" w:type="dxa"/>
            <w:vAlign w:val="bottom"/>
            <w:tcBorders>
              <w:bottom w:val="single" w:sz="8" w:color="0075C9"/>
            </w:tcBorders>
          </w:tcPr>
          <w:p>
            <w:pPr>
              <w:spacing w:after="0"/>
              <w:rPr>
                <w:sz w:val="19"/>
                <w:szCs w:val="19"/>
                <w:color w:val="auto"/>
              </w:rPr>
            </w:pPr>
          </w:p>
        </w:tc>
        <w:tc>
          <w:tcPr>
            <w:tcW w:w="800" w:type="dxa"/>
            <w:vAlign w:val="bottom"/>
            <w:tcBorders>
              <w:bottom w:val="single" w:sz="8" w:color="0075C9"/>
            </w:tcBorders>
          </w:tcPr>
          <w:p>
            <w:pPr>
              <w:spacing w:after="0"/>
              <w:rPr>
                <w:sz w:val="19"/>
                <w:szCs w:val="19"/>
                <w:color w:val="auto"/>
              </w:rPr>
            </w:pPr>
          </w:p>
        </w:tc>
        <w:tc>
          <w:tcPr>
            <w:tcW w:w="600" w:type="dxa"/>
            <w:vAlign w:val="bottom"/>
            <w:tcBorders>
              <w:bottom w:val="single" w:sz="8" w:color="0075C9"/>
            </w:tcBorders>
          </w:tcPr>
          <w:p>
            <w:pPr>
              <w:spacing w:after="0"/>
              <w:rPr>
                <w:sz w:val="19"/>
                <w:szCs w:val="19"/>
                <w:color w:val="auto"/>
              </w:rPr>
            </w:pPr>
          </w:p>
        </w:tc>
        <w:tc>
          <w:tcPr>
            <w:tcW w:w="740" w:type="dxa"/>
            <w:vAlign w:val="bottom"/>
            <w:tcBorders>
              <w:bottom w:val="single" w:sz="8" w:color="0075C9"/>
            </w:tcBorders>
          </w:tcPr>
          <w:p>
            <w:pPr>
              <w:spacing w:after="0"/>
              <w:rPr>
                <w:sz w:val="19"/>
                <w:szCs w:val="19"/>
                <w:color w:val="auto"/>
              </w:rPr>
            </w:pPr>
          </w:p>
        </w:tc>
        <w:tc>
          <w:tcPr>
            <w:tcW w:w="64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27,935</w:t>
            </w:r>
          </w:p>
        </w:tc>
        <w:tc>
          <w:tcPr>
            <w:tcW w:w="80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5,606,647</w:t>
            </w:r>
          </w:p>
        </w:tc>
        <w:tc>
          <w:tcPr>
            <w:tcW w:w="0" w:type="dxa"/>
            <w:vAlign w:val="bottom"/>
          </w:tcPr>
          <w:p>
            <w:pPr>
              <w:spacing w:after="0"/>
              <w:rPr>
                <w:sz w:val="1"/>
                <w:szCs w:val="1"/>
                <w:color w:val="auto"/>
              </w:rPr>
            </w:pPr>
          </w:p>
        </w:tc>
      </w:tr>
      <w:tr>
        <w:trPr>
          <w:trHeight w:val="195"/>
        </w:trPr>
        <w:tc>
          <w:tcPr>
            <w:tcW w:w="1000" w:type="dxa"/>
            <w:vAlign w:val="bottom"/>
          </w:tcPr>
          <w:p>
            <w:pPr>
              <w:ind w:left="80"/>
              <w:spacing w:after="0"/>
              <w:rPr>
                <w:sz w:val="20"/>
                <w:szCs w:val="20"/>
                <w:color w:val="auto"/>
              </w:rPr>
            </w:pPr>
            <w:r>
              <w:rPr>
                <w:rFonts w:ascii="Arial" w:cs="Arial" w:eastAsia="Arial" w:hAnsi="Arial"/>
                <w:sz w:val="14"/>
                <w:szCs w:val="14"/>
                <w:b w:val="1"/>
                <w:bCs w:val="1"/>
                <w:color w:val="0075C9"/>
              </w:rPr>
              <w:t>Christopher</w:t>
            </w:r>
          </w:p>
        </w:tc>
        <w:tc>
          <w:tcPr>
            <w:tcW w:w="360" w:type="dxa"/>
            <w:vAlign w:val="bottom"/>
          </w:tcPr>
          <w:p>
            <w:pPr>
              <w:ind w:left="40"/>
              <w:spacing w:after="0"/>
              <w:rPr>
                <w:sz w:val="20"/>
                <w:szCs w:val="20"/>
                <w:color w:val="auto"/>
              </w:rPr>
            </w:pPr>
            <w:r>
              <w:rPr>
                <w:rFonts w:ascii="Arial" w:cs="Arial" w:eastAsia="Arial" w:hAnsi="Arial"/>
                <w:sz w:val="14"/>
                <w:szCs w:val="14"/>
                <w:color w:val="auto"/>
                <w:w w:val="96"/>
              </w:rPr>
              <w:t>2021</w:t>
            </w:r>
          </w:p>
        </w:tc>
        <w:tc>
          <w:tcPr>
            <w:tcW w:w="960" w:type="dxa"/>
            <w:vAlign w:val="bottom"/>
          </w:tcPr>
          <w:p>
            <w:pPr>
              <w:ind w:left="20"/>
              <w:spacing w:after="0"/>
              <w:rPr>
                <w:sz w:val="20"/>
                <w:szCs w:val="20"/>
                <w:color w:val="auto"/>
              </w:rPr>
            </w:pPr>
            <w:r>
              <w:rPr>
                <w:rFonts w:ascii="Arial" w:cs="Arial" w:eastAsia="Arial" w:hAnsi="Arial"/>
                <w:sz w:val="14"/>
                <w:szCs w:val="14"/>
                <w:color w:val="auto"/>
                <w:w w:val="99"/>
              </w:rPr>
              <w:t>Cash Incentive</w:t>
            </w:r>
          </w:p>
        </w:tc>
        <w:tc>
          <w:tcPr>
            <w:tcW w:w="8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w:t>
            </w:r>
          </w:p>
        </w:tc>
        <w:tc>
          <w:tcPr>
            <w:tcW w:w="860" w:type="dxa"/>
            <w:vAlign w:val="bottom"/>
          </w:tcPr>
          <w:p>
            <w:pPr>
              <w:jc w:val="right"/>
              <w:ind w:right="31"/>
              <w:spacing w:after="0"/>
              <w:rPr>
                <w:sz w:val="20"/>
                <w:szCs w:val="20"/>
                <w:color w:val="auto"/>
              </w:rPr>
            </w:pPr>
            <w:r>
              <w:rPr>
                <w:rFonts w:ascii="Arial" w:cs="Arial" w:eastAsia="Arial" w:hAnsi="Arial"/>
                <w:sz w:val="14"/>
                <w:szCs w:val="14"/>
                <w:color w:val="auto"/>
              </w:rPr>
              <w:t>1,083,750</w:t>
            </w:r>
          </w:p>
        </w:tc>
        <w:tc>
          <w:tcPr>
            <w:tcW w:w="740" w:type="dxa"/>
            <w:vAlign w:val="bottom"/>
          </w:tcPr>
          <w:p>
            <w:pPr>
              <w:jc w:val="right"/>
              <w:spacing w:after="0"/>
              <w:rPr>
                <w:sz w:val="20"/>
                <w:szCs w:val="20"/>
                <w:color w:val="auto"/>
              </w:rPr>
            </w:pPr>
            <w:r>
              <w:rPr>
                <w:rFonts w:ascii="Arial" w:cs="Arial" w:eastAsia="Arial" w:hAnsi="Arial"/>
                <w:sz w:val="14"/>
                <w:szCs w:val="14"/>
                <w:color w:val="auto"/>
              </w:rPr>
              <w:t>2,167,500</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000" w:type="dxa"/>
            <w:vAlign w:val="bottom"/>
            <w:vMerge w:val="restart"/>
          </w:tcPr>
          <w:p>
            <w:pPr>
              <w:ind w:left="200"/>
              <w:spacing w:after="0"/>
              <w:rPr>
                <w:sz w:val="20"/>
                <w:szCs w:val="20"/>
                <w:color w:val="auto"/>
              </w:rPr>
            </w:pPr>
            <w:r>
              <w:rPr>
                <w:rFonts w:ascii="Arial" w:cs="Arial" w:eastAsia="Arial" w:hAnsi="Arial"/>
                <w:sz w:val="14"/>
                <w:szCs w:val="14"/>
                <w:b w:val="1"/>
                <w:bCs w:val="1"/>
                <w:color w:val="0075C9"/>
              </w:rPr>
              <w:t>D. Young</w:t>
            </w:r>
          </w:p>
        </w:tc>
        <w:tc>
          <w:tcPr>
            <w:tcW w:w="360" w:type="dxa"/>
            <w:vAlign w:val="bottom"/>
            <w:tcBorders>
              <w:bottom w:val="single" w:sz="8" w:color="595959"/>
            </w:tcBorders>
          </w:tcPr>
          <w:p>
            <w:pPr>
              <w:spacing w:after="0"/>
              <w:rPr>
                <w:sz w:val="3"/>
                <w:szCs w:val="3"/>
                <w:color w:val="auto"/>
              </w:rPr>
            </w:pPr>
          </w:p>
        </w:tc>
        <w:tc>
          <w:tcPr>
            <w:tcW w:w="960" w:type="dxa"/>
            <w:vAlign w:val="bottom"/>
            <w:tcBorders>
              <w:bottom w:val="single" w:sz="8" w:color="595959"/>
            </w:tcBorders>
          </w:tcPr>
          <w:p>
            <w:pPr>
              <w:spacing w:after="0"/>
              <w:rPr>
                <w:sz w:val="3"/>
                <w:szCs w:val="3"/>
                <w:color w:val="auto"/>
              </w:rPr>
            </w:pPr>
          </w:p>
        </w:tc>
        <w:tc>
          <w:tcPr>
            <w:tcW w:w="860" w:type="dxa"/>
            <w:vAlign w:val="bottom"/>
            <w:tcBorders>
              <w:bottom w:val="single" w:sz="8" w:color="595959"/>
            </w:tcBorders>
          </w:tcPr>
          <w:p>
            <w:pPr>
              <w:spacing w:after="0"/>
              <w:rPr>
                <w:sz w:val="3"/>
                <w:szCs w:val="3"/>
                <w:color w:val="auto"/>
              </w:rPr>
            </w:pPr>
          </w:p>
        </w:tc>
        <w:tc>
          <w:tcPr>
            <w:tcW w:w="720" w:type="dxa"/>
            <w:vAlign w:val="bottom"/>
            <w:tcBorders>
              <w:bottom w:val="single" w:sz="8" w:color="595959"/>
            </w:tcBorders>
          </w:tcPr>
          <w:p>
            <w:pPr>
              <w:spacing w:after="0"/>
              <w:rPr>
                <w:sz w:val="3"/>
                <w:szCs w:val="3"/>
                <w:color w:val="auto"/>
              </w:rPr>
            </w:pPr>
          </w:p>
        </w:tc>
        <w:tc>
          <w:tcPr>
            <w:tcW w:w="860" w:type="dxa"/>
            <w:vAlign w:val="bottom"/>
            <w:tcBorders>
              <w:bottom w:val="single" w:sz="8" w:color="595959"/>
            </w:tcBorders>
          </w:tcPr>
          <w:p>
            <w:pPr>
              <w:spacing w:after="0"/>
              <w:rPr>
                <w:sz w:val="3"/>
                <w:szCs w:val="3"/>
                <w:color w:val="auto"/>
              </w:rPr>
            </w:pPr>
          </w:p>
        </w:tc>
        <w:tc>
          <w:tcPr>
            <w:tcW w:w="740" w:type="dxa"/>
            <w:vAlign w:val="bottom"/>
            <w:tcBorders>
              <w:bottom w:val="single" w:sz="8" w:color="595959"/>
            </w:tcBorders>
          </w:tcPr>
          <w:p>
            <w:pPr>
              <w:spacing w:after="0"/>
              <w:rPr>
                <w:sz w:val="3"/>
                <w:szCs w:val="3"/>
                <w:color w:val="auto"/>
              </w:rPr>
            </w:pPr>
          </w:p>
        </w:tc>
        <w:tc>
          <w:tcPr>
            <w:tcW w:w="100" w:type="dxa"/>
            <w:vAlign w:val="bottom"/>
            <w:tcBorders>
              <w:bottom w:val="single" w:sz="8" w:color="595959"/>
            </w:tcBorders>
          </w:tcPr>
          <w:p>
            <w:pPr>
              <w:spacing w:after="0"/>
              <w:rPr>
                <w:sz w:val="3"/>
                <w:szCs w:val="3"/>
                <w:color w:val="auto"/>
              </w:rPr>
            </w:pPr>
          </w:p>
        </w:tc>
        <w:tc>
          <w:tcPr>
            <w:tcW w:w="800" w:type="dxa"/>
            <w:vAlign w:val="bottom"/>
            <w:tcBorders>
              <w:bottom w:val="single" w:sz="8" w:color="595959"/>
            </w:tcBorders>
          </w:tcPr>
          <w:p>
            <w:pPr>
              <w:spacing w:after="0"/>
              <w:rPr>
                <w:sz w:val="3"/>
                <w:szCs w:val="3"/>
                <w:color w:val="auto"/>
              </w:rPr>
            </w:pPr>
          </w:p>
        </w:tc>
        <w:tc>
          <w:tcPr>
            <w:tcW w:w="600" w:type="dxa"/>
            <w:vAlign w:val="bottom"/>
            <w:tcBorders>
              <w:bottom w:val="single" w:sz="8" w:color="595959"/>
            </w:tcBorders>
          </w:tcPr>
          <w:p>
            <w:pPr>
              <w:spacing w:after="0"/>
              <w:rPr>
                <w:sz w:val="3"/>
                <w:szCs w:val="3"/>
                <w:color w:val="auto"/>
              </w:rPr>
            </w:pPr>
          </w:p>
        </w:tc>
        <w:tc>
          <w:tcPr>
            <w:tcW w:w="740" w:type="dxa"/>
            <w:vAlign w:val="bottom"/>
            <w:tcBorders>
              <w:bottom w:val="single" w:sz="8" w:color="595959"/>
            </w:tcBorders>
          </w:tcPr>
          <w:p>
            <w:pPr>
              <w:spacing w:after="0"/>
              <w:rPr>
                <w:sz w:val="3"/>
                <w:szCs w:val="3"/>
                <w:color w:val="auto"/>
              </w:rPr>
            </w:pPr>
          </w:p>
        </w:tc>
        <w:tc>
          <w:tcPr>
            <w:tcW w:w="640" w:type="dxa"/>
            <w:vAlign w:val="bottom"/>
            <w:tcBorders>
              <w:bottom w:val="single" w:sz="8" w:color="595959"/>
            </w:tcBorders>
          </w:tcPr>
          <w:p>
            <w:pPr>
              <w:spacing w:after="0"/>
              <w:rPr>
                <w:sz w:val="3"/>
                <w:szCs w:val="3"/>
                <w:color w:val="auto"/>
              </w:rPr>
            </w:pPr>
          </w:p>
        </w:tc>
        <w:tc>
          <w:tcPr>
            <w:tcW w:w="800" w:type="dxa"/>
            <w:vAlign w:val="bottom"/>
            <w:tcBorders>
              <w:bottom w:val="single" w:sz="8" w:color="595959"/>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1000" w:type="dxa"/>
            <w:vAlign w:val="bottom"/>
            <w:vMerge w:val="continue"/>
          </w:tcPr>
          <w:p>
            <w:pPr>
              <w:spacing w:after="0"/>
              <w:rPr>
                <w:sz w:val="14"/>
                <w:szCs w:val="14"/>
                <w:color w:val="auto"/>
              </w:rPr>
            </w:pPr>
          </w:p>
        </w:tc>
        <w:tc>
          <w:tcPr>
            <w:tcW w:w="360" w:type="dxa"/>
            <w:vAlign w:val="bottom"/>
            <w:tcBorders>
              <w:bottom w:val="single" w:sz="8" w:color="595959"/>
            </w:tcBorders>
          </w:tcPr>
          <w:p>
            <w:pPr>
              <w:ind w:left="40"/>
              <w:spacing w:after="0"/>
              <w:rPr>
                <w:sz w:val="20"/>
                <w:szCs w:val="20"/>
                <w:color w:val="auto"/>
              </w:rPr>
            </w:pPr>
            <w:r>
              <w:rPr>
                <w:rFonts w:ascii="Arial" w:cs="Arial" w:eastAsia="Arial" w:hAnsi="Arial"/>
                <w:sz w:val="14"/>
                <w:szCs w:val="14"/>
                <w:color w:val="auto"/>
                <w:w w:val="96"/>
              </w:rPr>
              <w:t>2021</w:t>
            </w:r>
          </w:p>
        </w:tc>
        <w:tc>
          <w:tcPr>
            <w:tcW w:w="960" w:type="dxa"/>
            <w:vAlign w:val="bottom"/>
            <w:tcBorders>
              <w:bottom w:val="single" w:sz="8" w:color="595959"/>
            </w:tcBorders>
          </w:tcPr>
          <w:p>
            <w:pPr>
              <w:ind w:left="20"/>
              <w:spacing w:after="0"/>
              <w:rPr>
                <w:sz w:val="20"/>
                <w:szCs w:val="20"/>
                <w:color w:val="auto"/>
              </w:rPr>
            </w:pPr>
            <w:r>
              <w:rPr>
                <w:rFonts w:ascii="Arial" w:cs="Arial" w:eastAsia="Arial" w:hAnsi="Arial"/>
                <w:sz w:val="14"/>
                <w:szCs w:val="14"/>
                <w:color w:val="auto"/>
              </w:rPr>
              <w:t>PSA</w:t>
            </w:r>
          </w:p>
        </w:tc>
        <w:tc>
          <w:tcPr>
            <w:tcW w:w="86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11/11/2020</w:t>
            </w:r>
          </w:p>
        </w:tc>
        <w:tc>
          <w:tcPr>
            <w:tcW w:w="720" w:type="dxa"/>
            <w:vAlign w:val="bottom"/>
            <w:tcBorders>
              <w:bottom w:val="single" w:sz="8" w:color="595959"/>
            </w:tcBorders>
          </w:tcPr>
          <w:p>
            <w:pPr>
              <w:spacing w:after="0"/>
              <w:rPr>
                <w:sz w:val="14"/>
                <w:szCs w:val="14"/>
                <w:color w:val="auto"/>
              </w:rPr>
            </w:pPr>
          </w:p>
        </w:tc>
        <w:tc>
          <w:tcPr>
            <w:tcW w:w="860" w:type="dxa"/>
            <w:vAlign w:val="bottom"/>
            <w:tcBorders>
              <w:bottom w:val="single" w:sz="8" w:color="595959"/>
            </w:tcBorders>
          </w:tcPr>
          <w:p>
            <w:pPr>
              <w:spacing w:after="0"/>
              <w:rPr>
                <w:sz w:val="14"/>
                <w:szCs w:val="14"/>
                <w:color w:val="auto"/>
              </w:rPr>
            </w:pPr>
          </w:p>
        </w:tc>
        <w:tc>
          <w:tcPr>
            <w:tcW w:w="740" w:type="dxa"/>
            <w:vAlign w:val="bottom"/>
            <w:tcBorders>
              <w:bottom w:val="single" w:sz="8" w:color="595959"/>
            </w:tcBorders>
          </w:tcPr>
          <w:p>
            <w:pPr>
              <w:spacing w:after="0"/>
              <w:rPr>
                <w:sz w:val="14"/>
                <w:szCs w:val="14"/>
                <w:color w:val="auto"/>
              </w:rPr>
            </w:pPr>
          </w:p>
        </w:tc>
        <w:tc>
          <w:tcPr>
            <w:tcW w:w="100" w:type="dxa"/>
            <w:vAlign w:val="bottom"/>
            <w:tcBorders>
              <w:bottom w:val="single" w:sz="8" w:color="595959"/>
            </w:tcBorders>
          </w:tcPr>
          <w:p>
            <w:pPr>
              <w:spacing w:after="0"/>
              <w:rPr>
                <w:sz w:val="14"/>
                <w:szCs w:val="14"/>
                <w:color w:val="auto"/>
              </w:rPr>
            </w:pPr>
          </w:p>
        </w:tc>
        <w:tc>
          <w:tcPr>
            <w:tcW w:w="800" w:type="dxa"/>
            <w:vAlign w:val="bottom"/>
            <w:tcBorders>
              <w:bottom w:val="single" w:sz="8" w:color="595959"/>
            </w:tcBorders>
          </w:tcPr>
          <w:p>
            <w:pPr>
              <w:jc w:val="right"/>
              <w:ind w:right="32"/>
              <w:spacing w:after="0"/>
              <w:rPr>
                <w:sz w:val="20"/>
                <w:szCs w:val="20"/>
                <w:color w:val="auto"/>
              </w:rPr>
            </w:pPr>
            <w:r>
              <w:rPr>
                <w:rFonts w:ascii="Arial" w:cs="Arial" w:eastAsia="Arial" w:hAnsi="Arial"/>
                <w:sz w:val="14"/>
                <w:szCs w:val="14"/>
                <w:color w:val="auto"/>
              </w:rPr>
              <w:t>59</w:t>
            </w:r>
          </w:p>
        </w:tc>
        <w:tc>
          <w:tcPr>
            <w:tcW w:w="60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4,676</w:t>
            </w:r>
          </w:p>
        </w:tc>
        <w:tc>
          <w:tcPr>
            <w:tcW w:w="74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14,028</w:t>
            </w:r>
          </w:p>
        </w:tc>
        <w:tc>
          <w:tcPr>
            <w:tcW w:w="640" w:type="dxa"/>
            <w:vAlign w:val="bottom"/>
            <w:tcBorders>
              <w:bottom w:val="single" w:sz="8" w:color="595959"/>
            </w:tcBorders>
          </w:tcPr>
          <w:p>
            <w:pPr>
              <w:spacing w:after="0"/>
              <w:rPr>
                <w:sz w:val="14"/>
                <w:szCs w:val="14"/>
                <w:color w:val="auto"/>
              </w:rPr>
            </w:pPr>
          </w:p>
        </w:tc>
        <w:tc>
          <w:tcPr>
            <w:tcW w:w="80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1,128,753</w:t>
            </w:r>
          </w:p>
        </w:tc>
        <w:tc>
          <w:tcPr>
            <w:tcW w:w="0" w:type="dxa"/>
            <w:vAlign w:val="bottom"/>
          </w:tcPr>
          <w:p>
            <w:pPr>
              <w:spacing w:after="0"/>
              <w:rPr>
                <w:sz w:val="1"/>
                <w:szCs w:val="1"/>
                <w:color w:val="auto"/>
              </w:rPr>
            </w:pPr>
          </w:p>
        </w:tc>
      </w:tr>
      <w:tr>
        <w:trPr>
          <w:trHeight w:val="226"/>
        </w:trPr>
        <w:tc>
          <w:tcPr>
            <w:tcW w:w="1000" w:type="dxa"/>
            <w:vAlign w:val="bottom"/>
          </w:tcPr>
          <w:p>
            <w:pPr>
              <w:spacing w:after="0"/>
              <w:rPr>
                <w:sz w:val="19"/>
                <w:szCs w:val="19"/>
                <w:color w:val="auto"/>
              </w:rPr>
            </w:pPr>
          </w:p>
        </w:tc>
        <w:tc>
          <w:tcPr>
            <w:tcW w:w="360" w:type="dxa"/>
            <w:vAlign w:val="bottom"/>
            <w:tcBorders>
              <w:bottom w:val="single" w:sz="8" w:color="595959"/>
            </w:tcBorders>
          </w:tcPr>
          <w:p>
            <w:pPr>
              <w:ind w:left="40"/>
              <w:spacing w:after="0"/>
              <w:rPr>
                <w:sz w:val="20"/>
                <w:szCs w:val="20"/>
                <w:color w:val="auto"/>
              </w:rPr>
            </w:pPr>
            <w:r>
              <w:rPr>
                <w:rFonts w:ascii="Arial" w:cs="Arial" w:eastAsia="Arial" w:hAnsi="Arial"/>
                <w:sz w:val="14"/>
                <w:szCs w:val="14"/>
                <w:color w:val="auto"/>
                <w:w w:val="96"/>
              </w:rPr>
              <w:t>2021</w:t>
            </w:r>
          </w:p>
        </w:tc>
        <w:tc>
          <w:tcPr>
            <w:tcW w:w="960" w:type="dxa"/>
            <w:vAlign w:val="bottom"/>
            <w:tcBorders>
              <w:bottom w:val="single" w:sz="8" w:color="595959"/>
            </w:tcBorders>
          </w:tcPr>
          <w:p>
            <w:pPr>
              <w:ind w:left="20"/>
              <w:spacing w:after="0"/>
              <w:rPr>
                <w:sz w:val="20"/>
                <w:szCs w:val="20"/>
                <w:color w:val="auto"/>
              </w:rPr>
            </w:pPr>
            <w:r>
              <w:rPr>
                <w:rFonts w:ascii="Arial" w:cs="Arial" w:eastAsia="Arial" w:hAnsi="Arial"/>
                <w:sz w:val="14"/>
                <w:szCs w:val="14"/>
                <w:color w:val="auto"/>
              </w:rPr>
              <w:t>PSA</w:t>
            </w:r>
          </w:p>
        </w:tc>
        <w:tc>
          <w:tcPr>
            <w:tcW w:w="86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12/1/2020</w:t>
            </w:r>
          </w:p>
        </w:tc>
        <w:tc>
          <w:tcPr>
            <w:tcW w:w="720" w:type="dxa"/>
            <w:vAlign w:val="bottom"/>
            <w:tcBorders>
              <w:bottom w:val="single" w:sz="8" w:color="595959"/>
            </w:tcBorders>
          </w:tcPr>
          <w:p>
            <w:pPr>
              <w:spacing w:after="0"/>
              <w:rPr>
                <w:sz w:val="19"/>
                <w:szCs w:val="19"/>
                <w:color w:val="auto"/>
              </w:rPr>
            </w:pPr>
          </w:p>
        </w:tc>
        <w:tc>
          <w:tcPr>
            <w:tcW w:w="860" w:type="dxa"/>
            <w:vAlign w:val="bottom"/>
            <w:tcBorders>
              <w:bottom w:val="single" w:sz="8" w:color="595959"/>
            </w:tcBorders>
          </w:tcPr>
          <w:p>
            <w:pPr>
              <w:spacing w:after="0"/>
              <w:rPr>
                <w:sz w:val="19"/>
                <w:szCs w:val="19"/>
                <w:color w:val="auto"/>
              </w:rPr>
            </w:pPr>
          </w:p>
        </w:tc>
        <w:tc>
          <w:tcPr>
            <w:tcW w:w="740" w:type="dxa"/>
            <w:vAlign w:val="bottom"/>
            <w:tcBorders>
              <w:bottom w:val="single" w:sz="8" w:color="595959"/>
            </w:tcBorders>
          </w:tcPr>
          <w:p>
            <w:pPr>
              <w:spacing w:after="0"/>
              <w:rPr>
                <w:sz w:val="19"/>
                <w:szCs w:val="19"/>
                <w:color w:val="auto"/>
              </w:rPr>
            </w:pPr>
          </w:p>
        </w:tc>
        <w:tc>
          <w:tcPr>
            <w:tcW w:w="10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jc w:val="right"/>
              <w:ind w:right="32"/>
              <w:spacing w:after="0"/>
              <w:rPr>
                <w:sz w:val="20"/>
                <w:szCs w:val="20"/>
                <w:color w:val="auto"/>
              </w:rPr>
            </w:pPr>
            <w:r>
              <w:rPr>
                <w:rFonts w:ascii="Arial" w:cs="Arial" w:eastAsia="Arial" w:hAnsi="Arial"/>
                <w:sz w:val="14"/>
                <w:szCs w:val="14"/>
                <w:color w:val="auto"/>
              </w:rPr>
              <w:t>14</w:t>
            </w:r>
          </w:p>
        </w:tc>
        <w:tc>
          <w:tcPr>
            <w:tcW w:w="60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1,097</w:t>
            </w:r>
          </w:p>
        </w:tc>
        <w:tc>
          <w:tcPr>
            <w:tcW w:w="74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3,291</w:t>
            </w:r>
          </w:p>
        </w:tc>
        <w:tc>
          <w:tcPr>
            <w:tcW w:w="64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259,241</w:t>
            </w:r>
          </w:p>
        </w:tc>
        <w:tc>
          <w:tcPr>
            <w:tcW w:w="0" w:type="dxa"/>
            <w:vAlign w:val="bottom"/>
          </w:tcPr>
          <w:p>
            <w:pPr>
              <w:spacing w:after="0"/>
              <w:rPr>
                <w:sz w:val="1"/>
                <w:szCs w:val="1"/>
                <w:color w:val="auto"/>
              </w:rPr>
            </w:pPr>
          </w:p>
        </w:tc>
      </w:tr>
      <w:tr>
        <w:trPr>
          <w:trHeight w:val="226"/>
        </w:trPr>
        <w:tc>
          <w:tcPr>
            <w:tcW w:w="1000" w:type="dxa"/>
            <w:vAlign w:val="bottom"/>
          </w:tcPr>
          <w:p>
            <w:pPr>
              <w:spacing w:after="0"/>
              <w:rPr>
                <w:sz w:val="19"/>
                <w:szCs w:val="19"/>
                <w:color w:val="auto"/>
              </w:rPr>
            </w:pPr>
          </w:p>
        </w:tc>
        <w:tc>
          <w:tcPr>
            <w:tcW w:w="360" w:type="dxa"/>
            <w:vAlign w:val="bottom"/>
            <w:tcBorders>
              <w:bottom w:val="single" w:sz="8" w:color="595959"/>
            </w:tcBorders>
          </w:tcPr>
          <w:p>
            <w:pPr>
              <w:ind w:left="40"/>
              <w:spacing w:after="0"/>
              <w:rPr>
                <w:sz w:val="20"/>
                <w:szCs w:val="20"/>
                <w:color w:val="auto"/>
              </w:rPr>
            </w:pPr>
            <w:r>
              <w:rPr>
                <w:rFonts w:ascii="Arial" w:cs="Arial" w:eastAsia="Arial" w:hAnsi="Arial"/>
                <w:sz w:val="14"/>
                <w:szCs w:val="14"/>
                <w:color w:val="auto"/>
                <w:w w:val="96"/>
              </w:rPr>
              <w:t>2021</w:t>
            </w:r>
          </w:p>
        </w:tc>
        <w:tc>
          <w:tcPr>
            <w:tcW w:w="960" w:type="dxa"/>
            <w:vAlign w:val="bottom"/>
            <w:tcBorders>
              <w:bottom w:val="single" w:sz="8" w:color="595959"/>
            </w:tcBorders>
          </w:tcPr>
          <w:p>
            <w:pPr>
              <w:ind w:left="20"/>
              <w:spacing w:after="0"/>
              <w:rPr>
                <w:sz w:val="20"/>
                <w:szCs w:val="20"/>
                <w:color w:val="auto"/>
              </w:rPr>
            </w:pPr>
            <w:r>
              <w:rPr>
                <w:rFonts w:ascii="Arial" w:cs="Arial" w:eastAsia="Arial" w:hAnsi="Arial"/>
                <w:sz w:val="14"/>
                <w:szCs w:val="14"/>
                <w:color w:val="auto"/>
              </w:rPr>
              <w:t>On-Hire SA</w:t>
            </w:r>
          </w:p>
        </w:tc>
        <w:tc>
          <w:tcPr>
            <w:tcW w:w="86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11/11/2020</w:t>
            </w:r>
          </w:p>
        </w:tc>
        <w:tc>
          <w:tcPr>
            <w:tcW w:w="720" w:type="dxa"/>
            <w:vAlign w:val="bottom"/>
            <w:tcBorders>
              <w:bottom w:val="single" w:sz="8" w:color="595959"/>
            </w:tcBorders>
          </w:tcPr>
          <w:p>
            <w:pPr>
              <w:spacing w:after="0"/>
              <w:rPr>
                <w:sz w:val="19"/>
                <w:szCs w:val="19"/>
                <w:color w:val="auto"/>
              </w:rPr>
            </w:pPr>
          </w:p>
        </w:tc>
        <w:tc>
          <w:tcPr>
            <w:tcW w:w="860" w:type="dxa"/>
            <w:vAlign w:val="bottom"/>
            <w:tcBorders>
              <w:bottom w:val="single" w:sz="8" w:color="595959"/>
            </w:tcBorders>
          </w:tcPr>
          <w:p>
            <w:pPr>
              <w:spacing w:after="0"/>
              <w:rPr>
                <w:sz w:val="19"/>
                <w:szCs w:val="19"/>
                <w:color w:val="auto"/>
              </w:rPr>
            </w:pPr>
          </w:p>
        </w:tc>
        <w:tc>
          <w:tcPr>
            <w:tcW w:w="740" w:type="dxa"/>
            <w:vAlign w:val="bottom"/>
            <w:tcBorders>
              <w:bottom w:val="single" w:sz="8" w:color="595959"/>
            </w:tcBorders>
          </w:tcPr>
          <w:p>
            <w:pPr>
              <w:spacing w:after="0"/>
              <w:rPr>
                <w:sz w:val="19"/>
                <w:szCs w:val="19"/>
                <w:color w:val="auto"/>
              </w:rPr>
            </w:pPr>
          </w:p>
        </w:tc>
        <w:tc>
          <w:tcPr>
            <w:tcW w:w="10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spacing w:after="0"/>
              <w:rPr>
                <w:sz w:val="19"/>
                <w:szCs w:val="19"/>
                <w:color w:val="auto"/>
              </w:rPr>
            </w:pPr>
          </w:p>
        </w:tc>
        <w:tc>
          <w:tcPr>
            <w:tcW w:w="600" w:type="dxa"/>
            <w:vAlign w:val="bottom"/>
            <w:tcBorders>
              <w:bottom w:val="single" w:sz="8" w:color="595959"/>
            </w:tcBorders>
          </w:tcPr>
          <w:p>
            <w:pPr>
              <w:spacing w:after="0"/>
              <w:rPr>
                <w:sz w:val="19"/>
                <w:szCs w:val="19"/>
                <w:color w:val="auto"/>
              </w:rPr>
            </w:pPr>
          </w:p>
        </w:tc>
        <w:tc>
          <w:tcPr>
            <w:tcW w:w="740" w:type="dxa"/>
            <w:vAlign w:val="bottom"/>
            <w:tcBorders>
              <w:bottom w:val="single" w:sz="8" w:color="595959"/>
            </w:tcBorders>
          </w:tcPr>
          <w:p>
            <w:pPr>
              <w:spacing w:after="0"/>
              <w:rPr>
                <w:sz w:val="19"/>
                <w:szCs w:val="19"/>
                <w:color w:val="auto"/>
              </w:rPr>
            </w:pPr>
          </w:p>
        </w:tc>
        <w:tc>
          <w:tcPr>
            <w:tcW w:w="64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83,122</w:t>
            </w:r>
          </w:p>
        </w:tc>
        <w:tc>
          <w:tcPr>
            <w:tcW w:w="80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17,536,215</w:t>
            </w:r>
          </w:p>
        </w:tc>
        <w:tc>
          <w:tcPr>
            <w:tcW w:w="0" w:type="dxa"/>
            <w:vAlign w:val="bottom"/>
          </w:tcPr>
          <w:p>
            <w:pPr>
              <w:spacing w:after="0"/>
              <w:rPr>
                <w:sz w:val="1"/>
                <w:szCs w:val="1"/>
                <w:color w:val="auto"/>
              </w:rPr>
            </w:pPr>
          </w:p>
        </w:tc>
      </w:tr>
      <w:tr>
        <w:trPr>
          <w:trHeight w:val="226"/>
        </w:trPr>
        <w:tc>
          <w:tcPr>
            <w:tcW w:w="1000" w:type="dxa"/>
            <w:vAlign w:val="bottom"/>
            <w:tcBorders>
              <w:bottom w:val="single" w:sz="8" w:color="0075C9"/>
            </w:tcBorders>
          </w:tcPr>
          <w:p>
            <w:pPr>
              <w:spacing w:after="0"/>
              <w:rPr>
                <w:sz w:val="19"/>
                <w:szCs w:val="19"/>
                <w:color w:val="auto"/>
              </w:rPr>
            </w:pPr>
          </w:p>
        </w:tc>
        <w:tc>
          <w:tcPr>
            <w:tcW w:w="360" w:type="dxa"/>
            <w:vAlign w:val="bottom"/>
            <w:tcBorders>
              <w:bottom w:val="single" w:sz="8" w:color="0075C9"/>
            </w:tcBorders>
          </w:tcPr>
          <w:p>
            <w:pPr>
              <w:ind w:left="40"/>
              <w:spacing w:after="0"/>
              <w:rPr>
                <w:sz w:val="20"/>
                <w:szCs w:val="20"/>
                <w:color w:val="auto"/>
              </w:rPr>
            </w:pPr>
            <w:r>
              <w:rPr>
                <w:rFonts w:ascii="Arial" w:cs="Arial" w:eastAsia="Arial" w:hAnsi="Arial"/>
                <w:sz w:val="14"/>
                <w:szCs w:val="14"/>
                <w:color w:val="auto"/>
                <w:w w:val="96"/>
              </w:rPr>
              <w:t>2021</w:t>
            </w:r>
          </w:p>
        </w:tc>
        <w:tc>
          <w:tcPr>
            <w:tcW w:w="960" w:type="dxa"/>
            <w:vAlign w:val="bottom"/>
            <w:tcBorders>
              <w:bottom w:val="single" w:sz="8" w:color="0075C9"/>
            </w:tcBorders>
          </w:tcPr>
          <w:p>
            <w:pPr>
              <w:ind w:left="20"/>
              <w:spacing w:after="0"/>
              <w:rPr>
                <w:sz w:val="20"/>
                <w:szCs w:val="20"/>
                <w:color w:val="auto"/>
              </w:rPr>
            </w:pPr>
            <w:r>
              <w:rPr>
                <w:rFonts w:ascii="Arial" w:cs="Arial" w:eastAsia="Arial" w:hAnsi="Arial"/>
                <w:sz w:val="14"/>
                <w:szCs w:val="14"/>
                <w:color w:val="auto"/>
              </w:rPr>
              <w:t>SA</w:t>
            </w:r>
          </w:p>
        </w:tc>
        <w:tc>
          <w:tcPr>
            <w:tcW w:w="860" w:type="dxa"/>
            <w:vAlign w:val="bottom"/>
            <w:tcBorders>
              <w:bottom w:val="single" w:sz="8" w:color="0075C9"/>
            </w:tcBorders>
          </w:tcPr>
          <w:p>
            <w:pPr>
              <w:jc w:val="right"/>
              <w:ind w:right="31"/>
              <w:spacing w:after="0"/>
              <w:rPr>
                <w:sz w:val="20"/>
                <w:szCs w:val="20"/>
                <w:color w:val="auto"/>
              </w:rPr>
            </w:pPr>
            <w:r>
              <w:rPr>
                <w:rFonts w:ascii="Arial" w:cs="Arial" w:eastAsia="Arial" w:hAnsi="Arial"/>
                <w:sz w:val="14"/>
                <w:szCs w:val="14"/>
                <w:color w:val="auto"/>
              </w:rPr>
              <w:t>11/11/2020</w:t>
            </w:r>
          </w:p>
        </w:tc>
        <w:tc>
          <w:tcPr>
            <w:tcW w:w="720" w:type="dxa"/>
            <w:vAlign w:val="bottom"/>
            <w:tcBorders>
              <w:bottom w:val="single" w:sz="8" w:color="0075C9"/>
            </w:tcBorders>
          </w:tcPr>
          <w:p>
            <w:pPr>
              <w:spacing w:after="0"/>
              <w:rPr>
                <w:sz w:val="19"/>
                <w:szCs w:val="19"/>
                <w:color w:val="auto"/>
              </w:rPr>
            </w:pPr>
          </w:p>
        </w:tc>
        <w:tc>
          <w:tcPr>
            <w:tcW w:w="860" w:type="dxa"/>
            <w:vAlign w:val="bottom"/>
            <w:tcBorders>
              <w:bottom w:val="single" w:sz="8" w:color="0075C9"/>
            </w:tcBorders>
          </w:tcPr>
          <w:p>
            <w:pPr>
              <w:spacing w:after="0"/>
              <w:rPr>
                <w:sz w:val="19"/>
                <w:szCs w:val="19"/>
                <w:color w:val="auto"/>
              </w:rPr>
            </w:pPr>
          </w:p>
        </w:tc>
        <w:tc>
          <w:tcPr>
            <w:tcW w:w="740" w:type="dxa"/>
            <w:vAlign w:val="bottom"/>
            <w:tcBorders>
              <w:bottom w:val="single" w:sz="8" w:color="0075C9"/>
            </w:tcBorders>
          </w:tcPr>
          <w:p>
            <w:pPr>
              <w:spacing w:after="0"/>
              <w:rPr>
                <w:sz w:val="19"/>
                <w:szCs w:val="19"/>
                <w:color w:val="auto"/>
              </w:rPr>
            </w:pPr>
          </w:p>
        </w:tc>
        <w:tc>
          <w:tcPr>
            <w:tcW w:w="100" w:type="dxa"/>
            <w:vAlign w:val="bottom"/>
            <w:tcBorders>
              <w:bottom w:val="single" w:sz="8" w:color="0075C9"/>
            </w:tcBorders>
          </w:tcPr>
          <w:p>
            <w:pPr>
              <w:spacing w:after="0"/>
              <w:rPr>
                <w:sz w:val="19"/>
                <w:szCs w:val="19"/>
                <w:color w:val="auto"/>
              </w:rPr>
            </w:pPr>
          </w:p>
        </w:tc>
        <w:tc>
          <w:tcPr>
            <w:tcW w:w="800" w:type="dxa"/>
            <w:vAlign w:val="bottom"/>
            <w:tcBorders>
              <w:bottom w:val="single" w:sz="8" w:color="0075C9"/>
            </w:tcBorders>
          </w:tcPr>
          <w:p>
            <w:pPr>
              <w:spacing w:after="0"/>
              <w:rPr>
                <w:sz w:val="19"/>
                <w:szCs w:val="19"/>
                <w:color w:val="auto"/>
              </w:rPr>
            </w:pPr>
          </w:p>
        </w:tc>
        <w:tc>
          <w:tcPr>
            <w:tcW w:w="600" w:type="dxa"/>
            <w:vAlign w:val="bottom"/>
            <w:tcBorders>
              <w:bottom w:val="single" w:sz="8" w:color="0075C9"/>
            </w:tcBorders>
          </w:tcPr>
          <w:p>
            <w:pPr>
              <w:spacing w:after="0"/>
              <w:rPr>
                <w:sz w:val="19"/>
                <w:szCs w:val="19"/>
                <w:color w:val="auto"/>
              </w:rPr>
            </w:pPr>
          </w:p>
        </w:tc>
        <w:tc>
          <w:tcPr>
            <w:tcW w:w="740" w:type="dxa"/>
            <w:vAlign w:val="bottom"/>
            <w:tcBorders>
              <w:bottom w:val="single" w:sz="8" w:color="0075C9"/>
            </w:tcBorders>
          </w:tcPr>
          <w:p>
            <w:pPr>
              <w:spacing w:after="0"/>
              <w:rPr>
                <w:sz w:val="19"/>
                <w:szCs w:val="19"/>
                <w:color w:val="auto"/>
              </w:rPr>
            </w:pPr>
          </w:p>
        </w:tc>
        <w:tc>
          <w:tcPr>
            <w:tcW w:w="64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17,318</w:t>
            </w:r>
          </w:p>
        </w:tc>
        <w:tc>
          <w:tcPr>
            <w:tcW w:w="80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3,670,425</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360" w:right="240" w:hanging="258"/>
        <w:spacing w:after="0" w:line="239" w:lineRule="auto"/>
        <w:tabs>
          <w:tab w:leader="none" w:pos="1360" w:val="left"/>
        </w:tabs>
        <w:numPr>
          <w:ilvl w:val="0"/>
          <w:numId w:val="85"/>
        </w:numPr>
        <w:rPr>
          <w:rFonts w:ascii="Arial" w:cs="Arial" w:eastAsia="Arial" w:hAnsi="Arial"/>
          <w:sz w:val="12"/>
          <w:szCs w:val="12"/>
          <w:color w:val="auto"/>
        </w:rPr>
      </w:pPr>
      <w:r>
        <w:rPr>
          <w:rFonts w:ascii="Arial" w:cs="Arial" w:eastAsia="Arial" w:hAnsi="Arial"/>
          <w:sz w:val="12"/>
          <w:szCs w:val="12"/>
          <w:color w:val="auto"/>
        </w:rPr>
        <w:t>All awards are granted under the Executive Incentive Plan. SAs and PSAs were granted under the 2017 Stock Plan (2001 Plan in the case of French-qualified SAs and PSAs granted to Jean-Philippe Courtois).</w:t>
      </w:r>
    </w:p>
    <w:p>
      <w:pPr>
        <w:spacing w:after="0" w:line="61" w:lineRule="exact"/>
        <w:rPr>
          <w:rFonts w:ascii="Arial" w:cs="Arial" w:eastAsia="Arial" w:hAnsi="Arial"/>
          <w:sz w:val="12"/>
          <w:szCs w:val="12"/>
          <w:color w:val="auto"/>
        </w:rPr>
      </w:pPr>
    </w:p>
    <w:p>
      <w:pPr>
        <w:ind w:left="1360" w:hanging="258"/>
        <w:spacing w:after="0"/>
        <w:tabs>
          <w:tab w:leader="none" w:pos="1360" w:val="left"/>
        </w:tabs>
        <w:numPr>
          <w:ilvl w:val="0"/>
          <w:numId w:val="85"/>
        </w:numPr>
        <w:rPr>
          <w:rFonts w:ascii="Arial" w:cs="Arial" w:eastAsia="Arial" w:hAnsi="Arial"/>
          <w:sz w:val="12"/>
          <w:szCs w:val="12"/>
          <w:color w:val="auto"/>
        </w:rPr>
      </w:pPr>
      <w:r>
        <w:rPr>
          <w:rFonts w:ascii="Arial" w:cs="Arial" w:eastAsia="Arial" w:hAnsi="Arial"/>
          <w:sz w:val="12"/>
          <w:szCs w:val="12"/>
          <w:color w:val="auto"/>
        </w:rPr>
        <w:t>This column represents fiscal year 2021 cash incentives as reported in the “Non-equity Incentive Plan Compensation” column of the Summary Compensation Table.</w:t>
      </w:r>
    </w:p>
    <w:p>
      <w:pPr>
        <w:spacing w:after="0" w:line="69" w:lineRule="exact"/>
        <w:rPr>
          <w:rFonts w:ascii="Arial" w:cs="Arial" w:eastAsia="Arial" w:hAnsi="Arial"/>
          <w:sz w:val="12"/>
          <w:szCs w:val="12"/>
          <w:color w:val="auto"/>
        </w:rPr>
      </w:pPr>
    </w:p>
    <w:p>
      <w:pPr>
        <w:ind w:left="1360" w:right="160" w:hanging="258"/>
        <w:spacing w:after="0" w:line="229" w:lineRule="auto"/>
        <w:tabs>
          <w:tab w:leader="none" w:pos="1360" w:val="left"/>
        </w:tabs>
        <w:numPr>
          <w:ilvl w:val="0"/>
          <w:numId w:val="85"/>
        </w:numPr>
        <w:rPr>
          <w:rFonts w:ascii="Arial" w:cs="Arial" w:eastAsia="Arial" w:hAnsi="Arial"/>
          <w:sz w:val="12"/>
          <w:szCs w:val="12"/>
          <w:color w:val="auto"/>
        </w:rPr>
      </w:pPr>
      <w:r>
        <w:rPr>
          <w:rFonts w:ascii="Arial" w:cs="Arial" w:eastAsia="Arial" w:hAnsi="Arial"/>
          <w:sz w:val="12"/>
          <w:szCs w:val="12"/>
          <w:color w:val="auto"/>
        </w:rPr>
        <w:t>These columns represent the threshold, target, and maximum shares for PSAs with a grant date in fiscal year 2021. Because the grant date for a PSA occurs when PSA performance targets are approved, the reported number of shares is calculated as the target shares for the portion of the PSAs for which performance targets were set in fiscal year 2021 (33.33% of each of the 2021, 2020, and 2019 PSAs). Shares with a 9/14/2020 grant date include the portion of PSAs subject to financial metric performance goals for the semi-annual period from July 1-December 31, 2020, and shares with a 12/1/2020 grant date reflect the portion of PSAs subject to financial metric performance goals for the semi-annual period from January 1-June 30, 2020. The threshold is calculated as if the threshold of only the least weighted metric (50% of 2.5% for 2021 PSAs, 50% of 7% for 2020 PSAs, and 50% of 5% for 2019 PSAs) is met. The maximum is calculated assuming all maximum targets were met and the relative TSR modifier was fully earned.</w:t>
      </w:r>
    </w:p>
    <w:p>
      <w:pPr>
        <w:spacing w:after="0" w:line="62" w:lineRule="exact"/>
        <w:rPr>
          <w:rFonts w:ascii="Arial" w:cs="Arial" w:eastAsia="Arial" w:hAnsi="Arial"/>
          <w:sz w:val="12"/>
          <w:szCs w:val="12"/>
          <w:color w:val="auto"/>
        </w:rPr>
      </w:pPr>
    </w:p>
    <w:p>
      <w:pPr>
        <w:ind w:left="1360" w:right="400" w:hanging="258"/>
        <w:spacing w:after="0" w:line="234" w:lineRule="auto"/>
        <w:tabs>
          <w:tab w:leader="none" w:pos="1360" w:val="left"/>
        </w:tabs>
        <w:numPr>
          <w:ilvl w:val="0"/>
          <w:numId w:val="85"/>
        </w:numPr>
        <w:rPr>
          <w:rFonts w:ascii="Arial" w:cs="Arial" w:eastAsia="Arial" w:hAnsi="Arial"/>
          <w:sz w:val="12"/>
          <w:szCs w:val="12"/>
          <w:color w:val="auto"/>
        </w:rPr>
      </w:pPr>
      <w:r>
        <w:rPr>
          <w:rFonts w:ascii="Arial" w:cs="Arial" w:eastAsia="Arial" w:hAnsi="Arial"/>
          <w:sz w:val="12"/>
          <w:szCs w:val="12"/>
          <w:color w:val="auto"/>
        </w:rPr>
        <w:t>Includes the grant date fair values for SAs and PSAs calculated in accordance with FASB ASC Topic 718 based on the market price of the shares subject to the award on the date of grant. The value of SAs is reduced by the present value of estimated future dividends because dividends are not paid on SA shares until vesting. Values for PSAs in this column are calculated using a Monte Carlo simulation valuation performed as of the date of grant by an independent third party.</w:t>
      </w:r>
    </w:p>
    <w:p>
      <w:pPr>
        <w:spacing w:after="0" w:line="200" w:lineRule="exact"/>
        <w:rPr>
          <w:sz w:val="20"/>
          <w:szCs w:val="20"/>
          <w:color w:val="auto"/>
        </w:rPr>
      </w:pPr>
    </w:p>
    <w:p>
      <w:pPr>
        <w:spacing w:after="0" w:line="297"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-94615</wp:posOffset>
            </wp:positionV>
            <wp:extent cx="485140" cy="9842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280"/>
          </w:cols>
          <w:pgMar w:left="320" w:top="445" w:right="1299" w:bottom="923" w:gutter="0" w:footer="0" w:header="0"/>
        </w:sectPr>
      </w:pPr>
    </w:p>
    <w:bookmarkStart w:id="64" w:name="page65"/>
    <w:bookmarkEnd w:id="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auto"/>
                <w:w w:val="89"/>
              </w:rPr>
              <w:t>1</w:t>
            </w:r>
          </w:p>
        </w:tc>
        <w:tc>
          <w:tcPr>
            <w:tcW w:w="1380" w:type="dxa"/>
            <w:vAlign w:val="bottom"/>
            <w:vMerge w:val="restart"/>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gridSpan w:val="2"/>
          </w:tcPr>
          <w:p>
            <w:pPr>
              <w:jc w:val="right"/>
              <w:ind w:right="80"/>
              <w:spacing w:after="0"/>
              <w:rPr>
                <w:sz w:val="20"/>
                <w:szCs w:val="20"/>
                <w:color w:val="auto"/>
              </w:rPr>
            </w:pPr>
            <w:r>
              <w:rPr>
                <w:rFonts w:ascii="Arial" w:cs="Arial" w:eastAsia="Arial" w:hAnsi="Arial"/>
                <w:sz w:val="36"/>
                <w:szCs w:val="36"/>
                <w:color w:val="0075C9"/>
              </w:rPr>
              <w:t>2</w:t>
            </w:r>
          </w:p>
        </w:tc>
        <w:tc>
          <w:tcPr>
            <w:tcW w:w="1320" w:type="dxa"/>
            <w:vAlign w:val="bottom"/>
            <w:vMerge w:val="restart"/>
          </w:tcPr>
          <w:p>
            <w:pPr>
              <w:ind w:left="60"/>
              <w:spacing w:after="0"/>
              <w:rPr>
                <w:sz w:val="20"/>
                <w:szCs w:val="20"/>
                <w:color w:val="auto"/>
              </w:rPr>
            </w:pPr>
            <w:r>
              <w:rPr>
                <w:rFonts w:ascii="Arial" w:cs="Arial" w:eastAsia="Arial" w:hAnsi="Arial"/>
                <w:sz w:val="12"/>
                <w:szCs w:val="12"/>
                <w:color w:val="0075C9"/>
              </w:rPr>
              <w:t>NAMED</w:t>
            </w:r>
          </w:p>
        </w:tc>
        <w:tc>
          <w:tcPr>
            <w:tcW w:w="740" w:type="dxa"/>
            <w:vAlign w:val="bottom"/>
          </w:tcPr>
          <w:p>
            <w:pPr>
              <w:jc w:val="right"/>
              <w:spacing w:after="0"/>
              <w:rPr>
                <w:sz w:val="20"/>
                <w:szCs w:val="20"/>
                <w:color w:val="auto"/>
              </w:rPr>
            </w:pPr>
            <w:r>
              <w:rPr>
                <w:rFonts w:ascii="Arial" w:cs="Arial" w:eastAsia="Arial" w:hAnsi="Arial"/>
                <w:sz w:val="36"/>
                <w:szCs w:val="36"/>
                <w:color w:val="auto"/>
              </w:rPr>
              <w:t>3</w:t>
            </w:r>
          </w:p>
        </w:tc>
        <w:tc>
          <w:tcPr>
            <w:tcW w:w="1020" w:type="dxa"/>
            <w:vAlign w:val="bottom"/>
            <w:vMerge w:val="restart"/>
          </w:tcPr>
          <w:p>
            <w:pPr>
              <w:ind w:left="60"/>
              <w:spacing w:after="0"/>
              <w:rPr>
                <w:sz w:val="20"/>
                <w:szCs w:val="20"/>
                <w:color w:val="auto"/>
              </w:rPr>
            </w:pPr>
            <w:r>
              <w:rPr>
                <w:rFonts w:ascii="Arial" w:cs="Arial" w:eastAsia="Arial" w:hAnsi="Arial"/>
                <w:sz w:val="12"/>
                <w:szCs w:val="12"/>
                <w:color w:val="auto"/>
              </w:rPr>
              <w:t>AUDIT</w:t>
            </w:r>
          </w:p>
        </w:tc>
        <w:tc>
          <w:tcPr>
            <w:tcW w:w="500" w:type="dxa"/>
            <w:vAlign w:val="bottom"/>
          </w:tcPr>
          <w:p>
            <w:pPr>
              <w:jc w:val="right"/>
              <w:spacing w:after="0"/>
              <w:rPr>
                <w:sz w:val="20"/>
                <w:szCs w:val="20"/>
                <w:color w:val="auto"/>
              </w:rPr>
            </w:pPr>
            <w:r>
              <w:rPr>
                <w:rFonts w:ascii="Arial" w:cs="Arial" w:eastAsia="Arial" w:hAnsi="Arial"/>
                <w:sz w:val="36"/>
                <w:szCs w:val="36"/>
                <w:color w:val="auto"/>
              </w:rPr>
              <w:t>4</w:t>
            </w:r>
          </w:p>
        </w:tc>
        <w:tc>
          <w:tcPr>
            <w:tcW w:w="1580" w:type="dxa"/>
            <w:vAlign w:val="bottom"/>
            <w:vMerge w:val="restart"/>
          </w:tcPr>
          <w:p>
            <w:pPr>
              <w:ind w:left="80"/>
              <w:spacing w:after="0"/>
              <w:rPr>
                <w:sz w:val="20"/>
                <w:szCs w:val="20"/>
                <w:color w:val="auto"/>
              </w:rPr>
            </w:pPr>
            <w:r>
              <w:rPr>
                <w:rFonts w:ascii="Arial" w:cs="Arial" w:eastAsia="Arial" w:hAnsi="Arial"/>
                <w:sz w:val="12"/>
                <w:szCs w:val="12"/>
                <w:color w:val="auto"/>
              </w:rPr>
              <w:t>PROPOSALS TO</w:t>
            </w:r>
          </w:p>
        </w:tc>
        <w:tc>
          <w:tcPr>
            <w:tcW w:w="420" w:type="dxa"/>
            <w:vAlign w:val="bottom"/>
          </w:tcPr>
          <w:p>
            <w:pPr>
              <w:jc w:val="right"/>
              <w:spacing w:after="0"/>
              <w:rPr>
                <w:sz w:val="20"/>
                <w:szCs w:val="20"/>
                <w:color w:val="auto"/>
              </w:rPr>
            </w:pPr>
            <w:r>
              <w:rPr>
                <w:rFonts w:ascii="Arial" w:cs="Arial" w:eastAsia="Arial" w:hAnsi="Arial"/>
                <w:sz w:val="36"/>
                <w:szCs w:val="36"/>
                <w:color w:val="auto"/>
              </w:rPr>
              <w:t>5</w:t>
            </w:r>
          </w:p>
        </w:tc>
        <w:tc>
          <w:tcPr>
            <w:tcW w:w="920" w:type="dxa"/>
            <w:vAlign w:val="bottom"/>
            <w:vMerge w:val="restart"/>
          </w:tcPr>
          <w:p>
            <w:pPr>
              <w:ind w:left="8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38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tcPr>
          <w:p>
            <w:pPr>
              <w:ind w:left="60"/>
              <w:spacing w:after="0" w:line="130" w:lineRule="exact"/>
              <w:rPr>
                <w:sz w:val="20"/>
                <w:szCs w:val="20"/>
                <w:color w:val="auto"/>
              </w:rPr>
            </w:pPr>
            <w:r>
              <w:rPr>
                <w:rFonts w:ascii="Arial" w:cs="Arial" w:eastAsia="Arial" w:hAnsi="Arial"/>
                <w:sz w:val="12"/>
                <w:szCs w:val="12"/>
                <w:color w:val="0075C9"/>
                <w:w w:val="99"/>
              </w:rPr>
              <w:t>EXECUTIVE OFFICER</w:t>
            </w:r>
          </w:p>
        </w:tc>
        <w:tc>
          <w:tcPr>
            <w:tcW w:w="740" w:type="dxa"/>
            <w:vAlign w:val="bottom"/>
          </w:tcPr>
          <w:p>
            <w:pPr>
              <w:spacing w:after="0"/>
              <w:rPr>
                <w:sz w:val="11"/>
                <w:szCs w:val="11"/>
                <w:color w:val="auto"/>
              </w:rPr>
            </w:pPr>
          </w:p>
        </w:tc>
        <w:tc>
          <w:tcPr>
            <w:tcW w:w="1020" w:type="dxa"/>
            <w:vAlign w:val="bottom"/>
          </w:tcPr>
          <w:p>
            <w:pPr>
              <w:ind w:left="60"/>
              <w:spacing w:after="0" w:line="130" w:lineRule="exact"/>
              <w:rPr>
                <w:sz w:val="20"/>
                <w:szCs w:val="20"/>
                <w:color w:val="auto"/>
              </w:rPr>
            </w:pPr>
            <w:r>
              <w:rPr>
                <w:rFonts w:ascii="Arial" w:cs="Arial" w:eastAsia="Arial" w:hAnsi="Arial"/>
                <w:sz w:val="12"/>
                <w:szCs w:val="12"/>
                <w:color w:val="auto"/>
              </w:rPr>
              <w:t>COMMITTEE</w:t>
            </w:r>
          </w:p>
        </w:tc>
        <w:tc>
          <w:tcPr>
            <w:tcW w:w="500" w:type="dxa"/>
            <w:vAlign w:val="bottom"/>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20" w:type="dxa"/>
            <w:vAlign w:val="bottom"/>
          </w:tcPr>
          <w:p>
            <w:pPr>
              <w:spacing w:after="0"/>
              <w:rPr>
                <w:sz w:val="11"/>
                <w:szCs w:val="11"/>
                <w:color w:val="auto"/>
              </w:rPr>
            </w:pPr>
          </w:p>
        </w:tc>
        <w:tc>
          <w:tcPr>
            <w:tcW w:w="92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380" w:type="dxa"/>
            <w:vAlign w:val="bottom"/>
          </w:tcPr>
          <w:p>
            <w:pPr>
              <w:ind w:left="80"/>
              <w:spacing w:after="0"/>
              <w:rPr>
                <w:sz w:val="20"/>
                <w:szCs w:val="20"/>
                <w:color w:val="auto"/>
              </w:rPr>
            </w:pPr>
            <w:r>
              <w:rPr>
                <w:rFonts w:ascii="Arial" w:cs="Arial" w:eastAsia="Arial" w:hAnsi="Arial"/>
                <w:sz w:val="12"/>
                <w:szCs w:val="12"/>
                <w:color w:val="auto"/>
              </w:rPr>
              <w:t>DIRECTORS</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0075C9"/>
              </w:rPr>
              <w:t>COMPENSATION</w:t>
            </w:r>
          </w:p>
        </w:tc>
        <w:tc>
          <w:tcPr>
            <w:tcW w:w="740" w:type="dxa"/>
            <w:vAlign w:val="bottom"/>
          </w:tcPr>
          <w:p>
            <w:pPr>
              <w:spacing w:after="0"/>
              <w:rPr>
                <w:sz w:val="12"/>
                <w:szCs w:val="12"/>
                <w:color w:val="auto"/>
              </w:rPr>
            </w:pPr>
          </w:p>
        </w:tc>
        <w:tc>
          <w:tcPr>
            <w:tcW w:w="1020" w:type="dxa"/>
            <w:vAlign w:val="bottom"/>
          </w:tcPr>
          <w:p>
            <w:pPr>
              <w:ind w:left="60"/>
              <w:spacing w:after="0"/>
              <w:rPr>
                <w:sz w:val="20"/>
                <w:szCs w:val="20"/>
                <w:color w:val="auto"/>
              </w:rPr>
            </w:pPr>
            <w:r>
              <w:rPr>
                <w:rFonts w:ascii="Arial" w:cs="Arial" w:eastAsia="Arial" w:hAnsi="Arial"/>
                <w:sz w:val="12"/>
                <w:szCs w:val="12"/>
                <w:color w:val="auto"/>
              </w:rPr>
              <w:t>MATTERS</w:t>
            </w:r>
          </w:p>
        </w:tc>
        <w:tc>
          <w:tcPr>
            <w:tcW w:w="500" w:type="dxa"/>
            <w:vAlign w:val="bottom"/>
          </w:tcPr>
          <w:p>
            <w:pPr>
              <w:spacing w:after="0"/>
              <w:rPr>
                <w:sz w:val="12"/>
                <w:szCs w:val="12"/>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20" w:type="dxa"/>
            <w:vAlign w:val="bottom"/>
          </w:tcPr>
          <w:p>
            <w:pPr>
              <w:spacing w:after="0"/>
              <w:rPr>
                <w:sz w:val="12"/>
                <w:szCs w:val="12"/>
                <w:color w:val="auto"/>
              </w:rPr>
            </w:pPr>
          </w:p>
        </w:tc>
        <w:tc>
          <w:tcPr>
            <w:tcW w:w="92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Outstanding Equity Awards at June 30, 2021</w:t>
      </w:r>
    </w:p>
    <w:p>
      <w:pPr>
        <w:spacing w:after="0" w:line="12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This table provides information about unvested SAs and PSAs held by the Named Executives on June 30, 2021.</w:t>
      </w:r>
    </w:p>
    <w:p>
      <w:pPr>
        <w:spacing w:after="0" w:line="212" w:lineRule="exact"/>
        <w:rPr>
          <w:sz w:val="20"/>
          <w:szCs w:val="20"/>
          <w:color w:val="auto"/>
        </w:rPr>
      </w:pPr>
    </w:p>
    <w:tbl>
      <w:tblPr>
        <w:tblLayout w:type="fixed"/>
        <w:tblInd w:w="1100" w:type="dxa"/>
        <w:tblCellMar>
          <w:top w:w="0" w:type="dxa"/>
          <w:left w:w="0" w:type="dxa"/>
          <w:bottom w:w="0" w:type="dxa"/>
          <w:right w:w="0" w:type="dxa"/>
        </w:tblCellMar>
      </w:tblPr>
      <w:tr>
        <w:trPr>
          <w:trHeight w:val="197"/>
        </w:trPr>
        <w:tc>
          <w:tcPr>
            <w:tcW w:w="166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2"/>
          </w:tcPr>
          <w:p>
            <w:pPr>
              <w:jc w:val="right"/>
              <w:ind w:right="1469"/>
              <w:spacing w:after="0"/>
              <w:rPr>
                <w:sz w:val="20"/>
                <w:szCs w:val="20"/>
                <w:color w:val="auto"/>
              </w:rPr>
            </w:pPr>
            <w:r>
              <w:rPr>
                <w:rFonts w:ascii="Arial" w:cs="Arial" w:eastAsia="Arial" w:hAnsi="Arial"/>
                <w:sz w:val="16"/>
                <w:szCs w:val="16"/>
                <w:b w:val="1"/>
                <w:bCs w:val="1"/>
                <w:color w:val="auto"/>
              </w:rPr>
              <w:t>Stock Awards</w:t>
            </w:r>
          </w:p>
        </w:tc>
        <w:tc>
          <w:tcPr>
            <w:tcW w:w="1580" w:type="dxa"/>
            <w:vAlign w:val="bottom"/>
            <w:tcBorders>
              <w:bottom w:val="single" w:sz="8" w:color="auto"/>
            </w:tcBorders>
          </w:tcPr>
          <w:p>
            <w:pPr>
              <w:spacing w:after="0"/>
              <w:rPr>
                <w:sz w:val="17"/>
                <w:szCs w:val="17"/>
                <w:color w:val="auto"/>
              </w:rPr>
            </w:pPr>
          </w:p>
        </w:tc>
      </w:tr>
      <w:tr>
        <w:trPr>
          <w:trHeight w:val="158"/>
        </w:trPr>
        <w:tc>
          <w:tcPr>
            <w:tcW w:w="16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580" w:type="dxa"/>
            <w:vAlign w:val="bottom"/>
          </w:tcPr>
          <w:p>
            <w:pPr>
              <w:jc w:val="right"/>
              <w:ind w:right="8"/>
              <w:spacing w:after="0" w:line="158" w:lineRule="exact"/>
              <w:rPr>
                <w:sz w:val="20"/>
                <w:szCs w:val="20"/>
                <w:color w:val="auto"/>
              </w:rPr>
            </w:pPr>
            <w:r>
              <w:rPr>
                <w:rFonts w:ascii="Arial" w:cs="Arial" w:eastAsia="Arial" w:hAnsi="Arial"/>
                <w:sz w:val="16"/>
                <w:szCs w:val="16"/>
                <w:b w:val="1"/>
                <w:bCs w:val="1"/>
                <w:color w:val="auto"/>
              </w:rPr>
              <w:t>Equity Incentive</w:t>
            </w:r>
          </w:p>
        </w:tc>
      </w:tr>
      <w:tr>
        <w:trPr>
          <w:trHeight w:val="181"/>
        </w:trPr>
        <w:tc>
          <w:tcPr>
            <w:tcW w:w="1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60" w:type="dxa"/>
            <w:vAlign w:val="bottom"/>
          </w:tcPr>
          <w:p>
            <w:pPr>
              <w:jc w:val="right"/>
              <w:ind w:right="49"/>
              <w:spacing w:after="0" w:line="181" w:lineRule="exact"/>
              <w:rPr>
                <w:sz w:val="20"/>
                <w:szCs w:val="20"/>
                <w:color w:val="auto"/>
              </w:rPr>
            </w:pPr>
            <w:r>
              <w:rPr>
                <w:rFonts w:ascii="Arial" w:cs="Arial" w:eastAsia="Arial" w:hAnsi="Arial"/>
                <w:sz w:val="16"/>
                <w:szCs w:val="16"/>
                <w:b w:val="1"/>
                <w:bCs w:val="1"/>
                <w:color w:val="auto"/>
              </w:rPr>
              <w:t>Equity Incentive Plan</w:t>
            </w:r>
          </w:p>
        </w:tc>
        <w:tc>
          <w:tcPr>
            <w:tcW w:w="1580" w:type="dxa"/>
            <w:vAlign w:val="bottom"/>
          </w:tcPr>
          <w:p>
            <w:pPr>
              <w:jc w:val="right"/>
              <w:ind w:right="8"/>
              <w:spacing w:after="0" w:line="181" w:lineRule="exact"/>
              <w:rPr>
                <w:sz w:val="20"/>
                <w:szCs w:val="20"/>
                <w:color w:val="auto"/>
              </w:rPr>
            </w:pPr>
            <w:r>
              <w:rPr>
                <w:rFonts w:ascii="Arial" w:cs="Arial" w:eastAsia="Arial" w:hAnsi="Arial"/>
                <w:sz w:val="16"/>
                <w:szCs w:val="16"/>
                <w:b w:val="1"/>
                <w:bCs w:val="1"/>
                <w:color w:val="auto"/>
              </w:rPr>
              <w:t>Plan Awards:</w:t>
            </w:r>
          </w:p>
        </w:tc>
      </w:tr>
      <w:tr>
        <w:trPr>
          <w:trHeight w:val="181"/>
        </w:trPr>
        <w:tc>
          <w:tcPr>
            <w:tcW w:w="1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80" w:type="dxa"/>
            <w:vAlign w:val="bottom"/>
          </w:tcPr>
          <w:p>
            <w:pPr>
              <w:jc w:val="right"/>
              <w:ind w:right="109"/>
              <w:spacing w:after="0" w:line="181" w:lineRule="exact"/>
              <w:rPr>
                <w:sz w:val="20"/>
                <w:szCs w:val="20"/>
                <w:color w:val="auto"/>
              </w:rPr>
            </w:pPr>
            <w:r>
              <w:rPr>
                <w:rFonts w:ascii="Arial" w:cs="Arial" w:eastAsia="Arial" w:hAnsi="Arial"/>
                <w:sz w:val="16"/>
                <w:szCs w:val="16"/>
                <w:b w:val="1"/>
                <w:bCs w:val="1"/>
                <w:color w:val="auto"/>
              </w:rPr>
              <w:t>Number of</w:t>
            </w:r>
          </w:p>
        </w:tc>
        <w:tc>
          <w:tcPr>
            <w:tcW w:w="1360" w:type="dxa"/>
            <w:vAlign w:val="bottom"/>
          </w:tcPr>
          <w:p>
            <w:pPr>
              <w:jc w:val="right"/>
              <w:ind w:right="89"/>
              <w:spacing w:after="0" w:line="181" w:lineRule="exact"/>
              <w:rPr>
                <w:sz w:val="20"/>
                <w:szCs w:val="20"/>
                <w:color w:val="auto"/>
              </w:rPr>
            </w:pPr>
            <w:r>
              <w:rPr>
                <w:rFonts w:ascii="Arial" w:cs="Arial" w:eastAsia="Arial" w:hAnsi="Arial"/>
                <w:sz w:val="16"/>
                <w:szCs w:val="16"/>
                <w:b w:val="1"/>
                <w:bCs w:val="1"/>
                <w:color w:val="auto"/>
              </w:rPr>
              <w:t>Market Value</w:t>
            </w:r>
          </w:p>
        </w:tc>
        <w:tc>
          <w:tcPr>
            <w:tcW w:w="1860" w:type="dxa"/>
            <w:vAlign w:val="bottom"/>
          </w:tcPr>
          <w:p>
            <w:pPr>
              <w:jc w:val="right"/>
              <w:ind w:right="49"/>
              <w:spacing w:after="0" w:line="181" w:lineRule="exact"/>
              <w:rPr>
                <w:sz w:val="20"/>
                <w:szCs w:val="20"/>
                <w:color w:val="auto"/>
              </w:rPr>
            </w:pPr>
            <w:r>
              <w:rPr>
                <w:rFonts w:ascii="Arial" w:cs="Arial" w:eastAsia="Arial" w:hAnsi="Arial"/>
                <w:sz w:val="16"/>
                <w:szCs w:val="16"/>
                <w:b w:val="1"/>
                <w:bCs w:val="1"/>
                <w:color w:val="auto"/>
              </w:rPr>
              <w:t>Awards:</w:t>
            </w:r>
          </w:p>
        </w:tc>
        <w:tc>
          <w:tcPr>
            <w:tcW w:w="1580" w:type="dxa"/>
            <w:vAlign w:val="bottom"/>
          </w:tcPr>
          <w:p>
            <w:pPr>
              <w:jc w:val="right"/>
              <w:ind w:right="8"/>
              <w:spacing w:after="0" w:line="181" w:lineRule="exact"/>
              <w:rPr>
                <w:sz w:val="20"/>
                <w:szCs w:val="20"/>
                <w:color w:val="auto"/>
              </w:rPr>
            </w:pPr>
            <w:r>
              <w:rPr>
                <w:rFonts w:ascii="Arial" w:cs="Arial" w:eastAsia="Arial" w:hAnsi="Arial"/>
                <w:sz w:val="16"/>
                <w:szCs w:val="16"/>
                <w:b w:val="1"/>
                <w:bCs w:val="1"/>
                <w:color w:val="auto"/>
              </w:rPr>
              <w:t>Market or Payout</w:t>
            </w:r>
          </w:p>
        </w:tc>
      </w:tr>
      <w:tr>
        <w:trPr>
          <w:trHeight w:val="181"/>
        </w:trPr>
        <w:tc>
          <w:tcPr>
            <w:tcW w:w="1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80" w:type="dxa"/>
            <w:vAlign w:val="bottom"/>
          </w:tcPr>
          <w:p>
            <w:pPr>
              <w:jc w:val="right"/>
              <w:ind w:right="109"/>
              <w:spacing w:after="0" w:line="181" w:lineRule="exact"/>
              <w:rPr>
                <w:sz w:val="20"/>
                <w:szCs w:val="20"/>
                <w:color w:val="auto"/>
              </w:rPr>
            </w:pPr>
            <w:r>
              <w:rPr>
                <w:rFonts w:ascii="Arial" w:cs="Arial" w:eastAsia="Arial" w:hAnsi="Arial"/>
                <w:sz w:val="16"/>
                <w:szCs w:val="16"/>
                <w:b w:val="1"/>
                <w:bCs w:val="1"/>
                <w:color w:val="auto"/>
              </w:rPr>
              <w:t>Shares or Units</w:t>
            </w:r>
          </w:p>
        </w:tc>
        <w:tc>
          <w:tcPr>
            <w:tcW w:w="1360" w:type="dxa"/>
            <w:vAlign w:val="bottom"/>
          </w:tcPr>
          <w:p>
            <w:pPr>
              <w:jc w:val="right"/>
              <w:ind w:right="89"/>
              <w:spacing w:after="0" w:line="181" w:lineRule="exact"/>
              <w:rPr>
                <w:sz w:val="20"/>
                <w:szCs w:val="20"/>
                <w:color w:val="auto"/>
              </w:rPr>
            </w:pPr>
            <w:r>
              <w:rPr>
                <w:rFonts w:ascii="Arial" w:cs="Arial" w:eastAsia="Arial" w:hAnsi="Arial"/>
                <w:sz w:val="16"/>
                <w:szCs w:val="16"/>
                <w:b w:val="1"/>
                <w:bCs w:val="1"/>
                <w:color w:val="auto"/>
              </w:rPr>
              <w:t>of Shares or</w:t>
            </w:r>
          </w:p>
        </w:tc>
        <w:tc>
          <w:tcPr>
            <w:tcW w:w="1860" w:type="dxa"/>
            <w:vAlign w:val="bottom"/>
          </w:tcPr>
          <w:p>
            <w:pPr>
              <w:jc w:val="right"/>
              <w:ind w:right="49"/>
              <w:spacing w:after="0" w:line="181" w:lineRule="exact"/>
              <w:rPr>
                <w:sz w:val="20"/>
                <w:szCs w:val="20"/>
                <w:color w:val="auto"/>
              </w:rPr>
            </w:pPr>
            <w:r>
              <w:rPr>
                <w:rFonts w:ascii="Arial" w:cs="Arial" w:eastAsia="Arial" w:hAnsi="Arial"/>
                <w:sz w:val="16"/>
                <w:szCs w:val="16"/>
                <w:b w:val="1"/>
                <w:bCs w:val="1"/>
                <w:color w:val="auto"/>
              </w:rPr>
              <w:t>Number of Unearned</w:t>
            </w:r>
          </w:p>
        </w:tc>
        <w:tc>
          <w:tcPr>
            <w:tcW w:w="1580" w:type="dxa"/>
            <w:vAlign w:val="bottom"/>
          </w:tcPr>
          <w:p>
            <w:pPr>
              <w:jc w:val="right"/>
              <w:ind w:right="8"/>
              <w:spacing w:after="0" w:line="181" w:lineRule="exact"/>
              <w:rPr>
                <w:sz w:val="20"/>
                <w:szCs w:val="20"/>
                <w:color w:val="auto"/>
              </w:rPr>
            </w:pPr>
            <w:r>
              <w:rPr>
                <w:rFonts w:ascii="Arial" w:cs="Arial" w:eastAsia="Arial" w:hAnsi="Arial"/>
                <w:sz w:val="16"/>
                <w:szCs w:val="16"/>
                <w:b w:val="1"/>
                <w:bCs w:val="1"/>
                <w:color w:val="auto"/>
              </w:rPr>
              <w:t>Value of Unearned</w:t>
            </w:r>
          </w:p>
        </w:tc>
      </w:tr>
      <w:tr>
        <w:trPr>
          <w:trHeight w:val="181"/>
        </w:trPr>
        <w:tc>
          <w:tcPr>
            <w:tcW w:w="1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80" w:type="dxa"/>
            <w:vAlign w:val="bottom"/>
          </w:tcPr>
          <w:p>
            <w:pPr>
              <w:jc w:val="right"/>
              <w:ind w:right="109"/>
              <w:spacing w:after="0" w:line="181" w:lineRule="exact"/>
              <w:rPr>
                <w:sz w:val="20"/>
                <w:szCs w:val="20"/>
                <w:color w:val="auto"/>
              </w:rPr>
            </w:pPr>
            <w:r>
              <w:rPr>
                <w:rFonts w:ascii="Arial" w:cs="Arial" w:eastAsia="Arial" w:hAnsi="Arial"/>
                <w:sz w:val="16"/>
                <w:szCs w:val="16"/>
                <w:b w:val="1"/>
                <w:bCs w:val="1"/>
                <w:color w:val="auto"/>
              </w:rPr>
              <w:t>of Stock that</w:t>
            </w:r>
          </w:p>
        </w:tc>
        <w:tc>
          <w:tcPr>
            <w:tcW w:w="1360" w:type="dxa"/>
            <w:vAlign w:val="bottom"/>
          </w:tcPr>
          <w:p>
            <w:pPr>
              <w:jc w:val="right"/>
              <w:ind w:right="89"/>
              <w:spacing w:after="0" w:line="181" w:lineRule="exact"/>
              <w:rPr>
                <w:sz w:val="20"/>
                <w:szCs w:val="20"/>
                <w:color w:val="auto"/>
              </w:rPr>
            </w:pPr>
            <w:r>
              <w:rPr>
                <w:rFonts w:ascii="Arial" w:cs="Arial" w:eastAsia="Arial" w:hAnsi="Arial"/>
                <w:sz w:val="16"/>
                <w:szCs w:val="16"/>
                <w:b w:val="1"/>
                <w:bCs w:val="1"/>
                <w:color w:val="auto"/>
              </w:rPr>
              <w:t>Units of Stock</w:t>
            </w:r>
          </w:p>
        </w:tc>
        <w:tc>
          <w:tcPr>
            <w:tcW w:w="1860" w:type="dxa"/>
            <w:vAlign w:val="bottom"/>
          </w:tcPr>
          <w:p>
            <w:pPr>
              <w:jc w:val="right"/>
              <w:ind w:right="49"/>
              <w:spacing w:after="0" w:line="181" w:lineRule="exact"/>
              <w:rPr>
                <w:sz w:val="20"/>
                <w:szCs w:val="20"/>
                <w:color w:val="auto"/>
              </w:rPr>
            </w:pPr>
            <w:r>
              <w:rPr>
                <w:rFonts w:ascii="Arial" w:cs="Arial" w:eastAsia="Arial" w:hAnsi="Arial"/>
                <w:sz w:val="16"/>
                <w:szCs w:val="16"/>
                <w:b w:val="1"/>
                <w:bCs w:val="1"/>
                <w:color w:val="auto"/>
              </w:rPr>
              <w:t>Shares, Units or</w:t>
            </w:r>
          </w:p>
        </w:tc>
        <w:tc>
          <w:tcPr>
            <w:tcW w:w="1580" w:type="dxa"/>
            <w:vAlign w:val="bottom"/>
          </w:tcPr>
          <w:p>
            <w:pPr>
              <w:jc w:val="right"/>
              <w:ind w:right="8"/>
              <w:spacing w:after="0" w:line="181" w:lineRule="exact"/>
              <w:rPr>
                <w:sz w:val="20"/>
                <w:szCs w:val="20"/>
                <w:color w:val="auto"/>
              </w:rPr>
            </w:pPr>
            <w:r>
              <w:rPr>
                <w:rFonts w:ascii="Arial" w:cs="Arial" w:eastAsia="Arial" w:hAnsi="Arial"/>
                <w:sz w:val="16"/>
                <w:szCs w:val="16"/>
                <w:b w:val="1"/>
                <w:bCs w:val="1"/>
                <w:color w:val="auto"/>
              </w:rPr>
              <w:t>Shares, Units, or</w:t>
            </w:r>
          </w:p>
        </w:tc>
      </w:tr>
      <w:tr>
        <w:trPr>
          <w:trHeight w:val="178"/>
        </w:trPr>
        <w:tc>
          <w:tcPr>
            <w:tcW w:w="1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80" w:type="dxa"/>
            <w:vAlign w:val="bottom"/>
          </w:tcPr>
          <w:p>
            <w:pPr>
              <w:jc w:val="right"/>
              <w:ind w:right="109"/>
              <w:spacing w:after="0" w:line="178" w:lineRule="exact"/>
              <w:rPr>
                <w:sz w:val="20"/>
                <w:szCs w:val="20"/>
                <w:color w:val="auto"/>
              </w:rPr>
            </w:pPr>
            <w:r>
              <w:rPr>
                <w:rFonts w:ascii="Arial" w:cs="Arial" w:eastAsia="Arial" w:hAnsi="Arial"/>
                <w:sz w:val="16"/>
                <w:szCs w:val="16"/>
                <w:b w:val="1"/>
                <w:bCs w:val="1"/>
                <w:color w:val="auto"/>
              </w:rPr>
              <w:t>Have Not</w:t>
            </w:r>
          </w:p>
        </w:tc>
        <w:tc>
          <w:tcPr>
            <w:tcW w:w="1360" w:type="dxa"/>
            <w:vAlign w:val="bottom"/>
          </w:tcPr>
          <w:p>
            <w:pPr>
              <w:jc w:val="right"/>
              <w:ind w:right="89"/>
              <w:spacing w:after="0" w:line="178" w:lineRule="exact"/>
              <w:rPr>
                <w:sz w:val="20"/>
                <w:szCs w:val="20"/>
                <w:color w:val="auto"/>
              </w:rPr>
            </w:pPr>
            <w:r>
              <w:rPr>
                <w:rFonts w:ascii="Arial" w:cs="Arial" w:eastAsia="Arial" w:hAnsi="Arial"/>
                <w:sz w:val="16"/>
                <w:szCs w:val="16"/>
                <w:b w:val="1"/>
                <w:bCs w:val="1"/>
                <w:color w:val="auto"/>
              </w:rPr>
              <w:t>that Have</w:t>
            </w:r>
          </w:p>
        </w:tc>
        <w:tc>
          <w:tcPr>
            <w:tcW w:w="1860" w:type="dxa"/>
            <w:vAlign w:val="bottom"/>
          </w:tcPr>
          <w:p>
            <w:pPr>
              <w:jc w:val="right"/>
              <w:ind w:right="49"/>
              <w:spacing w:after="0" w:line="178" w:lineRule="exact"/>
              <w:rPr>
                <w:sz w:val="20"/>
                <w:szCs w:val="20"/>
                <w:color w:val="auto"/>
              </w:rPr>
            </w:pPr>
            <w:r>
              <w:rPr>
                <w:rFonts w:ascii="Arial" w:cs="Arial" w:eastAsia="Arial" w:hAnsi="Arial"/>
                <w:sz w:val="16"/>
                <w:szCs w:val="16"/>
                <w:b w:val="1"/>
                <w:bCs w:val="1"/>
                <w:color w:val="auto"/>
              </w:rPr>
              <w:t>Other Rights That</w:t>
            </w:r>
          </w:p>
        </w:tc>
        <w:tc>
          <w:tcPr>
            <w:tcW w:w="1580" w:type="dxa"/>
            <w:vAlign w:val="bottom"/>
          </w:tcPr>
          <w:p>
            <w:pPr>
              <w:jc w:val="right"/>
              <w:ind w:right="8"/>
              <w:spacing w:after="0" w:line="178" w:lineRule="exact"/>
              <w:rPr>
                <w:sz w:val="20"/>
                <w:szCs w:val="20"/>
                <w:color w:val="auto"/>
              </w:rPr>
            </w:pPr>
            <w:r>
              <w:rPr>
                <w:rFonts w:ascii="Arial" w:cs="Arial" w:eastAsia="Arial" w:hAnsi="Arial"/>
                <w:sz w:val="16"/>
                <w:szCs w:val="16"/>
                <w:b w:val="1"/>
                <w:bCs w:val="1"/>
                <w:color w:val="auto"/>
              </w:rPr>
              <w:t>Other Rights That</w:t>
            </w:r>
          </w:p>
        </w:tc>
      </w:tr>
      <w:tr>
        <w:trPr>
          <w:trHeight w:val="184"/>
        </w:trPr>
        <w:tc>
          <w:tcPr>
            <w:tcW w:w="1660" w:type="dxa"/>
            <w:vAlign w:val="bottom"/>
          </w:tcPr>
          <w:p>
            <w:pPr>
              <w:spacing w:after="0"/>
              <w:rPr>
                <w:sz w:val="16"/>
                <w:szCs w:val="16"/>
                <w:color w:val="auto"/>
              </w:rPr>
            </w:pPr>
          </w:p>
        </w:tc>
        <w:tc>
          <w:tcPr>
            <w:tcW w:w="1100" w:type="dxa"/>
            <w:vAlign w:val="bottom"/>
          </w:tcPr>
          <w:p>
            <w:pPr>
              <w:ind w:left="220"/>
              <w:spacing w:after="0"/>
              <w:rPr>
                <w:sz w:val="20"/>
                <w:szCs w:val="20"/>
                <w:color w:val="auto"/>
              </w:rPr>
            </w:pPr>
            <w:r>
              <w:rPr>
                <w:rFonts w:ascii="Arial" w:cs="Arial" w:eastAsia="Arial" w:hAnsi="Arial"/>
                <w:sz w:val="16"/>
                <w:szCs w:val="16"/>
                <w:b w:val="1"/>
                <w:bCs w:val="1"/>
                <w:color w:val="auto"/>
              </w:rPr>
              <w:t>Award</w:t>
            </w:r>
          </w:p>
        </w:tc>
        <w:tc>
          <w:tcPr>
            <w:tcW w:w="1480" w:type="dxa"/>
            <w:vAlign w:val="bottom"/>
          </w:tcPr>
          <w:p>
            <w:pPr>
              <w:jc w:val="right"/>
              <w:ind w:right="109"/>
              <w:spacing w:after="0" w:line="184" w:lineRule="exact"/>
              <w:rPr>
                <w:sz w:val="20"/>
                <w:szCs w:val="20"/>
                <w:color w:val="auto"/>
              </w:rPr>
            </w:pPr>
            <w:r>
              <w:rPr>
                <w:rFonts w:ascii="Arial" w:cs="Arial" w:eastAsia="Arial" w:hAnsi="Arial"/>
                <w:sz w:val="13"/>
                <w:szCs w:val="13"/>
                <w:b w:val="1"/>
                <w:bCs w:val="1"/>
                <w:color w:val="auto"/>
              </w:rPr>
              <w:t>Vested</w:t>
            </w:r>
            <w:r>
              <w:rPr>
                <w:rFonts w:ascii="Arial" w:cs="Arial" w:eastAsia="Arial" w:hAnsi="Arial"/>
                <w:sz w:val="21"/>
                <w:szCs w:val="21"/>
                <w:b w:val="1"/>
                <w:bCs w:val="1"/>
                <w:color w:val="auto"/>
                <w:vertAlign w:val="superscript"/>
              </w:rPr>
              <w:t>1</w:t>
            </w:r>
          </w:p>
        </w:tc>
        <w:tc>
          <w:tcPr>
            <w:tcW w:w="1360" w:type="dxa"/>
            <w:vAlign w:val="bottom"/>
          </w:tcPr>
          <w:p>
            <w:pPr>
              <w:jc w:val="right"/>
              <w:ind w:right="89"/>
              <w:spacing w:after="0" w:line="184" w:lineRule="exact"/>
              <w:rPr>
                <w:sz w:val="20"/>
                <w:szCs w:val="20"/>
                <w:color w:val="auto"/>
              </w:rPr>
            </w:pPr>
            <w:r>
              <w:rPr>
                <w:rFonts w:ascii="Arial" w:cs="Arial" w:eastAsia="Arial" w:hAnsi="Arial"/>
                <w:sz w:val="13"/>
                <w:szCs w:val="13"/>
                <w:b w:val="1"/>
                <w:bCs w:val="1"/>
                <w:color w:val="auto"/>
              </w:rPr>
              <w:t>Not Vested</w:t>
            </w:r>
            <w:r>
              <w:rPr>
                <w:rFonts w:ascii="Arial" w:cs="Arial" w:eastAsia="Arial" w:hAnsi="Arial"/>
                <w:sz w:val="21"/>
                <w:szCs w:val="21"/>
                <w:b w:val="1"/>
                <w:bCs w:val="1"/>
                <w:color w:val="auto"/>
                <w:vertAlign w:val="superscript"/>
              </w:rPr>
              <w:t>2</w:t>
            </w:r>
          </w:p>
        </w:tc>
        <w:tc>
          <w:tcPr>
            <w:tcW w:w="1860" w:type="dxa"/>
            <w:vAlign w:val="bottom"/>
          </w:tcPr>
          <w:p>
            <w:pPr>
              <w:jc w:val="right"/>
              <w:ind w:right="49"/>
              <w:spacing w:after="0" w:line="184" w:lineRule="exact"/>
              <w:rPr>
                <w:sz w:val="20"/>
                <w:szCs w:val="20"/>
                <w:color w:val="auto"/>
              </w:rPr>
            </w:pPr>
            <w:r>
              <w:rPr>
                <w:rFonts w:ascii="Arial" w:cs="Arial" w:eastAsia="Arial" w:hAnsi="Arial"/>
                <w:sz w:val="13"/>
                <w:szCs w:val="13"/>
                <w:b w:val="1"/>
                <w:bCs w:val="1"/>
                <w:color w:val="auto"/>
              </w:rPr>
              <w:t>Have Not Vested</w:t>
            </w:r>
            <w:r>
              <w:rPr>
                <w:rFonts w:ascii="Arial" w:cs="Arial" w:eastAsia="Arial" w:hAnsi="Arial"/>
                <w:sz w:val="21"/>
                <w:szCs w:val="21"/>
                <w:b w:val="1"/>
                <w:bCs w:val="1"/>
                <w:color w:val="auto"/>
                <w:vertAlign w:val="superscript"/>
              </w:rPr>
              <w:t>1</w:t>
            </w:r>
          </w:p>
        </w:tc>
        <w:tc>
          <w:tcPr>
            <w:tcW w:w="1580" w:type="dxa"/>
            <w:vAlign w:val="bottom"/>
          </w:tcPr>
          <w:p>
            <w:pPr>
              <w:jc w:val="right"/>
              <w:ind w:right="8"/>
              <w:spacing w:after="0" w:line="184" w:lineRule="exact"/>
              <w:rPr>
                <w:sz w:val="20"/>
                <w:szCs w:val="20"/>
                <w:color w:val="auto"/>
              </w:rPr>
            </w:pPr>
            <w:r>
              <w:rPr>
                <w:rFonts w:ascii="Arial" w:cs="Arial" w:eastAsia="Arial" w:hAnsi="Arial"/>
                <w:sz w:val="13"/>
                <w:szCs w:val="13"/>
                <w:b w:val="1"/>
                <w:bCs w:val="1"/>
                <w:color w:val="auto"/>
              </w:rPr>
              <w:t>Have Not Vested</w:t>
            </w:r>
            <w:r>
              <w:rPr>
                <w:rFonts w:ascii="Arial" w:cs="Arial" w:eastAsia="Arial" w:hAnsi="Arial"/>
                <w:sz w:val="21"/>
                <w:szCs w:val="21"/>
                <w:b w:val="1"/>
                <w:bCs w:val="1"/>
                <w:color w:val="auto"/>
                <w:vertAlign w:val="superscript"/>
              </w:rPr>
              <w:t>2</w:t>
            </w:r>
          </w:p>
        </w:tc>
      </w:tr>
      <w:tr>
        <w:trPr>
          <w:trHeight w:val="210"/>
        </w:trPr>
        <w:tc>
          <w:tcPr>
            <w:tcW w:w="166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Named Executive</w:t>
            </w:r>
          </w:p>
        </w:tc>
        <w:tc>
          <w:tcPr>
            <w:tcW w:w="110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Date</w:t>
            </w:r>
          </w:p>
        </w:tc>
        <w:tc>
          <w:tcPr>
            <w:tcW w:w="1480" w:type="dxa"/>
            <w:vAlign w:val="bottom"/>
            <w:tcBorders>
              <w:bottom w:val="single" w:sz="8" w:color="auto"/>
            </w:tcBorders>
          </w:tcPr>
          <w:p>
            <w:pPr>
              <w:jc w:val="right"/>
              <w:ind w:right="10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tcPr>
          <w:p>
            <w:pPr>
              <w:jc w:val="right"/>
              <w:ind w:right="89"/>
              <w:spacing w:after="0"/>
              <w:rPr>
                <w:sz w:val="20"/>
                <w:szCs w:val="20"/>
                <w:color w:val="auto"/>
              </w:rPr>
            </w:pPr>
            <w:r>
              <w:rPr>
                <w:rFonts w:ascii="Arial" w:cs="Arial" w:eastAsia="Arial" w:hAnsi="Arial"/>
                <w:sz w:val="16"/>
                <w:szCs w:val="16"/>
                <w:b w:val="1"/>
                <w:bCs w:val="1"/>
                <w:color w:val="auto"/>
              </w:rPr>
              <w:t>($)</w:t>
            </w:r>
          </w:p>
        </w:tc>
        <w:tc>
          <w:tcPr>
            <w:tcW w:w="1860" w:type="dxa"/>
            <w:vAlign w:val="bottom"/>
            <w:tcBorders>
              <w:bottom w:val="single" w:sz="8" w:color="auto"/>
            </w:tcBorders>
          </w:tcPr>
          <w:p>
            <w:pPr>
              <w:jc w:val="right"/>
              <w:ind w:right="49"/>
              <w:spacing w:after="0"/>
              <w:rPr>
                <w:sz w:val="20"/>
                <w:szCs w:val="20"/>
                <w:color w:val="auto"/>
              </w:rPr>
            </w:pPr>
            <w:r>
              <w:rPr>
                <w:rFonts w:ascii="Arial" w:cs="Arial" w:eastAsia="Arial" w:hAnsi="Arial"/>
                <w:sz w:val="16"/>
                <w:szCs w:val="16"/>
                <w:b w:val="1"/>
                <w:bCs w:val="1"/>
                <w:color w:val="auto"/>
              </w:rPr>
              <w:t>(#)</w:t>
            </w:r>
          </w:p>
        </w:tc>
        <w:tc>
          <w:tcPr>
            <w:tcW w:w="1580" w:type="dxa"/>
            <w:vAlign w:val="bottom"/>
            <w:tcBorders>
              <w:bottom w:val="single" w:sz="8" w:color="auto"/>
            </w:tcBorders>
          </w:tcPr>
          <w:p>
            <w:pPr>
              <w:jc w:val="right"/>
              <w:ind w:right="8"/>
              <w:spacing w:after="0"/>
              <w:rPr>
                <w:sz w:val="20"/>
                <w:szCs w:val="20"/>
                <w:color w:val="auto"/>
              </w:rPr>
            </w:pPr>
            <w:r>
              <w:rPr>
                <w:rFonts w:ascii="Arial" w:cs="Arial" w:eastAsia="Arial" w:hAnsi="Arial"/>
                <w:sz w:val="16"/>
                <w:szCs w:val="16"/>
                <w:b w:val="1"/>
                <w:bCs w:val="1"/>
                <w:color w:val="auto"/>
              </w:rPr>
              <w:t>($)</w:t>
            </w:r>
          </w:p>
        </w:tc>
      </w:tr>
      <w:tr>
        <w:trPr>
          <w:trHeight w:val="226"/>
        </w:trPr>
        <w:tc>
          <w:tcPr>
            <w:tcW w:w="1660" w:type="dxa"/>
            <w:vAlign w:val="bottom"/>
          </w:tcPr>
          <w:p>
            <w:pPr>
              <w:ind w:left="80"/>
              <w:spacing w:after="0"/>
              <w:rPr>
                <w:sz w:val="20"/>
                <w:szCs w:val="20"/>
                <w:color w:val="auto"/>
              </w:rPr>
            </w:pPr>
            <w:r>
              <w:rPr>
                <w:rFonts w:ascii="Arial" w:cs="Arial" w:eastAsia="Arial" w:hAnsi="Arial"/>
                <w:sz w:val="14"/>
                <w:szCs w:val="14"/>
                <w:b w:val="1"/>
                <w:bCs w:val="1"/>
                <w:color w:val="0075C9"/>
              </w:rPr>
              <w:t>Satya Nadella</w:t>
            </w:r>
          </w:p>
        </w:tc>
        <w:tc>
          <w:tcPr>
            <w:tcW w:w="1100" w:type="dxa"/>
            <w:vAlign w:val="bottom"/>
            <w:tcBorders>
              <w:bottom w:val="single" w:sz="8" w:color="595959"/>
            </w:tcBorders>
          </w:tcPr>
          <w:p>
            <w:pPr>
              <w:jc w:val="right"/>
              <w:ind w:right="70"/>
              <w:spacing w:after="0"/>
              <w:rPr>
                <w:sz w:val="20"/>
                <w:szCs w:val="20"/>
                <w:color w:val="auto"/>
              </w:rPr>
            </w:pPr>
            <w:r>
              <w:rPr>
                <w:rFonts w:ascii="Arial" w:cs="Arial" w:eastAsia="Arial" w:hAnsi="Arial"/>
                <w:sz w:val="14"/>
                <w:szCs w:val="14"/>
                <w:color w:val="auto"/>
              </w:rPr>
              <w:t>9/19/2017</w:t>
            </w:r>
          </w:p>
        </w:tc>
        <w:tc>
          <w:tcPr>
            <w:tcW w:w="1480" w:type="dxa"/>
            <w:vAlign w:val="bottom"/>
            <w:tcBorders>
              <w:bottom w:val="single" w:sz="8" w:color="595959"/>
            </w:tcBorders>
          </w:tcPr>
          <w:p>
            <w:pPr>
              <w:jc w:val="right"/>
              <w:ind w:right="109"/>
              <w:spacing w:after="0" w:line="226" w:lineRule="exact"/>
              <w:rPr>
                <w:sz w:val="20"/>
                <w:szCs w:val="20"/>
                <w:color w:val="auto"/>
              </w:rPr>
            </w:pPr>
            <w:r>
              <w:rPr>
                <w:rFonts w:ascii="Arial" w:cs="Arial" w:eastAsia="Arial" w:hAnsi="Arial"/>
                <w:sz w:val="14"/>
                <w:szCs w:val="14"/>
                <w:color w:val="auto"/>
              </w:rPr>
              <w:t>12,539</w:t>
            </w:r>
            <w:r>
              <w:rPr>
                <w:rFonts w:ascii="Arial" w:cs="Arial" w:eastAsia="Arial" w:hAnsi="Arial"/>
                <w:sz w:val="23"/>
                <w:szCs w:val="23"/>
                <w:color w:val="auto"/>
                <w:vertAlign w:val="superscript"/>
              </w:rPr>
              <w:t>3</w:t>
            </w:r>
          </w:p>
        </w:tc>
        <w:tc>
          <w:tcPr>
            <w:tcW w:w="1360" w:type="dxa"/>
            <w:vAlign w:val="bottom"/>
            <w:tcBorders>
              <w:bottom w:val="single" w:sz="8" w:color="595959"/>
            </w:tcBorders>
          </w:tcPr>
          <w:p>
            <w:pPr>
              <w:jc w:val="right"/>
              <w:ind w:right="89"/>
              <w:spacing w:after="0"/>
              <w:rPr>
                <w:sz w:val="20"/>
                <w:szCs w:val="20"/>
                <w:color w:val="auto"/>
              </w:rPr>
            </w:pPr>
            <w:r>
              <w:rPr>
                <w:rFonts w:ascii="Arial" w:cs="Arial" w:eastAsia="Arial" w:hAnsi="Arial"/>
                <w:sz w:val="14"/>
                <w:szCs w:val="14"/>
                <w:color w:val="auto"/>
              </w:rPr>
              <w:t>3,396,815</w:t>
            </w:r>
          </w:p>
        </w:tc>
        <w:tc>
          <w:tcPr>
            <w:tcW w:w="1860" w:type="dxa"/>
            <w:vAlign w:val="bottom"/>
            <w:tcBorders>
              <w:bottom w:val="single" w:sz="8" w:color="595959"/>
            </w:tcBorders>
          </w:tcPr>
          <w:p>
            <w:pPr>
              <w:spacing w:after="0"/>
              <w:rPr>
                <w:sz w:val="19"/>
                <w:szCs w:val="19"/>
                <w:color w:val="auto"/>
              </w:rPr>
            </w:pPr>
          </w:p>
        </w:tc>
        <w:tc>
          <w:tcPr>
            <w:tcW w:w="1580" w:type="dxa"/>
            <w:vAlign w:val="bottom"/>
            <w:tcBorders>
              <w:bottom w:val="single" w:sz="8" w:color="595959"/>
            </w:tcBorders>
          </w:tcPr>
          <w:p>
            <w:pPr>
              <w:spacing w:after="0"/>
              <w:rPr>
                <w:sz w:val="19"/>
                <w:szCs w:val="19"/>
                <w:color w:val="auto"/>
              </w:rPr>
            </w:pPr>
          </w:p>
        </w:tc>
      </w:tr>
      <w:tr>
        <w:trPr>
          <w:trHeight w:val="226"/>
        </w:trPr>
        <w:tc>
          <w:tcPr>
            <w:tcW w:w="1660" w:type="dxa"/>
            <w:vAlign w:val="bottom"/>
          </w:tcPr>
          <w:p>
            <w:pPr>
              <w:spacing w:after="0"/>
              <w:rPr>
                <w:sz w:val="19"/>
                <w:szCs w:val="19"/>
                <w:color w:val="auto"/>
              </w:rPr>
            </w:pPr>
          </w:p>
        </w:tc>
        <w:tc>
          <w:tcPr>
            <w:tcW w:w="1100" w:type="dxa"/>
            <w:vAlign w:val="bottom"/>
            <w:tcBorders>
              <w:bottom w:val="single" w:sz="8" w:color="595959"/>
            </w:tcBorders>
          </w:tcPr>
          <w:p>
            <w:pPr>
              <w:jc w:val="right"/>
              <w:ind w:right="70"/>
              <w:spacing w:after="0"/>
              <w:rPr>
                <w:sz w:val="20"/>
                <w:szCs w:val="20"/>
                <w:color w:val="auto"/>
              </w:rPr>
            </w:pPr>
            <w:r>
              <w:rPr>
                <w:rFonts w:ascii="Arial" w:cs="Arial" w:eastAsia="Arial" w:hAnsi="Arial"/>
                <w:sz w:val="14"/>
                <w:szCs w:val="14"/>
                <w:color w:val="auto"/>
              </w:rPr>
              <w:t>9/18/2018</w:t>
            </w:r>
          </w:p>
        </w:tc>
        <w:tc>
          <w:tcPr>
            <w:tcW w:w="1480" w:type="dxa"/>
            <w:vAlign w:val="bottom"/>
            <w:tcBorders>
              <w:bottom w:val="single" w:sz="8" w:color="595959"/>
            </w:tcBorders>
          </w:tcPr>
          <w:p>
            <w:pPr>
              <w:jc w:val="right"/>
              <w:ind w:right="109"/>
              <w:spacing w:after="0" w:line="226" w:lineRule="exact"/>
              <w:rPr>
                <w:sz w:val="20"/>
                <w:szCs w:val="20"/>
                <w:color w:val="auto"/>
              </w:rPr>
            </w:pPr>
            <w:r>
              <w:rPr>
                <w:rFonts w:ascii="Arial" w:cs="Arial" w:eastAsia="Arial" w:hAnsi="Arial"/>
                <w:sz w:val="14"/>
                <w:szCs w:val="14"/>
                <w:color w:val="auto"/>
              </w:rPr>
              <w:t>41,730</w:t>
            </w:r>
            <w:r>
              <w:rPr>
                <w:rFonts w:ascii="Arial" w:cs="Arial" w:eastAsia="Arial" w:hAnsi="Arial"/>
                <w:sz w:val="23"/>
                <w:szCs w:val="23"/>
                <w:color w:val="auto"/>
                <w:vertAlign w:val="superscript"/>
              </w:rPr>
              <w:t>3</w:t>
            </w:r>
          </w:p>
        </w:tc>
        <w:tc>
          <w:tcPr>
            <w:tcW w:w="1360" w:type="dxa"/>
            <w:vAlign w:val="bottom"/>
            <w:tcBorders>
              <w:bottom w:val="single" w:sz="8" w:color="595959"/>
            </w:tcBorders>
          </w:tcPr>
          <w:p>
            <w:pPr>
              <w:jc w:val="right"/>
              <w:ind w:right="89"/>
              <w:spacing w:after="0"/>
              <w:rPr>
                <w:sz w:val="20"/>
                <w:szCs w:val="20"/>
                <w:color w:val="auto"/>
              </w:rPr>
            </w:pPr>
            <w:r>
              <w:rPr>
                <w:rFonts w:ascii="Arial" w:cs="Arial" w:eastAsia="Arial" w:hAnsi="Arial"/>
                <w:sz w:val="14"/>
                <w:szCs w:val="14"/>
                <w:color w:val="auto"/>
              </w:rPr>
              <w:t>11,304,657</w:t>
            </w:r>
          </w:p>
        </w:tc>
        <w:tc>
          <w:tcPr>
            <w:tcW w:w="1860" w:type="dxa"/>
            <w:vAlign w:val="bottom"/>
            <w:tcBorders>
              <w:bottom w:val="single" w:sz="8" w:color="595959"/>
            </w:tcBorders>
          </w:tcPr>
          <w:p>
            <w:pPr>
              <w:spacing w:after="0"/>
              <w:rPr>
                <w:sz w:val="19"/>
                <w:szCs w:val="19"/>
                <w:color w:val="auto"/>
              </w:rPr>
            </w:pPr>
          </w:p>
        </w:tc>
        <w:tc>
          <w:tcPr>
            <w:tcW w:w="1580" w:type="dxa"/>
            <w:vAlign w:val="bottom"/>
            <w:tcBorders>
              <w:bottom w:val="single" w:sz="8" w:color="595959"/>
            </w:tcBorders>
          </w:tcPr>
          <w:p>
            <w:pPr>
              <w:spacing w:after="0"/>
              <w:rPr>
                <w:sz w:val="19"/>
                <w:szCs w:val="19"/>
                <w:color w:val="auto"/>
              </w:rPr>
            </w:pPr>
          </w:p>
        </w:tc>
      </w:tr>
      <w:tr>
        <w:trPr>
          <w:trHeight w:val="226"/>
        </w:trPr>
        <w:tc>
          <w:tcPr>
            <w:tcW w:w="1660" w:type="dxa"/>
            <w:vAlign w:val="bottom"/>
          </w:tcPr>
          <w:p>
            <w:pPr>
              <w:spacing w:after="0"/>
              <w:rPr>
                <w:sz w:val="19"/>
                <w:szCs w:val="19"/>
                <w:color w:val="auto"/>
              </w:rPr>
            </w:pPr>
          </w:p>
        </w:tc>
        <w:tc>
          <w:tcPr>
            <w:tcW w:w="1100" w:type="dxa"/>
            <w:vAlign w:val="bottom"/>
            <w:tcBorders>
              <w:bottom w:val="single" w:sz="8" w:color="595959"/>
            </w:tcBorders>
          </w:tcPr>
          <w:p>
            <w:pPr>
              <w:jc w:val="right"/>
              <w:ind w:right="70"/>
              <w:spacing w:after="0"/>
              <w:rPr>
                <w:sz w:val="20"/>
                <w:szCs w:val="20"/>
                <w:color w:val="auto"/>
              </w:rPr>
            </w:pPr>
            <w:r>
              <w:rPr>
                <w:rFonts w:ascii="Arial" w:cs="Arial" w:eastAsia="Arial" w:hAnsi="Arial"/>
                <w:sz w:val="14"/>
                <w:szCs w:val="14"/>
                <w:color w:val="auto"/>
              </w:rPr>
              <w:t>9/18/2018</w:t>
            </w:r>
          </w:p>
        </w:tc>
        <w:tc>
          <w:tcPr>
            <w:tcW w:w="1480" w:type="dxa"/>
            <w:vAlign w:val="bottom"/>
            <w:tcBorders>
              <w:bottom w:val="single" w:sz="8" w:color="595959"/>
            </w:tcBorders>
          </w:tcPr>
          <w:p>
            <w:pPr>
              <w:spacing w:after="0"/>
              <w:rPr>
                <w:sz w:val="19"/>
                <w:szCs w:val="19"/>
                <w:color w:val="auto"/>
              </w:rPr>
            </w:pPr>
          </w:p>
        </w:tc>
        <w:tc>
          <w:tcPr>
            <w:tcW w:w="1360" w:type="dxa"/>
            <w:vAlign w:val="bottom"/>
            <w:tcBorders>
              <w:bottom w:val="single" w:sz="8" w:color="595959"/>
            </w:tcBorders>
          </w:tcPr>
          <w:p>
            <w:pPr>
              <w:spacing w:after="0"/>
              <w:rPr>
                <w:sz w:val="19"/>
                <w:szCs w:val="19"/>
                <w:color w:val="auto"/>
              </w:rPr>
            </w:pPr>
          </w:p>
        </w:tc>
        <w:tc>
          <w:tcPr>
            <w:tcW w:w="1860" w:type="dxa"/>
            <w:vAlign w:val="bottom"/>
            <w:tcBorders>
              <w:bottom w:val="single" w:sz="8" w:color="595959"/>
            </w:tcBorders>
          </w:tcPr>
          <w:p>
            <w:pPr>
              <w:jc w:val="right"/>
              <w:ind w:right="49"/>
              <w:spacing w:after="0" w:line="226" w:lineRule="exact"/>
              <w:rPr>
                <w:sz w:val="20"/>
                <w:szCs w:val="20"/>
                <w:color w:val="auto"/>
              </w:rPr>
            </w:pPr>
            <w:r>
              <w:rPr>
                <w:rFonts w:ascii="Arial" w:cs="Arial" w:eastAsia="Arial" w:hAnsi="Arial"/>
                <w:sz w:val="14"/>
                <w:szCs w:val="14"/>
                <w:color w:val="auto"/>
              </w:rPr>
              <w:t>111,280</w:t>
            </w:r>
            <w:r>
              <w:rPr>
                <w:rFonts w:ascii="Arial" w:cs="Arial" w:eastAsia="Arial" w:hAnsi="Arial"/>
                <w:sz w:val="23"/>
                <w:szCs w:val="23"/>
                <w:color w:val="auto"/>
                <w:vertAlign w:val="superscript"/>
              </w:rPr>
              <w:t>4</w:t>
            </w:r>
          </w:p>
        </w:tc>
        <w:tc>
          <w:tcPr>
            <w:tcW w:w="1580" w:type="dxa"/>
            <w:vAlign w:val="bottom"/>
            <w:tcBorders>
              <w:bottom w:val="single" w:sz="8" w:color="595959"/>
            </w:tcBorders>
          </w:tcPr>
          <w:p>
            <w:pPr>
              <w:jc w:val="right"/>
              <w:ind w:right="8"/>
              <w:spacing w:after="0"/>
              <w:rPr>
                <w:sz w:val="20"/>
                <w:szCs w:val="20"/>
                <w:color w:val="auto"/>
              </w:rPr>
            </w:pPr>
            <w:r>
              <w:rPr>
                <w:rFonts w:ascii="Arial" w:cs="Arial" w:eastAsia="Arial" w:hAnsi="Arial"/>
                <w:sz w:val="14"/>
                <w:szCs w:val="14"/>
                <w:color w:val="auto"/>
              </w:rPr>
              <w:t>30,145,752</w:t>
            </w:r>
          </w:p>
        </w:tc>
      </w:tr>
      <w:tr>
        <w:trPr>
          <w:trHeight w:val="226"/>
        </w:trPr>
        <w:tc>
          <w:tcPr>
            <w:tcW w:w="1660" w:type="dxa"/>
            <w:vAlign w:val="bottom"/>
          </w:tcPr>
          <w:p>
            <w:pPr>
              <w:spacing w:after="0"/>
              <w:rPr>
                <w:sz w:val="19"/>
                <w:szCs w:val="19"/>
                <w:color w:val="auto"/>
              </w:rPr>
            </w:pPr>
          </w:p>
        </w:tc>
        <w:tc>
          <w:tcPr>
            <w:tcW w:w="1100" w:type="dxa"/>
            <w:vAlign w:val="bottom"/>
            <w:tcBorders>
              <w:bottom w:val="single" w:sz="8" w:color="595959"/>
            </w:tcBorders>
          </w:tcPr>
          <w:p>
            <w:pPr>
              <w:jc w:val="right"/>
              <w:ind w:right="70"/>
              <w:spacing w:after="0"/>
              <w:rPr>
                <w:sz w:val="20"/>
                <w:szCs w:val="20"/>
                <w:color w:val="auto"/>
              </w:rPr>
            </w:pPr>
            <w:r>
              <w:rPr>
                <w:rFonts w:ascii="Arial" w:cs="Arial" w:eastAsia="Arial" w:hAnsi="Arial"/>
                <w:sz w:val="14"/>
                <w:szCs w:val="14"/>
                <w:color w:val="auto"/>
              </w:rPr>
              <w:t>9/18/2019</w:t>
            </w:r>
          </w:p>
        </w:tc>
        <w:tc>
          <w:tcPr>
            <w:tcW w:w="1480" w:type="dxa"/>
            <w:vAlign w:val="bottom"/>
            <w:tcBorders>
              <w:bottom w:val="single" w:sz="8" w:color="595959"/>
            </w:tcBorders>
          </w:tcPr>
          <w:p>
            <w:pPr>
              <w:jc w:val="right"/>
              <w:ind w:right="109"/>
              <w:spacing w:after="0" w:line="226" w:lineRule="exact"/>
              <w:rPr>
                <w:sz w:val="20"/>
                <w:szCs w:val="20"/>
                <w:color w:val="auto"/>
              </w:rPr>
            </w:pPr>
            <w:r>
              <w:rPr>
                <w:rFonts w:ascii="Arial" w:cs="Arial" w:eastAsia="Arial" w:hAnsi="Arial"/>
                <w:sz w:val="14"/>
                <w:szCs w:val="14"/>
                <w:color w:val="auto"/>
              </w:rPr>
              <w:t>56,670</w:t>
            </w:r>
            <w:r>
              <w:rPr>
                <w:rFonts w:ascii="Arial" w:cs="Arial" w:eastAsia="Arial" w:hAnsi="Arial"/>
                <w:sz w:val="23"/>
                <w:szCs w:val="23"/>
                <w:color w:val="auto"/>
                <w:vertAlign w:val="superscript"/>
              </w:rPr>
              <w:t>3</w:t>
            </w:r>
          </w:p>
        </w:tc>
        <w:tc>
          <w:tcPr>
            <w:tcW w:w="1360" w:type="dxa"/>
            <w:vAlign w:val="bottom"/>
            <w:tcBorders>
              <w:bottom w:val="single" w:sz="8" w:color="595959"/>
            </w:tcBorders>
          </w:tcPr>
          <w:p>
            <w:pPr>
              <w:jc w:val="right"/>
              <w:ind w:right="89"/>
              <w:spacing w:after="0"/>
              <w:rPr>
                <w:sz w:val="20"/>
                <w:szCs w:val="20"/>
                <w:color w:val="auto"/>
              </w:rPr>
            </w:pPr>
            <w:r>
              <w:rPr>
                <w:rFonts w:ascii="Arial" w:cs="Arial" w:eastAsia="Arial" w:hAnsi="Arial"/>
                <w:sz w:val="14"/>
                <w:szCs w:val="14"/>
                <w:color w:val="auto"/>
              </w:rPr>
              <w:t>15,351,903</w:t>
            </w:r>
          </w:p>
        </w:tc>
        <w:tc>
          <w:tcPr>
            <w:tcW w:w="1860" w:type="dxa"/>
            <w:vAlign w:val="bottom"/>
            <w:tcBorders>
              <w:bottom w:val="single" w:sz="8" w:color="595959"/>
            </w:tcBorders>
          </w:tcPr>
          <w:p>
            <w:pPr>
              <w:spacing w:after="0"/>
              <w:rPr>
                <w:sz w:val="19"/>
                <w:szCs w:val="19"/>
                <w:color w:val="auto"/>
              </w:rPr>
            </w:pPr>
          </w:p>
        </w:tc>
        <w:tc>
          <w:tcPr>
            <w:tcW w:w="1580" w:type="dxa"/>
            <w:vAlign w:val="bottom"/>
            <w:tcBorders>
              <w:bottom w:val="single" w:sz="8" w:color="595959"/>
            </w:tcBorders>
          </w:tcPr>
          <w:p>
            <w:pPr>
              <w:spacing w:after="0"/>
              <w:rPr>
                <w:sz w:val="19"/>
                <w:szCs w:val="19"/>
                <w:color w:val="auto"/>
              </w:rPr>
            </w:pPr>
          </w:p>
        </w:tc>
      </w:tr>
      <w:tr>
        <w:trPr>
          <w:trHeight w:val="226"/>
        </w:trPr>
        <w:tc>
          <w:tcPr>
            <w:tcW w:w="1660" w:type="dxa"/>
            <w:vAlign w:val="bottom"/>
          </w:tcPr>
          <w:p>
            <w:pPr>
              <w:spacing w:after="0"/>
              <w:rPr>
                <w:sz w:val="19"/>
                <w:szCs w:val="19"/>
                <w:color w:val="auto"/>
              </w:rPr>
            </w:pPr>
          </w:p>
        </w:tc>
        <w:tc>
          <w:tcPr>
            <w:tcW w:w="1100" w:type="dxa"/>
            <w:vAlign w:val="bottom"/>
            <w:tcBorders>
              <w:bottom w:val="single" w:sz="8" w:color="595959"/>
            </w:tcBorders>
          </w:tcPr>
          <w:p>
            <w:pPr>
              <w:jc w:val="right"/>
              <w:ind w:right="70"/>
              <w:spacing w:after="0"/>
              <w:rPr>
                <w:sz w:val="20"/>
                <w:szCs w:val="20"/>
                <w:color w:val="auto"/>
              </w:rPr>
            </w:pPr>
            <w:r>
              <w:rPr>
                <w:rFonts w:ascii="Arial" w:cs="Arial" w:eastAsia="Arial" w:hAnsi="Arial"/>
                <w:sz w:val="14"/>
                <w:szCs w:val="14"/>
                <w:color w:val="auto"/>
              </w:rPr>
              <w:t>9/18/2019</w:t>
            </w:r>
          </w:p>
        </w:tc>
        <w:tc>
          <w:tcPr>
            <w:tcW w:w="1480" w:type="dxa"/>
            <w:vAlign w:val="bottom"/>
            <w:tcBorders>
              <w:bottom w:val="single" w:sz="8" w:color="595959"/>
            </w:tcBorders>
          </w:tcPr>
          <w:p>
            <w:pPr>
              <w:spacing w:after="0"/>
              <w:rPr>
                <w:sz w:val="19"/>
                <w:szCs w:val="19"/>
                <w:color w:val="auto"/>
              </w:rPr>
            </w:pPr>
          </w:p>
        </w:tc>
        <w:tc>
          <w:tcPr>
            <w:tcW w:w="1360" w:type="dxa"/>
            <w:vAlign w:val="bottom"/>
            <w:tcBorders>
              <w:bottom w:val="single" w:sz="8" w:color="595959"/>
            </w:tcBorders>
          </w:tcPr>
          <w:p>
            <w:pPr>
              <w:spacing w:after="0"/>
              <w:rPr>
                <w:sz w:val="19"/>
                <w:szCs w:val="19"/>
                <w:color w:val="auto"/>
              </w:rPr>
            </w:pPr>
          </w:p>
        </w:tc>
        <w:tc>
          <w:tcPr>
            <w:tcW w:w="1860" w:type="dxa"/>
            <w:vAlign w:val="bottom"/>
            <w:tcBorders>
              <w:bottom w:val="single" w:sz="8" w:color="595959"/>
            </w:tcBorders>
          </w:tcPr>
          <w:p>
            <w:pPr>
              <w:jc w:val="right"/>
              <w:ind w:right="49"/>
              <w:spacing w:after="0" w:line="226" w:lineRule="exact"/>
              <w:rPr>
                <w:sz w:val="20"/>
                <w:szCs w:val="20"/>
                <w:color w:val="auto"/>
              </w:rPr>
            </w:pPr>
            <w:r>
              <w:rPr>
                <w:rFonts w:ascii="Arial" w:cs="Arial" w:eastAsia="Arial" w:hAnsi="Arial"/>
                <w:sz w:val="14"/>
                <w:szCs w:val="14"/>
                <w:color w:val="auto"/>
              </w:rPr>
              <w:t>60,448</w:t>
            </w:r>
            <w:r>
              <w:rPr>
                <w:rFonts w:ascii="Arial" w:cs="Arial" w:eastAsia="Arial" w:hAnsi="Arial"/>
                <w:sz w:val="23"/>
                <w:szCs w:val="23"/>
                <w:color w:val="auto"/>
                <w:vertAlign w:val="superscript"/>
              </w:rPr>
              <w:t>4</w:t>
            </w:r>
          </w:p>
        </w:tc>
        <w:tc>
          <w:tcPr>
            <w:tcW w:w="1580" w:type="dxa"/>
            <w:vAlign w:val="bottom"/>
            <w:tcBorders>
              <w:bottom w:val="single" w:sz="8" w:color="595959"/>
            </w:tcBorders>
          </w:tcPr>
          <w:p>
            <w:pPr>
              <w:jc w:val="right"/>
              <w:ind w:right="8"/>
              <w:spacing w:after="0"/>
              <w:rPr>
                <w:sz w:val="20"/>
                <w:szCs w:val="20"/>
                <w:color w:val="auto"/>
              </w:rPr>
            </w:pPr>
            <w:r>
              <w:rPr>
                <w:rFonts w:ascii="Arial" w:cs="Arial" w:eastAsia="Arial" w:hAnsi="Arial"/>
                <w:sz w:val="14"/>
                <w:szCs w:val="14"/>
                <w:color w:val="auto"/>
              </w:rPr>
              <w:t>16,375,363</w:t>
            </w:r>
          </w:p>
        </w:tc>
      </w:tr>
      <w:tr>
        <w:trPr>
          <w:trHeight w:val="226"/>
        </w:trPr>
        <w:tc>
          <w:tcPr>
            <w:tcW w:w="1660" w:type="dxa"/>
            <w:vAlign w:val="bottom"/>
          </w:tcPr>
          <w:p>
            <w:pPr>
              <w:spacing w:after="0"/>
              <w:rPr>
                <w:sz w:val="19"/>
                <w:szCs w:val="19"/>
                <w:color w:val="auto"/>
              </w:rPr>
            </w:pPr>
          </w:p>
        </w:tc>
        <w:tc>
          <w:tcPr>
            <w:tcW w:w="1100" w:type="dxa"/>
            <w:vAlign w:val="bottom"/>
            <w:tcBorders>
              <w:bottom w:val="single" w:sz="8" w:color="595959"/>
            </w:tcBorders>
          </w:tcPr>
          <w:p>
            <w:pPr>
              <w:jc w:val="right"/>
              <w:ind w:right="70"/>
              <w:spacing w:after="0"/>
              <w:rPr>
                <w:sz w:val="20"/>
                <w:szCs w:val="20"/>
                <w:color w:val="auto"/>
              </w:rPr>
            </w:pPr>
            <w:r>
              <w:rPr>
                <w:rFonts w:ascii="Arial" w:cs="Arial" w:eastAsia="Arial" w:hAnsi="Arial"/>
                <w:sz w:val="14"/>
                <w:szCs w:val="14"/>
                <w:color w:val="auto"/>
              </w:rPr>
              <w:t>9/15/2020</w:t>
            </w:r>
          </w:p>
        </w:tc>
        <w:tc>
          <w:tcPr>
            <w:tcW w:w="1480" w:type="dxa"/>
            <w:vAlign w:val="bottom"/>
            <w:tcBorders>
              <w:bottom w:val="single" w:sz="8" w:color="595959"/>
            </w:tcBorders>
          </w:tcPr>
          <w:p>
            <w:pPr>
              <w:jc w:val="right"/>
              <w:ind w:right="109"/>
              <w:spacing w:after="0" w:line="226" w:lineRule="exact"/>
              <w:rPr>
                <w:sz w:val="20"/>
                <w:szCs w:val="20"/>
                <w:color w:val="auto"/>
              </w:rPr>
            </w:pPr>
            <w:r>
              <w:rPr>
                <w:rFonts w:ascii="Arial" w:cs="Arial" w:eastAsia="Arial" w:hAnsi="Arial"/>
                <w:sz w:val="14"/>
                <w:szCs w:val="14"/>
                <w:color w:val="auto"/>
              </w:rPr>
              <w:t>33,255</w:t>
            </w:r>
            <w:r>
              <w:rPr>
                <w:rFonts w:ascii="Arial" w:cs="Arial" w:eastAsia="Arial" w:hAnsi="Arial"/>
                <w:sz w:val="23"/>
                <w:szCs w:val="23"/>
                <w:color w:val="auto"/>
                <w:vertAlign w:val="superscript"/>
              </w:rPr>
              <w:t>3</w:t>
            </w:r>
          </w:p>
        </w:tc>
        <w:tc>
          <w:tcPr>
            <w:tcW w:w="1360" w:type="dxa"/>
            <w:vAlign w:val="bottom"/>
            <w:tcBorders>
              <w:bottom w:val="single" w:sz="8" w:color="595959"/>
            </w:tcBorders>
          </w:tcPr>
          <w:p>
            <w:pPr>
              <w:jc w:val="right"/>
              <w:ind w:right="89"/>
              <w:spacing w:after="0"/>
              <w:rPr>
                <w:sz w:val="20"/>
                <w:szCs w:val="20"/>
                <w:color w:val="auto"/>
              </w:rPr>
            </w:pPr>
            <w:r>
              <w:rPr>
                <w:rFonts w:ascii="Arial" w:cs="Arial" w:eastAsia="Arial" w:hAnsi="Arial"/>
                <w:sz w:val="14"/>
                <w:szCs w:val="14"/>
                <w:color w:val="auto"/>
              </w:rPr>
              <w:t>9,008,780</w:t>
            </w:r>
          </w:p>
        </w:tc>
        <w:tc>
          <w:tcPr>
            <w:tcW w:w="1860" w:type="dxa"/>
            <w:vAlign w:val="bottom"/>
            <w:tcBorders>
              <w:bottom w:val="single" w:sz="8" w:color="595959"/>
            </w:tcBorders>
          </w:tcPr>
          <w:p>
            <w:pPr>
              <w:spacing w:after="0"/>
              <w:rPr>
                <w:sz w:val="19"/>
                <w:szCs w:val="19"/>
                <w:color w:val="auto"/>
              </w:rPr>
            </w:pPr>
          </w:p>
        </w:tc>
        <w:tc>
          <w:tcPr>
            <w:tcW w:w="1580" w:type="dxa"/>
            <w:vAlign w:val="bottom"/>
            <w:tcBorders>
              <w:bottom w:val="single" w:sz="8" w:color="595959"/>
            </w:tcBorders>
          </w:tcPr>
          <w:p>
            <w:pPr>
              <w:spacing w:after="0"/>
              <w:rPr>
                <w:sz w:val="19"/>
                <w:szCs w:val="19"/>
                <w:color w:val="auto"/>
              </w:rPr>
            </w:pPr>
          </w:p>
        </w:tc>
      </w:tr>
      <w:tr>
        <w:trPr>
          <w:trHeight w:val="226"/>
        </w:trPr>
        <w:tc>
          <w:tcPr>
            <w:tcW w:w="1660" w:type="dxa"/>
            <w:vAlign w:val="bottom"/>
            <w:tcBorders>
              <w:bottom w:val="single" w:sz="8" w:color="0075C9"/>
            </w:tcBorders>
          </w:tcPr>
          <w:p>
            <w:pPr>
              <w:spacing w:after="0"/>
              <w:rPr>
                <w:sz w:val="19"/>
                <w:szCs w:val="19"/>
                <w:color w:val="auto"/>
              </w:rPr>
            </w:pPr>
          </w:p>
        </w:tc>
        <w:tc>
          <w:tcPr>
            <w:tcW w:w="1100" w:type="dxa"/>
            <w:vAlign w:val="bottom"/>
            <w:tcBorders>
              <w:bottom w:val="single" w:sz="8" w:color="0075C9"/>
            </w:tcBorders>
          </w:tcPr>
          <w:p>
            <w:pPr>
              <w:jc w:val="right"/>
              <w:ind w:right="70"/>
              <w:spacing w:after="0"/>
              <w:rPr>
                <w:sz w:val="20"/>
                <w:szCs w:val="20"/>
                <w:color w:val="auto"/>
              </w:rPr>
            </w:pPr>
            <w:r>
              <w:rPr>
                <w:rFonts w:ascii="Arial" w:cs="Arial" w:eastAsia="Arial" w:hAnsi="Arial"/>
                <w:sz w:val="14"/>
                <w:szCs w:val="14"/>
                <w:color w:val="auto"/>
              </w:rPr>
              <w:t>9/15/2020</w:t>
            </w:r>
          </w:p>
        </w:tc>
        <w:tc>
          <w:tcPr>
            <w:tcW w:w="1480" w:type="dxa"/>
            <w:vAlign w:val="bottom"/>
            <w:tcBorders>
              <w:bottom w:val="single" w:sz="8" w:color="0075C9"/>
            </w:tcBorders>
          </w:tcPr>
          <w:p>
            <w:pPr>
              <w:spacing w:after="0"/>
              <w:rPr>
                <w:sz w:val="19"/>
                <w:szCs w:val="19"/>
                <w:color w:val="auto"/>
              </w:rPr>
            </w:pPr>
          </w:p>
        </w:tc>
        <w:tc>
          <w:tcPr>
            <w:tcW w:w="1360" w:type="dxa"/>
            <w:vAlign w:val="bottom"/>
            <w:tcBorders>
              <w:bottom w:val="single" w:sz="8" w:color="0075C9"/>
            </w:tcBorders>
          </w:tcPr>
          <w:p>
            <w:pPr>
              <w:spacing w:after="0"/>
              <w:rPr>
                <w:sz w:val="19"/>
                <w:szCs w:val="19"/>
                <w:color w:val="auto"/>
              </w:rPr>
            </w:pPr>
          </w:p>
        </w:tc>
        <w:tc>
          <w:tcPr>
            <w:tcW w:w="1860" w:type="dxa"/>
            <w:vAlign w:val="bottom"/>
            <w:tcBorders>
              <w:bottom w:val="single" w:sz="8" w:color="0075C9"/>
            </w:tcBorders>
          </w:tcPr>
          <w:p>
            <w:pPr>
              <w:jc w:val="right"/>
              <w:ind w:right="49"/>
              <w:spacing w:after="0" w:line="226" w:lineRule="exact"/>
              <w:rPr>
                <w:sz w:val="20"/>
                <w:szCs w:val="20"/>
                <w:color w:val="auto"/>
              </w:rPr>
            </w:pPr>
            <w:r>
              <w:rPr>
                <w:rFonts w:ascii="Arial" w:cs="Arial" w:eastAsia="Arial" w:hAnsi="Arial"/>
                <w:sz w:val="14"/>
                <w:szCs w:val="14"/>
                <w:color w:val="auto"/>
              </w:rPr>
              <w:t>25,865</w:t>
            </w:r>
            <w:r>
              <w:rPr>
                <w:rFonts w:ascii="Arial" w:cs="Arial" w:eastAsia="Arial" w:hAnsi="Arial"/>
                <w:sz w:val="23"/>
                <w:szCs w:val="23"/>
                <w:color w:val="auto"/>
                <w:vertAlign w:val="superscript"/>
              </w:rPr>
              <w:t>4</w:t>
            </w:r>
          </w:p>
        </w:tc>
        <w:tc>
          <w:tcPr>
            <w:tcW w:w="1580" w:type="dxa"/>
            <w:vAlign w:val="bottom"/>
            <w:tcBorders>
              <w:bottom w:val="single" w:sz="8" w:color="0075C9"/>
            </w:tcBorders>
          </w:tcPr>
          <w:p>
            <w:pPr>
              <w:jc w:val="right"/>
              <w:ind w:right="8"/>
              <w:spacing w:after="0"/>
              <w:rPr>
                <w:sz w:val="20"/>
                <w:szCs w:val="20"/>
                <w:color w:val="auto"/>
              </w:rPr>
            </w:pPr>
            <w:r>
              <w:rPr>
                <w:rFonts w:ascii="Arial" w:cs="Arial" w:eastAsia="Arial" w:hAnsi="Arial"/>
                <w:sz w:val="14"/>
                <w:szCs w:val="14"/>
                <w:color w:val="auto"/>
              </w:rPr>
              <w:t>7,006,829</w:t>
            </w:r>
          </w:p>
        </w:tc>
      </w:tr>
      <w:tr>
        <w:trPr>
          <w:trHeight w:val="226"/>
        </w:trPr>
        <w:tc>
          <w:tcPr>
            <w:tcW w:w="1660" w:type="dxa"/>
            <w:vAlign w:val="bottom"/>
          </w:tcPr>
          <w:p>
            <w:pPr>
              <w:ind w:left="80"/>
              <w:spacing w:after="0"/>
              <w:rPr>
                <w:sz w:val="20"/>
                <w:szCs w:val="20"/>
                <w:color w:val="auto"/>
              </w:rPr>
            </w:pPr>
            <w:r>
              <w:rPr>
                <w:rFonts w:ascii="Arial" w:cs="Arial" w:eastAsia="Arial" w:hAnsi="Arial"/>
                <w:sz w:val="14"/>
                <w:szCs w:val="14"/>
                <w:b w:val="1"/>
                <w:bCs w:val="1"/>
                <w:color w:val="0075C9"/>
              </w:rPr>
              <w:t>Amy E. Hood</w:t>
            </w:r>
          </w:p>
        </w:tc>
        <w:tc>
          <w:tcPr>
            <w:tcW w:w="1100" w:type="dxa"/>
            <w:vAlign w:val="bottom"/>
            <w:tcBorders>
              <w:bottom w:val="single" w:sz="8" w:color="595959"/>
            </w:tcBorders>
          </w:tcPr>
          <w:p>
            <w:pPr>
              <w:jc w:val="right"/>
              <w:ind w:right="70"/>
              <w:spacing w:after="0"/>
              <w:rPr>
                <w:sz w:val="20"/>
                <w:szCs w:val="20"/>
                <w:color w:val="auto"/>
              </w:rPr>
            </w:pPr>
            <w:r>
              <w:rPr>
                <w:rFonts w:ascii="Arial" w:cs="Arial" w:eastAsia="Arial" w:hAnsi="Arial"/>
                <w:sz w:val="14"/>
                <w:szCs w:val="14"/>
                <w:color w:val="auto"/>
              </w:rPr>
              <w:t>9/18/2017</w:t>
            </w:r>
          </w:p>
        </w:tc>
        <w:tc>
          <w:tcPr>
            <w:tcW w:w="1480" w:type="dxa"/>
            <w:vAlign w:val="bottom"/>
            <w:tcBorders>
              <w:bottom w:val="single" w:sz="8" w:color="595959"/>
            </w:tcBorders>
          </w:tcPr>
          <w:p>
            <w:pPr>
              <w:jc w:val="right"/>
              <w:ind w:right="109"/>
              <w:spacing w:after="0" w:line="226" w:lineRule="exact"/>
              <w:rPr>
                <w:sz w:val="20"/>
                <w:szCs w:val="20"/>
                <w:color w:val="auto"/>
              </w:rPr>
            </w:pPr>
            <w:r>
              <w:rPr>
                <w:rFonts w:ascii="Arial" w:cs="Arial" w:eastAsia="Arial" w:hAnsi="Arial"/>
                <w:sz w:val="14"/>
                <w:szCs w:val="14"/>
                <w:color w:val="auto"/>
              </w:rPr>
              <w:t>7,774</w:t>
            </w:r>
            <w:r>
              <w:rPr>
                <w:rFonts w:ascii="Arial" w:cs="Arial" w:eastAsia="Arial" w:hAnsi="Arial"/>
                <w:sz w:val="23"/>
                <w:szCs w:val="23"/>
                <w:color w:val="auto"/>
                <w:vertAlign w:val="superscript"/>
              </w:rPr>
              <w:t>3</w:t>
            </w:r>
          </w:p>
        </w:tc>
        <w:tc>
          <w:tcPr>
            <w:tcW w:w="1360" w:type="dxa"/>
            <w:vAlign w:val="bottom"/>
            <w:tcBorders>
              <w:bottom w:val="single" w:sz="8" w:color="595959"/>
            </w:tcBorders>
          </w:tcPr>
          <w:p>
            <w:pPr>
              <w:jc w:val="right"/>
              <w:ind w:right="89"/>
              <w:spacing w:after="0"/>
              <w:rPr>
                <w:sz w:val="20"/>
                <w:szCs w:val="20"/>
                <w:color w:val="auto"/>
              </w:rPr>
            </w:pPr>
            <w:r>
              <w:rPr>
                <w:rFonts w:ascii="Arial" w:cs="Arial" w:eastAsia="Arial" w:hAnsi="Arial"/>
                <w:sz w:val="14"/>
                <w:szCs w:val="14"/>
                <w:color w:val="auto"/>
              </w:rPr>
              <w:t>2,105,977</w:t>
            </w:r>
          </w:p>
        </w:tc>
        <w:tc>
          <w:tcPr>
            <w:tcW w:w="1860" w:type="dxa"/>
            <w:vAlign w:val="bottom"/>
            <w:tcBorders>
              <w:bottom w:val="single" w:sz="8" w:color="595959"/>
            </w:tcBorders>
          </w:tcPr>
          <w:p>
            <w:pPr>
              <w:spacing w:after="0"/>
              <w:rPr>
                <w:sz w:val="19"/>
                <w:szCs w:val="19"/>
                <w:color w:val="auto"/>
              </w:rPr>
            </w:pPr>
          </w:p>
        </w:tc>
        <w:tc>
          <w:tcPr>
            <w:tcW w:w="1580" w:type="dxa"/>
            <w:vAlign w:val="bottom"/>
            <w:tcBorders>
              <w:bottom w:val="single" w:sz="8" w:color="595959"/>
            </w:tcBorders>
          </w:tcPr>
          <w:p>
            <w:pPr>
              <w:spacing w:after="0"/>
              <w:rPr>
                <w:sz w:val="19"/>
                <w:szCs w:val="19"/>
                <w:color w:val="auto"/>
              </w:rPr>
            </w:pPr>
          </w:p>
        </w:tc>
      </w:tr>
      <w:tr>
        <w:trPr>
          <w:trHeight w:val="226"/>
        </w:trPr>
        <w:tc>
          <w:tcPr>
            <w:tcW w:w="1660" w:type="dxa"/>
            <w:vAlign w:val="bottom"/>
          </w:tcPr>
          <w:p>
            <w:pPr>
              <w:spacing w:after="0"/>
              <w:rPr>
                <w:sz w:val="19"/>
                <w:szCs w:val="19"/>
                <w:color w:val="auto"/>
              </w:rPr>
            </w:pPr>
          </w:p>
        </w:tc>
        <w:tc>
          <w:tcPr>
            <w:tcW w:w="1100" w:type="dxa"/>
            <w:vAlign w:val="bottom"/>
            <w:tcBorders>
              <w:bottom w:val="single" w:sz="8" w:color="595959"/>
            </w:tcBorders>
          </w:tcPr>
          <w:p>
            <w:pPr>
              <w:jc w:val="right"/>
              <w:ind w:right="70"/>
              <w:spacing w:after="0"/>
              <w:rPr>
                <w:sz w:val="20"/>
                <w:szCs w:val="20"/>
                <w:color w:val="auto"/>
              </w:rPr>
            </w:pPr>
            <w:r>
              <w:rPr>
                <w:rFonts w:ascii="Arial" w:cs="Arial" w:eastAsia="Arial" w:hAnsi="Arial"/>
                <w:sz w:val="14"/>
                <w:szCs w:val="14"/>
                <w:color w:val="auto"/>
              </w:rPr>
              <w:t>9/17/2018</w:t>
            </w:r>
          </w:p>
        </w:tc>
        <w:tc>
          <w:tcPr>
            <w:tcW w:w="1480" w:type="dxa"/>
            <w:vAlign w:val="bottom"/>
            <w:tcBorders>
              <w:bottom w:val="single" w:sz="8" w:color="595959"/>
            </w:tcBorders>
          </w:tcPr>
          <w:p>
            <w:pPr>
              <w:jc w:val="right"/>
              <w:ind w:right="109"/>
              <w:spacing w:after="0" w:line="226" w:lineRule="exact"/>
              <w:rPr>
                <w:sz w:val="20"/>
                <w:szCs w:val="20"/>
                <w:color w:val="auto"/>
              </w:rPr>
            </w:pPr>
            <w:r>
              <w:rPr>
                <w:rFonts w:ascii="Arial" w:cs="Arial" w:eastAsia="Arial" w:hAnsi="Arial"/>
                <w:sz w:val="14"/>
                <w:szCs w:val="14"/>
                <w:color w:val="auto"/>
              </w:rPr>
              <w:t>18,696</w:t>
            </w:r>
            <w:r>
              <w:rPr>
                <w:rFonts w:ascii="Arial" w:cs="Arial" w:eastAsia="Arial" w:hAnsi="Arial"/>
                <w:sz w:val="23"/>
                <w:szCs w:val="23"/>
                <w:color w:val="auto"/>
                <w:vertAlign w:val="superscript"/>
              </w:rPr>
              <w:t>3</w:t>
            </w:r>
          </w:p>
        </w:tc>
        <w:tc>
          <w:tcPr>
            <w:tcW w:w="1360" w:type="dxa"/>
            <w:vAlign w:val="bottom"/>
            <w:tcBorders>
              <w:bottom w:val="single" w:sz="8" w:color="595959"/>
            </w:tcBorders>
          </w:tcPr>
          <w:p>
            <w:pPr>
              <w:jc w:val="right"/>
              <w:ind w:right="89"/>
              <w:spacing w:after="0"/>
              <w:rPr>
                <w:sz w:val="20"/>
                <w:szCs w:val="20"/>
                <w:color w:val="auto"/>
              </w:rPr>
            </w:pPr>
            <w:r>
              <w:rPr>
                <w:rFonts w:ascii="Arial" w:cs="Arial" w:eastAsia="Arial" w:hAnsi="Arial"/>
                <w:sz w:val="14"/>
                <w:szCs w:val="14"/>
                <w:color w:val="auto"/>
              </w:rPr>
              <w:t>5,064,746</w:t>
            </w:r>
          </w:p>
        </w:tc>
        <w:tc>
          <w:tcPr>
            <w:tcW w:w="1860" w:type="dxa"/>
            <w:vAlign w:val="bottom"/>
            <w:tcBorders>
              <w:bottom w:val="single" w:sz="8" w:color="595959"/>
            </w:tcBorders>
          </w:tcPr>
          <w:p>
            <w:pPr>
              <w:spacing w:after="0"/>
              <w:rPr>
                <w:sz w:val="19"/>
                <w:szCs w:val="19"/>
                <w:color w:val="auto"/>
              </w:rPr>
            </w:pPr>
          </w:p>
        </w:tc>
        <w:tc>
          <w:tcPr>
            <w:tcW w:w="1580" w:type="dxa"/>
            <w:vAlign w:val="bottom"/>
            <w:tcBorders>
              <w:bottom w:val="single" w:sz="8" w:color="595959"/>
            </w:tcBorders>
          </w:tcPr>
          <w:p>
            <w:pPr>
              <w:spacing w:after="0"/>
              <w:rPr>
                <w:sz w:val="19"/>
                <w:szCs w:val="19"/>
                <w:color w:val="auto"/>
              </w:rPr>
            </w:pPr>
          </w:p>
        </w:tc>
      </w:tr>
      <w:tr>
        <w:trPr>
          <w:trHeight w:val="226"/>
        </w:trPr>
        <w:tc>
          <w:tcPr>
            <w:tcW w:w="1660" w:type="dxa"/>
            <w:vAlign w:val="bottom"/>
          </w:tcPr>
          <w:p>
            <w:pPr>
              <w:spacing w:after="0"/>
              <w:rPr>
                <w:sz w:val="19"/>
                <w:szCs w:val="19"/>
                <w:color w:val="auto"/>
              </w:rPr>
            </w:pPr>
          </w:p>
        </w:tc>
        <w:tc>
          <w:tcPr>
            <w:tcW w:w="1100" w:type="dxa"/>
            <w:vAlign w:val="bottom"/>
            <w:tcBorders>
              <w:bottom w:val="single" w:sz="8" w:color="595959"/>
            </w:tcBorders>
          </w:tcPr>
          <w:p>
            <w:pPr>
              <w:jc w:val="right"/>
              <w:ind w:right="70"/>
              <w:spacing w:after="0"/>
              <w:rPr>
                <w:sz w:val="20"/>
                <w:szCs w:val="20"/>
                <w:color w:val="auto"/>
              </w:rPr>
            </w:pPr>
            <w:r>
              <w:rPr>
                <w:rFonts w:ascii="Arial" w:cs="Arial" w:eastAsia="Arial" w:hAnsi="Arial"/>
                <w:sz w:val="14"/>
                <w:szCs w:val="14"/>
                <w:color w:val="auto"/>
              </w:rPr>
              <w:t>9/17/2018</w:t>
            </w:r>
          </w:p>
        </w:tc>
        <w:tc>
          <w:tcPr>
            <w:tcW w:w="1480" w:type="dxa"/>
            <w:vAlign w:val="bottom"/>
            <w:tcBorders>
              <w:bottom w:val="single" w:sz="8" w:color="595959"/>
            </w:tcBorders>
          </w:tcPr>
          <w:p>
            <w:pPr>
              <w:spacing w:after="0"/>
              <w:rPr>
                <w:sz w:val="19"/>
                <w:szCs w:val="19"/>
                <w:color w:val="auto"/>
              </w:rPr>
            </w:pPr>
          </w:p>
        </w:tc>
        <w:tc>
          <w:tcPr>
            <w:tcW w:w="1360" w:type="dxa"/>
            <w:vAlign w:val="bottom"/>
            <w:tcBorders>
              <w:bottom w:val="single" w:sz="8" w:color="595959"/>
            </w:tcBorders>
          </w:tcPr>
          <w:p>
            <w:pPr>
              <w:spacing w:after="0"/>
              <w:rPr>
                <w:sz w:val="19"/>
                <w:szCs w:val="19"/>
                <w:color w:val="auto"/>
              </w:rPr>
            </w:pPr>
          </w:p>
        </w:tc>
        <w:tc>
          <w:tcPr>
            <w:tcW w:w="1860" w:type="dxa"/>
            <w:vAlign w:val="bottom"/>
            <w:tcBorders>
              <w:bottom w:val="single" w:sz="8" w:color="595959"/>
            </w:tcBorders>
          </w:tcPr>
          <w:p>
            <w:pPr>
              <w:jc w:val="right"/>
              <w:ind w:right="49"/>
              <w:spacing w:after="0" w:line="226" w:lineRule="exact"/>
              <w:rPr>
                <w:sz w:val="20"/>
                <w:szCs w:val="20"/>
                <w:color w:val="auto"/>
              </w:rPr>
            </w:pPr>
            <w:r>
              <w:rPr>
                <w:rFonts w:ascii="Arial" w:cs="Arial" w:eastAsia="Arial" w:hAnsi="Arial"/>
                <w:sz w:val="14"/>
                <w:szCs w:val="14"/>
                <w:color w:val="auto"/>
              </w:rPr>
              <w:t>49,854</w:t>
            </w:r>
            <w:r>
              <w:rPr>
                <w:rFonts w:ascii="Arial" w:cs="Arial" w:eastAsia="Arial" w:hAnsi="Arial"/>
                <w:sz w:val="23"/>
                <w:szCs w:val="23"/>
                <w:color w:val="auto"/>
                <w:vertAlign w:val="superscript"/>
              </w:rPr>
              <w:t>4</w:t>
            </w:r>
          </w:p>
        </w:tc>
        <w:tc>
          <w:tcPr>
            <w:tcW w:w="1580" w:type="dxa"/>
            <w:vAlign w:val="bottom"/>
            <w:tcBorders>
              <w:bottom w:val="single" w:sz="8" w:color="595959"/>
            </w:tcBorders>
          </w:tcPr>
          <w:p>
            <w:pPr>
              <w:jc w:val="right"/>
              <w:ind w:right="8"/>
              <w:spacing w:after="0"/>
              <w:rPr>
                <w:sz w:val="20"/>
                <w:szCs w:val="20"/>
                <w:color w:val="auto"/>
              </w:rPr>
            </w:pPr>
            <w:r>
              <w:rPr>
                <w:rFonts w:ascii="Arial" w:cs="Arial" w:eastAsia="Arial" w:hAnsi="Arial"/>
                <w:sz w:val="14"/>
                <w:szCs w:val="14"/>
                <w:color w:val="auto"/>
              </w:rPr>
              <w:t>13,505,449</w:t>
            </w:r>
          </w:p>
        </w:tc>
      </w:tr>
      <w:tr>
        <w:trPr>
          <w:trHeight w:val="226"/>
        </w:trPr>
        <w:tc>
          <w:tcPr>
            <w:tcW w:w="1660" w:type="dxa"/>
            <w:vAlign w:val="bottom"/>
          </w:tcPr>
          <w:p>
            <w:pPr>
              <w:spacing w:after="0"/>
              <w:rPr>
                <w:sz w:val="19"/>
                <w:szCs w:val="19"/>
                <w:color w:val="auto"/>
              </w:rPr>
            </w:pPr>
          </w:p>
        </w:tc>
        <w:tc>
          <w:tcPr>
            <w:tcW w:w="1100" w:type="dxa"/>
            <w:vAlign w:val="bottom"/>
            <w:tcBorders>
              <w:bottom w:val="single" w:sz="8" w:color="595959"/>
            </w:tcBorders>
          </w:tcPr>
          <w:p>
            <w:pPr>
              <w:jc w:val="right"/>
              <w:ind w:right="70"/>
              <w:spacing w:after="0"/>
              <w:rPr>
                <w:sz w:val="20"/>
                <w:szCs w:val="20"/>
                <w:color w:val="auto"/>
              </w:rPr>
            </w:pPr>
            <w:r>
              <w:rPr>
                <w:rFonts w:ascii="Arial" w:cs="Arial" w:eastAsia="Arial" w:hAnsi="Arial"/>
                <w:sz w:val="14"/>
                <w:szCs w:val="14"/>
                <w:color w:val="auto"/>
              </w:rPr>
              <w:t>9/3/2019</w:t>
            </w:r>
          </w:p>
        </w:tc>
        <w:tc>
          <w:tcPr>
            <w:tcW w:w="1480" w:type="dxa"/>
            <w:vAlign w:val="bottom"/>
            <w:tcBorders>
              <w:bottom w:val="single" w:sz="8" w:color="595959"/>
            </w:tcBorders>
          </w:tcPr>
          <w:p>
            <w:pPr>
              <w:spacing w:after="0"/>
              <w:rPr>
                <w:sz w:val="19"/>
                <w:szCs w:val="19"/>
                <w:color w:val="auto"/>
              </w:rPr>
            </w:pPr>
          </w:p>
        </w:tc>
        <w:tc>
          <w:tcPr>
            <w:tcW w:w="1360" w:type="dxa"/>
            <w:vAlign w:val="bottom"/>
            <w:tcBorders>
              <w:bottom w:val="single" w:sz="8" w:color="595959"/>
            </w:tcBorders>
          </w:tcPr>
          <w:p>
            <w:pPr>
              <w:spacing w:after="0"/>
              <w:rPr>
                <w:sz w:val="19"/>
                <w:szCs w:val="19"/>
                <w:color w:val="auto"/>
              </w:rPr>
            </w:pPr>
          </w:p>
        </w:tc>
        <w:tc>
          <w:tcPr>
            <w:tcW w:w="1860" w:type="dxa"/>
            <w:vAlign w:val="bottom"/>
            <w:tcBorders>
              <w:bottom w:val="single" w:sz="8" w:color="595959"/>
            </w:tcBorders>
          </w:tcPr>
          <w:p>
            <w:pPr>
              <w:jc w:val="right"/>
              <w:ind w:right="49"/>
              <w:spacing w:after="0" w:line="226" w:lineRule="exact"/>
              <w:rPr>
                <w:sz w:val="20"/>
                <w:szCs w:val="20"/>
                <w:color w:val="auto"/>
              </w:rPr>
            </w:pPr>
            <w:r>
              <w:rPr>
                <w:rFonts w:ascii="Arial" w:cs="Arial" w:eastAsia="Arial" w:hAnsi="Arial"/>
                <w:sz w:val="14"/>
                <w:szCs w:val="14"/>
                <w:color w:val="auto"/>
              </w:rPr>
              <w:t>27,080</w:t>
            </w:r>
            <w:r>
              <w:rPr>
                <w:rFonts w:ascii="Arial" w:cs="Arial" w:eastAsia="Arial" w:hAnsi="Arial"/>
                <w:sz w:val="23"/>
                <w:szCs w:val="23"/>
                <w:color w:val="auto"/>
                <w:vertAlign w:val="superscript"/>
              </w:rPr>
              <w:t>4</w:t>
            </w:r>
          </w:p>
        </w:tc>
        <w:tc>
          <w:tcPr>
            <w:tcW w:w="1580" w:type="dxa"/>
            <w:vAlign w:val="bottom"/>
            <w:tcBorders>
              <w:bottom w:val="single" w:sz="8" w:color="595959"/>
            </w:tcBorders>
          </w:tcPr>
          <w:p>
            <w:pPr>
              <w:jc w:val="right"/>
              <w:ind w:right="8"/>
              <w:spacing w:after="0"/>
              <w:rPr>
                <w:sz w:val="20"/>
                <w:szCs w:val="20"/>
                <w:color w:val="auto"/>
              </w:rPr>
            </w:pPr>
            <w:r>
              <w:rPr>
                <w:rFonts w:ascii="Arial" w:cs="Arial" w:eastAsia="Arial" w:hAnsi="Arial"/>
                <w:sz w:val="14"/>
                <w:szCs w:val="14"/>
                <w:color w:val="auto"/>
              </w:rPr>
              <w:t>7,335,972</w:t>
            </w:r>
          </w:p>
        </w:tc>
      </w:tr>
      <w:tr>
        <w:trPr>
          <w:trHeight w:val="226"/>
        </w:trPr>
        <w:tc>
          <w:tcPr>
            <w:tcW w:w="1660" w:type="dxa"/>
            <w:vAlign w:val="bottom"/>
          </w:tcPr>
          <w:p>
            <w:pPr>
              <w:spacing w:after="0"/>
              <w:rPr>
                <w:sz w:val="19"/>
                <w:szCs w:val="19"/>
                <w:color w:val="auto"/>
              </w:rPr>
            </w:pPr>
          </w:p>
        </w:tc>
        <w:tc>
          <w:tcPr>
            <w:tcW w:w="1100" w:type="dxa"/>
            <w:vAlign w:val="bottom"/>
            <w:tcBorders>
              <w:bottom w:val="single" w:sz="8" w:color="595959"/>
            </w:tcBorders>
          </w:tcPr>
          <w:p>
            <w:pPr>
              <w:jc w:val="right"/>
              <w:ind w:right="70"/>
              <w:spacing w:after="0"/>
              <w:rPr>
                <w:sz w:val="20"/>
                <w:szCs w:val="20"/>
                <w:color w:val="auto"/>
              </w:rPr>
            </w:pPr>
            <w:r>
              <w:rPr>
                <w:rFonts w:ascii="Arial" w:cs="Arial" w:eastAsia="Arial" w:hAnsi="Arial"/>
                <w:sz w:val="14"/>
                <w:szCs w:val="14"/>
                <w:color w:val="auto"/>
              </w:rPr>
              <w:t>9/18/2019</w:t>
            </w:r>
          </w:p>
        </w:tc>
        <w:tc>
          <w:tcPr>
            <w:tcW w:w="1480" w:type="dxa"/>
            <w:vAlign w:val="bottom"/>
            <w:tcBorders>
              <w:bottom w:val="single" w:sz="8" w:color="595959"/>
            </w:tcBorders>
          </w:tcPr>
          <w:p>
            <w:pPr>
              <w:jc w:val="right"/>
              <w:ind w:right="109"/>
              <w:spacing w:after="0" w:line="226" w:lineRule="exact"/>
              <w:rPr>
                <w:sz w:val="20"/>
                <w:szCs w:val="20"/>
                <w:color w:val="auto"/>
              </w:rPr>
            </w:pPr>
            <w:r>
              <w:rPr>
                <w:rFonts w:ascii="Arial" w:cs="Arial" w:eastAsia="Arial" w:hAnsi="Arial"/>
                <w:sz w:val="14"/>
                <w:szCs w:val="14"/>
                <w:color w:val="auto"/>
              </w:rPr>
              <w:t>25,389</w:t>
            </w:r>
            <w:r>
              <w:rPr>
                <w:rFonts w:ascii="Arial" w:cs="Arial" w:eastAsia="Arial" w:hAnsi="Arial"/>
                <w:sz w:val="23"/>
                <w:szCs w:val="23"/>
                <w:color w:val="auto"/>
                <w:vertAlign w:val="superscript"/>
              </w:rPr>
              <w:t>3</w:t>
            </w:r>
          </w:p>
        </w:tc>
        <w:tc>
          <w:tcPr>
            <w:tcW w:w="1360" w:type="dxa"/>
            <w:vAlign w:val="bottom"/>
            <w:tcBorders>
              <w:bottom w:val="single" w:sz="8" w:color="595959"/>
            </w:tcBorders>
          </w:tcPr>
          <w:p>
            <w:pPr>
              <w:jc w:val="right"/>
              <w:ind w:right="89"/>
              <w:spacing w:after="0"/>
              <w:rPr>
                <w:sz w:val="20"/>
                <w:szCs w:val="20"/>
                <w:color w:val="auto"/>
              </w:rPr>
            </w:pPr>
            <w:r>
              <w:rPr>
                <w:rFonts w:ascii="Arial" w:cs="Arial" w:eastAsia="Arial" w:hAnsi="Arial"/>
                <w:sz w:val="14"/>
                <w:szCs w:val="14"/>
                <w:color w:val="auto"/>
              </w:rPr>
              <w:t>6,877,880</w:t>
            </w:r>
          </w:p>
        </w:tc>
        <w:tc>
          <w:tcPr>
            <w:tcW w:w="1860" w:type="dxa"/>
            <w:vAlign w:val="bottom"/>
            <w:tcBorders>
              <w:bottom w:val="single" w:sz="8" w:color="595959"/>
            </w:tcBorders>
          </w:tcPr>
          <w:p>
            <w:pPr>
              <w:spacing w:after="0"/>
              <w:rPr>
                <w:sz w:val="19"/>
                <w:szCs w:val="19"/>
                <w:color w:val="auto"/>
              </w:rPr>
            </w:pPr>
          </w:p>
        </w:tc>
        <w:tc>
          <w:tcPr>
            <w:tcW w:w="1580" w:type="dxa"/>
            <w:vAlign w:val="bottom"/>
            <w:tcBorders>
              <w:bottom w:val="single" w:sz="8" w:color="595959"/>
            </w:tcBorders>
          </w:tcPr>
          <w:p>
            <w:pPr>
              <w:spacing w:after="0"/>
              <w:rPr>
                <w:sz w:val="19"/>
                <w:szCs w:val="19"/>
                <w:color w:val="auto"/>
              </w:rPr>
            </w:pPr>
          </w:p>
        </w:tc>
      </w:tr>
      <w:tr>
        <w:trPr>
          <w:trHeight w:val="226"/>
        </w:trPr>
        <w:tc>
          <w:tcPr>
            <w:tcW w:w="1660" w:type="dxa"/>
            <w:vAlign w:val="bottom"/>
          </w:tcPr>
          <w:p>
            <w:pPr>
              <w:spacing w:after="0"/>
              <w:rPr>
                <w:sz w:val="19"/>
                <w:szCs w:val="19"/>
                <w:color w:val="auto"/>
              </w:rPr>
            </w:pPr>
          </w:p>
        </w:tc>
        <w:tc>
          <w:tcPr>
            <w:tcW w:w="1100" w:type="dxa"/>
            <w:vAlign w:val="bottom"/>
            <w:tcBorders>
              <w:bottom w:val="single" w:sz="8" w:color="595959"/>
            </w:tcBorders>
          </w:tcPr>
          <w:p>
            <w:pPr>
              <w:jc w:val="right"/>
              <w:ind w:right="70"/>
              <w:spacing w:after="0"/>
              <w:rPr>
                <w:sz w:val="20"/>
                <w:szCs w:val="20"/>
                <w:color w:val="auto"/>
              </w:rPr>
            </w:pPr>
            <w:r>
              <w:rPr>
                <w:rFonts w:ascii="Arial" w:cs="Arial" w:eastAsia="Arial" w:hAnsi="Arial"/>
                <w:sz w:val="14"/>
                <w:szCs w:val="14"/>
                <w:color w:val="auto"/>
              </w:rPr>
              <w:t>9/14/2020</w:t>
            </w:r>
          </w:p>
        </w:tc>
        <w:tc>
          <w:tcPr>
            <w:tcW w:w="1480" w:type="dxa"/>
            <w:vAlign w:val="bottom"/>
            <w:tcBorders>
              <w:bottom w:val="single" w:sz="8" w:color="595959"/>
            </w:tcBorders>
          </w:tcPr>
          <w:p>
            <w:pPr>
              <w:spacing w:after="0"/>
              <w:rPr>
                <w:sz w:val="19"/>
                <w:szCs w:val="19"/>
                <w:color w:val="auto"/>
              </w:rPr>
            </w:pPr>
          </w:p>
        </w:tc>
        <w:tc>
          <w:tcPr>
            <w:tcW w:w="1360" w:type="dxa"/>
            <w:vAlign w:val="bottom"/>
            <w:tcBorders>
              <w:bottom w:val="single" w:sz="8" w:color="595959"/>
            </w:tcBorders>
          </w:tcPr>
          <w:p>
            <w:pPr>
              <w:spacing w:after="0"/>
              <w:rPr>
                <w:sz w:val="19"/>
                <w:szCs w:val="19"/>
                <w:color w:val="auto"/>
              </w:rPr>
            </w:pPr>
          </w:p>
        </w:tc>
        <w:tc>
          <w:tcPr>
            <w:tcW w:w="1860" w:type="dxa"/>
            <w:vAlign w:val="bottom"/>
            <w:tcBorders>
              <w:bottom w:val="single" w:sz="8" w:color="595959"/>
            </w:tcBorders>
          </w:tcPr>
          <w:p>
            <w:pPr>
              <w:jc w:val="right"/>
              <w:ind w:right="49"/>
              <w:spacing w:after="0" w:line="226" w:lineRule="exact"/>
              <w:rPr>
                <w:sz w:val="20"/>
                <w:szCs w:val="20"/>
                <w:color w:val="auto"/>
              </w:rPr>
            </w:pPr>
            <w:r>
              <w:rPr>
                <w:rFonts w:ascii="Arial" w:cs="Arial" w:eastAsia="Arial" w:hAnsi="Arial"/>
                <w:sz w:val="14"/>
                <w:szCs w:val="14"/>
                <w:color w:val="auto"/>
              </w:rPr>
              <w:t>10,715</w:t>
            </w:r>
            <w:r>
              <w:rPr>
                <w:rFonts w:ascii="Arial" w:cs="Arial" w:eastAsia="Arial" w:hAnsi="Arial"/>
                <w:sz w:val="23"/>
                <w:szCs w:val="23"/>
                <w:color w:val="auto"/>
                <w:vertAlign w:val="superscript"/>
              </w:rPr>
              <w:t>4</w:t>
            </w:r>
          </w:p>
        </w:tc>
        <w:tc>
          <w:tcPr>
            <w:tcW w:w="1580" w:type="dxa"/>
            <w:vAlign w:val="bottom"/>
            <w:tcBorders>
              <w:bottom w:val="single" w:sz="8" w:color="595959"/>
            </w:tcBorders>
          </w:tcPr>
          <w:p>
            <w:pPr>
              <w:jc w:val="right"/>
              <w:ind w:right="8"/>
              <w:spacing w:after="0"/>
              <w:rPr>
                <w:sz w:val="20"/>
                <w:szCs w:val="20"/>
                <w:color w:val="auto"/>
              </w:rPr>
            </w:pPr>
            <w:r>
              <w:rPr>
                <w:rFonts w:ascii="Arial" w:cs="Arial" w:eastAsia="Arial" w:hAnsi="Arial"/>
                <w:sz w:val="14"/>
                <w:szCs w:val="14"/>
                <w:color w:val="auto"/>
              </w:rPr>
              <w:t>2,902,964</w:t>
            </w:r>
          </w:p>
        </w:tc>
      </w:tr>
      <w:tr>
        <w:trPr>
          <w:trHeight w:val="226"/>
        </w:trPr>
        <w:tc>
          <w:tcPr>
            <w:tcW w:w="1660" w:type="dxa"/>
            <w:vAlign w:val="bottom"/>
            <w:tcBorders>
              <w:bottom w:val="single" w:sz="8" w:color="0075C9"/>
            </w:tcBorders>
          </w:tcPr>
          <w:p>
            <w:pPr>
              <w:spacing w:after="0"/>
              <w:rPr>
                <w:sz w:val="19"/>
                <w:szCs w:val="19"/>
                <w:color w:val="auto"/>
              </w:rPr>
            </w:pPr>
          </w:p>
        </w:tc>
        <w:tc>
          <w:tcPr>
            <w:tcW w:w="1100" w:type="dxa"/>
            <w:vAlign w:val="bottom"/>
            <w:tcBorders>
              <w:bottom w:val="single" w:sz="8" w:color="0075C9"/>
            </w:tcBorders>
          </w:tcPr>
          <w:p>
            <w:pPr>
              <w:jc w:val="right"/>
              <w:ind w:right="70"/>
              <w:spacing w:after="0"/>
              <w:rPr>
                <w:sz w:val="20"/>
                <w:szCs w:val="20"/>
                <w:color w:val="auto"/>
              </w:rPr>
            </w:pPr>
            <w:r>
              <w:rPr>
                <w:rFonts w:ascii="Arial" w:cs="Arial" w:eastAsia="Arial" w:hAnsi="Arial"/>
                <w:sz w:val="14"/>
                <w:szCs w:val="14"/>
                <w:color w:val="auto"/>
              </w:rPr>
              <w:t>9/14/2020</w:t>
            </w:r>
          </w:p>
        </w:tc>
        <w:tc>
          <w:tcPr>
            <w:tcW w:w="1480" w:type="dxa"/>
            <w:vAlign w:val="bottom"/>
            <w:tcBorders>
              <w:bottom w:val="single" w:sz="8" w:color="0075C9"/>
            </w:tcBorders>
          </w:tcPr>
          <w:p>
            <w:pPr>
              <w:jc w:val="right"/>
              <w:ind w:right="109"/>
              <w:spacing w:after="0" w:line="226" w:lineRule="exact"/>
              <w:rPr>
                <w:sz w:val="20"/>
                <w:szCs w:val="20"/>
                <w:color w:val="auto"/>
              </w:rPr>
            </w:pPr>
            <w:r>
              <w:rPr>
                <w:rFonts w:ascii="Arial" w:cs="Arial" w:eastAsia="Arial" w:hAnsi="Arial"/>
                <w:sz w:val="14"/>
                <w:szCs w:val="14"/>
                <w:color w:val="auto"/>
              </w:rPr>
              <w:t>32,147</w:t>
            </w:r>
            <w:r>
              <w:rPr>
                <w:rFonts w:ascii="Arial" w:cs="Arial" w:eastAsia="Arial" w:hAnsi="Arial"/>
                <w:sz w:val="23"/>
                <w:szCs w:val="23"/>
                <w:color w:val="auto"/>
                <w:vertAlign w:val="superscript"/>
              </w:rPr>
              <w:t>3</w:t>
            </w:r>
          </w:p>
        </w:tc>
        <w:tc>
          <w:tcPr>
            <w:tcW w:w="1360" w:type="dxa"/>
            <w:vAlign w:val="bottom"/>
            <w:tcBorders>
              <w:bottom w:val="single" w:sz="8" w:color="0075C9"/>
            </w:tcBorders>
          </w:tcPr>
          <w:p>
            <w:pPr>
              <w:jc w:val="right"/>
              <w:ind w:right="89"/>
              <w:spacing w:after="0"/>
              <w:rPr>
                <w:sz w:val="20"/>
                <w:szCs w:val="20"/>
                <w:color w:val="auto"/>
              </w:rPr>
            </w:pPr>
            <w:r>
              <w:rPr>
                <w:rFonts w:ascii="Arial" w:cs="Arial" w:eastAsia="Arial" w:hAnsi="Arial"/>
                <w:sz w:val="14"/>
                <w:szCs w:val="14"/>
                <w:color w:val="auto"/>
              </w:rPr>
              <w:t>8,708,622</w:t>
            </w:r>
          </w:p>
        </w:tc>
        <w:tc>
          <w:tcPr>
            <w:tcW w:w="1860" w:type="dxa"/>
            <w:vAlign w:val="bottom"/>
            <w:tcBorders>
              <w:bottom w:val="single" w:sz="8" w:color="0075C9"/>
            </w:tcBorders>
          </w:tcPr>
          <w:p>
            <w:pPr>
              <w:spacing w:after="0"/>
              <w:rPr>
                <w:sz w:val="19"/>
                <w:szCs w:val="19"/>
                <w:color w:val="auto"/>
              </w:rPr>
            </w:pPr>
          </w:p>
        </w:tc>
        <w:tc>
          <w:tcPr>
            <w:tcW w:w="1580" w:type="dxa"/>
            <w:vAlign w:val="bottom"/>
            <w:tcBorders>
              <w:bottom w:val="single" w:sz="8" w:color="0075C9"/>
            </w:tcBorders>
          </w:tcPr>
          <w:p>
            <w:pPr>
              <w:spacing w:after="0"/>
              <w:rPr>
                <w:sz w:val="19"/>
                <w:szCs w:val="19"/>
                <w:color w:val="auto"/>
              </w:rPr>
            </w:pPr>
          </w:p>
        </w:tc>
      </w:tr>
      <w:tr>
        <w:trPr>
          <w:trHeight w:val="226"/>
        </w:trPr>
        <w:tc>
          <w:tcPr>
            <w:tcW w:w="1660" w:type="dxa"/>
            <w:vAlign w:val="bottom"/>
          </w:tcPr>
          <w:p>
            <w:pPr>
              <w:ind w:left="80"/>
              <w:spacing w:after="0"/>
              <w:rPr>
                <w:sz w:val="20"/>
                <w:szCs w:val="20"/>
                <w:color w:val="auto"/>
              </w:rPr>
            </w:pPr>
            <w:r>
              <w:rPr>
                <w:rFonts w:ascii="Arial" w:cs="Arial" w:eastAsia="Arial" w:hAnsi="Arial"/>
                <w:sz w:val="14"/>
                <w:szCs w:val="14"/>
                <w:b w:val="1"/>
                <w:bCs w:val="1"/>
                <w:color w:val="0075C9"/>
              </w:rPr>
              <w:t>Jean-Philippe Courtois</w:t>
            </w:r>
          </w:p>
        </w:tc>
        <w:tc>
          <w:tcPr>
            <w:tcW w:w="1100" w:type="dxa"/>
            <w:vAlign w:val="bottom"/>
            <w:tcBorders>
              <w:bottom w:val="single" w:sz="8" w:color="595959"/>
            </w:tcBorders>
          </w:tcPr>
          <w:p>
            <w:pPr>
              <w:jc w:val="right"/>
              <w:ind w:right="70"/>
              <w:spacing w:after="0"/>
              <w:rPr>
                <w:sz w:val="20"/>
                <w:szCs w:val="20"/>
                <w:color w:val="auto"/>
              </w:rPr>
            </w:pPr>
            <w:r>
              <w:rPr>
                <w:rFonts w:ascii="Arial" w:cs="Arial" w:eastAsia="Arial" w:hAnsi="Arial"/>
                <w:sz w:val="14"/>
                <w:szCs w:val="14"/>
                <w:color w:val="auto"/>
              </w:rPr>
              <w:t>9/19/2016</w:t>
            </w:r>
          </w:p>
        </w:tc>
        <w:tc>
          <w:tcPr>
            <w:tcW w:w="1480" w:type="dxa"/>
            <w:vAlign w:val="bottom"/>
            <w:tcBorders>
              <w:bottom w:val="single" w:sz="8" w:color="595959"/>
            </w:tcBorders>
          </w:tcPr>
          <w:p>
            <w:pPr>
              <w:jc w:val="right"/>
              <w:ind w:right="109"/>
              <w:spacing w:after="0" w:line="226" w:lineRule="exact"/>
              <w:rPr>
                <w:sz w:val="20"/>
                <w:szCs w:val="20"/>
                <w:color w:val="auto"/>
              </w:rPr>
            </w:pPr>
            <w:r>
              <w:rPr>
                <w:rFonts w:ascii="Arial" w:cs="Arial" w:eastAsia="Arial" w:hAnsi="Arial"/>
                <w:sz w:val="14"/>
                <w:szCs w:val="14"/>
                <w:color w:val="auto"/>
              </w:rPr>
              <w:t>1,045</w:t>
            </w:r>
            <w:r>
              <w:rPr>
                <w:rFonts w:ascii="Arial" w:cs="Arial" w:eastAsia="Arial" w:hAnsi="Arial"/>
                <w:sz w:val="23"/>
                <w:szCs w:val="23"/>
                <w:color w:val="auto"/>
                <w:vertAlign w:val="superscript"/>
              </w:rPr>
              <w:t>5</w:t>
            </w:r>
          </w:p>
        </w:tc>
        <w:tc>
          <w:tcPr>
            <w:tcW w:w="1360" w:type="dxa"/>
            <w:vAlign w:val="bottom"/>
            <w:tcBorders>
              <w:bottom w:val="single" w:sz="8" w:color="595959"/>
            </w:tcBorders>
          </w:tcPr>
          <w:p>
            <w:pPr>
              <w:jc w:val="right"/>
              <w:ind w:right="89"/>
              <w:spacing w:after="0"/>
              <w:rPr>
                <w:sz w:val="20"/>
                <w:szCs w:val="20"/>
                <w:color w:val="auto"/>
              </w:rPr>
            </w:pPr>
            <w:r>
              <w:rPr>
                <w:rFonts w:ascii="Arial" w:cs="Arial" w:eastAsia="Arial" w:hAnsi="Arial"/>
                <w:sz w:val="14"/>
                <w:szCs w:val="14"/>
                <w:color w:val="auto"/>
              </w:rPr>
              <w:t>283,091</w:t>
            </w:r>
          </w:p>
        </w:tc>
        <w:tc>
          <w:tcPr>
            <w:tcW w:w="1860" w:type="dxa"/>
            <w:vAlign w:val="bottom"/>
            <w:tcBorders>
              <w:bottom w:val="single" w:sz="8" w:color="595959"/>
            </w:tcBorders>
          </w:tcPr>
          <w:p>
            <w:pPr>
              <w:spacing w:after="0"/>
              <w:rPr>
                <w:sz w:val="19"/>
                <w:szCs w:val="19"/>
                <w:color w:val="auto"/>
              </w:rPr>
            </w:pPr>
          </w:p>
        </w:tc>
        <w:tc>
          <w:tcPr>
            <w:tcW w:w="1580" w:type="dxa"/>
            <w:vAlign w:val="bottom"/>
            <w:tcBorders>
              <w:bottom w:val="single" w:sz="8" w:color="595959"/>
            </w:tcBorders>
          </w:tcPr>
          <w:p>
            <w:pPr>
              <w:spacing w:after="0"/>
              <w:rPr>
                <w:sz w:val="19"/>
                <w:szCs w:val="19"/>
                <w:color w:val="auto"/>
              </w:rPr>
            </w:pPr>
          </w:p>
        </w:tc>
      </w:tr>
      <w:tr>
        <w:trPr>
          <w:trHeight w:val="226"/>
        </w:trPr>
        <w:tc>
          <w:tcPr>
            <w:tcW w:w="1660" w:type="dxa"/>
            <w:vAlign w:val="bottom"/>
          </w:tcPr>
          <w:p>
            <w:pPr>
              <w:spacing w:after="0"/>
              <w:rPr>
                <w:sz w:val="19"/>
                <w:szCs w:val="19"/>
                <w:color w:val="auto"/>
              </w:rPr>
            </w:pPr>
          </w:p>
        </w:tc>
        <w:tc>
          <w:tcPr>
            <w:tcW w:w="1100" w:type="dxa"/>
            <w:vAlign w:val="bottom"/>
            <w:tcBorders>
              <w:bottom w:val="single" w:sz="8" w:color="595959"/>
            </w:tcBorders>
          </w:tcPr>
          <w:p>
            <w:pPr>
              <w:jc w:val="right"/>
              <w:ind w:right="70"/>
              <w:spacing w:after="0"/>
              <w:rPr>
                <w:sz w:val="20"/>
                <w:szCs w:val="20"/>
                <w:color w:val="auto"/>
              </w:rPr>
            </w:pPr>
            <w:r>
              <w:rPr>
                <w:rFonts w:ascii="Arial" w:cs="Arial" w:eastAsia="Arial" w:hAnsi="Arial"/>
                <w:sz w:val="14"/>
                <w:szCs w:val="14"/>
                <w:color w:val="auto"/>
              </w:rPr>
              <w:t>9/18/2017</w:t>
            </w:r>
          </w:p>
        </w:tc>
        <w:tc>
          <w:tcPr>
            <w:tcW w:w="1480" w:type="dxa"/>
            <w:vAlign w:val="bottom"/>
            <w:tcBorders>
              <w:bottom w:val="single" w:sz="8" w:color="595959"/>
            </w:tcBorders>
          </w:tcPr>
          <w:p>
            <w:pPr>
              <w:jc w:val="right"/>
              <w:ind w:right="109"/>
              <w:spacing w:after="0" w:line="226" w:lineRule="exact"/>
              <w:rPr>
                <w:sz w:val="20"/>
                <w:szCs w:val="20"/>
                <w:color w:val="auto"/>
              </w:rPr>
            </w:pPr>
            <w:r>
              <w:rPr>
                <w:rFonts w:ascii="Arial" w:cs="Arial" w:eastAsia="Arial" w:hAnsi="Arial"/>
                <w:sz w:val="14"/>
                <w:szCs w:val="14"/>
                <w:color w:val="auto"/>
              </w:rPr>
              <w:t>6,270</w:t>
            </w:r>
            <w:r>
              <w:rPr>
                <w:rFonts w:ascii="Arial" w:cs="Arial" w:eastAsia="Arial" w:hAnsi="Arial"/>
                <w:sz w:val="23"/>
                <w:szCs w:val="23"/>
                <w:color w:val="auto"/>
                <w:vertAlign w:val="superscript"/>
              </w:rPr>
              <w:t>3</w:t>
            </w:r>
          </w:p>
        </w:tc>
        <w:tc>
          <w:tcPr>
            <w:tcW w:w="1360" w:type="dxa"/>
            <w:vAlign w:val="bottom"/>
            <w:tcBorders>
              <w:bottom w:val="single" w:sz="8" w:color="595959"/>
            </w:tcBorders>
          </w:tcPr>
          <w:p>
            <w:pPr>
              <w:jc w:val="right"/>
              <w:ind w:right="89"/>
              <w:spacing w:after="0"/>
              <w:rPr>
                <w:sz w:val="20"/>
                <w:szCs w:val="20"/>
                <w:color w:val="auto"/>
              </w:rPr>
            </w:pPr>
            <w:r>
              <w:rPr>
                <w:rFonts w:ascii="Arial" w:cs="Arial" w:eastAsia="Arial" w:hAnsi="Arial"/>
                <w:sz w:val="14"/>
                <w:szCs w:val="14"/>
                <w:color w:val="auto"/>
              </w:rPr>
              <w:t>1,698,543</w:t>
            </w:r>
          </w:p>
        </w:tc>
        <w:tc>
          <w:tcPr>
            <w:tcW w:w="1860" w:type="dxa"/>
            <w:vAlign w:val="bottom"/>
            <w:tcBorders>
              <w:bottom w:val="single" w:sz="8" w:color="595959"/>
            </w:tcBorders>
          </w:tcPr>
          <w:p>
            <w:pPr>
              <w:spacing w:after="0"/>
              <w:rPr>
                <w:sz w:val="19"/>
                <w:szCs w:val="19"/>
                <w:color w:val="auto"/>
              </w:rPr>
            </w:pPr>
          </w:p>
        </w:tc>
        <w:tc>
          <w:tcPr>
            <w:tcW w:w="1580" w:type="dxa"/>
            <w:vAlign w:val="bottom"/>
            <w:tcBorders>
              <w:bottom w:val="single" w:sz="8" w:color="595959"/>
            </w:tcBorders>
          </w:tcPr>
          <w:p>
            <w:pPr>
              <w:spacing w:after="0"/>
              <w:rPr>
                <w:sz w:val="19"/>
                <w:szCs w:val="19"/>
                <w:color w:val="auto"/>
              </w:rPr>
            </w:pPr>
          </w:p>
        </w:tc>
      </w:tr>
      <w:tr>
        <w:trPr>
          <w:trHeight w:val="226"/>
        </w:trPr>
        <w:tc>
          <w:tcPr>
            <w:tcW w:w="1660" w:type="dxa"/>
            <w:vAlign w:val="bottom"/>
          </w:tcPr>
          <w:p>
            <w:pPr>
              <w:spacing w:after="0"/>
              <w:rPr>
                <w:sz w:val="19"/>
                <w:szCs w:val="19"/>
                <w:color w:val="auto"/>
              </w:rPr>
            </w:pPr>
          </w:p>
        </w:tc>
        <w:tc>
          <w:tcPr>
            <w:tcW w:w="1100" w:type="dxa"/>
            <w:vAlign w:val="bottom"/>
            <w:tcBorders>
              <w:bottom w:val="single" w:sz="8" w:color="595959"/>
            </w:tcBorders>
          </w:tcPr>
          <w:p>
            <w:pPr>
              <w:jc w:val="right"/>
              <w:ind w:right="70"/>
              <w:spacing w:after="0"/>
              <w:rPr>
                <w:sz w:val="20"/>
                <w:szCs w:val="20"/>
                <w:color w:val="auto"/>
              </w:rPr>
            </w:pPr>
            <w:r>
              <w:rPr>
                <w:rFonts w:ascii="Arial" w:cs="Arial" w:eastAsia="Arial" w:hAnsi="Arial"/>
                <w:sz w:val="14"/>
                <w:szCs w:val="14"/>
                <w:color w:val="auto"/>
              </w:rPr>
              <w:t>9/17/2018</w:t>
            </w:r>
          </w:p>
        </w:tc>
        <w:tc>
          <w:tcPr>
            <w:tcW w:w="1480" w:type="dxa"/>
            <w:vAlign w:val="bottom"/>
            <w:tcBorders>
              <w:bottom w:val="single" w:sz="8" w:color="595959"/>
            </w:tcBorders>
          </w:tcPr>
          <w:p>
            <w:pPr>
              <w:jc w:val="right"/>
              <w:ind w:right="109"/>
              <w:spacing w:after="0" w:line="226" w:lineRule="exact"/>
              <w:rPr>
                <w:sz w:val="20"/>
                <w:szCs w:val="20"/>
                <w:color w:val="auto"/>
              </w:rPr>
            </w:pPr>
            <w:r>
              <w:rPr>
                <w:rFonts w:ascii="Arial" w:cs="Arial" w:eastAsia="Arial" w:hAnsi="Arial"/>
                <w:sz w:val="14"/>
                <w:szCs w:val="14"/>
                <w:color w:val="auto"/>
              </w:rPr>
              <w:t>12,519</w:t>
            </w:r>
            <w:r>
              <w:rPr>
                <w:rFonts w:ascii="Arial" w:cs="Arial" w:eastAsia="Arial" w:hAnsi="Arial"/>
                <w:sz w:val="23"/>
                <w:szCs w:val="23"/>
                <w:color w:val="auto"/>
                <w:vertAlign w:val="superscript"/>
              </w:rPr>
              <w:t>3</w:t>
            </w:r>
          </w:p>
        </w:tc>
        <w:tc>
          <w:tcPr>
            <w:tcW w:w="1360" w:type="dxa"/>
            <w:vAlign w:val="bottom"/>
            <w:tcBorders>
              <w:bottom w:val="single" w:sz="8" w:color="595959"/>
            </w:tcBorders>
          </w:tcPr>
          <w:p>
            <w:pPr>
              <w:jc w:val="right"/>
              <w:ind w:right="89"/>
              <w:spacing w:after="0"/>
              <w:rPr>
                <w:sz w:val="20"/>
                <w:szCs w:val="20"/>
                <w:color w:val="auto"/>
              </w:rPr>
            </w:pPr>
            <w:r>
              <w:rPr>
                <w:rFonts w:ascii="Arial" w:cs="Arial" w:eastAsia="Arial" w:hAnsi="Arial"/>
                <w:sz w:val="14"/>
                <w:szCs w:val="14"/>
                <w:color w:val="auto"/>
              </w:rPr>
              <w:t>3,391,397</w:t>
            </w:r>
          </w:p>
        </w:tc>
        <w:tc>
          <w:tcPr>
            <w:tcW w:w="1860" w:type="dxa"/>
            <w:vAlign w:val="bottom"/>
            <w:tcBorders>
              <w:bottom w:val="single" w:sz="8" w:color="595959"/>
            </w:tcBorders>
          </w:tcPr>
          <w:p>
            <w:pPr>
              <w:spacing w:after="0"/>
              <w:rPr>
                <w:sz w:val="19"/>
                <w:szCs w:val="19"/>
                <w:color w:val="auto"/>
              </w:rPr>
            </w:pPr>
          </w:p>
        </w:tc>
        <w:tc>
          <w:tcPr>
            <w:tcW w:w="1580" w:type="dxa"/>
            <w:vAlign w:val="bottom"/>
            <w:tcBorders>
              <w:bottom w:val="single" w:sz="8" w:color="595959"/>
            </w:tcBorders>
          </w:tcPr>
          <w:p>
            <w:pPr>
              <w:spacing w:after="0"/>
              <w:rPr>
                <w:sz w:val="19"/>
                <w:szCs w:val="19"/>
                <w:color w:val="auto"/>
              </w:rPr>
            </w:pPr>
          </w:p>
        </w:tc>
      </w:tr>
      <w:tr>
        <w:trPr>
          <w:trHeight w:val="226"/>
        </w:trPr>
        <w:tc>
          <w:tcPr>
            <w:tcW w:w="1660" w:type="dxa"/>
            <w:vAlign w:val="bottom"/>
          </w:tcPr>
          <w:p>
            <w:pPr>
              <w:spacing w:after="0"/>
              <w:rPr>
                <w:sz w:val="19"/>
                <w:szCs w:val="19"/>
                <w:color w:val="auto"/>
              </w:rPr>
            </w:pPr>
          </w:p>
        </w:tc>
        <w:tc>
          <w:tcPr>
            <w:tcW w:w="1100" w:type="dxa"/>
            <w:vAlign w:val="bottom"/>
            <w:tcBorders>
              <w:bottom w:val="single" w:sz="8" w:color="595959"/>
            </w:tcBorders>
          </w:tcPr>
          <w:p>
            <w:pPr>
              <w:jc w:val="right"/>
              <w:ind w:right="70"/>
              <w:spacing w:after="0"/>
              <w:rPr>
                <w:sz w:val="20"/>
                <w:szCs w:val="20"/>
                <w:color w:val="auto"/>
              </w:rPr>
            </w:pPr>
            <w:r>
              <w:rPr>
                <w:rFonts w:ascii="Arial" w:cs="Arial" w:eastAsia="Arial" w:hAnsi="Arial"/>
                <w:sz w:val="14"/>
                <w:szCs w:val="14"/>
                <w:color w:val="auto"/>
              </w:rPr>
              <w:t>9/17/2018</w:t>
            </w:r>
          </w:p>
        </w:tc>
        <w:tc>
          <w:tcPr>
            <w:tcW w:w="1480" w:type="dxa"/>
            <w:vAlign w:val="bottom"/>
            <w:tcBorders>
              <w:bottom w:val="single" w:sz="8" w:color="595959"/>
            </w:tcBorders>
          </w:tcPr>
          <w:p>
            <w:pPr>
              <w:spacing w:after="0"/>
              <w:rPr>
                <w:sz w:val="19"/>
                <w:szCs w:val="19"/>
                <w:color w:val="auto"/>
              </w:rPr>
            </w:pPr>
          </w:p>
        </w:tc>
        <w:tc>
          <w:tcPr>
            <w:tcW w:w="1360" w:type="dxa"/>
            <w:vAlign w:val="bottom"/>
            <w:tcBorders>
              <w:bottom w:val="single" w:sz="8" w:color="595959"/>
            </w:tcBorders>
          </w:tcPr>
          <w:p>
            <w:pPr>
              <w:spacing w:after="0"/>
              <w:rPr>
                <w:sz w:val="19"/>
                <w:szCs w:val="19"/>
                <w:color w:val="auto"/>
              </w:rPr>
            </w:pPr>
          </w:p>
        </w:tc>
        <w:tc>
          <w:tcPr>
            <w:tcW w:w="1860" w:type="dxa"/>
            <w:vAlign w:val="bottom"/>
            <w:tcBorders>
              <w:bottom w:val="single" w:sz="8" w:color="595959"/>
            </w:tcBorders>
          </w:tcPr>
          <w:p>
            <w:pPr>
              <w:jc w:val="right"/>
              <w:ind w:right="49"/>
              <w:spacing w:after="0" w:line="226" w:lineRule="exact"/>
              <w:rPr>
                <w:sz w:val="20"/>
                <w:szCs w:val="20"/>
                <w:color w:val="auto"/>
              </w:rPr>
            </w:pPr>
            <w:r>
              <w:rPr>
                <w:rFonts w:ascii="Arial" w:cs="Arial" w:eastAsia="Arial" w:hAnsi="Arial"/>
                <w:sz w:val="14"/>
                <w:szCs w:val="14"/>
                <w:color w:val="auto"/>
              </w:rPr>
              <w:t>33,384</w:t>
            </w:r>
            <w:r>
              <w:rPr>
                <w:rFonts w:ascii="Arial" w:cs="Arial" w:eastAsia="Arial" w:hAnsi="Arial"/>
                <w:sz w:val="23"/>
                <w:szCs w:val="23"/>
                <w:color w:val="auto"/>
                <w:vertAlign w:val="superscript"/>
              </w:rPr>
              <w:t>4</w:t>
            </w:r>
          </w:p>
        </w:tc>
        <w:tc>
          <w:tcPr>
            <w:tcW w:w="1580" w:type="dxa"/>
            <w:vAlign w:val="bottom"/>
            <w:tcBorders>
              <w:bottom w:val="single" w:sz="8" w:color="595959"/>
            </w:tcBorders>
          </w:tcPr>
          <w:p>
            <w:pPr>
              <w:jc w:val="right"/>
              <w:ind w:right="8"/>
              <w:spacing w:after="0"/>
              <w:rPr>
                <w:sz w:val="20"/>
                <w:szCs w:val="20"/>
                <w:color w:val="auto"/>
              </w:rPr>
            </w:pPr>
            <w:r>
              <w:rPr>
                <w:rFonts w:ascii="Arial" w:cs="Arial" w:eastAsia="Arial" w:hAnsi="Arial"/>
                <w:sz w:val="14"/>
                <w:szCs w:val="14"/>
                <w:color w:val="auto"/>
              </w:rPr>
              <w:t>9,043,726</w:t>
            </w:r>
          </w:p>
        </w:tc>
      </w:tr>
      <w:tr>
        <w:trPr>
          <w:trHeight w:val="226"/>
        </w:trPr>
        <w:tc>
          <w:tcPr>
            <w:tcW w:w="1660" w:type="dxa"/>
            <w:vAlign w:val="bottom"/>
          </w:tcPr>
          <w:p>
            <w:pPr>
              <w:spacing w:after="0"/>
              <w:rPr>
                <w:sz w:val="19"/>
                <w:szCs w:val="19"/>
                <w:color w:val="auto"/>
              </w:rPr>
            </w:pPr>
          </w:p>
        </w:tc>
        <w:tc>
          <w:tcPr>
            <w:tcW w:w="1100" w:type="dxa"/>
            <w:vAlign w:val="bottom"/>
            <w:tcBorders>
              <w:bottom w:val="single" w:sz="8" w:color="595959"/>
            </w:tcBorders>
          </w:tcPr>
          <w:p>
            <w:pPr>
              <w:jc w:val="right"/>
              <w:ind w:right="70"/>
              <w:spacing w:after="0"/>
              <w:rPr>
                <w:sz w:val="20"/>
                <w:szCs w:val="20"/>
                <w:color w:val="auto"/>
              </w:rPr>
            </w:pPr>
            <w:r>
              <w:rPr>
                <w:rFonts w:ascii="Arial" w:cs="Arial" w:eastAsia="Arial" w:hAnsi="Arial"/>
                <w:sz w:val="14"/>
                <w:szCs w:val="14"/>
                <w:color w:val="auto"/>
              </w:rPr>
              <w:t>9/3/2019</w:t>
            </w:r>
          </w:p>
        </w:tc>
        <w:tc>
          <w:tcPr>
            <w:tcW w:w="1480" w:type="dxa"/>
            <w:vAlign w:val="bottom"/>
            <w:tcBorders>
              <w:bottom w:val="single" w:sz="8" w:color="595959"/>
            </w:tcBorders>
          </w:tcPr>
          <w:p>
            <w:pPr>
              <w:spacing w:after="0"/>
              <w:rPr>
                <w:sz w:val="19"/>
                <w:szCs w:val="19"/>
                <w:color w:val="auto"/>
              </w:rPr>
            </w:pPr>
          </w:p>
        </w:tc>
        <w:tc>
          <w:tcPr>
            <w:tcW w:w="1360" w:type="dxa"/>
            <w:vAlign w:val="bottom"/>
            <w:tcBorders>
              <w:bottom w:val="single" w:sz="8" w:color="595959"/>
            </w:tcBorders>
          </w:tcPr>
          <w:p>
            <w:pPr>
              <w:spacing w:after="0"/>
              <w:rPr>
                <w:sz w:val="19"/>
                <w:szCs w:val="19"/>
                <w:color w:val="auto"/>
              </w:rPr>
            </w:pPr>
          </w:p>
        </w:tc>
        <w:tc>
          <w:tcPr>
            <w:tcW w:w="1860" w:type="dxa"/>
            <w:vAlign w:val="bottom"/>
            <w:tcBorders>
              <w:bottom w:val="single" w:sz="8" w:color="595959"/>
            </w:tcBorders>
          </w:tcPr>
          <w:p>
            <w:pPr>
              <w:jc w:val="right"/>
              <w:ind w:right="49"/>
              <w:spacing w:after="0" w:line="226" w:lineRule="exact"/>
              <w:rPr>
                <w:sz w:val="20"/>
                <w:szCs w:val="20"/>
                <w:color w:val="auto"/>
              </w:rPr>
            </w:pPr>
            <w:r>
              <w:rPr>
                <w:rFonts w:ascii="Arial" w:cs="Arial" w:eastAsia="Arial" w:hAnsi="Arial"/>
                <w:sz w:val="14"/>
                <w:szCs w:val="14"/>
                <w:color w:val="auto"/>
              </w:rPr>
              <w:t>18,134</w:t>
            </w:r>
            <w:r>
              <w:rPr>
                <w:rFonts w:ascii="Arial" w:cs="Arial" w:eastAsia="Arial" w:hAnsi="Arial"/>
                <w:sz w:val="23"/>
                <w:szCs w:val="23"/>
                <w:color w:val="auto"/>
                <w:vertAlign w:val="superscript"/>
              </w:rPr>
              <w:t>4</w:t>
            </w:r>
          </w:p>
        </w:tc>
        <w:tc>
          <w:tcPr>
            <w:tcW w:w="1580" w:type="dxa"/>
            <w:vAlign w:val="bottom"/>
            <w:tcBorders>
              <w:bottom w:val="single" w:sz="8" w:color="595959"/>
            </w:tcBorders>
          </w:tcPr>
          <w:p>
            <w:pPr>
              <w:jc w:val="right"/>
              <w:ind w:right="8"/>
              <w:spacing w:after="0"/>
              <w:rPr>
                <w:sz w:val="20"/>
                <w:szCs w:val="20"/>
                <w:color w:val="auto"/>
              </w:rPr>
            </w:pPr>
            <w:r>
              <w:rPr>
                <w:rFonts w:ascii="Arial" w:cs="Arial" w:eastAsia="Arial" w:hAnsi="Arial"/>
                <w:sz w:val="14"/>
                <w:szCs w:val="14"/>
                <w:color w:val="auto"/>
              </w:rPr>
              <w:t>4,912,501</w:t>
            </w:r>
          </w:p>
        </w:tc>
      </w:tr>
      <w:tr>
        <w:trPr>
          <w:trHeight w:val="226"/>
        </w:trPr>
        <w:tc>
          <w:tcPr>
            <w:tcW w:w="1660" w:type="dxa"/>
            <w:vAlign w:val="bottom"/>
          </w:tcPr>
          <w:p>
            <w:pPr>
              <w:spacing w:after="0"/>
              <w:rPr>
                <w:sz w:val="19"/>
                <w:szCs w:val="19"/>
                <w:color w:val="auto"/>
              </w:rPr>
            </w:pPr>
          </w:p>
        </w:tc>
        <w:tc>
          <w:tcPr>
            <w:tcW w:w="1100" w:type="dxa"/>
            <w:vAlign w:val="bottom"/>
            <w:tcBorders>
              <w:bottom w:val="single" w:sz="8" w:color="595959"/>
            </w:tcBorders>
          </w:tcPr>
          <w:p>
            <w:pPr>
              <w:jc w:val="right"/>
              <w:ind w:right="70"/>
              <w:spacing w:after="0"/>
              <w:rPr>
                <w:sz w:val="20"/>
                <w:szCs w:val="20"/>
                <w:color w:val="auto"/>
              </w:rPr>
            </w:pPr>
            <w:r>
              <w:rPr>
                <w:rFonts w:ascii="Arial" w:cs="Arial" w:eastAsia="Arial" w:hAnsi="Arial"/>
                <w:sz w:val="14"/>
                <w:szCs w:val="14"/>
                <w:color w:val="auto"/>
              </w:rPr>
              <w:t>9/18/2019</w:t>
            </w:r>
          </w:p>
        </w:tc>
        <w:tc>
          <w:tcPr>
            <w:tcW w:w="1480" w:type="dxa"/>
            <w:vAlign w:val="bottom"/>
            <w:tcBorders>
              <w:bottom w:val="single" w:sz="8" w:color="595959"/>
            </w:tcBorders>
          </w:tcPr>
          <w:p>
            <w:pPr>
              <w:jc w:val="right"/>
              <w:ind w:right="109"/>
              <w:spacing w:after="0" w:line="226" w:lineRule="exact"/>
              <w:rPr>
                <w:sz w:val="20"/>
                <w:szCs w:val="20"/>
                <w:color w:val="auto"/>
              </w:rPr>
            </w:pPr>
            <w:r>
              <w:rPr>
                <w:rFonts w:ascii="Arial" w:cs="Arial" w:eastAsia="Arial" w:hAnsi="Arial"/>
                <w:sz w:val="14"/>
                <w:szCs w:val="14"/>
                <w:color w:val="auto"/>
              </w:rPr>
              <w:t>17,002</w:t>
            </w:r>
            <w:r>
              <w:rPr>
                <w:rFonts w:ascii="Arial" w:cs="Arial" w:eastAsia="Arial" w:hAnsi="Arial"/>
                <w:sz w:val="23"/>
                <w:szCs w:val="23"/>
                <w:color w:val="auto"/>
                <w:vertAlign w:val="superscript"/>
              </w:rPr>
              <w:t>6</w:t>
            </w:r>
          </w:p>
        </w:tc>
        <w:tc>
          <w:tcPr>
            <w:tcW w:w="1360" w:type="dxa"/>
            <w:vAlign w:val="bottom"/>
            <w:tcBorders>
              <w:bottom w:val="single" w:sz="8" w:color="595959"/>
            </w:tcBorders>
          </w:tcPr>
          <w:p>
            <w:pPr>
              <w:jc w:val="right"/>
              <w:ind w:right="89"/>
              <w:spacing w:after="0"/>
              <w:rPr>
                <w:sz w:val="20"/>
                <w:szCs w:val="20"/>
                <w:color w:val="auto"/>
              </w:rPr>
            </w:pPr>
            <w:r>
              <w:rPr>
                <w:rFonts w:ascii="Arial" w:cs="Arial" w:eastAsia="Arial" w:hAnsi="Arial"/>
                <w:sz w:val="14"/>
                <w:szCs w:val="14"/>
                <w:color w:val="auto"/>
              </w:rPr>
              <w:t>4,605,842</w:t>
            </w:r>
          </w:p>
        </w:tc>
        <w:tc>
          <w:tcPr>
            <w:tcW w:w="1860" w:type="dxa"/>
            <w:vAlign w:val="bottom"/>
            <w:tcBorders>
              <w:bottom w:val="single" w:sz="8" w:color="595959"/>
            </w:tcBorders>
          </w:tcPr>
          <w:p>
            <w:pPr>
              <w:spacing w:after="0"/>
              <w:rPr>
                <w:sz w:val="19"/>
                <w:szCs w:val="19"/>
                <w:color w:val="auto"/>
              </w:rPr>
            </w:pPr>
          </w:p>
        </w:tc>
        <w:tc>
          <w:tcPr>
            <w:tcW w:w="1580" w:type="dxa"/>
            <w:vAlign w:val="bottom"/>
            <w:tcBorders>
              <w:bottom w:val="single" w:sz="8" w:color="595959"/>
            </w:tcBorders>
          </w:tcPr>
          <w:p>
            <w:pPr>
              <w:spacing w:after="0"/>
              <w:rPr>
                <w:sz w:val="19"/>
                <w:szCs w:val="19"/>
                <w:color w:val="auto"/>
              </w:rPr>
            </w:pPr>
          </w:p>
        </w:tc>
      </w:tr>
      <w:tr>
        <w:trPr>
          <w:trHeight w:val="226"/>
        </w:trPr>
        <w:tc>
          <w:tcPr>
            <w:tcW w:w="1660" w:type="dxa"/>
            <w:vAlign w:val="bottom"/>
          </w:tcPr>
          <w:p>
            <w:pPr>
              <w:spacing w:after="0"/>
              <w:rPr>
                <w:sz w:val="19"/>
                <w:szCs w:val="19"/>
                <w:color w:val="auto"/>
              </w:rPr>
            </w:pPr>
          </w:p>
        </w:tc>
        <w:tc>
          <w:tcPr>
            <w:tcW w:w="1100" w:type="dxa"/>
            <w:vAlign w:val="bottom"/>
            <w:tcBorders>
              <w:bottom w:val="single" w:sz="8" w:color="595959"/>
            </w:tcBorders>
          </w:tcPr>
          <w:p>
            <w:pPr>
              <w:jc w:val="right"/>
              <w:ind w:right="70"/>
              <w:spacing w:after="0"/>
              <w:rPr>
                <w:sz w:val="20"/>
                <w:szCs w:val="20"/>
                <w:color w:val="auto"/>
              </w:rPr>
            </w:pPr>
            <w:r>
              <w:rPr>
                <w:rFonts w:ascii="Arial" w:cs="Arial" w:eastAsia="Arial" w:hAnsi="Arial"/>
                <w:sz w:val="14"/>
                <w:szCs w:val="14"/>
                <w:color w:val="auto"/>
              </w:rPr>
              <w:t>9/14/2020</w:t>
            </w:r>
          </w:p>
        </w:tc>
        <w:tc>
          <w:tcPr>
            <w:tcW w:w="1480" w:type="dxa"/>
            <w:vAlign w:val="bottom"/>
            <w:tcBorders>
              <w:bottom w:val="single" w:sz="8" w:color="595959"/>
            </w:tcBorders>
          </w:tcPr>
          <w:p>
            <w:pPr>
              <w:jc w:val="right"/>
              <w:ind w:right="109"/>
              <w:spacing w:after="0" w:line="226" w:lineRule="exact"/>
              <w:rPr>
                <w:sz w:val="20"/>
                <w:szCs w:val="20"/>
                <w:color w:val="auto"/>
              </w:rPr>
            </w:pPr>
            <w:r>
              <w:rPr>
                <w:rFonts w:ascii="Arial" w:cs="Arial" w:eastAsia="Arial" w:hAnsi="Arial"/>
                <w:sz w:val="14"/>
                <w:szCs w:val="14"/>
                <w:color w:val="auto"/>
              </w:rPr>
              <w:t>22,170</w:t>
            </w:r>
            <w:r>
              <w:rPr>
                <w:rFonts w:ascii="Arial" w:cs="Arial" w:eastAsia="Arial" w:hAnsi="Arial"/>
                <w:sz w:val="23"/>
                <w:szCs w:val="23"/>
                <w:color w:val="auto"/>
                <w:vertAlign w:val="superscript"/>
              </w:rPr>
              <w:t>7</w:t>
            </w:r>
          </w:p>
        </w:tc>
        <w:tc>
          <w:tcPr>
            <w:tcW w:w="1360" w:type="dxa"/>
            <w:vAlign w:val="bottom"/>
            <w:tcBorders>
              <w:bottom w:val="single" w:sz="8" w:color="595959"/>
            </w:tcBorders>
          </w:tcPr>
          <w:p>
            <w:pPr>
              <w:jc w:val="right"/>
              <w:ind w:right="89"/>
              <w:spacing w:after="0"/>
              <w:rPr>
                <w:sz w:val="20"/>
                <w:szCs w:val="20"/>
                <w:color w:val="auto"/>
              </w:rPr>
            </w:pPr>
            <w:r>
              <w:rPr>
                <w:rFonts w:ascii="Arial" w:cs="Arial" w:eastAsia="Arial" w:hAnsi="Arial"/>
                <w:sz w:val="14"/>
                <w:szCs w:val="14"/>
                <w:color w:val="auto"/>
              </w:rPr>
              <w:t>6,005,853</w:t>
            </w:r>
          </w:p>
        </w:tc>
        <w:tc>
          <w:tcPr>
            <w:tcW w:w="1860" w:type="dxa"/>
            <w:vAlign w:val="bottom"/>
            <w:tcBorders>
              <w:bottom w:val="single" w:sz="8" w:color="595959"/>
            </w:tcBorders>
          </w:tcPr>
          <w:p>
            <w:pPr>
              <w:spacing w:after="0"/>
              <w:rPr>
                <w:sz w:val="19"/>
                <w:szCs w:val="19"/>
                <w:color w:val="auto"/>
              </w:rPr>
            </w:pPr>
          </w:p>
        </w:tc>
        <w:tc>
          <w:tcPr>
            <w:tcW w:w="1580" w:type="dxa"/>
            <w:vAlign w:val="bottom"/>
            <w:tcBorders>
              <w:bottom w:val="single" w:sz="8" w:color="595959"/>
            </w:tcBorders>
          </w:tcPr>
          <w:p>
            <w:pPr>
              <w:spacing w:after="0"/>
              <w:rPr>
                <w:sz w:val="19"/>
                <w:szCs w:val="19"/>
                <w:color w:val="auto"/>
              </w:rPr>
            </w:pPr>
          </w:p>
        </w:tc>
      </w:tr>
      <w:tr>
        <w:trPr>
          <w:trHeight w:val="226"/>
        </w:trPr>
        <w:tc>
          <w:tcPr>
            <w:tcW w:w="1660" w:type="dxa"/>
            <w:vAlign w:val="bottom"/>
            <w:tcBorders>
              <w:bottom w:val="single" w:sz="8" w:color="0075C9"/>
            </w:tcBorders>
          </w:tcPr>
          <w:p>
            <w:pPr>
              <w:spacing w:after="0"/>
              <w:rPr>
                <w:sz w:val="19"/>
                <w:szCs w:val="19"/>
                <w:color w:val="auto"/>
              </w:rPr>
            </w:pPr>
          </w:p>
        </w:tc>
        <w:tc>
          <w:tcPr>
            <w:tcW w:w="1100" w:type="dxa"/>
            <w:vAlign w:val="bottom"/>
            <w:tcBorders>
              <w:bottom w:val="single" w:sz="8" w:color="0075C9"/>
            </w:tcBorders>
          </w:tcPr>
          <w:p>
            <w:pPr>
              <w:jc w:val="right"/>
              <w:ind w:right="70"/>
              <w:spacing w:after="0"/>
              <w:rPr>
                <w:sz w:val="20"/>
                <w:szCs w:val="20"/>
                <w:color w:val="auto"/>
              </w:rPr>
            </w:pPr>
            <w:r>
              <w:rPr>
                <w:rFonts w:ascii="Arial" w:cs="Arial" w:eastAsia="Arial" w:hAnsi="Arial"/>
                <w:sz w:val="14"/>
                <w:szCs w:val="14"/>
                <w:color w:val="auto"/>
              </w:rPr>
              <w:t>9/14/2020</w:t>
            </w:r>
          </w:p>
        </w:tc>
        <w:tc>
          <w:tcPr>
            <w:tcW w:w="1480" w:type="dxa"/>
            <w:vAlign w:val="bottom"/>
            <w:tcBorders>
              <w:bottom w:val="single" w:sz="8" w:color="0075C9"/>
            </w:tcBorders>
          </w:tcPr>
          <w:p>
            <w:pPr>
              <w:spacing w:after="0"/>
              <w:rPr>
                <w:sz w:val="19"/>
                <w:szCs w:val="19"/>
                <w:color w:val="auto"/>
              </w:rPr>
            </w:pPr>
          </w:p>
        </w:tc>
        <w:tc>
          <w:tcPr>
            <w:tcW w:w="1360" w:type="dxa"/>
            <w:vAlign w:val="bottom"/>
            <w:tcBorders>
              <w:bottom w:val="single" w:sz="8" w:color="0075C9"/>
            </w:tcBorders>
          </w:tcPr>
          <w:p>
            <w:pPr>
              <w:spacing w:after="0"/>
              <w:rPr>
                <w:sz w:val="19"/>
                <w:szCs w:val="19"/>
                <w:color w:val="auto"/>
              </w:rPr>
            </w:pPr>
          </w:p>
        </w:tc>
        <w:tc>
          <w:tcPr>
            <w:tcW w:w="1860" w:type="dxa"/>
            <w:vAlign w:val="bottom"/>
            <w:tcBorders>
              <w:bottom w:val="single" w:sz="8" w:color="0075C9"/>
            </w:tcBorders>
          </w:tcPr>
          <w:p>
            <w:pPr>
              <w:jc w:val="right"/>
              <w:ind w:right="49"/>
              <w:spacing w:after="0" w:line="226" w:lineRule="exact"/>
              <w:rPr>
                <w:sz w:val="20"/>
                <w:szCs w:val="20"/>
                <w:color w:val="auto"/>
              </w:rPr>
            </w:pPr>
            <w:r>
              <w:rPr>
                <w:rFonts w:ascii="Arial" w:cs="Arial" w:eastAsia="Arial" w:hAnsi="Arial"/>
                <w:sz w:val="14"/>
                <w:szCs w:val="14"/>
                <w:color w:val="auto"/>
              </w:rPr>
              <w:t>7,390</w:t>
            </w:r>
            <w:r>
              <w:rPr>
                <w:rFonts w:ascii="Arial" w:cs="Arial" w:eastAsia="Arial" w:hAnsi="Arial"/>
                <w:sz w:val="23"/>
                <w:szCs w:val="23"/>
                <w:color w:val="auto"/>
                <w:vertAlign w:val="superscript"/>
              </w:rPr>
              <w:t>4</w:t>
            </w:r>
          </w:p>
        </w:tc>
        <w:tc>
          <w:tcPr>
            <w:tcW w:w="1580" w:type="dxa"/>
            <w:vAlign w:val="bottom"/>
            <w:tcBorders>
              <w:bottom w:val="single" w:sz="8" w:color="0075C9"/>
            </w:tcBorders>
          </w:tcPr>
          <w:p>
            <w:pPr>
              <w:jc w:val="right"/>
              <w:ind w:right="8"/>
              <w:spacing w:after="0"/>
              <w:rPr>
                <w:sz w:val="20"/>
                <w:szCs w:val="20"/>
                <w:color w:val="auto"/>
              </w:rPr>
            </w:pPr>
            <w:r>
              <w:rPr>
                <w:rFonts w:ascii="Arial" w:cs="Arial" w:eastAsia="Arial" w:hAnsi="Arial"/>
                <w:sz w:val="14"/>
                <w:szCs w:val="14"/>
                <w:color w:val="auto"/>
              </w:rPr>
              <w:t>2,001,951</w:t>
            </w:r>
          </w:p>
        </w:tc>
      </w:tr>
      <w:tr>
        <w:trPr>
          <w:trHeight w:val="226"/>
        </w:trPr>
        <w:tc>
          <w:tcPr>
            <w:tcW w:w="1660" w:type="dxa"/>
            <w:vAlign w:val="bottom"/>
          </w:tcPr>
          <w:p>
            <w:pPr>
              <w:ind w:left="80"/>
              <w:spacing w:after="0"/>
              <w:rPr>
                <w:sz w:val="20"/>
                <w:szCs w:val="20"/>
                <w:color w:val="auto"/>
              </w:rPr>
            </w:pPr>
            <w:r>
              <w:rPr>
                <w:rFonts w:ascii="Arial" w:cs="Arial" w:eastAsia="Arial" w:hAnsi="Arial"/>
                <w:sz w:val="14"/>
                <w:szCs w:val="14"/>
                <w:b w:val="1"/>
                <w:bCs w:val="1"/>
                <w:color w:val="0075C9"/>
              </w:rPr>
              <w:t>Bradford L. Smith</w:t>
            </w:r>
          </w:p>
        </w:tc>
        <w:tc>
          <w:tcPr>
            <w:tcW w:w="1100" w:type="dxa"/>
            <w:vAlign w:val="bottom"/>
            <w:tcBorders>
              <w:bottom w:val="single" w:sz="8" w:color="595959"/>
            </w:tcBorders>
          </w:tcPr>
          <w:p>
            <w:pPr>
              <w:jc w:val="right"/>
              <w:ind w:right="70"/>
              <w:spacing w:after="0"/>
              <w:rPr>
                <w:sz w:val="20"/>
                <w:szCs w:val="20"/>
                <w:color w:val="auto"/>
              </w:rPr>
            </w:pPr>
            <w:r>
              <w:rPr>
                <w:rFonts w:ascii="Arial" w:cs="Arial" w:eastAsia="Arial" w:hAnsi="Arial"/>
                <w:sz w:val="14"/>
                <w:szCs w:val="14"/>
                <w:color w:val="auto"/>
              </w:rPr>
              <w:t>9/18/2017</w:t>
            </w:r>
          </w:p>
        </w:tc>
        <w:tc>
          <w:tcPr>
            <w:tcW w:w="1480" w:type="dxa"/>
            <w:vAlign w:val="bottom"/>
            <w:tcBorders>
              <w:bottom w:val="single" w:sz="8" w:color="595959"/>
            </w:tcBorders>
          </w:tcPr>
          <w:p>
            <w:pPr>
              <w:jc w:val="right"/>
              <w:ind w:right="109"/>
              <w:spacing w:after="0" w:line="226" w:lineRule="exact"/>
              <w:rPr>
                <w:sz w:val="20"/>
                <w:szCs w:val="20"/>
                <w:color w:val="auto"/>
              </w:rPr>
            </w:pPr>
            <w:r>
              <w:rPr>
                <w:rFonts w:ascii="Arial" w:cs="Arial" w:eastAsia="Arial" w:hAnsi="Arial"/>
                <w:sz w:val="14"/>
                <w:szCs w:val="14"/>
                <w:color w:val="auto"/>
              </w:rPr>
              <w:t>6,855</w:t>
            </w:r>
            <w:r>
              <w:rPr>
                <w:rFonts w:ascii="Arial" w:cs="Arial" w:eastAsia="Arial" w:hAnsi="Arial"/>
                <w:sz w:val="23"/>
                <w:szCs w:val="23"/>
                <w:color w:val="auto"/>
                <w:vertAlign w:val="superscript"/>
              </w:rPr>
              <w:t>3</w:t>
            </w:r>
          </w:p>
        </w:tc>
        <w:tc>
          <w:tcPr>
            <w:tcW w:w="1360" w:type="dxa"/>
            <w:vAlign w:val="bottom"/>
            <w:tcBorders>
              <w:bottom w:val="single" w:sz="8" w:color="595959"/>
            </w:tcBorders>
          </w:tcPr>
          <w:p>
            <w:pPr>
              <w:jc w:val="right"/>
              <w:ind w:right="89"/>
              <w:spacing w:after="0"/>
              <w:rPr>
                <w:sz w:val="20"/>
                <w:szCs w:val="20"/>
                <w:color w:val="auto"/>
              </w:rPr>
            </w:pPr>
            <w:r>
              <w:rPr>
                <w:rFonts w:ascii="Arial" w:cs="Arial" w:eastAsia="Arial" w:hAnsi="Arial"/>
                <w:sz w:val="14"/>
                <w:szCs w:val="14"/>
                <w:color w:val="auto"/>
              </w:rPr>
              <w:t>1,857,020</w:t>
            </w:r>
          </w:p>
        </w:tc>
        <w:tc>
          <w:tcPr>
            <w:tcW w:w="1860" w:type="dxa"/>
            <w:vAlign w:val="bottom"/>
            <w:tcBorders>
              <w:bottom w:val="single" w:sz="8" w:color="595959"/>
            </w:tcBorders>
          </w:tcPr>
          <w:p>
            <w:pPr>
              <w:spacing w:after="0"/>
              <w:rPr>
                <w:sz w:val="19"/>
                <w:szCs w:val="19"/>
                <w:color w:val="auto"/>
              </w:rPr>
            </w:pPr>
          </w:p>
        </w:tc>
        <w:tc>
          <w:tcPr>
            <w:tcW w:w="1580" w:type="dxa"/>
            <w:vAlign w:val="bottom"/>
            <w:tcBorders>
              <w:bottom w:val="single" w:sz="8" w:color="595959"/>
            </w:tcBorders>
          </w:tcPr>
          <w:p>
            <w:pPr>
              <w:spacing w:after="0"/>
              <w:rPr>
                <w:sz w:val="19"/>
                <w:szCs w:val="19"/>
                <w:color w:val="auto"/>
              </w:rPr>
            </w:pPr>
          </w:p>
        </w:tc>
      </w:tr>
      <w:tr>
        <w:trPr>
          <w:trHeight w:val="226"/>
        </w:trPr>
        <w:tc>
          <w:tcPr>
            <w:tcW w:w="1660" w:type="dxa"/>
            <w:vAlign w:val="bottom"/>
          </w:tcPr>
          <w:p>
            <w:pPr>
              <w:spacing w:after="0"/>
              <w:rPr>
                <w:sz w:val="19"/>
                <w:szCs w:val="19"/>
                <w:color w:val="auto"/>
              </w:rPr>
            </w:pPr>
          </w:p>
        </w:tc>
        <w:tc>
          <w:tcPr>
            <w:tcW w:w="1100" w:type="dxa"/>
            <w:vAlign w:val="bottom"/>
            <w:tcBorders>
              <w:bottom w:val="single" w:sz="8" w:color="595959"/>
            </w:tcBorders>
          </w:tcPr>
          <w:p>
            <w:pPr>
              <w:jc w:val="right"/>
              <w:ind w:right="70"/>
              <w:spacing w:after="0"/>
              <w:rPr>
                <w:sz w:val="20"/>
                <w:szCs w:val="20"/>
                <w:color w:val="auto"/>
              </w:rPr>
            </w:pPr>
            <w:r>
              <w:rPr>
                <w:rFonts w:ascii="Arial" w:cs="Arial" w:eastAsia="Arial" w:hAnsi="Arial"/>
                <w:sz w:val="14"/>
                <w:szCs w:val="14"/>
                <w:color w:val="auto"/>
              </w:rPr>
              <w:t>9/17/2018</w:t>
            </w:r>
          </w:p>
        </w:tc>
        <w:tc>
          <w:tcPr>
            <w:tcW w:w="1480" w:type="dxa"/>
            <w:vAlign w:val="bottom"/>
            <w:tcBorders>
              <w:bottom w:val="single" w:sz="8" w:color="595959"/>
            </w:tcBorders>
          </w:tcPr>
          <w:p>
            <w:pPr>
              <w:jc w:val="right"/>
              <w:ind w:right="109"/>
              <w:spacing w:after="0" w:line="226" w:lineRule="exact"/>
              <w:rPr>
                <w:sz w:val="20"/>
                <w:szCs w:val="20"/>
                <w:color w:val="auto"/>
              </w:rPr>
            </w:pPr>
            <w:r>
              <w:rPr>
                <w:rFonts w:ascii="Arial" w:cs="Arial" w:eastAsia="Arial" w:hAnsi="Arial"/>
                <w:sz w:val="14"/>
                <w:szCs w:val="14"/>
                <w:color w:val="auto"/>
              </w:rPr>
              <w:t>15,357</w:t>
            </w:r>
            <w:r>
              <w:rPr>
                <w:rFonts w:ascii="Arial" w:cs="Arial" w:eastAsia="Arial" w:hAnsi="Arial"/>
                <w:sz w:val="23"/>
                <w:szCs w:val="23"/>
                <w:color w:val="auto"/>
                <w:vertAlign w:val="superscript"/>
              </w:rPr>
              <w:t>3</w:t>
            </w:r>
          </w:p>
        </w:tc>
        <w:tc>
          <w:tcPr>
            <w:tcW w:w="1360" w:type="dxa"/>
            <w:vAlign w:val="bottom"/>
            <w:tcBorders>
              <w:bottom w:val="single" w:sz="8" w:color="595959"/>
            </w:tcBorders>
          </w:tcPr>
          <w:p>
            <w:pPr>
              <w:jc w:val="right"/>
              <w:ind w:right="89"/>
              <w:spacing w:after="0"/>
              <w:rPr>
                <w:sz w:val="20"/>
                <w:szCs w:val="20"/>
                <w:color w:val="auto"/>
              </w:rPr>
            </w:pPr>
            <w:r>
              <w:rPr>
                <w:rFonts w:ascii="Arial" w:cs="Arial" w:eastAsia="Arial" w:hAnsi="Arial"/>
                <w:sz w:val="14"/>
                <w:szCs w:val="14"/>
                <w:color w:val="auto"/>
              </w:rPr>
              <w:t>4,160,211</w:t>
            </w:r>
          </w:p>
        </w:tc>
        <w:tc>
          <w:tcPr>
            <w:tcW w:w="1860" w:type="dxa"/>
            <w:vAlign w:val="bottom"/>
            <w:tcBorders>
              <w:bottom w:val="single" w:sz="8" w:color="595959"/>
            </w:tcBorders>
          </w:tcPr>
          <w:p>
            <w:pPr>
              <w:spacing w:after="0"/>
              <w:rPr>
                <w:sz w:val="19"/>
                <w:szCs w:val="19"/>
                <w:color w:val="auto"/>
              </w:rPr>
            </w:pPr>
          </w:p>
        </w:tc>
        <w:tc>
          <w:tcPr>
            <w:tcW w:w="1580" w:type="dxa"/>
            <w:vAlign w:val="bottom"/>
            <w:tcBorders>
              <w:bottom w:val="single" w:sz="8" w:color="595959"/>
            </w:tcBorders>
          </w:tcPr>
          <w:p>
            <w:pPr>
              <w:spacing w:after="0"/>
              <w:rPr>
                <w:sz w:val="19"/>
                <w:szCs w:val="19"/>
                <w:color w:val="auto"/>
              </w:rPr>
            </w:pPr>
          </w:p>
        </w:tc>
      </w:tr>
      <w:tr>
        <w:trPr>
          <w:trHeight w:val="226"/>
        </w:trPr>
        <w:tc>
          <w:tcPr>
            <w:tcW w:w="1660" w:type="dxa"/>
            <w:vAlign w:val="bottom"/>
          </w:tcPr>
          <w:p>
            <w:pPr>
              <w:spacing w:after="0"/>
              <w:rPr>
                <w:sz w:val="19"/>
                <w:szCs w:val="19"/>
                <w:color w:val="auto"/>
              </w:rPr>
            </w:pPr>
          </w:p>
        </w:tc>
        <w:tc>
          <w:tcPr>
            <w:tcW w:w="1100" w:type="dxa"/>
            <w:vAlign w:val="bottom"/>
            <w:tcBorders>
              <w:bottom w:val="single" w:sz="8" w:color="595959"/>
            </w:tcBorders>
          </w:tcPr>
          <w:p>
            <w:pPr>
              <w:jc w:val="right"/>
              <w:ind w:right="70"/>
              <w:spacing w:after="0"/>
              <w:rPr>
                <w:sz w:val="20"/>
                <w:szCs w:val="20"/>
                <w:color w:val="auto"/>
              </w:rPr>
            </w:pPr>
            <w:r>
              <w:rPr>
                <w:rFonts w:ascii="Arial" w:cs="Arial" w:eastAsia="Arial" w:hAnsi="Arial"/>
                <w:sz w:val="14"/>
                <w:szCs w:val="14"/>
                <w:color w:val="auto"/>
              </w:rPr>
              <w:t>9/17/2018</w:t>
            </w:r>
          </w:p>
        </w:tc>
        <w:tc>
          <w:tcPr>
            <w:tcW w:w="1480" w:type="dxa"/>
            <w:vAlign w:val="bottom"/>
            <w:tcBorders>
              <w:bottom w:val="single" w:sz="8" w:color="595959"/>
            </w:tcBorders>
          </w:tcPr>
          <w:p>
            <w:pPr>
              <w:spacing w:after="0"/>
              <w:rPr>
                <w:sz w:val="19"/>
                <w:szCs w:val="19"/>
                <w:color w:val="auto"/>
              </w:rPr>
            </w:pPr>
          </w:p>
        </w:tc>
        <w:tc>
          <w:tcPr>
            <w:tcW w:w="1360" w:type="dxa"/>
            <w:vAlign w:val="bottom"/>
            <w:tcBorders>
              <w:bottom w:val="single" w:sz="8" w:color="595959"/>
            </w:tcBorders>
          </w:tcPr>
          <w:p>
            <w:pPr>
              <w:spacing w:after="0"/>
              <w:rPr>
                <w:sz w:val="19"/>
                <w:szCs w:val="19"/>
                <w:color w:val="auto"/>
              </w:rPr>
            </w:pPr>
          </w:p>
        </w:tc>
        <w:tc>
          <w:tcPr>
            <w:tcW w:w="1860" w:type="dxa"/>
            <w:vAlign w:val="bottom"/>
            <w:tcBorders>
              <w:bottom w:val="single" w:sz="8" w:color="595959"/>
            </w:tcBorders>
          </w:tcPr>
          <w:p>
            <w:pPr>
              <w:jc w:val="right"/>
              <w:ind w:right="49"/>
              <w:spacing w:after="0" w:line="226" w:lineRule="exact"/>
              <w:rPr>
                <w:sz w:val="20"/>
                <w:szCs w:val="20"/>
                <w:color w:val="auto"/>
              </w:rPr>
            </w:pPr>
            <w:r>
              <w:rPr>
                <w:rFonts w:ascii="Arial" w:cs="Arial" w:eastAsia="Arial" w:hAnsi="Arial"/>
                <w:sz w:val="14"/>
                <w:szCs w:val="14"/>
                <w:color w:val="auto"/>
              </w:rPr>
              <w:t>40,951</w:t>
            </w:r>
            <w:r>
              <w:rPr>
                <w:rFonts w:ascii="Arial" w:cs="Arial" w:eastAsia="Arial" w:hAnsi="Arial"/>
                <w:sz w:val="23"/>
                <w:szCs w:val="23"/>
                <w:color w:val="auto"/>
                <w:vertAlign w:val="superscript"/>
              </w:rPr>
              <w:t>4</w:t>
            </w:r>
          </w:p>
        </w:tc>
        <w:tc>
          <w:tcPr>
            <w:tcW w:w="1580" w:type="dxa"/>
            <w:vAlign w:val="bottom"/>
            <w:tcBorders>
              <w:bottom w:val="single" w:sz="8" w:color="595959"/>
            </w:tcBorders>
          </w:tcPr>
          <w:p>
            <w:pPr>
              <w:jc w:val="right"/>
              <w:ind w:right="8"/>
              <w:spacing w:after="0"/>
              <w:rPr>
                <w:sz w:val="20"/>
                <w:szCs w:val="20"/>
                <w:color w:val="auto"/>
              </w:rPr>
            </w:pPr>
            <w:r>
              <w:rPr>
                <w:rFonts w:ascii="Arial" w:cs="Arial" w:eastAsia="Arial" w:hAnsi="Arial"/>
                <w:sz w:val="14"/>
                <w:szCs w:val="14"/>
                <w:color w:val="auto"/>
              </w:rPr>
              <w:t>11,093,626</w:t>
            </w:r>
          </w:p>
        </w:tc>
      </w:tr>
      <w:tr>
        <w:trPr>
          <w:trHeight w:val="226"/>
        </w:trPr>
        <w:tc>
          <w:tcPr>
            <w:tcW w:w="1660" w:type="dxa"/>
            <w:vAlign w:val="bottom"/>
          </w:tcPr>
          <w:p>
            <w:pPr>
              <w:spacing w:after="0"/>
              <w:rPr>
                <w:sz w:val="19"/>
                <w:szCs w:val="19"/>
                <w:color w:val="auto"/>
              </w:rPr>
            </w:pPr>
          </w:p>
        </w:tc>
        <w:tc>
          <w:tcPr>
            <w:tcW w:w="1100" w:type="dxa"/>
            <w:vAlign w:val="bottom"/>
            <w:tcBorders>
              <w:bottom w:val="single" w:sz="8" w:color="595959"/>
            </w:tcBorders>
          </w:tcPr>
          <w:p>
            <w:pPr>
              <w:jc w:val="right"/>
              <w:ind w:right="70"/>
              <w:spacing w:after="0"/>
              <w:rPr>
                <w:sz w:val="20"/>
                <w:szCs w:val="20"/>
                <w:color w:val="auto"/>
              </w:rPr>
            </w:pPr>
            <w:r>
              <w:rPr>
                <w:rFonts w:ascii="Arial" w:cs="Arial" w:eastAsia="Arial" w:hAnsi="Arial"/>
                <w:sz w:val="14"/>
                <w:szCs w:val="14"/>
                <w:color w:val="auto"/>
              </w:rPr>
              <w:t>9/3/2019</w:t>
            </w:r>
          </w:p>
        </w:tc>
        <w:tc>
          <w:tcPr>
            <w:tcW w:w="1480" w:type="dxa"/>
            <w:vAlign w:val="bottom"/>
            <w:tcBorders>
              <w:bottom w:val="single" w:sz="8" w:color="595959"/>
            </w:tcBorders>
          </w:tcPr>
          <w:p>
            <w:pPr>
              <w:spacing w:after="0"/>
              <w:rPr>
                <w:sz w:val="19"/>
                <w:szCs w:val="19"/>
                <w:color w:val="auto"/>
              </w:rPr>
            </w:pPr>
          </w:p>
        </w:tc>
        <w:tc>
          <w:tcPr>
            <w:tcW w:w="1360" w:type="dxa"/>
            <w:vAlign w:val="bottom"/>
            <w:tcBorders>
              <w:bottom w:val="single" w:sz="8" w:color="595959"/>
            </w:tcBorders>
          </w:tcPr>
          <w:p>
            <w:pPr>
              <w:spacing w:after="0"/>
              <w:rPr>
                <w:sz w:val="19"/>
                <w:szCs w:val="19"/>
                <w:color w:val="auto"/>
              </w:rPr>
            </w:pPr>
          </w:p>
        </w:tc>
        <w:tc>
          <w:tcPr>
            <w:tcW w:w="1860" w:type="dxa"/>
            <w:vAlign w:val="bottom"/>
            <w:tcBorders>
              <w:bottom w:val="single" w:sz="8" w:color="595959"/>
            </w:tcBorders>
          </w:tcPr>
          <w:p>
            <w:pPr>
              <w:jc w:val="right"/>
              <w:ind w:right="49"/>
              <w:spacing w:after="0" w:line="226" w:lineRule="exact"/>
              <w:rPr>
                <w:sz w:val="20"/>
                <w:szCs w:val="20"/>
                <w:color w:val="auto"/>
              </w:rPr>
            </w:pPr>
            <w:r>
              <w:rPr>
                <w:rFonts w:ascii="Arial" w:cs="Arial" w:eastAsia="Arial" w:hAnsi="Arial"/>
                <w:sz w:val="14"/>
                <w:szCs w:val="14"/>
                <w:color w:val="auto"/>
              </w:rPr>
              <w:t>22,246</w:t>
            </w:r>
            <w:r>
              <w:rPr>
                <w:rFonts w:ascii="Arial" w:cs="Arial" w:eastAsia="Arial" w:hAnsi="Arial"/>
                <w:sz w:val="23"/>
                <w:szCs w:val="23"/>
                <w:color w:val="auto"/>
                <w:vertAlign w:val="superscript"/>
              </w:rPr>
              <w:t>4</w:t>
            </w:r>
          </w:p>
        </w:tc>
        <w:tc>
          <w:tcPr>
            <w:tcW w:w="1580" w:type="dxa"/>
            <w:vAlign w:val="bottom"/>
            <w:tcBorders>
              <w:bottom w:val="single" w:sz="8" w:color="595959"/>
            </w:tcBorders>
          </w:tcPr>
          <w:p>
            <w:pPr>
              <w:jc w:val="right"/>
              <w:ind w:right="8"/>
              <w:spacing w:after="0"/>
              <w:rPr>
                <w:sz w:val="20"/>
                <w:szCs w:val="20"/>
                <w:color w:val="auto"/>
              </w:rPr>
            </w:pPr>
            <w:r>
              <w:rPr>
                <w:rFonts w:ascii="Arial" w:cs="Arial" w:eastAsia="Arial" w:hAnsi="Arial"/>
                <w:sz w:val="14"/>
                <w:szCs w:val="14"/>
                <w:color w:val="auto"/>
              </w:rPr>
              <w:t>6,026,441</w:t>
            </w:r>
          </w:p>
        </w:tc>
      </w:tr>
      <w:tr>
        <w:trPr>
          <w:trHeight w:val="226"/>
        </w:trPr>
        <w:tc>
          <w:tcPr>
            <w:tcW w:w="1660" w:type="dxa"/>
            <w:vAlign w:val="bottom"/>
          </w:tcPr>
          <w:p>
            <w:pPr>
              <w:spacing w:after="0"/>
              <w:rPr>
                <w:sz w:val="19"/>
                <w:szCs w:val="19"/>
                <w:color w:val="auto"/>
              </w:rPr>
            </w:pPr>
          </w:p>
        </w:tc>
        <w:tc>
          <w:tcPr>
            <w:tcW w:w="1100" w:type="dxa"/>
            <w:vAlign w:val="bottom"/>
            <w:tcBorders>
              <w:bottom w:val="single" w:sz="8" w:color="595959"/>
            </w:tcBorders>
          </w:tcPr>
          <w:p>
            <w:pPr>
              <w:jc w:val="right"/>
              <w:ind w:right="70"/>
              <w:spacing w:after="0"/>
              <w:rPr>
                <w:sz w:val="20"/>
                <w:szCs w:val="20"/>
                <w:color w:val="auto"/>
              </w:rPr>
            </w:pPr>
            <w:r>
              <w:rPr>
                <w:rFonts w:ascii="Arial" w:cs="Arial" w:eastAsia="Arial" w:hAnsi="Arial"/>
                <w:sz w:val="14"/>
                <w:szCs w:val="14"/>
                <w:color w:val="auto"/>
              </w:rPr>
              <w:t>9/18/2019</w:t>
            </w:r>
          </w:p>
        </w:tc>
        <w:tc>
          <w:tcPr>
            <w:tcW w:w="1480" w:type="dxa"/>
            <w:vAlign w:val="bottom"/>
            <w:tcBorders>
              <w:bottom w:val="single" w:sz="8" w:color="595959"/>
            </w:tcBorders>
          </w:tcPr>
          <w:p>
            <w:pPr>
              <w:jc w:val="right"/>
              <w:ind w:right="109"/>
              <w:spacing w:after="0" w:line="226" w:lineRule="exact"/>
              <w:rPr>
                <w:sz w:val="20"/>
                <w:szCs w:val="20"/>
                <w:color w:val="auto"/>
              </w:rPr>
            </w:pPr>
            <w:r>
              <w:rPr>
                <w:rFonts w:ascii="Arial" w:cs="Arial" w:eastAsia="Arial" w:hAnsi="Arial"/>
                <w:sz w:val="14"/>
                <w:szCs w:val="14"/>
                <w:color w:val="auto"/>
              </w:rPr>
              <w:t>20,855</w:t>
            </w:r>
            <w:r>
              <w:rPr>
                <w:rFonts w:ascii="Arial" w:cs="Arial" w:eastAsia="Arial" w:hAnsi="Arial"/>
                <w:sz w:val="23"/>
                <w:szCs w:val="23"/>
                <w:color w:val="auto"/>
                <w:vertAlign w:val="superscript"/>
              </w:rPr>
              <w:t>3</w:t>
            </w:r>
          </w:p>
        </w:tc>
        <w:tc>
          <w:tcPr>
            <w:tcW w:w="1360" w:type="dxa"/>
            <w:vAlign w:val="bottom"/>
            <w:tcBorders>
              <w:bottom w:val="single" w:sz="8" w:color="595959"/>
            </w:tcBorders>
          </w:tcPr>
          <w:p>
            <w:pPr>
              <w:jc w:val="right"/>
              <w:ind w:right="89"/>
              <w:spacing w:after="0"/>
              <w:rPr>
                <w:sz w:val="20"/>
                <w:szCs w:val="20"/>
                <w:color w:val="auto"/>
              </w:rPr>
            </w:pPr>
            <w:r>
              <w:rPr>
                <w:rFonts w:ascii="Arial" w:cs="Arial" w:eastAsia="Arial" w:hAnsi="Arial"/>
                <w:sz w:val="14"/>
                <w:szCs w:val="14"/>
                <w:color w:val="auto"/>
              </w:rPr>
              <w:t>5,649,620</w:t>
            </w:r>
          </w:p>
        </w:tc>
        <w:tc>
          <w:tcPr>
            <w:tcW w:w="1860" w:type="dxa"/>
            <w:vAlign w:val="bottom"/>
            <w:tcBorders>
              <w:bottom w:val="single" w:sz="8" w:color="595959"/>
            </w:tcBorders>
          </w:tcPr>
          <w:p>
            <w:pPr>
              <w:spacing w:after="0"/>
              <w:rPr>
                <w:sz w:val="19"/>
                <w:szCs w:val="19"/>
                <w:color w:val="auto"/>
              </w:rPr>
            </w:pPr>
          </w:p>
        </w:tc>
        <w:tc>
          <w:tcPr>
            <w:tcW w:w="1580" w:type="dxa"/>
            <w:vAlign w:val="bottom"/>
            <w:tcBorders>
              <w:bottom w:val="single" w:sz="8" w:color="595959"/>
            </w:tcBorders>
          </w:tcPr>
          <w:p>
            <w:pPr>
              <w:spacing w:after="0"/>
              <w:rPr>
                <w:sz w:val="19"/>
                <w:szCs w:val="19"/>
                <w:color w:val="auto"/>
              </w:rPr>
            </w:pPr>
          </w:p>
        </w:tc>
      </w:tr>
      <w:tr>
        <w:trPr>
          <w:trHeight w:val="226"/>
        </w:trPr>
        <w:tc>
          <w:tcPr>
            <w:tcW w:w="1660" w:type="dxa"/>
            <w:vAlign w:val="bottom"/>
          </w:tcPr>
          <w:p>
            <w:pPr>
              <w:spacing w:after="0"/>
              <w:rPr>
                <w:sz w:val="19"/>
                <w:szCs w:val="19"/>
                <w:color w:val="auto"/>
              </w:rPr>
            </w:pPr>
          </w:p>
        </w:tc>
        <w:tc>
          <w:tcPr>
            <w:tcW w:w="1100" w:type="dxa"/>
            <w:vAlign w:val="bottom"/>
            <w:tcBorders>
              <w:bottom w:val="single" w:sz="8" w:color="595959"/>
            </w:tcBorders>
          </w:tcPr>
          <w:p>
            <w:pPr>
              <w:jc w:val="right"/>
              <w:ind w:right="70"/>
              <w:spacing w:after="0"/>
              <w:rPr>
                <w:sz w:val="20"/>
                <w:szCs w:val="20"/>
                <w:color w:val="auto"/>
              </w:rPr>
            </w:pPr>
            <w:r>
              <w:rPr>
                <w:rFonts w:ascii="Arial" w:cs="Arial" w:eastAsia="Arial" w:hAnsi="Arial"/>
                <w:sz w:val="14"/>
                <w:szCs w:val="14"/>
                <w:color w:val="auto"/>
              </w:rPr>
              <w:t>9/14/2020</w:t>
            </w:r>
          </w:p>
        </w:tc>
        <w:tc>
          <w:tcPr>
            <w:tcW w:w="1480" w:type="dxa"/>
            <w:vAlign w:val="bottom"/>
            <w:tcBorders>
              <w:bottom w:val="single" w:sz="8" w:color="595959"/>
            </w:tcBorders>
          </w:tcPr>
          <w:p>
            <w:pPr>
              <w:jc w:val="right"/>
              <w:ind w:right="109"/>
              <w:spacing w:after="0" w:line="226" w:lineRule="exact"/>
              <w:rPr>
                <w:sz w:val="20"/>
                <w:szCs w:val="20"/>
                <w:color w:val="auto"/>
              </w:rPr>
            </w:pPr>
            <w:r>
              <w:rPr>
                <w:rFonts w:ascii="Arial" w:cs="Arial" w:eastAsia="Arial" w:hAnsi="Arial"/>
                <w:sz w:val="14"/>
                <w:szCs w:val="14"/>
                <w:color w:val="auto"/>
              </w:rPr>
              <w:t>27,935</w:t>
            </w:r>
            <w:r>
              <w:rPr>
                <w:rFonts w:ascii="Arial" w:cs="Arial" w:eastAsia="Arial" w:hAnsi="Arial"/>
                <w:sz w:val="23"/>
                <w:szCs w:val="23"/>
                <w:color w:val="auto"/>
                <w:vertAlign w:val="superscript"/>
              </w:rPr>
              <w:t>3</w:t>
            </w:r>
          </w:p>
        </w:tc>
        <w:tc>
          <w:tcPr>
            <w:tcW w:w="1360" w:type="dxa"/>
            <w:vAlign w:val="bottom"/>
            <w:tcBorders>
              <w:bottom w:val="single" w:sz="8" w:color="595959"/>
            </w:tcBorders>
          </w:tcPr>
          <w:p>
            <w:pPr>
              <w:jc w:val="right"/>
              <w:ind w:right="89"/>
              <w:spacing w:after="0"/>
              <w:rPr>
                <w:sz w:val="20"/>
                <w:szCs w:val="20"/>
                <w:color w:val="auto"/>
              </w:rPr>
            </w:pPr>
            <w:r>
              <w:rPr>
                <w:rFonts w:ascii="Arial" w:cs="Arial" w:eastAsia="Arial" w:hAnsi="Arial"/>
                <w:sz w:val="14"/>
                <w:szCs w:val="14"/>
                <w:color w:val="auto"/>
              </w:rPr>
              <w:t>7,567,592</w:t>
            </w:r>
          </w:p>
        </w:tc>
        <w:tc>
          <w:tcPr>
            <w:tcW w:w="1860" w:type="dxa"/>
            <w:vAlign w:val="bottom"/>
            <w:tcBorders>
              <w:bottom w:val="single" w:sz="8" w:color="595959"/>
            </w:tcBorders>
          </w:tcPr>
          <w:p>
            <w:pPr>
              <w:spacing w:after="0"/>
              <w:rPr>
                <w:sz w:val="19"/>
                <w:szCs w:val="19"/>
                <w:color w:val="auto"/>
              </w:rPr>
            </w:pPr>
          </w:p>
        </w:tc>
        <w:tc>
          <w:tcPr>
            <w:tcW w:w="1580" w:type="dxa"/>
            <w:vAlign w:val="bottom"/>
            <w:tcBorders>
              <w:bottom w:val="single" w:sz="8" w:color="595959"/>
            </w:tcBorders>
          </w:tcPr>
          <w:p>
            <w:pPr>
              <w:spacing w:after="0"/>
              <w:rPr>
                <w:sz w:val="19"/>
                <w:szCs w:val="19"/>
                <w:color w:val="auto"/>
              </w:rPr>
            </w:pPr>
          </w:p>
        </w:tc>
      </w:tr>
      <w:tr>
        <w:trPr>
          <w:trHeight w:val="226"/>
        </w:trPr>
        <w:tc>
          <w:tcPr>
            <w:tcW w:w="1660" w:type="dxa"/>
            <w:vAlign w:val="bottom"/>
            <w:tcBorders>
              <w:bottom w:val="single" w:sz="8" w:color="0075C9"/>
            </w:tcBorders>
          </w:tcPr>
          <w:p>
            <w:pPr>
              <w:spacing w:after="0"/>
              <w:rPr>
                <w:sz w:val="19"/>
                <w:szCs w:val="19"/>
                <w:color w:val="auto"/>
              </w:rPr>
            </w:pPr>
          </w:p>
        </w:tc>
        <w:tc>
          <w:tcPr>
            <w:tcW w:w="1100" w:type="dxa"/>
            <w:vAlign w:val="bottom"/>
            <w:tcBorders>
              <w:bottom w:val="single" w:sz="8" w:color="0075C9"/>
            </w:tcBorders>
          </w:tcPr>
          <w:p>
            <w:pPr>
              <w:jc w:val="right"/>
              <w:ind w:right="70"/>
              <w:spacing w:after="0"/>
              <w:rPr>
                <w:sz w:val="20"/>
                <w:szCs w:val="20"/>
                <w:color w:val="auto"/>
              </w:rPr>
            </w:pPr>
            <w:r>
              <w:rPr>
                <w:rFonts w:ascii="Arial" w:cs="Arial" w:eastAsia="Arial" w:hAnsi="Arial"/>
                <w:sz w:val="14"/>
                <w:szCs w:val="14"/>
                <w:color w:val="auto"/>
              </w:rPr>
              <w:t>9/14/2020</w:t>
            </w:r>
          </w:p>
        </w:tc>
        <w:tc>
          <w:tcPr>
            <w:tcW w:w="1480" w:type="dxa"/>
            <w:vAlign w:val="bottom"/>
            <w:tcBorders>
              <w:bottom w:val="single" w:sz="8" w:color="0075C9"/>
            </w:tcBorders>
          </w:tcPr>
          <w:p>
            <w:pPr>
              <w:spacing w:after="0"/>
              <w:rPr>
                <w:sz w:val="19"/>
                <w:szCs w:val="19"/>
                <w:color w:val="auto"/>
              </w:rPr>
            </w:pPr>
          </w:p>
        </w:tc>
        <w:tc>
          <w:tcPr>
            <w:tcW w:w="1360" w:type="dxa"/>
            <w:vAlign w:val="bottom"/>
            <w:tcBorders>
              <w:bottom w:val="single" w:sz="8" w:color="0075C9"/>
            </w:tcBorders>
          </w:tcPr>
          <w:p>
            <w:pPr>
              <w:spacing w:after="0"/>
              <w:rPr>
                <w:sz w:val="19"/>
                <w:szCs w:val="19"/>
                <w:color w:val="auto"/>
              </w:rPr>
            </w:pPr>
          </w:p>
        </w:tc>
        <w:tc>
          <w:tcPr>
            <w:tcW w:w="1860" w:type="dxa"/>
            <w:vAlign w:val="bottom"/>
            <w:tcBorders>
              <w:bottom w:val="single" w:sz="8" w:color="0075C9"/>
            </w:tcBorders>
          </w:tcPr>
          <w:p>
            <w:pPr>
              <w:jc w:val="right"/>
              <w:ind w:right="49"/>
              <w:spacing w:after="0" w:line="226" w:lineRule="exact"/>
              <w:rPr>
                <w:sz w:val="20"/>
                <w:szCs w:val="20"/>
                <w:color w:val="auto"/>
              </w:rPr>
            </w:pPr>
            <w:r>
              <w:rPr>
                <w:rFonts w:ascii="Arial" w:cs="Arial" w:eastAsia="Arial" w:hAnsi="Arial"/>
                <w:sz w:val="14"/>
                <w:szCs w:val="14"/>
                <w:color w:val="auto"/>
              </w:rPr>
              <w:t>9,312</w:t>
            </w:r>
            <w:r>
              <w:rPr>
                <w:rFonts w:ascii="Arial" w:cs="Arial" w:eastAsia="Arial" w:hAnsi="Arial"/>
                <w:sz w:val="23"/>
                <w:szCs w:val="23"/>
                <w:color w:val="auto"/>
                <w:vertAlign w:val="superscript"/>
              </w:rPr>
              <w:t>4</w:t>
            </w:r>
          </w:p>
        </w:tc>
        <w:tc>
          <w:tcPr>
            <w:tcW w:w="1580" w:type="dxa"/>
            <w:vAlign w:val="bottom"/>
            <w:tcBorders>
              <w:bottom w:val="single" w:sz="8" w:color="0075C9"/>
            </w:tcBorders>
          </w:tcPr>
          <w:p>
            <w:pPr>
              <w:jc w:val="right"/>
              <w:ind w:right="8"/>
              <w:spacing w:after="0"/>
              <w:rPr>
                <w:sz w:val="20"/>
                <w:szCs w:val="20"/>
                <w:color w:val="auto"/>
              </w:rPr>
            </w:pPr>
            <w:r>
              <w:rPr>
                <w:rFonts w:ascii="Arial" w:cs="Arial" w:eastAsia="Arial" w:hAnsi="Arial"/>
                <w:sz w:val="14"/>
                <w:szCs w:val="14"/>
                <w:color w:val="auto"/>
              </w:rPr>
              <w:t>2,552,621</w:t>
            </w:r>
          </w:p>
        </w:tc>
      </w:tr>
      <w:tr>
        <w:trPr>
          <w:trHeight w:val="226"/>
        </w:trPr>
        <w:tc>
          <w:tcPr>
            <w:tcW w:w="1660" w:type="dxa"/>
            <w:vAlign w:val="bottom"/>
          </w:tcPr>
          <w:p>
            <w:pPr>
              <w:ind w:left="80"/>
              <w:spacing w:after="0"/>
              <w:rPr>
                <w:sz w:val="20"/>
                <w:szCs w:val="20"/>
                <w:color w:val="auto"/>
              </w:rPr>
            </w:pPr>
            <w:r>
              <w:rPr>
                <w:rFonts w:ascii="Arial" w:cs="Arial" w:eastAsia="Arial" w:hAnsi="Arial"/>
                <w:sz w:val="14"/>
                <w:szCs w:val="14"/>
                <w:b w:val="1"/>
                <w:bCs w:val="1"/>
                <w:color w:val="0075C9"/>
              </w:rPr>
              <w:t>Christopher D. Young</w:t>
            </w:r>
          </w:p>
        </w:tc>
        <w:tc>
          <w:tcPr>
            <w:tcW w:w="1100" w:type="dxa"/>
            <w:vAlign w:val="bottom"/>
            <w:tcBorders>
              <w:bottom w:val="single" w:sz="8" w:color="595959"/>
            </w:tcBorders>
          </w:tcPr>
          <w:p>
            <w:pPr>
              <w:jc w:val="right"/>
              <w:ind w:right="70"/>
              <w:spacing w:after="0"/>
              <w:rPr>
                <w:sz w:val="20"/>
                <w:szCs w:val="20"/>
                <w:color w:val="auto"/>
              </w:rPr>
            </w:pPr>
            <w:r>
              <w:rPr>
                <w:rFonts w:ascii="Arial" w:cs="Arial" w:eastAsia="Arial" w:hAnsi="Arial"/>
                <w:sz w:val="14"/>
                <w:szCs w:val="14"/>
                <w:color w:val="auto"/>
              </w:rPr>
              <w:t>11/11/2020</w:t>
            </w:r>
          </w:p>
        </w:tc>
        <w:tc>
          <w:tcPr>
            <w:tcW w:w="1480" w:type="dxa"/>
            <w:vAlign w:val="bottom"/>
            <w:tcBorders>
              <w:bottom w:val="single" w:sz="8" w:color="595959"/>
            </w:tcBorders>
          </w:tcPr>
          <w:p>
            <w:pPr>
              <w:jc w:val="right"/>
              <w:ind w:right="109"/>
              <w:spacing w:after="0" w:line="226" w:lineRule="exact"/>
              <w:rPr>
                <w:sz w:val="20"/>
                <w:szCs w:val="20"/>
                <w:color w:val="auto"/>
              </w:rPr>
            </w:pPr>
            <w:r>
              <w:rPr>
                <w:rFonts w:ascii="Arial" w:cs="Arial" w:eastAsia="Arial" w:hAnsi="Arial"/>
                <w:sz w:val="14"/>
                <w:szCs w:val="14"/>
                <w:color w:val="auto"/>
              </w:rPr>
              <w:t>83,122</w:t>
            </w:r>
            <w:r>
              <w:rPr>
                <w:rFonts w:ascii="Arial" w:cs="Arial" w:eastAsia="Arial" w:hAnsi="Arial"/>
                <w:sz w:val="23"/>
                <w:szCs w:val="23"/>
                <w:color w:val="auto"/>
                <w:vertAlign w:val="superscript"/>
              </w:rPr>
              <w:t>8</w:t>
            </w:r>
          </w:p>
        </w:tc>
        <w:tc>
          <w:tcPr>
            <w:tcW w:w="1360" w:type="dxa"/>
            <w:vAlign w:val="bottom"/>
            <w:tcBorders>
              <w:bottom w:val="single" w:sz="8" w:color="595959"/>
            </w:tcBorders>
          </w:tcPr>
          <w:p>
            <w:pPr>
              <w:jc w:val="right"/>
              <w:ind w:right="89"/>
              <w:spacing w:after="0"/>
              <w:rPr>
                <w:sz w:val="20"/>
                <w:szCs w:val="20"/>
                <w:color w:val="auto"/>
              </w:rPr>
            </w:pPr>
            <w:r>
              <w:rPr>
                <w:rFonts w:ascii="Arial" w:cs="Arial" w:eastAsia="Arial" w:hAnsi="Arial"/>
                <w:sz w:val="14"/>
                <w:szCs w:val="14"/>
                <w:color w:val="auto"/>
              </w:rPr>
              <w:t>22,517,750</w:t>
            </w:r>
          </w:p>
        </w:tc>
        <w:tc>
          <w:tcPr>
            <w:tcW w:w="1860" w:type="dxa"/>
            <w:vAlign w:val="bottom"/>
            <w:tcBorders>
              <w:bottom w:val="single" w:sz="8" w:color="595959"/>
            </w:tcBorders>
          </w:tcPr>
          <w:p>
            <w:pPr>
              <w:spacing w:after="0"/>
              <w:rPr>
                <w:sz w:val="19"/>
                <w:szCs w:val="19"/>
                <w:color w:val="auto"/>
              </w:rPr>
            </w:pPr>
          </w:p>
        </w:tc>
        <w:tc>
          <w:tcPr>
            <w:tcW w:w="1580" w:type="dxa"/>
            <w:vAlign w:val="bottom"/>
            <w:tcBorders>
              <w:bottom w:val="single" w:sz="8" w:color="595959"/>
            </w:tcBorders>
          </w:tcPr>
          <w:p>
            <w:pPr>
              <w:spacing w:after="0"/>
              <w:rPr>
                <w:sz w:val="19"/>
                <w:szCs w:val="19"/>
                <w:color w:val="auto"/>
              </w:rPr>
            </w:pPr>
          </w:p>
        </w:tc>
      </w:tr>
      <w:tr>
        <w:trPr>
          <w:trHeight w:val="226"/>
        </w:trPr>
        <w:tc>
          <w:tcPr>
            <w:tcW w:w="1660" w:type="dxa"/>
            <w:vAlign w:val="bottom"/>
          </w:tcPr>
          <w:p>
            <w:pPr>
              <w:spacing w:after="0"/>
              <w:rPr>
                <w:sz w:val="19"/>
                <w:szCs w:val="19"/>
                <w:color w:val="auto"/>
              </w:rPr>
            </w:pPr>
          </w:p>
        </w:tc>
        <w:tc>
          <w:tcPr>
            <w:tcW w:w="1100" w:type="dxa"/>
            <w:vAlign w:val="bottom"/>
            <w:tcBorders>
              <w:bottom w:val="single" w:sz="8" w:color="595959"/>
            </w:tcBorders>
          </w:tcPr>
          <w:p>
            <w:pPr>
              <w:jc w:val="right"/>
              <w:ind w:right="70"/>
              <w:spacing w:after="0"/>
              <w:rPr>
                <w:sz w:val="20"/>
                <w:szCs w:val="20"/>
                <w:color w:val="auto"/>
              </w:rPr>
            </w:pPr>
            <w:r>
              <w:rPr>
                <w:rFonts w:ascii="Arial" w:cs="Arial" w:eastAsia="Arial" w:hAnsi="Arial"/>
                <w:sz w:val="14"/>
                <w:szCs w:val="14"/>
                <w:color w:val="auto"/>
              </w:rPr>
              <w:t>11/11/2020</w:t>
            </w:r>
          </w:p>
        </w:tc>
        <w:tc>
          <w:tcPr>
            <w:tcW w:w="1480" w:type="dxa"/>
            <w:vAlign w:val="bottom"/>
            <w:tcBorders>
              <w:bottom w:val="single" w:sz="8" w:color="595959"/>
            </w:tcBorders>
          </w:tcPr>
          <w:p>
            <w:pPr>
              <w:jc w:val="right"/>
              <w:ind w:right="109"/>
              <w:spacing w:after="0" w:line="226" w:lineRule="exact"/>
              <w:rPr>
                <w:sz w:val="20"/>
                <w:szCs w:val="20"/>
                <w:color w:val="auto"/>
              </w:rPr>
            </w:pPr>
            <w:r>
              <w:rPr>
                <w:rFonts w:ascii="Arial" w:cs="Arial" w:eastAsia="Arial" w:hAnsi="Arial"/>
                <w:sz w:val="14"/>
                <w:szCs w:val="14"/>
                <w:color w:val="auto"/>
              </w:rPr>
              <w:t>17,318</w:t>
            </w:r>
            <w:r>
              <w:rPr>
                <w:rFonts w:ascii="Arial" w:cs="Arial" w:eastAsia="Arial" w:hAnsi="Arial"/>
                <w:sz w:val="23"/>
                <w:szCs w:val="23"/>
                <w:color w:val="auto"/>
                <w:vertAlign w:val="superscript"/>
              </w:rPr>
              <w:t>3</w:t>
            </w:r>
          </w:p>
        </w:tc>
        <w:tc>
          <w:tcPr>
            <w:tcW w:w="1360" w:type="dxa"/>
            <w:vAlign w:val="bottom"/>
            <w:tcBorders>
              <w:bottom w:val="single" w:sz="8" w:color="595959"/>
            </w:tcBorders>
          </w:tcPr>
          <w:p>
            <w:pPr>
              <w:jc w:val="right"/>
              <w:ind w:right="89"/>
              <w:spacing w:after="0"/>
              <w:rPr>
                <w:sz w:val="20"/>
                <w:szCs w:val="20"/>
                <w:color w:val="auto"/>
              </w:rPr>
            </w:pPr>
            <w:r>
              <w:rPr>
                <w:rFonts w:ascii="Arial" w:cs="Arial" w:eastAsia="Arial" w:hAnsi="Arial"/>
                <w:sz w:val="14"/>
                <w:szCs w:val="14"/>
                <w:color w:val="auto"/>
              </w:rPr>
              <w:t>4,691,446</w:t>
            </w:r>
          </w:p>
        </w:tc>
        <w:tc>
          <w:tcPr>
            <w:tcW w:w="1860" w:type="dxa"/>
            <w:vAlign w:val="bottom"/>
            <w:tcBorders>
              <w:bottom w:val="single" w:sz="8" w:color="595959"/>
            </w:tcBorders>
          </w:tcPr>
          <w:p>
            <w:pPr>
              <w:spacing w:after="0"/>
              <w:rPr>
                <w:sz w:val="19"/>
                <w:szCs w:val="19"/>
                <w:color w:val="auto"/>
              </w:rPr>
            </w:pPr>
          </w:p>
        </w:tc>
        <w:tc>
          <w:tcPr>
            <w:tcW w:w="1580" w:type="dxa"/>
            <w:vAlign w:val="bottom"/>
            <w:tcBorders>
              <w:bottom w:val="single" w:sz="8" w:color="595959"/>
            </w:tcBorders>
          </w:tcPr>
          <w:p>
            <w:pPr>
              <w:spacing w:after="0"/>
              <w:rPr>
                <w:sz w:val="19"/>
                <w:szCs w:val="19"/>
                <w:color w:val="auto"/>
              </w:rPr>
            </w:pPr>
          </w:p>
        </w:tc>
      </w:tr>
      <w:tr>
        <w:trPr>
          <w:trHeight w:val="226"/>
        </w:trPr>
        <w:tc>
          <w:tcPr>
            <w:tcW w:w="1660" w:type="dxa"/>
            <w:vAlign w:val="bottom"/>
            <w:tcBorders>
              <w:bottom w:val="single" w:sz="8" w:color="0075C9"/>
            </w:tcBorders>
          </w:tcPr>
          <w:p>
            <w:pPr>
              <w:spacing w:after="0"/>
              <w:rPr>
                <w:sz w:val="19"/>
                <w:szCs w:val="19"/>
                <w:color w:val="auto"/>
              </w:rPr>
            </w:pPr>
          </w:p>
        </w:tc>
        <w:tc>
          <w:tcPr>
            <w:tcW w:w="1100" w:type="dxa"/>
            <w:vAlign w:val="bottom"/>
            <w:tcBorders>
              <w:bottom w:val="single" w:sz="8" w:color="0075C9"/>
            </w:tcBorders>
          </w:tcPr>
          <w:p>
            <w:pPr>
              <w:jc w:val="right"/>
              <w:ind w:right="70"/>
              <w:spacing w:after="0"/>
              <w:rPr>
                <w:sz w:val="20"/>
                <w:szCs w:val="20"/>
                <w:color w:val="auto"/>
              </w:rPr>
            </w:pPr>
            <w:r>
              <w:rPr>
                <w:rFonts w:ascii="Arial" w:cs="Arial" w:eastAsia="Arial" w:hAnsi="Arial"/>
                <w:sz w:val="14"/>
                <w:szCs w:val="14"/>
                <w:color w:val="auto"/>
              </w:rPr>
              <w:t>11/11/2020</w:t>
            </w:r>
          </w:p>
        </w:tc>
        <w:tc>
          <w:tcPr>
            <w:tcW w:w="1480" w:type="dxa"/>
            <w:vAlign w:val="bottom"/>
            <w:tcBorders>
              <w:bottom w:val="single" w:sz="8" w:color="0075C9"/>
            </w:tcBorders>
          </w:tcPr>
          <w:p>
            <w:pPr>
              <w:spacing w:after="0"/>
              <w:rPr>
                <w:sz w:val="19"/>
                <w:szCs w:val="19"/>
                <w:color w:val="auto"/>
              </w:rPr>
            </w:pPr>
          </w:p>
        </w:tc>
        <w:tc>
          <w:tcPr>
            <w:tcW w:w="1360" w:type="dxa"/>
            <w:vAlign w:val="bottom"/>
            <w:tcBorders>
              <w:bottom w:val="single" w:sz="8" w:color="0075C9"/>
            </w:tcBorders>
          </w:tcPr>
          <w:p>
            <w:pPr>
              <w:spacing w:after="0"/>
              <w:rPr>
                <w:sz w:val="19"/>
                <w:szCs w:val="19"/>
                <w:color w:val="auto"/>
              </w:rPr>
            </w:pPr>
          </w:p>
        </w:tc>
        <w:tc>
          <w:tcPr>
            <w:tcW w:w="1860" w:type="dxa"/>
            <w:vAlign w:val="bottom"/>
            <w:tcBorders>
              <w:bottom w:val="single" w:sz="8" w:color="0075C9"/>
            </w:tcBorders>
          </w:tcPr>
          <w:p>
            <w:pPr>
              <w:jc w:val="right"/>
              <w:ind w:right="49"/>
              <w:spacing w:after="0" w:line="226" w:lineRule="exact"/>
              <w:rPr>
                <w:sz w:val="20"/>
                <w:szCs w:val="20"/>
                <w:color w:val="auto"/>
              </w:rPr>
            </w:pPr>
            <w:r>
              <w:rPr>
                <w:rFonts w:ascii="Arial" w:cs="Arial" w:eastAsia="Arial" w:hAnsi="Arial"/>
                <w:sz w:val="14"/>
                <w:szCs w:val="14"/>
                <w:color w:val="auto"/>
              </w:rPr>
              <w:t>5,772</w:t>
            </w:r>
            <w:r>
              <w:rPr>
                <w:rFonts w:ascii="Arial" w:cs="Arial" w:eastAsia="Arial" w:hAnsi="Arial"/>
                <w:sz w:val="23"/>
                <w:szCs w:val="23"/>
                <w:color w:val="auto"/>
                <w:vertAlign w:val="superscript"/>
              </w:rPr>
              <w:t>4</w:t>
            </w:r>
          </w:p>
        </w:tc>
        <w:tc>
          <w:tcPr>
            <w:tcW w:w="1580" w:type="dxa"/>
            <w:vAlign w:val="bottom"/>
            <w:tcBorders>
              <w:bottom w:val="single" w:sz="8" w:color="0075C9"/>
            </w:tcBorders>
          </w:tcPr>
          <w:p>
            <w:pPr>
              <w:jc w:val="right"/>
              <w:ind w:right="8"/>
              <w:spacing w:after="0"/>
              <w:rPr>
                <w:sz w:val="20"/>
                <w:szCs w:val="20"/>
                <w:color w:val="auto"/>
              </w:rPr>
            </w:pPr>
            <w:r>
              <w:rPr>
                <w:rFonts w:ascii="Arial" w:cs="Arial" w:eastAsia="Arial" w:hAnsi="Arial"/>
                <w:sz w:val="14"/>
                <w:szCs w:val="14"/>
                <w:color w:val="auto"/>
              </w:rPr>
              <w:t>1,563,906</w:t>
            </w:r>
          </w:p>
        </w:tc>
      </w:tr>
    </w:tbl>
    <w:p>
      <w:pPr>
        <w:spacing w:after="0" w:line="72" w:lineRule="exact"/>
        <w:rPr>
          <w:sz w:val="20"/>
          <w:szCs w:val="20"/>
          <w:color w:val="auto"/>
        </w:rPr>
      </w:pPr>
    </w:p>
    <w:p>
      <w:pPr>
        <w:ind w:left="1360" w:hanging="258"/>
        <w:spacing w:after="0"/>
        <w:tabs>
          <w:tab w:leader="none" w:pos="1360" w:val="left"/>
        </w:tabs>
        <w:numPr>
          <w:ilvl w:val="0"/>
          <w:numId w:val="86"/>
        </w:numPr>
        <w:rPr>
          <w:rFonts w:ascii="Arial" w:cs="Arial" w:eastAsia="Arial" w:hAnsi="Arial"/>
          <w:sz w:val="12"/>
          <w:szCs w:val="12"/>
          <w:color w:val="auto"/>
        </w:rPr>
      </w:pPr>
      <w:r>
        <w:rPr>
          <w:rFonts w:ascii="Arial" w:cs="Arial" w:eastAsia="Arial" w:hAnsi="Arial"/>
          <w:sz w:val="12"/>
          <w:szCs w:val="12"/>
          <w:color w:val="auto"/>
        </w:rPr>
        <w:t>PSAs with a grant date in fiscal years 2021, 2020 or 2019 are reported assuming payout at target award levels.</w:t>
      </w:r>
    </w:p>
    <w:p>
      <w:pPr>
        <w:spacing w:after="0" w:line="69" w:lineRule="exact"/>
        <w:rPr>
          <w:rFonts w:ascii="Arial" w:cs="Arial" w:eastAsia="Arial" w:hAnsi="Arial"/>
          <w:sz w:val="12"/>
          <w:szCs w:val="12"/>
          <w:color w:val="auto"/>
        </w:rPr>
      </w:pPr>
    </w:p>
    <w:p>
      <w:pPr>
        <w:ind w:left="1360" w:hanging="258"/>
        <w:spacing w:after="0"/>
        <w:tabs>
          <w:tab w:leader="none" w:pos="1360" w:val="left"/>
        </w:tabs>
        <w:numPr>
          <w:ilvl w:val="0"/>
          <w:numId w:val="86"/>
        </w:numPr>
        <w:rPr>
          <w:rFonts w:ascii="Arial" w:cs="Arial" w:eastAsia="Arial" w:hAnsi="Arial"/>
          <w:sz w:val="12"/>
          <w:szCs w:val="12"/>
          <w:color w:val="auto"/>
        </w:rPr>
      </w:pPr>
      <w:r>
        <w:rPr>
          <w:rFonts w:ascii="Arial" w:cs="Arial" w:eastAsia="Arial" w:hAnsi="Arial"/>
          <w:sz w:val="12"/>
          <w:szCs w:val="12"/>
          <w:color w:val="auto"/>
        </w:rPr>
        <w:t>The market value is the number of shares shown in the table multiplied by $270.90, the closing market price of Microsoft common stock on June 30, 2021.</w:t>
      </w:r>
    </w:p>
    <w:p>
      <w:pPr>
        <w:spacing w:after="0" w:line="69" w:lineRule="exact"/>
        <w:rPr>
          <w:rFonts w:ascii="Arial" w:cs="Arial" w:eastAsia="Arial" w:hAnsi="Arial"/>
          <w:sz w:val="12"/>
          <w:szCs w:val="12"/>
          <w:color w:val="auto"/>
        </w:rPr>
      </w:pPr>
    </w:p>
    <w:p>
      <w:pPr>
        <w:ind w:left="1360" w:hanging="258"/>
        <w:spacing w:after="0"/>
        <w:tabs>
          <w:tab w:leader="none" w:pos="1360" w:val="left"/>
        </w:tabs>
        <w:numPr>
          <w:ilvl w:val="0"/>
          <w:numId w:val="86"/>
        </w:numPr>
        <w:rPr>
          <w:rFonts w:ascii="Arial" w:cs="Arial" w:eastAsia="Arial" w:hAnsi="Arial"/>
          <w:sz w:val="12"/>
          <w:szCs w:val="12"/>
          <w:color w:val="auto"/>
        </w:rPr>
      </w:pPr>
      <w:r>
        <w:rPr>
          <w:rFonts w:ascii="Arial" w:cs="Arial" w:eastAsia="Arial" w:hAnsi="Arial"/>
          <w:sz w:val="12"/>
          <w:szCs w:val="12"/>
          <w:color w:val="auto"/>
        </w:rPr>
        <w:t>Vests 25% one year from the last business day of August preceding the award date and 12.5% semi-annually thereafter.</w:t>
      </w:r>
    </w:p>
    <w:p>
      <w:pPr>
        <w:spacing w:after="0" w:line="69" w:lineRule="exact"/>
        <w:rPr>
          <w:rFonts w:ascii="Arial" w:cs="Arial" w:eastAsia="Arial" w:hAnsi="Arial"/>
          <w:sz w:val="12"/>
          <w:szCs w:val="12"/>
          <w:color w:val="auto"/>
        </w:rPr>
      </w:pPr>
    </w:p>
    <w:p>
      <w:pPr>
        <w:ind w:left="1360" w:hanging="258"/>
        <w:spacing w:after="0"/>
        <w:tabs>
          <w:tab w:leader="none" w:pos="1360" w:val="left"/>
        </w:tabs>
        <w:numPr>
          <w:ilvl w:val="0"/>
          <w:numId w:val="86"/>
        </w:numPr>
        <w:rPr>
          <w:rFonts w:ascii="Arial" w:cs="Arial" w:eastAsia="Arial" w:hAnsi="Arial"/>
          <w:sz w:val="12"/>
          <w:szCs w:val="12"/>
          <w:color w:val="auto"/>
        </w:rPr>
      </w:pPr>
      <w:r>
        <w:rPr>
          <w:rFonts w:ascii="Arial" w:cs="Arial" w:eastAsia="Arial" w:hAnsi="Arial"/>
          <w:sz w:val="12"/>
          <w:szCs w:val="12"/>
          <w:color w:val="auto"/>
        </w:rPr>
        <w:t>Award shares that are earned vest in full following the three-year performance period.</w:t>
      </w:r>
    </w:p>
    <w:p>
      <w:pPr>
        <w:spacing w:after="0" w:line="69" w:lineRule="exact"/>
        <w:rPr>
          <w:rFonts w:ascii="Arial" w:cs="Arial" w:eastAsia="Arial" w:hAnsi="Arial"/>
          <w:sz w:val="12"/>
          <w:szCs w:val="12"/>
          <w:color w:val="auto"/>
        </w:rPr>
      </w:pPr>
    </w:p>
    <w:p>
      <w:pPr>
        <w:ind w:left="1360" w:hanging="258"/>
        <w:spacing w:after="0"/>
        <w:tabs>
          <w:tab w:leader="none" w:pos="1360" w:val="left"/>
        </w:tabs>
        <w:numPr>
          <w:ilvl w:val="0"/>
          <w:numId w:val="86"/>
        </w:numPr>
        <w:rPr>
          <w:rFonts w:ascii="Arial" w:cs="Arial" w:eastAsia="Arial" w:hAnsi="Arial"/>
          <w:sz w:val="12"/>
          <w:szCs w:val="12"/>
          <w:color w:val="auto"/>
        </w:rPr>
      </w:pPr>
      <w:r>
        <w:rPr>
          <w:rFonts w:ascii="Arial" w:cs="Arial" w:eastAsia="Arial" w:hAnsi="Arial"/>
          <w:sz w:val="12"/>
          <w:szCs w:val="12"/>
          <w:color w:val="auto"/>
        </w:rPr>
        <w:t>Vests 10% on the last day of February following the award date and 10% semi-annually thereafter.</w:t>
      </w:r>
    </w:p>
    <w:p>
      <w:pPr>
        <w:spacing w:after="0" w:line="69" w:lineRule="exact"/>
        <w:rPr>
          <w:rFonts w:ascii="Arial" w:cs="Arial" w:eastAsia="Arial" w:hAnsi="Arial"/>
          <w:sz w:val="12"/>
          <w:szCs w:val="12"/>
          <w:color w:val="auto"/>
        </w:rPr>
      </w:pPr>
    </w:p>
    <w:p>
      <w:pPr>
        <w:ind w:left="1360" w:hanging="258"/>
        <w:spacing w:after="0"/>
        <w:tabs>
          <w:tab w:leader="none" w:pos="1360" w:val="left"/>
        </w:tabs>
        <w:numPr>
          <w:ilvl w:val="0"/>
          <w:numId w:val="86"/>
        </w:numPr>
        <w:rPr>
          <w:rFonts w:ascii="Arial" w:cs="Arial" w:eastAsia="Arial" w:hAnsi="Arial"/>
          <w:sz w:val="12"/>
          <w:szCs w:val="12"/>
          <w:color w:val="auto"/>
        </w:rPr>
      </w:pPr>
      <w:r>
        <w:rPr>
          <w:rFonts w:ascii="Arial" w:cs="Arial" w:eastAsia="Arial" w:hAnsi="Arial"/>
          <w:sz w:val="12"/>
          <w:szCs w:val="12"/>
          <w:color w:val="auto"/>
        </w:rPr>
        <w:t>Vests 12.5% on September 18, 2021, 12.5% on March 18, 2022, and 12.5% semi-annually thereafter.</w:t>
      </w:r>
    </w:p>
    <w:p>
      <w:pPr>
        <w:spacing w:after="0" w:line="69" w:lineRule="exact"/>
        <w:rPr>
          <w:rFonts w:ascii="Arial" w:cs="Arial" w:eastAsia="Arial" w:hAnsi="Arial"/>
          <w:sz w:val="12"/>
          <w:szCs w:val="12"/>
          <w:color w:val="auto"/>
        </w:rPr>
      </w:pPr>
    </w:p>
    <w:p>
      <w:pPr>
        <w:ind w:left="1360" w:hanging="258"/>
        <w:spacing w:after="0"/>
        <w:tabs>
          <w:tab w:leader="none" w:pos="1360" w:val="left"/>
        </w:tabs>
        <w:numPr>
          <w:ilvl w:val="0"/>
          <w:numId w:val="86"/>
        </w:numPr>
        <w:rPr>
          <w:rFonts w:ascii="Arial" w:cs="Arial" w:eastAsia="Arial" w:hAnsi="Arial"/>
          <w:sz w:val="12"/>
          <w:szCs w:val="12"/>
          <w:color w:val="auto"/>
        </w:rPr>
      </w:pPr>
      <w:r>
        <w:rPr>
          <w:rFonts w:ascii="Arial" w:cs="Arial" w:eastAsia="Arial" w:hAnsi="Arial"/>
          <w:sz w:val="12"/>
          <w:szCs w:val="12"/>
          <w:color w:val="auto"/>
        </w:rPr>
        <w:t>Vests 25% on September 14, 2021, 12.5% on March 18, 2021, and 12.5% semi-annually thereafter.</w:t>
      </w:r>
    </w:p>
    <w:p>
      <w:pPr>
        <w:spacing w:after="0" w:line="69" w:lineRule="exact"/>
        <w:rPr>
          <w:rFonts w:ascii="Arial" w:cs="Arial" w:eastAsia="Arial" w:hAnsi="Arial"/>
          <w:sz w:val="12"/>
          <w:szCs w:val="12"/>
          <w:color w:val="auto"/>
        </w:rPr>
      </w:pPr>
    </w:p>
    <w:p>
      <w:pPr>
        <w:ind w:left="1360" w:hanging="258"/>
        <w:spacing w:after="0"/>
        <w:tabs>
          <w:tab w:leader="none" w:pos="1360" w:val="left"/>
        </w:tabs>
        <w:numPr>
          <w:ilvl w:val="0"/>
          <w:numId w:val="86"/>
        </w:numPr>
        <w:rPr>
          <w:rFonts w:ascii="Arial" w:cs="Arial" w:eastAsia="Arial" w:hAnsi="Arial"/>
          <w:sz w:val="12"/>
          <w:szCs w:val="12"/>
          <w:color w:val="auto"/>
        </w:rPr>
      </w:pPr>
      <w:r>
        <w:rPr>
          <w:rFonts w:ascii="Arial" w:cs="Arial" w:eastAsia="Arial" w:hAnsi="Arial"/>
          <w:sz w:val="12"/>
          <w:szCs w:val="12"/>
          <w:color w:val="auto"/>
        </w:rPr>
        <w:t>Vests 25% on November 11, 2021 and 25% annually thereafter.</w:t>
      </w:r>
    </w:p>
    <w:p>
      <w:pPr>
        <w:sectPr>
          <w:pgSz w:w="11900" w:h="16838" w:orient="portrait"/>
          <w:cols w:equalWidth="0" w:num="1">
            <w:col w:w="10280"/>
          </w:cols>
          <w:pgMar w:left="320" w:top="445" w:right="129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ind w:left="8240"/>
        <w:spacing w:after="0"/>
        <w:tabs>
          <w:tab w:leader="none" w:pos="10120" w:val="left"/>
        </w:tabs>
        <w:rPr>
          <w:sz w:val="20"/>
          <w:szCs w:val="20"/>
          <w:color w:val="auto"/>
        </w:rPr>
      </w:pPr>
      <w:r>
        <w:rPr>
          <w:rFonts w:ascii="Arial" w:cs="Arial" w:eastAsia="Arial" w:hAnsi="Arial"/>
          <w:sz w:val="14"/>
          <w:szCs w:val="14"/>
          <w:color w:val="auto"/>
        </w:rPr>
        <w:t>2021 PROXY STATEMENT</w:t>
      </w:r>
      <w:r>
        <w:rPr>
          <w:sz w:val="20"/>
          <w:szCs w:val="20"/>
          <w:color w:val="auto"/>
        </w:rPr>
        <w:tab/>
      </w:r>
      <w:r>
        <w:rPr>
          <w:rFonts w:ascii="Arial" w:cs="Arial" w:eastAsia="Arial" w:hAnsi="Arial"/>
          <w:sz w:val="12"/>
          <w:szCs w:val="12"/>
          <w:b w:val="1"/>
          <w:bCs w:val="1"/>
          <w:color w:val="0075C9"/>
        </w:rPr>
        <w:t>57</w:t>
      </w:r>
    </w:p>
    <w:p>
      <w:pPr>
        <w:sectPr>
          <w:pgSz w:w="11900" w:h="16838" w:orient="portrait"/>
          <w:cols w:equalWidth="0" w:num="1">
            <w:col w:w="10280"/>
          </w:cols>
          <w:pgMar w:left="320" w:top="445" w:right="1299" w:bottom="1440" w:gutter="0" w:footer="0" w:header="0"/>
          <w:type w:val="continuous"/>
        </w:sectPr>
      </w:pPr>
    </w:p>
    <w:bookmarkStart w:id="65" w:name="page66"/>
    <w:bookmarkEnd w:id="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auto"/>
                <w:w w:val="89"/>
              </w:rPr>
              <w:t>1</w:t>
            </w:r>
          </w:p>
        </w:tc>
        <w:tc>
          <w:tcPr>
            <w:tcW w:w="1380" w:type="dxa"/>
            <w:vAlign w:val="bottom"/>
            <w:vMerge w:val="restart"/>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gridSpan w:val="2"/>
          </w:tcPr>
          <w:p>
            <w:pPr>
              <w:jc w:val="right"/>
              <w:ind w:right="80"/>
              <w:spacing w:after="0"/>
              <w:rPr>
                <w:sz w:val="20"/>
                <w:szCs w:val="20"/>
                <w:color w:val="auto"/>
              </w:rPr>
            </w:pPr>
            <w:r>
              <w:rPr>
                <w:rFonts w:ascii="Arial" w:cs="Arial" w:eastAsia="Arial" w:hAnsi="Arial"/>
                <w:sz w:val="36"/>
                <w:szCs w:val="36"/>
                <w:color w:val="0075C9"/>
              </w:rPr>
              <w:t>2</w:t>
            </w:r>
          </w:p>
        </w:tc>
        <w:tc>
          <w:tcPr>
            <w:tcW w:w="1320" w:type="dxa"/>
            <w:vAlign w:val="bottom"/>
            <w:vMerge w:val="restart"/>
          </w:tcPr>
          <w:p>
            <w:pPr>
              <w:ind w:left="60"/>
              <w:spacing w:after="0"/>
              <w:rPr>
                <w:sz w:val="20"/>
                <w:szCs w:val="20"/>
                <w:color w:val="auto"/>
              </w:rPr>
            </w:pPr>
            <w:r>
              <w:rPr>
                <w:rFonts w:ascii="Arial" w:cs="Arial" w:eastAsia="Arial" w:hAnsi="Arial"/>
                <w:sz w:val="12"/>
                <w:szCs w:val="12"/>
                <w:color w:val="0075C9"/>
              </w:rPr>
              <w:t>NAMED</w:t>
            </w:r>
          </w:p>
        </w:tc>
        <w:tc>
          <w:tcPr>
            <w:tcW w:w="740" w:type="dxa"/>
            <w:vAlign w:val="bottom"/>
          </w:tcPr>
          <w:p>
            <w:pPr>
              <w:jc w:val="right"/>
              <w:spacing w:after="0"/>
              <w:rPr>
                <w:sz w:val="20"/>
                <w:szCs w:val="20"/>
                <w:color w:val="auto"/>
              </w:rPr>
            </w:pPr>
            <w:r>
              <w:rPr>
                <w:rFonts w:ascii="Arial" w:cs="Arial" w:eastAsia="Arial" w:hAnsi="Arial"/>
                <w:sz w:val="36"/>
                <w:szCs w:val="36"/>
                <w:color w:val="auto"/>
              </w:rPr>
              <w:t>3</w:t>
            </w:r>
          </w:p>
        </w:tc>
        <w:tc>
          <w:tcPr>
            <w:tcW w:w="1020" w:type="dxa"/>
            <w:vAlign w:val="bottom"/>
            <w:vMerge w:val="restart"/>
          </w:tcPr>
          <w:p>
            <w:pPr>
              <w:ind w:left="60"/>
              <w:spacing w:after="0"/>
              <w:rPr>
                <w:sz w:val="20"/>
                <w:szCs w:val="20"/>
                <w:color w:val="auto"/>
              </w:rPr>
            </w:pPr>
            <w:r>
              <w:rPr>
                <w:rFonts w:ascii="Arial" w:cs="Arial" w:eastAsia="Arial" w:hAnsi="Arial"/>
                <w:sz w:val="12"/>
                <w:szCs w:val="12"/>
                <w:color w:val="auto"/>
              </w:rPr>
              <w:t>AUDIT</w:t>
            </w:r>
          </w:p>
        </w:tc>
        <w:tc>
          <w:tcPr>
            <w:tcW w:w="500" w:type="dxa"/>
            <w:vAlign w:val="bottom"/>
          </w:tcPr>
          <w:p>
            <w:pPr>
              <w:jc w:val="right"/>
              <w:spacing w:after="0"/>
              <w:rPr>
                <w:sz w:val="20"/>
                <w:szCs w:val="20"/>
                <w:color w:val="auto"/>
              </w:rPr>
            </w:pPr>
            <w:r>
              <w:rPr>
                <w:rFonts w:ascii="Arial" w:cs="Arial" w:eastAsia="Arial" w:hAnsi="Arial"/>
                <w:sz w:val="36"/>
                <w:szCs w:val="36"/>
                <w:color w:val="auto"/>
              </w:rPr>
              <w:t>4</w:t>
            </w:r>
          </w:p>
        </w:tc>
        <w:tc>
          <w:tcPr>
            <w:tcW w:w="1580" w:type="dxa"/>
            <w:vAlign w:val="bottom"/>
            <w:vMerge w:val="restart"/>
          </w:tcPr>
          <w:p>
            <w:pPr>
              <w:ind w:left="80"/>
              <w:spacing w:after="0"/>
              <w:rPr>
                <w:sz w:val="20"/>
                <w:szCs w:val="20"/>
                <w:color w:val="auto"/>
              </w:rPr>
            </w:pPr>
            <w:r>
              <w:rPr>
                <w:rFonts w:ascii="Arial" w:cs="Arial" w:eastAsia="Arial" w:hAnsi="Arial"/>
                <w:sz w:val="12"/>
                <w:szCs w:val="12"/>
                <w:color w:val="auto"/>
              </w:rPr>
              <w:t>PROPOSALS TO</w:t>
            </w:r>
          </w:p>
        </w:tc>
        <w:tc>
          <w:tcPr>
            <w:tcW w:w="420" w:type="dxa"/>
            <w:vAlign w:val="bottom"/>
          </w:tcPr>
          <w:p>
            <w:pPr>
              <w:jc w:val="right"/>
              <w:spacing w:after="0"/>
              <w:rPr>
                <w:sz w:val="20"/>
                <w:szCs w:val="20"/>
                <w:color w:val="auto"/>
              </w:rPr>
            </w:pPr>
            <w:r>
              <w:rPr>
                <w:rFonts w:ascii="Arial" w:cs="Arial" w:eastAsia="Arial" w:hAnsi="Arial"/>
                <w:sz w:val="36"/>
                <w:szCs w:val="36"/>
                <w:color w:val="auto"/>
              </w:rPr>
              <w:t>5</w:t>
            </w:r>
          </w:p>
        </w:tc>
        <w:tc>
          <w:tcPr>
            <w:tcW w:w="920" w:type="dxa"/>
            <w:vAlign w:val="bottom"/>
            <w:vMerge w:val="restart"/>
          </w:tcPr>
          <w:p>
            <w:pPr>
              <w:ind w:left="8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38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tcPr>
          <w:p>
            <w:pPr>
              <w:ind w:left="60"/>
              <w:spacing w:after="0" w:line="130" w:lineRule="exact"/>
              <w:rPr>
                <w:sz w:val="20"/>
                <w:szCs w:val="20"/>
                <w:color w:val="auto"/>
              </w:rPr>
            </w:pPr>
            <w:r>
              <w:rPr>
                <w:rFonts w:ascii="Arial" w:cs="Arial" w:eastAsia="Arial" w:hAnsi="Arial"/>
                <w:sz w:val="12"/>
                <w:szCs w:val="12"/>
                <w:color w:val="0075C9"/>
                <w:w w:val="99"/>
              </w:rPr>
              <w:t>EXECUTIVE OFFICER</w:t>
            </w:r>
          </w:p>
        </w:tc>
        <w:tc>
          <w:tcPr>
            <w:tcW w:w="740" w:type="dxa"/>
            <w:vAlign w:val="bottom"/>
          </w:tcPr>
          <w:p>
            <w:pPr>
              <w:spacing w:after="0"/>
              <w:rPr>
                <w:sz w:val="11"/>
                <w:szCs w:val="11"/>
                <w:color w:val="auto"/>
              </w:rPr>
            </w:pPr>
          </w:p>
        </w:tc>
        <w:tc>
          <w:tcPr>
            <w:tcW w:w="1020" w:type="dxa"/>
            <w:vAlign w:val="bottom"/>
          </w:tcPr>
          <w:p>
            <w:pPr>
              <w:ind w:left="60"/>
              <w:spacing w:after="0" w:line="130" w:lineRule="exact"/>
              <w:rPr>
                <w:sz w:val="20"/>
                <w:szCs w:val="20"/>
                <w:color w:val="auto"/>
              </w:rPr>
            </w:pPr>
            <w:r>
              <w:rPr>
                <w:rFonts w:ascii="Arial" w:cs="Arial" w:eastAsia="Arial" w:hAnsi="Arial"/>
                <w:sz w:val="12"/>
                <w:szCs w:val="12"/>
                <w:color w:val="auto"/>
              </w:rPr>
              <w:t>COMMITTEE</w:t>
            </w:r>
          </w:p>
        </w:tc>
        <w:tc>
          <w:tcPr>
            <w:tcW w:w="500" w:type="dxa"/>
            <w:vAlign w:val="bottom"/>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20" w:type="dxa"/>
            <w:vAlign w:val="bottom"/>
          </w:tcPr>
          <w:p>
            <w:pPr>
              <w:spacing w:after="0"/>
              <w:rPr>
                <w:sz w:val="11"/>
                <w:szCs w:val="11"/>
                <w:color w:val="auto"/>
              </w:rPr>
            </w:pPr>
          </w:p>
        </w:tc>
        <w:tc>
          <w:tcPr>
            <w:tcW w:w="92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380" w:type="dxa"/>
            <w:vAlign w:val="bottom"/>
          </w:tcPr>
          <w:p>
            <w:pPr>
              <w:ind w:left="80"/>
              <w:spacing w:after="0"/>
              <w:rPr>
                <w:sz w:val="20"/>
                <w:szCs w:val="20"/>
                <w:color w:val="auto"/>
              </w:rPr>
            </w:pPr>
            <w:r>
              <w:rPr>
                <w:rFonts w:ascii="Arial" w:cs="Arial" w:eastAsia="Arial" w:hAnsi="Arial"/>
                <w:sz w:val="12"/>
                <w:szCs w:val="12"/>
                <w:color w:val="auto"/>
              </w:rPr>
              <w:t>DIRECTORS</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0075C9"/>
              </w:rPr>
              <w:t>COMPENSATION</w:t>
            </w:r>
          </w:p>
        </w:tc>
        <w:tc>
          <w:tcPr>
            <w:tcW w:w="740" w:type="dxa"/>
            <w:vAlign w:val="bottom"/>
          </w:tcPr>
          <w:p>
            <w:pPr>
              <w:spacing w:after="0"/>
              <w:rPr>
                <w:sz w:val="12"/>
                <w:szCs w:val="12"/>
                <w:color w:val="auto"/>
              </w:rPr>
            </w:pPr>
          </w:p>
        </w:tc>
        <w:tc>
          <w:tcPr>
            <w:tcW w:w="1020" w:type="dxa"/>
            <w:vAlign w:val="bottom"/>
          </w:tcPr>
          <w:p>
            <w:pPr>
              <w:ind w:left="60"/>
              <w:spacing w:after="0"/>
              <w:rPr>
                <w:sz w:val="20"/>
                <w:szCs w:val="20"/>
                <w:color w:val="auto"/>
              </w:rPr>
            </w:pPr>
            <w:r>
              <w:rPr>
                <w:rFonts w:ascii="Arial" w:cs="Arial" w:eastAsia="Arial" w:hAnsi="Arial"/>
                <w:sz w:val="12"/>
                <w:szCs w:val="12"/>
                <w:color w:val="auto"/>
              </w:rPr>
              <w:t>MATTERS</w:t>
            </w:r>
          </w:p>
        </w:tc>
        <w:tc>
          <w:tcPr>
            <w:tcW w:w="500" w:type="dxa"/>
            <w:vAlign w:val="bottom"/>
          </w:tcPr>
          <w:p>
            <w:pPr>
              <w:spacing w:after="0"/>
              <w:rPr>
                <w:sz w:val="12"/>
                <w:szCs w:val="12"/>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20" w:type="dxa"/>
            <w:vAlign w:val="bottom"/>
          </w:tcPr>
          <w:p>
            <w:pPr>
              <w:spacing w:after="0"/>
              <w:rPr>
                <w:sz w:val="12"/>
                <w:szCs w:val="12"/>
                <w:color w:val="auto"/>
              </w:rPr>
            </w:pPr>
          </w:p>
        </w:tc>
        <w:tc>
          <w:tcPr>
            <w:tcW w:w="92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Option Exercises and Stock Vested</w:t>
      </w:r>
    </w:p>
    <w:p>
      <w:pPr>
        <w:spacing w:after="0" w:line="129" w:lineRule="exact"/>
        <w:rPr>
          <w:sz w:val="20"/>
          <w:szCs w:val="20"/>
          <w:color w:val="auto"/>
        </w:rPr>
      </w:pPr>
    </w:p>
    <w:p>
      <w:pPr>
        <w:ind w:left="1100" w:right="180"/>
        <w:spacing w:after="0" w:line="239" w:lineRule="auto"/>
        <w:rPr>
          <w:sz w:val="20"/>
          <w:szCs w:val="20"/>
          <w:color w:val="auto"/>
        </w:rPr>
      </w:pPr>
      <w:r>
        <w:rPr>
          <w:rFonts w:ascii="Arial" w:cs="Arial" w:eastAsia="Arial" w:hAnsi="Arial"/>
          <w:sz w:val="16"/>
          <w:szCs w:val="16"/>
          <w:color w:val="auto"/>
        </w:rPr>
        <w:t>This table provides information on an aggregate basis about stock awards that vested during the fiscal year ended June 30, 2021 for each of the Named Executives.</w:t>
      </w:r>
    </w:p>
    <w:p>
      <w:pPr>
        <w:spacing w:after="0" w:line="100" w:lineRule="exact"/>
        <w:rPr>
          <w:sz w:val="20"/>
          <w:szCs w:val="20"/>
          <w:color w:val="auto"/>
        </w:rPr>
      </w:pPr>
    </w:p>
    <w:p>
      <w:pPr>
        <w:ind w:left="1100" w:right="100"/>
        <w:spacing w:after="0" w:line="239" w:lineRule="auto"/>
        <w:rPr>
          <w:sz w:val="20"/>
          <w:szCs w:val="20"/>
          <w:color w:val="auto"/>
        </w:rPr>
      </w:pPr>
      <w:r>
        <w:rPr>
          <w:rFonts w:ascii="Arial" w:cs="Arial" w:eastAsia="Arial" w:hAnsi="Arial"/>
          <w:sz w:val="16"/>
          <w:szCs w:val="16"/>
          <w:color w:val="auto"/>
        </w:rPr>
        <w:t>Microsoft has not granted stock options, other than options substituted in acquisitions, since 2003. No Named Executives held any Microsoft stock options during the fiscal year.</w:t>
      </w:r>
    </w:p>
    <w:p>
      <w:pPr>
        <w:spacing w:after="0" w:line="224"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3260" w:type="dxa"/>
            <w:vAlign w:val="bottom"/>
            <w:tcBorders>
              <w:bottom w:val="single" w:sz="8" w:color="auto"/>
            </w:tcBorders>
            <w:gridSpan w:val="2"/>
          </w:tcPr>
          <w:p>
            <w:pPr>
              <w:jc w:val="right"/>
              <w:ind w:right="1044"/>
              <w:spacing w:after="0"/>
              <w:rPr>
                <w:sz w:val="20"/>
                <w:szCs w:val="20"/>
                <w:color w:val="auto"/>
              </w:rPr>
            </w:pPr>
            <w:r>
              <w:rPr>
                <w:rFonts w:ascii="Arial" w:cs="Arial" w:eastAsia="Arial" w:hAnsi="Arial"/>
                <w:sz w:val="16"/>
                <w:szCs w:val="16"/>
                <w:b w:val="1"/>
                <w:bCs w:val="1"/>
                <w:color w:val="auto"/>
              </w:rPr>
              <w:t>Stock Awards</w:t>
            </w:r>
          </w:p>
        </w:tc>
      </w:tr>
      <w:tr>
        <w:trPr>
          <w:trHeight w:val="162"/>
        </w:trPr>
        <w:tc>
          <w:tcPr>
            <w:tcW w:w="5780" w:type="dxa"/>
            <w:vAlign w:val="bottom"/>
          </w:tcPr>
          <w:p>
            <w:pPr>
              <w:spacing w:after="0"/>
              <w:rPr>
                <w:sz w:val="14"/>
                <w:szCs w:val="14"/>
                <w:color w:val="auto"/>
              </w:rPr>
            </w:pPr>
          </w:p>
        </w:tc>
        <w:tc>
          <w:tcPr>
            <w:tcW w:w="1860" w:type="dxa"/>
            <w:vAlign w:val="bottom"/>
          </w:tcPr>
          <w:p>
            <w:pPr>
              <w:jc w:val="right"/>
              <w:ind w:right="182"/>
              <w:spacing w:after="0" w:line="162" w:lineRule="exact"/>
              <w:rPr>
                <w:sz w:val="20"/>
                <w:szCs w:val="20"/>
                <w:color w:val="auto"/>
              </w:rPr>
            </w:pPr>
            <w:r>
              <w:rPr>
                <w:rFonts w:ascii="Arial" w:cs="Arial" w:eastAsia="Arial" w:hAnsi="Arial"/>
                <w:sz w:val="16"/>
                <w:szCs w:val="16"/>
                <w:b w:val="1"/>
                <w:bCs w:val="1"/>
                <w:color w:val="auto"/>
              </w:rPr>
              <w:t>Number of Shares</w:t>
            </w:r>
          </w:p>
        </w:tc>
        <w:tc>
          <w:tcPr>
            <w:tcW w:w="1400" w:type="dxa"/>
            <w:vAlign w:val="bottom"/>
          </w:tcPr>
          <w:p>
            <w:pPr>
              <w:jc w:val="right"/>
              <w:ind w:right="4"/>
              <w:spacing w:after="0" w:line="162" w:lineRule="exact"/>
              <w:rPr>
                <w:sz w:val="20"/>
                <w:szCs w:val="20"/>
                <w:color w:val="auto"/>
              </w:rPr>
            </w:pPr>
            <w:r>
              <w:rPr>
                <w:rFonts w:ascii="Arial" w:cs="Arial" w:eastAsia="Arial" w:hAnsi="Arial"/>
                <w:sz w:val="16"/>
                <w:szCs w:val="16"/>
                <w:b w:val="1"/>
                <w:bCs w:val="1"/>
                <w:color w:val="auto"/>
              </w:rPr>
              <w:t>Value Realized</w:t>
            </w:r>
          </w:p>
        </w:tc>
      </w:tr>
      <w:tr>
        <w:trPr>
          <w:trHeight w:val="184"/>
        </w:trPr>
        <w:tc>
          <w:tcPr>
            <w:tcW w:w="5780" w:type="dxa"/>
            <w:vAlign w:val="bottom"/>
          </w:tcPr>
          <w:p>
            <w:pPr>
              <w:spacing w:after="0"/>
              <w:rPr>
                <w:sz w:val="16"/>
                <w:szCs w:val="16"/>
                <w:color w:val="auto"/>
              </w:rPr>
            </w:pPr>
          </w:p>
        </w:tc>
        <w:tc>
          <w:tcPr>
            <w:tcW w:w="1860" w:type="dxa"/>
            <w:vAlign w:val="bottom"/>
          </w:tcPr>
          <w:p>
            <w:pPr>
              <w:jc w:val="right"/>
              <w:ind w:right="182"/>
              <w:spacing w:after="0"/>
              <w:rPr>
                <w:sz w:val="20"/>
                <w:szCs w:val="20"/>
                <w:color w:val="auto"/>
              </w:rPr>
            </w:pPr>
            <w:r>
              <w:rPr>
                <w:rFonts w:ascii="Arial" w:cs="Arial" w:eastAsia="Arial" w:hAnsi="Arial"/>
                <w:sz w:val="16"/>
                <w:szCs w:val="16"/>
                <w:b w:val="1"/>
                <w:bCs w:val="1"/>
                <w:color w:val="auto"/>
              </w:rPr>
              <w:t>Acquired on Vesting</w:t>
            </w:r>
          </w:p>
        </w:tc>
        <w:tc>
          <w:tcPr>
            <w:tcW w:w="1400" w:type="dxa"/>
            <w:vAlign w:val="bottom"/>
          </w:tcPr>
          <w:p>
            <w:pPr>
              <w:jc w:val="right"/>
              <w:ind w:right="4"/>
              <w:spacing w:after="0" w:line="184" w:lineRule="exact"/>
              <w:rPr>
                <w:sz w:val="20"/>
                <w:szCs w:val="20"/>
                <w:color w:val="auto"/>
              </w:rPr>
            </w:pPr>
            <w:r>
              <w:rPr>
                <w:rFonts w:ascii="Arial" w:cs="Arial" w:eastAsia="Arial" w:hAnsi="Arial"/>
                <w:sz w:val="13"/>
                <w:szCs w:val="13"/>
                <w:b w:val="1"/>
                <w:bCs w:val="1"/>
                <w:color w:val="auto"/>
              </w:rPr>
              <w:t>on Vesting</w:t>
            </w:r>
            <w:r>
              <w:rPr>
                <w:rFonts w:ascii="Arial" w:cs="Arial" w:eastAsia="Arial" w:hAnsi="Arial"/>
                <w:sz w:val="21"/>
                <w:szCs w:val="21"/>
                <w:b w:val="1"/>
                <w:bCs w:val="1"/>
                <w:color w:val="auto"/>
                <w:vertAlign w:val="superscript"/>
              </w:rPr>
              <w:t>1</w:t>
            </w:r>
          </w:p>
        </w:tc>
      </w:tr>
      <w:tr>
        <w:trPr>
          <w:trHeight w:val="229"/>
        </w:trPr>
        <w:tc>
          <w:tcPr>
            <w:tcW w:w="57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Named Executive</w:t>
            </w:r>
          </w:p>
        </w:tc>
        <w:tc>
          <w:tcPr>
            <w:tcW w:w="18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w:t>
            </w:r>
          </w:p>
        </w:tc>
      </w:tr>
      <w:tr>
        <w:trPr>
          <w:trHeight w:val="252"/>
        </w:trPr>
        <w:tc>
          <w:tcPr>
            <w:tcW w:w="578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Satya Nadella</w:t>
            </w:r>
          </w:p>
        </w:tc>
        <w:tc>
          <w:tcPr>
            <w:tcW w:w="1860" w:type="dxa"/>
            <w:vAlign w:val="bottom"/>
            <w:tcBorders>
              <w:bottom w:val="single" w:sz="8" w:color="0075C9"/>
            </w:tcBorders>
          </w:tcPr>
          <w:p>
            <w:pPr>
              <w:jc w:val="right"/>
              <w:ind w:right="182"/>
              <w:spacing w:after="0"/>
              <w:rPr>
                <w:sz w:val="20"/>
                <w:szCs w:val="20"/>
                <w:color w:val="auto"/>
              </w:rPr>
            </w:pPr>
            <w:r>
              <w:rPr>
                <w:rFonts w:ascii="Arial" w:cs="Arial" w:eastAsia="Arial" w:hAnsi="Arial"/>
                <w:sz w:val="16"/>
                <w:szCs w:val="16"/>
                <w:color w:val="auto"/>
              </w:rPr>
              <w:t>1,218,998</w:t>
            </w:r>
          </w:p>
        </w:tc>
        <w:tc>
          <w:tcPr>
            <w:tcW w:w="1400" w:type="dxa"/>
            <w:vAlign w:val="bottom"/>
            <w:tcBorders>
              <w:bottom w:val="single" w:sz="8" w:color="0075C9"/>
            </w:tcBorders>
          </w:tcPr>
          <w:p>
            <w:pPr>
              <w:jc w:val="right"/>
              <w:ind w:right="4"/>
              <w:spacing w:after="0"/>
              <w:rPr>
                <w:sz w:val="20"/>
                <w:szCs w:val="20"/>
                <w:color w:val="auto"/>
              </w:rPr>
            </w:pPr>
            <w:r>
              <w:rPr>
                <w:rFonts w:ascii="Arial" w:cs="Arial" w:eastAsia="Arial" w:hAnsi="Arial"/>
                <w:sz w:val="16"/>
                <w:szCs w:val="16"/>
                <w:color w:val="auto"/>
              </w:rPr>
              <w:t>292,545,936</w:t>
            </w:r>
          </w:p>
        </w:tc>
      </w:tr>
      <w:tr>
        <w:trPr>
          <w:trHeight w:val="252"/>
        </w:trPr>
        <w:tc>
          <w:tcPr>
            <w:tcW w:w="578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Amy E. Hood</w:t>
            </w:r>
          </w:p>
        </w:tc>
        <w:tc>
          <w:tcPr>
            <w:tcW w:w="1860" w:type="dxa"/>
            <w:vAlign w:val="bottom"/>
            <w:tcBorders>
              <w:bottom w:val="single" w:sz="8" w:color="0075C9"/>
            </w:tcBorders>
          </w:tcPr>
          <w:p>
            <w:pPr>
              <w:jc w:val="right"/>
              <w:ind w:right="182"/>
              <w:spacing w:after="0"/>
              <w:rPr>
                <w:sz w:val="20"/>
                <w:szCs w:val="20"/>
                <w:color w:val="auto"/>
              </w:rPr>
            </w:pPr>
            <w:r>
              <w:rPr>
                <w:rFonts w:ascii="Arial" w:cs="Arial" w:eastAsia="Arial" w:hAnsi="Arial"/>
                <w:sz w:val="16"/>
                <w:szCs w:val="16"/>
                <w:color w:val="auto"/>
              </w:rPr>
              <w:t>187,145</w:t>
            </w:r>
          </w:p>
        </w:tc>
        <w:tc>
          <w:tcPr>
            <w:tcW w:w="1400" w:type="dxa"/>
            <w:vAlign w:val="bottom"/>
            <w:tcBorders>
              <w:bottom w:val="single" w:sz="8" w:color="0075C9"/>
            </w:tcBorders>
          </w:tcPr>
          <w:p>
            <w:pPr>
              <w:jc w:val="right"/>
              <w:ind w:right="4"/>
              <w:spacing w:after="0"/>
              <w:rPr>
                <w:sz w:val="20"/>
                <w:szCs w:val="20"/>
                <w:color w:val="auto"/>
              </w:rPr>
            </w:pPr>
            <w:r>
              <w:rPr>
                <w:rFonts w:ascii="Arial" w:cs="Arial" w:eastAsia="Arial" w:hAnsi="Arial"/>
                <w:sz w:val="16"/>
                <w:szCs w:val="16"/>
                <w:color w:val="auto"/>
              </w:rPr>
              <w:t>42,905,576</w:t>
            </w:r>
          </w:p>
        </w:tc>
      </w:tr>
      <w:tr>
        <w:trPr>
          <w:trHeight w:val="252"/>
        </w:trPr>
        <w:tc>
          <w:tcPr>
            <w:tcW w:w="578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Jean-Philippe Courtois</w:t>
            </w:r>
          </w:p>
        </w:tc>
        <w:tc>
          <w:tcPr>
            <w:tcW w:w="1860" w:type="dxa"/>
            <w:vAlign w:val="bottom"/>
            <w:tcBorders>
              <w:bottom w:val="single" w:sz="8" w:color="0075C9"/>
            </w:tcBorders>
          </w:tcPr>
          <w:p>
            <w:pPr>
              <w:jc w:val="right"/>
              <w:ind w:right="182"/>
              <w:spacing w:after="0"/>
              <w:rPr>
                <w:sz w:val="20"/>
                <w:szCs w:val="20"/>
                <w:color w:val="auto"/>
              </w:rPr>
            </w:pPr>
            <w:r>
              <w:rPr>
                <w:rFonts w:ascii="Arial" w:cs="Arial" w:eastAsia="Arial" w:hAnsi="Arial"/>
                <w:sz w:val="16"/>
                <w:szCs w:val="16"/>
                <w:color w:val="auto"/>
              </w:rPr>
              <w:t>150,877</w:t>
            </w:r>
          </w:p>
        </w:tc>
        <w:tc>
          <w:tcPr>
            <w:tcW w:w="1400" w:type="dxa"/>
            <w:vAlign w:val="bottom"/>
            <w:tcBorders>
              <w:bottom w:val="single" w:sz="8" w:color="0075C9"/>
            </w:tcBorders>
          </w:tcPr>
          <w:p>
            <w:pPr>
              <w:jc w:val="right"/>
              <w:ind w:right="4"/>
              <w:spacing w:after="0"/>
              <w:rPr>
                <w:sz w:val="20"/>
                <w:szCs w:val="20"/>
                <w:color w:val="auto"/>
              </w:rPr>
            </w:pPr>
            <w:r>
              <w:rPr>
                <w:rFonts w:ascii="Arial" w:cs="Arial" w:eastAsia="Arial" w:hAnsi="Arial"/>
                <w:sz w:val="16"/>
                <w:szCs w:val="16"/>
                <w:color w:val="auto"/>
              </w:rPr>
              <w:t>34,427,952</w:t>
            </w:r>
          </w:p>
        </w:tc>
      </w:tr>
      <w:tr>
        <w:trPr>
          <w:trHeight w:val="252"/>
        </w:trPr>
        <w:tc>
          <w:tcPr>
            <w:tcW w:w="578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Bradford L. Smith</w:t>
            </w:r>
          </w:p>
        </w:tc>
        <w:tc>
          <w:tcPr>
            <w:tcW w:w="1860" w:type="dxa"/>
            <w:vAlign w:val="bottom"/>
            <w:tcBorders>
              <w:bottom w:val="single" w:sz="8" w:color="0075C9"/>
            </w:tcBorders>
          </w:tcPr>
          <w:p>
            <w:pPr>
              <w:jc w:val="right"/>
              <w:ind w:right="182"/>
              <w:spacing w:after="0"/>
              <w:rPr>
                <w:sz w:val="20"/>
                <w:szCs w:val="20"/>
                <w:color w:val="auto"/>
              </w:rPr>
            </w:pPr>
            <w:r>
              <w:rPr>
                <w:rFonts w:ascii="Arial" w:cs="Arial" w:eastAsia="Arial" w:hAnsi="Arial"/>
                <w:sz w:val="16"/>
                <w:szCs w:val="16"/>
                <w:color w:val="auto"/>
              </w:rPr>
              <w:t>163,342</w:t>
            </w:r>
          </w:p>
        </w:tc>
        <w:tc>
          <w:tcPr>
            <w:tcW w:w="1400" w:type="dxa"/>
            <w:vAlign w:val="bottom"/>
            <w:tcBorders>
              <w:bottom w:val="single" w:sz="8" w:color="0075C9"/>
            </w:tcBorders>
          </w:tcPr>
          <w:p>
            <w:pPr>
              <w:jc w:val="right"/>
              <w:ind w:right="4"/>
              <w:spacing w:after="0"/>
              <w:rPr>
                <w:sz w:val="20"/>
                <w:szCs w:val="20"/>
                <w:color w:val="auto"/>
              </w:rPr>
            </w:pPr>
            <w:r>
              <w:rPr>
                <w:rFonts w:ascii="Arial" w:cs="Arial" w:eastAsia="Arial" w:hAnsi="Arial"/>
                <w:sz w:val="16"/>
                <w:szCs w:val="16"/>
                <w:color w:val="auto"/>
              </w:rPr>
              <w:t>37,446,637</w:t>
            </w:r>
          </w:p>
        </w:tc>
      </w:tr>
      <w:tr>
        <w:trPr>
          <w:trHeight w:val="252"/>
        </w:trPr>
        <w:tc>
          <w:tcPr>
            <w:tcW w:w="578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Christopher D. Young</w:t>
            </w:r>
          </w:p>
        </w:tc>
        <w:tc>
          <w:tcPr>
            <w:tcW w:w="1860" w:type="dxa"/>
            <w:vAlign w:val="bottom"/>
            <w:tcBorders>
              <w:bottom w:val="single" w:sz="8" w:color="0075C9"/>
            </w:tcBorders>
          </w:tcPr>
          <w:p>
            <w:pPr>
              <w:jc w:val="right"/>
              <w:ind w:right="182"/>
              <w:spacing w:after="0"/>
              <w:rPr>
                <w:sz w:val="20"/>
                <w:szCs w:val="20"/>
                <w:color w:val="auto"/>
              </w:rPr>
            </w:pPr>
            <w:r>
              <w:rPr>
                <w:rFonts w:ascii="Arial" w:cs="Arial" w:eastAsia="Arial" w:hAnsi="Arial"/>
                <w:sz w:val="16"/>
                <w:szCs w:val="16"/>
                <w:color w:val="auto"/>
              </w:rPr>
              <w:t>0</w:t>
            </w:r>
          </w:p>
        </w:tc>
        <w:tc>
          <w:tcPr>
            <w:tcW w:w="1400" w:type="dxa"/>
            <w:vAlign w:val="bottom"/>
            <w:tcBorders>
              <w:bottom w:val="single" w:sz="8" w:color="0075C9"/>
            </w:tcBorders>
          </w:tcPr>
          <w:p>
            <w:pPr>
              <w:jc w:val="right"/>
              <w:ind w:right="4"/>
              <w:spacing w:after="0"/>
              <w:rPr>
                <w:sz w:val="20"/>
                <w:szCs w:val="20"/>
                <w:color w:val="auto"/>
              </w:rPr>
            </w:pPr>
            <w:r>
              <w:rPr>
                <w:rFonts w:ascii="Arial" w:cs="Arial" w:eastAsia="Arial" w:hAnsi="Arial"/>
                <w:sz w:val="16"/>
                <w:szCs w:val="16"/>
                <w:color w:val="auto"/>
              </w:rPr>
              <w:t>0</w:t>
            </w:r>
          </w:p>
        </w:tc>
      </w:tr>
    </w:tbl>
    <w:p>
      <w:pPr>
        <w:spacing w:after="0" w:line="72" w:lineRule="exact"/>
        <w:rPr>
          <w:sz w:val="20"/>
          <w:szCs w:val="20"/>
          <w:color w:val="auto"/>
        </w:rPr>
      </w:pPr>
    </w:p>
    <w:p>
      <w:pPr>
        <w:ind w:left="1100"/>
        <w:spacing w:after="0"/>
        <w:tabs>
          <w:tab w:leader="none" w:pos="1340" w:val="left"/>
        </w:tabs>
        <w:rPr>
          <w:sz w:val="20"/>
          <w:szCs w:val="20"/>
          <w:color w:val="auto"/>
        </w:rPr>
      </w:pPr>
      <w:r>
        <w:rPr>
          <w:rFonts w:ascii="Arial" w:cs="Arial" w:eastAsia="Arial" w:hAnsi="Arial"/>
          <w:sz w:val="12"/>
          <w:szCs w:val="12"/>
          <w:color w:val="auto"/>
        </w:rPr>
        <w:t>(1)</w:t>
        <w:tab/>
        <w:t>The value realized on vesting is calculated by multiplying the number of shares shown in the table by the market value of the shares on the vesting date.</w:t>
      </w:r>
    </w:p>
    <w:p>
      <w:pPr>
        <w:spacing w:after="0" w:line="172"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Nonqualified Deferred Compensation</w:t>
      </w:r>
    </w:p>
    <w:p>
      <w:pPr>
        <w:spacing w:after="0" w:line="129" w:lineRule="exact"/>
        <w:rPr>
          <w:sz w:val="20"/>
          <w:szCs w:val="20"/>
          <w:color w:val="auto"/>
        </w:rPr>
      </w:pPr>
    </w:p>
    <w:p>
      <w:pPr>
        <w:ind w:left="1100" w:right="120"/>
        <w:spacing w:after="0" w:line="238" w:lineRule="auto"/>
        <w:rPr>
          <w:sz w:val="20"/>
          <w:szCs w:val="20"/>
          <w:color w:val="auto"/>
        </w:rPr>
      </w:pPr>
      <w:r>
        <w:rPr>
          <w:rFonts w:ascii="Arial" w:cs="Arial" w:eastAsia="Arial" w:hAnsi="Arial"/>
          <w:sz w:val="16"/>
          <w:szCs w:val="16"/>
          <w:color w:val="auto"/>
        </w:rPr>
        <w:t>This table provides information about the Named Executives’ earnings and balances under our U.S. nonqualified Deferred Compensation Plan in fiscal year 2021. Microsoft does not contribute to the Deferred Compensation Plan. At the end of fiscal year 2021, only Mr. Young had an account balance under the Plan.</w:t>
      </w:r>
    </w:p>
    <w:p>
      <w:pPr>
        <w:spacing w:after="0" w:line="209" w:lineRule="exact"/>
        <w:rPr>
          <w:sz w:val="20"/>
          <w:szCs w:val="20"/>
          <w:color w:val="auto"/>
        </w:rPr>
      </w:pPr>
    </w:p>
    <w:tbl>
      <w:tblPr>
        <w:tblLayout w:type="fixed"/>
        <w:tblInd w:w="1100" w:type="dxa"/>
        <w:tblCellMar>
          <w:top w:w="0" w:type="dxa"/>
          <w:left w:w="0" w:type="dxa"/>
          <w:bottom w:w="0" w:type="dxa"/>
          <w:right w:w="0" w:type="dxa"/>
        </w:tblCellMar>
      </w:tblPr>
      <w:tr>
        <w:trPr>
          <w:trHeight w:val="184"/>
        </w:trPr>
        <w:tc>
          <w:tcPr>
            <w:tcW w:w="3320" w:type="dxa"/>
            <w:vAlign w:val="bottom"/>
          </w:tcPr>
          <w:p>
            <w:pPr>
              <w:spacing w:after="0"/>
              <w:rPr>
                <w:sz w:val="16"/>
                <w:szCs w:val="16"/>
                <w:color w:val="auto"/>
              </w:rPr>
            </w:pPr>
          </w:p>
        </w:tc>
        <w:tc>
          <w:tcPr>
            <w:tcW w:w="2960" w:type="dxa"/>
            <w:vAlign w:val="bottom"/>
          </w:tcPr>
          <w:p>
            <w:pPr>
              <w:jc w:val="right"/>
              <w:ind w:right="44"/>
              <w:spacing w:after="0"/>
              <w:rPr>
                <w:sz w:val="20"/>
                <w:szCs w:val="20"/>
                <w:color w:val="auto"/>
              </w:rPr>
            </w:pPr>
            <w:r>
              <w:rPr>
                <w:rFonts w:ascii="Arial" w:cs="Arial" w:eastAsia="Arial" w:hAnsi="Arial"/>
                <w:sz w:val="16"/>
                <w:szCs w:val="16"/>
                <w:b w:val="1"/>
                <w:bCs w:val="1"/>
                <w:color w:val="auto"/>
              </w:rPr>
              <w:t>Executive</w:t>
            </w:r>
          </w:p>
        </w:tc>
        <w:tc>
          <w:tcPr>
            <w:tcW w:w="1560" w:type="dxa"/>
            <w:vAlign w:val="bottom"/>
          </w:tcPr>
          <w:p>
            <w:pPr>
              <w:jc w:val="right"/>
              <w:ind w:right="44"/>
              <w:spacing w:after="0"/>
              <w:rPr>
                <w:sz w:val="20"/>
                <w:szCs w:val="20"/>
                <w:color w:val="auto"/>
              </w:rPr>
            </w:pPr>
            <w:r>
              <w:rPr>
                <w:rFonts w:ascii="Arial" w:cs="Arial" w:eastAsia="Arial" w:hAnsi="Arial"/>
                <w:sz w:val="16"/>
                <w:szCs w:val="16"/>
                <w:b w:val="1"/>
                <w:bCs w:val="1"/>
                <w:color w:val="auto"/>
              </w:rPr>
              <w:t>Aggregate</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Aggregate</w:t>
            </w:r>
          </w:p>
        </w:tc>
      </w:tr>
      <w:tr>
        <w:trPr>
          <w:trHeight w:val="178"/>
        </w:trPr>
        <w:tc>
          <w:tcPr>
            <w:tcW w:w="3320" w:type="dxa"/>
            <w:vAlign w:val="bottom"/>
          </w:tcPr>
          <w:p>
            <w:pPr>
              <w:spacing w:after="0"/>
              <w:rPr>
                <w:sz w:val="15"/>
                <w:szCs w:val="15"/>
                <w:color w:val="auto"/>
              </w:rPr>
            </w:pPr>
          </w:p>
        </w:tc>
        <w:tc>
          <w:tcPr>
            <w:tcW w:w="2960" w:type="dxa"/>
            <w:vAlign w:val="bottom"/>
          </w:tcPr>
          <w:p>
            <w:pPr>
              <w:jc w:val="right"/>
              <w:ind w:right="44"/>
              <w:spacing w:after="0" w:line="178" w:lineRule="exact"/>
              <w:rPr>
                <w:sz w:val="20"/>
                <w:szCs w:val="20"/>
                <w:color w:val="auto"/>
              </w:rPr>
            </w:pPr>
            <w:r>
              <w:rPr>
                <w:rFonts w:ascii="Arial" w:cs="Arial" w:eastAsia="Arial" w:hAnsi="Arial"/>
                <w:sz w:val="16"/>
                <w:szCs w:val="16"/>
                <w:b w:val="1"/>
                <w:bCs w:val="1"/>
                <w:color w:val="auto"/>
              </w:rPr>
              <w:t>Contributions in</w:t>
            </w:r>
          </w:p>
        </w:tc>
        <w:tc>
          <w:tcPr>
            <w:tcW w:w="1560" w:type="dxa"/>
            <w:vAlign w:val="bottom"/>
          </w:tcPr>
          <w:p>
            <w:pPr>
              <w:jc w:val="right"/>
              <w:ind w:right="44"/>
              <w:spacing w:after="0" w:line="178" w:lineRule="exact"/>
              <w:rPr>
                <w:sz w:val="20"/>
                <w:szCs w:val="20"/>
                <w:color w:val="auto"/>
              </w:rPr>
            </w:pPr>
            <w:r>
              <w:rPr>
                <w:rFonts w:ascii="Arial" w:cs="Arial" w:eastAsia="Arial" w:hAnsi="Arial"/>
                <w:sz w:val="16"/>
                <w:szCs w:val="16"/>
                <w:b w:val="1"/>
                <w:bCs w:val="1"/>
                <w:color w:val="auto"/>
              </w:rPr>
              <w:t>Earnings in Fiscal</w:t>
            </w:r>
          </w:p>
        </w:tc>
        <w:tc>
          <w:tcPr>
            <w:tcW w:w="1200" w:type="dxa"/>
            <w:vAlign w:val="bottom"/>
          </w:tcPr>
          <w:p>
            <w:pPr>
              <w:jc w:val="right"/>
              <w:spacing w:after="0" w:line="178" w:lineRule="exact"/>
              <w:rPr>
                <w:sz w:val="20"/>
                <w:szCs w:val="20"/>
                <w:color w:val="auto"/>
              </w:rPr>
            </w:pPr>
            <w:r>
              <w:rPr>
                <w:rFonts w:ascii="Arial" w:cs="Arial" w:eastAsia="Arial" w:hAnsi="Arial"/>
                <w:sz w:val="16"/>
                <w:szCs w:val="16"/>
                <w:b w:val="1"/>
                <w:bCs w:val="1"/>
                <w:color w:val="auto"/>
              </w:rPr>
              <w:t>Balance at</w:t>
            </w:r>
          </w:p>
        </w:tc>
      </w:tr>
      <w:tr>
        <w:trPr>
          <w:trHeight w:val="184"/>
        </w:trPr>
        <w:tc>
          <w:tcPr>
            <w:tcW w:w="3320" w:type="dxa"/>
            <w:vAlign w:val="bottom"/>
          </w:tcPr>
          <w:p>
            <w:pPr>
              <w:spacing w:after="0"/>
              <w:rPr>
                <w:sz w:val="16"/>
                <w:szCs w:val="16"/>
                <w:color w:val="auto"/>
              </w:rPr>
            </w:pPr>
          </w:p>
        </w:tc>
        <w:tc>
          <w:tcPr>
            <w:tcW w:w="2960" w:type="dxa"/>
            <w:vAlign w:val="bottom"/>
          </w:tcPr>
          <w:p>
            <w:pPr>
              <w:jc w:val="right"/>
              <w:ind w:right="44"/>
              <w:spacing w:after="0" w:line="184" w:lineRule="exact"/>
              <w:rPr>
                <w:sz w:val="20"/>
                <w:szCs w:val="20"/>
                <w:color w:val="auto"/>
              </w:rPr>
            </w:pPr>
            <w:r>
              <w:rPr>
                <w:rFonts w:ascii="Arial" w:cs="Arial" w:eastAsia="Arial" w:hAnsi="Arial"/>
                <w:sz w:val="13"/>
                <w:szCs w:val="13"/>
                <w:b w:val="1"/>
                <w:bCs w:val="1"/>
                <w:color w:val="auto"/>
              </w:rPr>
              <w:t>Fiscal Year 2021</w:t>
            </w:r>
            <w:r>
              <w:rPr>
                <w:rFonts w:ascii="Arial" w:cs="Arial" w:eastAsia="Arial" w:hAnsi="Arial"/>
                <w:sz w:val="21"/>
                <w:szCs w:val="21"/>
                <w:b w:val="1"/>
                <w:bCs w:val="1"/>
                <w:color w:val="auto"/>
                <w:vertAlign w:val="superscript"/>
              </w:rPr>
              <w:t>1</w:t>
            </w:r>
          </w:p>
        </w:tc>
        <w:tc>
          <w:tcPr>
            <w:tcW w:w="1560" w:type="dxa"/>
            <w:vAlign w:val="bottom"/>
          </w:tcPr>
          <w:p>
            <w:pPr>
              <w:jc w:val="right"/>
              <w:ind w:right="44"/>
              <w:spacing w:after="0" w:line="184" w:lineRule="exact"/>
              <w:rPr>
                <w:sz w:val="20"/>
                <w:szCs w:val="20"/>
                <w:color w:val="auto"/>
              </w:rPr>
            </w:pPr>
            <w:r>
              <w:rPr>
                <w:rFonts w:ascii="Arial" w:cs="Arial" w:eastAsia="Arial" w:hAnsi="Arial"/>
                <w:sz w:val="13"/>
                <w:szCs w:val="13"/>
                <w:b w:val="1"/>
                <w:bCs w:val="1"/>
                <w:color w:val="auto"/>
              </w:rPr>
              <w:t>Year 2021</w:t>
            </w:r>
            <w:r>
              <w:rPr>
                <w:rFonts w:ascii="Arial" w:cs="Arial" w:eastAsia="Arial" w:hAnsi="Arial"/>
                <w:sz w:val="21"/>
                <w:szCs w:val="21"/>
                <w:b w:val="1"/>
                <w:bCs w:val="1"/>
                <w:color w:val="auto"/>
                <w:vertAlign w:val="superscript"/>
              </w:rPr>
              <w:t>2</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June 30, 2021</w:t>
            </w:r>
          </w:p>
        </w:tc>
      </w:tr>
      <w:tr>
        <w:trPr>
          <w:trHeight w:val="229"/>
        </w:trPr>
        <w:tc>
          <w:tcPr>
            <w:tcW w:w="33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Named Executive</w:t>
            </w:r>
          </w:p>
        </w:tc>
        <w:tc>
          <w:tcPr>
            <w:tcW w:w="296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52"/>
        </w:trPr>
        <w:tc>
          <w:tcPr>
            <w:tcW w:w="332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Satya Nadella</w:t>
            </w:r>
          </w:p>
        </w:tc>
        <w:tc>
          <w:tcPr>
            <w:tcW w:w="2960" w:type="dxa"/>
            <w:vAlign w:val="bottom"/>
            <w:tcBorders>
              <w:bottom w:val="single" w:sz="8" w:color="0075C9"/>
            </w:tcBorders>
          </w:tcPr>
          <w:p>
            <w:pPr>
              <w:jc w:val="right"/>
              <w:ind w:right="44"/>
              <w:spacing w:after="0"/>
              <w:rPr>
                <w:sz w:val="20"/>
                <w:szCs w:val="20"/>
                <w:color w:val="auto"/>
              </w:rPr>
            </w:pPr>
            <w:r>
              <w:rPr>
                <w:rFonts w:ascii="Arial" w:cs="Arial" w:eastAsia="Arial" w:hAnsi="Arial"/>
                <w:sz w:val="16"/>
                <w:szCs w:val="16"/>
                <w:color w:val="auto"/>
              </w:rPr>
              <w:t>0</w:t>
            </w:r>
          </w:p>
        </w:tc>
        <w:tc>
          <w:tcPr>
            <w:tcW w:w="1560" w:type="dxa"/>
            <w:vAlign w:val="bottom"/>
            <w:tcBorders>
              <w:bottom w:val="single" w:sz="8" w:color="0075C9"/>
            </w:tcBorders>
          </w:tcPr>
          <w:p>
            <w:pPr>
              <w:jc w:val="right"/>
              <w:ind w:right="44"/>
              <w:spacing w:after="0"/>
              <w:rPr>
                <w:sz w:val="20"/>
                <w:szCs w:val="20"/>
                <w:color w:val="auto"/>
              </w:rPr>
            </w:pPr>
            <w:r>
              <w:rPr>
                <w:rFonts w:ascii="Arial" w:cs="Arial" w:eastAsia="Arial" w:hAnsi="Arial"/>
                <w:sz w:val="16"/>
                <w:szCs w:val="16"/>
                <w:color w:val="auto"/>
              </w:rPr>
              <w:t>0</w:t>
            </w:r>
          </w:p>
        </w:tc>
        <w:tc>
          <w:tcPr>
            <w:tcW w:w="120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0</w:t>
            </w:r>
          </w:p>
        </w:tc>
      </w:tr>
      <w:tr>
        <w:trPr>
          <w:trHeight w:val="252"/>
        </w:trPr>
        <w:tc>
          <w:tcPr>
            <w:tcW w:w="332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Amy E. Hood</w:t>
            </w:r>
          </w:p>
        </w:tc>
        <w:tc>
          <w:tcPr>
            <w:tcW w:w="2960" w:type="dxa"/>
            <w:vAlign w:val="bottom"/>
            <w:tcBorders>
              <w:bottom w:val="single" w:sz="8" w:color="0075C9"/>
            </w:tcBorders>
          </w:tcPr>
          <w:p>
            <w:pPr>
              <w:jc w:val="right"/>
              <w:ind w:right="44"/>
              <w:spacing w:after="0"/>
              <w:rPr>
                <w:sz w:val="20"/>
                <w:szCs w:val="20"/>
                <w:color w:val="auto"/>
              </w:rPr>
            </w:pPr>
            <w:r>
              <w:rPr>
                <w:rFonts w:ascii="Arial" w:cs="Arial" w:eastAsia="Arial" w:hAnsi="Arial"/>
                <w:sz w:val="16"/>
                <w:szCs w:val="16"/>
                <w:color w:val="auto"/>
              </w:rPr>
              <w:t>0</w:t>
            </w:r>
          </w:p>
        </w:tc>
        <w:tc>
          <w:tcPr>
            <w:tcW w:w="1560" w:type="dxa"/>
            <w:vAlign w:val="bottom"/>
            <w:tcBorders>
              <w:bottom w:val="single" w:sz="8" w:color="0075C9"/>
            </w:tcBorders>
          </w:tcPr>
          <w:p>
            <w:pPr>
              <w:jc w:val="right"/>
              <w:ind w:right="44"/>
              <w:spacing w:after="0"/>
              <w:rPr>
                <w:sz w:val="20"/>
                <w:szCs w:val="20"/>
                <w:color w:val="auto"/>
              </w:rPr>
            </w:pPr>
            <w:r>
              <w:rPr>
                <w:rFonts w:ascii="Arial" w:cs="Arial" w:eastAsia="Arial" w:hAnsi="Arial"/>
                <w:sz w:val="16"/>
                <w:szCs w:val="16"/>
                <w:color w:val="auto"/>
              </w:rPr>
              <w:t>0</w:t>
            </w:r>
          </w:p>
        </w:tc>
        <w:tc>
          <w:tcPr>
            <w:tcW w:w="120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0</w:t>
            </w:r>
          </w:p>
        </w:tc>
      </w:tr>
      <w:tr>
        <w:trPr>
          <w:trHeight w:val="252"/>
        </w:trPr>
        <w:tc>
          <w:tcPr>
            <w:tcW w:w="332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Jean-Philippe Courtois</w:t>
            </w:r>
          </w:p>
        </w:tc>
        <w:tc>
          <w:tcPr>
            <w:tcW w:w="2960" w:type="dxa"/>
            <w:vAlign w:val="bottom"/>
            <w:tcBorders>
              <w:bottom w:val="single" w:sz="8" w:color="0075C9"/>
            </w:tcBorders>
          </w:tcPr>
          <w:p>
            <w:pPr>
              <w:jc w:val="right"/>
              <w:ind w:right="44"/>
              <w:spacing w:after="0"/>
              <w:rPr>
                <w:sz w:val="20"/>
                <w:szCs w:val="20"/>
                <w:color w:val="auto"/>
              </w:rPr>
            </w:pPr>
            <w:r>
              <w:rPr>
                <w:rFonts w:ascii="Arial" w:cs="Arial" w:eastAsia="Arial" w:hAnsi="Arial"/>
                <w:sz w:val="16"/>
                <w:szCs w:val="16"/>
                <w:color w:val="auto"/>
              </w:rPr>
              <w:t>0</w:t>
            </w:r>
          </w:p>
        </w:tc>
        <w:tc>
          <w:tcPr>
            <w:tcW w:w="1560" w:type="dxa"/>
            <w:vAlign w:val="bottom"/>
            <w:tcBorders>
              <w:bottom w:val="single" w:sz="8" w:color="0075C9"/>
            </w:tcBorders>
          </w:tcPr>
          <w:p>
            <w:pPr>
              <w:jc w:val="right"/>
              <w:ind w:right="44"/>
              <w:spacing w:after="0"/>
              <w:rPr>
                <w:sz w:val="20"/>
                <w:szCs w:val="20"/>
                <w:color w:val="auto"/>
              </w:rPr>
            </w:pPr>
            <w:r>
              <w:rPr>
                <w:rFonts w:ascii="Arial" w:cs="Arial" w:eastAsia="Arial" w:hAnsi="Arial"/>
                <w:sz w:val="16"/>
                <w:szCs w:val="16"/>
                <w:color w:val="auto"/>
              </w:rPr>
              <w:t>0</w:t>
            </w:r>
          </w:p>
        </w:tc>
        <w:tc>
          <w:tcPr>
            <w:tcW w:w="120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0</w:t>
            </w:r>
          </w:p>
        </w:tc>
      </w:tr>
      <w:tr>
        <w:trPr>
          <w:trHeight w:val="252"/>
        </w:trPr>
        <w:tc>
          <w:tcPr>
            <w:tcW w:w="332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Bradford L. Smith</w:t>
            </w:r>
          </w:p>
        </w:tc>
        <w:tc>
          <w:tcPr>
            <w:tcW w:w="2960" w:type="dxa"/>
            <w:vAlign w:val="bottom"/>
            <w:tcBorders>
              <w:bottom w:val="single" w:sz="8" w:color="0075C9"/>
            </w:tcBorders>
          </w:tcPr>
          <w:p>
            <w:pPr>
              <w:jc w:val="right"/>
              <w:ind w:right="44"/>
              <w:spacing w:after="0"/>
              <w:rPr>
                <w:sz w:val="20"/>
                <w:szCs w:val="20"/>
                <w:color w:val="auto"/>
              </w:rPr>
            </w:pPr>
            <w:r>
              <w:rPr>
                <w:rFonts w:ascii="Arial" w:cs="Arial" w:eastAsia="Arial" w:hAnsi="Arial"/>
                <w:sz w:val="16"/>
                <w:szCs w:val="16"/>
                <w:color w:val="auto"/>
              </w:rPr>
              <w:t>0</w:t>
            </w:r>
          </w:p>
        </w:tc>
        <w:tc>
          <w:tcPr>
            <w:tcW w:w="1560" w:type="dxa"/>
            <w:vAlign w:val="bottom"/>
            <w:tcBorders>
              <w:bottom w:val="single" w:sz="8" w:color="0075C9"/>
            </w:tcBorders>
          </w:tcPr>
          <w:p>
            <w:pPr>
              <w:jc w:val="right"/>
              <w:ind w:right="44"/>
              <w:spacing w:after="0"/>
              <w:rPr>
                <w:sz w:val="20"/>
                <w:szCs w:val="20"/>
                <w:color w:val="auto"/>
              </w:rPr>
            </w:pPr>
            <w:r>
              <w:rPr>
                <w:rFonts w:ascii="Arial" w:cs="Arial" w:eastAsia="Arial" w:hAnsi="Arial"/>
                <w:sz w:val="16"/>
                <w:szCs w:val="16"/>
                <w:color w:val="auto"/>
              </w:rPr>
              <w:t>0</w:t>
            </w:r>
          </w:p>
        </w:tc>
        <w:tc>
          <w:tcPr>
            <w:tcW w:w="120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0</w:t>
            </w:r>
          </w:p>
        </w:tc>
      </w:tr>
      <w:tr>
        <w:trPr>
          <w:trHeight w:val="252"/>
        </w:trPr>
        <w:tc>
          <w:tcPr>
            <w:tcW w:w="332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Christopher D. Young</w:t>
            </w:r>
          </w:p>
        </w:tc>
        <w:tc>
          <w:tcPr>
            <w:tcW w:w="2960" w:type="dxa"/>
            <w:vAlign w:val="bottom"/>
            <w:tcBorders>
              <w:bottom w:val="single" w:sz="8" w:color="0075C9"/>
            </w:tcBorders>
          </w:tcPr>
          <w:p>
            <w:pPr>
              <w:jc w:val="right"/>
              <w:ind w:right="44"/>
              <w:spacing w:after="0"/>
              <w:rPr>
                <w:sz w:val="20"/>
                <w:szCs w:val="20"/>
                <w:color w:val="auto"/>
              </w:rPr>
            </w:pPr>
            <w:r>
              <w:rPr>
                <w:rFonts w:ascii="Arial" w:cs="Arial" w:eastAsia="Arial" w:hAnsi="Arial"/>
                <w:sz w:val="16"/>
                <w:szCs w:val="16"/>
                <w:color w:val="auto"/>
              </w:rPr>
              <w:t>1,750,000</w:t>
            </w:r>
          </w:p>
        </w:tc>
        <w:tc>
          <w:tcPr>
            <w:tcW w:w="1560" w:type="dxa"/>
            <w:vAlign w:val="bottom"/>
            <w:tcBorders>
              <w:bottom w:val="single" w:sz="8" w:color="0075C9"/>
            </w:tcBorders>
          </w:tcPr>
          <w:p>
            <w:pPr>
              <w:jc w:val="right"/>
              <w:ind w:right="44"/>
              <w:spacing w:after="0"/>
              <w:rPr>
                <w:sz w:val="20"/>
                <w:szCs w:val="20"/>
                <w:color w:val="auto"/>
              </w:rPr>
            </w:pPr>
            <w:r>
              <w:rPr>
                <w:rFonts w:ascii="Arial" w:cs="Arial" w:eastAsia="Arial" w:hAnsi="Arial"/>
                <w:sz w:val="16"/>
                <w:szCs w:val="16"/>
                <w:color w:val="auto"/>
              </w:rPr>
              <w:t>260,247</w:t>
            </w:r>
          </w:p>
        </w:tc>
        <w:tc>
          <w:tcPr>
            <w:tcW w:w="120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2,010,247</w:t>
            </w:r>
          </w:p>
        </w:tc>
      </w:tr>
    </w:tbl>
    <w:p>
      <w:pPr>
        <w:spacing w:after="0" w:line="63" w:lineRule="exact"/>
        <w:rPr>
          <w:sz w:val="20"/>
          <w:szCs w:val="20"/>
          <w:color w:val="auto"/>
        </w:rPr>
      </w:pPr>
    </w:p>
    <w:p>
      <w:pPr>
        <w:ind w:left="1360" w:hanging="258"/>
        <w:spacing w:after="0"/>
        <w:tabs>
          <w:tab w:leader="none" w:pos="1360" w:val="left"/>
        </w:tabs>
        <w:numPr>
          <w:ilvl w:val="0"/>
          <w:numId w:val="87"/>
        </w:numPr>
        <w:rPr>
          <w:rFonts w:ascii="Arial" w:cs="Arial" w:eastAsia="Arial" w:hAnsi="Arial"/>
          <w:sz w:val="12"/>
          <w:szCs w:val="12"/>
          <w:color w:val="auto"/>
        </w:rPr>
      </w:pPr>
      <w:r>
        <w:rPr>
          <w:rFonts w:ascii="Arial" w:cs="Arial" w:eastAsia="Arial" w:hAnsi="Arial"/>
          <w:sz w:val="12"/>
          <w:szCs w:val="12"/>
          <w:color w:val="auto"/>
        </w:rPr>
        <w:t>These amounts are included in the Summary Compensation Table for fiscal year 2021.</w:t>
      </w:r>
    </w:p>
    <w:p>
      <w:pPr>
        <w:ind w:left="1360" w:hanging="258"/>
        <w:spacing w:after="0"/>
        <w:tabs>
          <w:tab w:leader="none" w:pos="1360" w:val="left"/>
        </w:tabs>
        <w:numPr>
          <w:ilvl w:val="0"/>
          <w:numId w:val="87"/>
        </w:numPr>
        <w:rPr>
          <w:rFonts w:ascii="Arial" w:cs="Arial" w:eastAsia="Arial" w:hAnsi="Arial"/>
          <w:sz w:val="12"/>
          <w:szCs w:val="12"/>
          <w:color w:val="auto"/>
        </w:rPr>
      </w:pPr>
      <w:r>
        <w:rPr>
          <w:rFonts w:ascii="Arial" w:cs="Arial" w:eastAsia="Arial" w:hAnsi="Arial"/>
          <w:sz w:val="12"/>
          <w:szCs w:val="12"/>
          <w:color w:val="auto"/>
        </w:rPr>
        <w:t>These amounts have not been included in the Summary Compensation Table for fiscal year 2021 or for previous years.</w:t>
      </w:r>
    </w:p>
    <w:p>
      <w:pPr>
        <w:spacing w:after="0" w:line="103" w:lineRule="exact"/>
        <w:rPr>
          <w:sz w:val="20"/>
          <w:szCs w:val="20"/>
          <w:color w:val="auto"/>
        </w:rPr>
      </w:pPr>
    </w:p>
    <w:p>
      <w:pPr>
        <w:jc w:val="both"/>
        <w:ind w:left="1100" w:right="120"/>
        <w:spacing w:after="0" w:line="238" w:lineRule="auto"/>
        <w:rPr>
          <w:sz w:val="20"/>
          <w:szCs w:val="20"/>
          <w:color w:val="auto"/>
        </w:rPr>
      </w:pPr>
      <w:r>
        <w:rPr>
          <w:rFonts w:ascii="Arial" w:cs="Arial" w:eastAsia="Arial" w:hAnsi="Arial"/>
          <w:sz w:val="16"/>
          <w:szCs w:val="16"/>
          <w:color w:val="auto"/>
        </w:rPr>
        <w:t>Microsoft’s Deferred Compensation Plan is unfunded and unsecured. It allows participants to defer a specified percentage of their base salary (up to 75%) and/or eligible cash incentives (up to 100%). Participation in the Deferred Compensation Plan is limited to U.S. senior managers, including our U.S. Named Executives. Microsoft does not contribute to the Deferred Compensation Plan or guarantee any returns on participant contributions.</w:t>
      </w:r>
    </w:p>
    <w:p>
      <w:pPr>
        <w:spacing w:after="0" w:line="99" w:lineRule="exact"/>
        <w:rPr>
          <w:sz w:val="20"/>
          <w:szCs w:val="20"/>
          <w:color w:val="auto"/>
        </w:rPr>
      </w:pPr>
    </w:p>
    <w:p>
      <w:pPr>
        <w:ind w:left="1100" w:right="120"/>
        <w:spacing w:after="0" w:line="237" w:lineRule="auto"/>
        <w:rPr>
          <w:sz w:val="20"/>
          <w:szCs w:val="20"/>
          <w:color w:val="auto"/>
        </w:rPr>
      </w:pPr>
      <w:r>
        <w:rPr>
          <w:rFonts w:ascii="Arial" w:cs="Arial" w:eastAsia="Arial" w:hAnsi="Arial"/>
          <w:sz w:val="16"/>
          <w:szCs w:val="16"/>
          <w:color w:val="auto"/>
        </w:rPr>
        <w:t>When an employee elects to participate in the Deferred Compensation Plan, the employee must specify the percentage of base salary and/or cash incentive award to be deferred and the timing of distributions. No withdrawals are permitted prior to the previously elected distribution date, other than withdrawals for certain severe financial hardships as permitted by applicable law. Amounts deferred under the Deferred Compensation Plan are credited with hypothetical investment earnings based on participant investment elections made from among deemed investment options available under the plan.</w:t>
      </w:r>
    </w:p>
    <w:p>
      <w:pPr>
        <w:spacing w:after="0" w:line="200" w:lineRule="exact"/>
        <w:rPr>
          <w:sz w:val="20"/>
          <w:szCs w:val="20"/>
          <w:color w:val="auto"/>
        </w:rPr>
      </w:pPr>
    </w:p>
    <w:p>
      <w:pPr>
        <w:spacing w:after="0" w:line="303"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-94615</wp:posOffset>
            </wp:positionV>
            <wp:extent cx="485140" cy="9842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45" w:right="1439" w:bottom="1440" w:gutter="0" w:footer="0" w:header="0"/>
        </w:sectPr>
      </w:pPr>
    </w:p>
    <w:bookmarkStart w:id="66" w:name="page67"/>
    <w:bookmarkEnd w:id="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auto"/>
                <w:w w:val="89"/>
              </w:rPr>
              <w:t>1</w:t>
            </w:r>
          </w:p>
        </w:tc>
        <w:tc>
          <w:tcPr>
            <w:tcW w:w="1380" w:type="dxa"/>
            <w:vAlign w:val="bottom"/>
            <w:vMerge w:val="restart"/>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gridSpan w:val="2"/>
          </w:tcPr>
          <w:p>
            <w:pPr>
              <w:jc w:val="right"/>
              <w:ind w:right="80"/>
              <w:spacing w:after="0"/>
              <w:rPr>
                <w:sz w:val="20"/>
                <w:szCs w:val="20"/>
                <w:color w:val="auto"/>
              </w:rPr>
            </w:pPr>
            <w:r>
              <w:rPr>
                <w:rFonts w:ascii="Arial" w:cs="Arial" w:eastAsia="Arial" w:hAnsi="Arial"/>
                <w:sz w:val="36"/>
                <w:szCs w:val="36"/>
                <w:color w:val="0075C9"/>
              </w:rPr>
              <w:t>2</w:t>
            </w:r>
          </w:p>
        </w:tc>
        <w:tc>
          <w:tcPr>
            <w:tcW w:w="1320" w:type="dxa"/>
            <w:vAlign w:val="bottom"/>
            <w:vMerge w:val="restart"/>
          </w:tcPr>
          <w:p>
            <w:pPr>
              <w:ind w:left="60"/>
              <w:spacing w:after="0"/>
              <w:rPr>
                <w:sz w:val="20"/>
                <w:szCs w:val="20"/>
                <w:color w:val="auto"/>
              </w:rPr>
            </w:pPr>
            <w:r>
              <w:rPr>
                <w:rFonts w:ascii="Arial" w:cs="Arial" w:eastAsia="Arial" w:hAnsi="Arial"/>
                <w:sz w:val="12"/>
                <w:szCs w:val="12"/>
                <w:color w:val="0075C9"/>
              </w:rPr>
              <w:t>NAMED</w:t>
            </w:r>
          </w:p>
        </w:tc>
        <w:tc>
          <w:tcPr>
            <w:tcW w:w="740" w:type="dxa"/>
            <w:vAlign w:val="bottom"/>
          </w:tcPr>
          <w:p>
            <w:pPr>
              <w:jc w:val="right"/>
              <w:spacing w:after="0"/>
              <w:rPr>
                <w:sz w:val="20"/>
                <w:szCs w:val="20"/>
                <w:color w:val="auto"/>
              </w:rPr>
            </w:pPr>
            <w:r>
              <w:rPr>
                <w:rFonts w:ascii="Arial" w:cs="Arial" w:eastAsia="Arial" w:hAnsi="Arial"/>
                <w:sz w:val="36"/>
                <w:szCs w:val="36"/>
                <w:color w:val="auto"/>
              </w:rPr>
              <w:t>3</w:t>
            </w:r>
          </w:p>
        </w:tc>
        <w:tc>
          <w:tcPr>
            <w:tcW w:w="1020" w:type="dxa"/>
            <w:vAlign w:val="bottom"/>
            <w:vMerge w:val="restart"/>
          </w:tcPr>
          <w:p>
            <w:pPr>
              <w:ind w:left="60"/>
              <w:spacing w:after="0"/>
              <w:rPr>
                <w:sz w:val="20"/>
                <w:szCs w:val="20"/>
                <w:color w:val="auto"/>
              </w:rPr>
            </w:pPr>
            <w:r>
              <w:rPr>
                <w:rFonts w:ascii="Arial" w:cs="Arial" w:eastAsia="Arial" w:hAnsi="Arial"/>
                <w:sz w:val="12"/>
                <w:szCs w:val="12"/>
                <w:color w:val="auto"/>
              </w:rPr>
              <w:t>AUDIT</w:t>
            </w:r>
          </w:p>
        </w:tc>
        <w:tc>
          <w:tcPr>
            <w:tcW w:w="500" w:type="dxa"/>
            <w:vAlign w:val="bottom"/>
          </w:tcPr>
          <w:p>
            <w:pPr>
              <w:jc w:val="right"/>
              <w:spacing w:after="0"/>
              <w:rPr>
                <w:sz w:val="20"/>
                <w:szCs w:val="20"/>
                <w:color w:val="auto"/>
              </w:rPr>
            </w:pPr>
            <w:r>
              <w:rPr>
                <w:rFonts w:ascii="Arial" w:cs="Arial" w:eastAsia="Arial" w:hAnsi="Arial"/>
                <w:sz w:val="36"/>
                <w:szCs w:val="36"/>
                <w:color w:val="auto"/>
              </w:rPr>
              <w:t>4</w:t>
            </w:r>
          </w:p>
        </w:tc>
        <w:tc>
          <w:tcPr>
            <w:tcW w:w="1580" w:type="dxa"/>
            <w:vAlign w:val="bottom"/>
            <w:vMerge w:val="restart"/>
          </w:tcPr>
          <w:p>
            <w:pPr>
              <w:ind w:left="80"/>
              <w:spacing w:after="0"/>
              <w:rPr>
                <w:sz w:val="20"/>
                <w:szCs w:val="20"/>
                <w:color w:val="auto"/>
              </w:rPr>
            </w:pPr>
            <w:r>
              <w:rPr>
                <w:rFonts w:ascii="Arial" w:cs="Arial" w:eastAsia="Arial" w:hAnsi="Arial"/>
                <w:sz w:val="12"/>
                <w:szCs w:val="12"/>
                <w:color w:val="auto"/>
              </w:rPr>
              <w:t>PROPOSALS TO</w:t>
            </w:r>
          </w:p>
        </w:tc>
        <w:tc>
          <w:tcPr>
            <w:tcW w:w="420" w:type="dxa"/>
            <w:vAlign w:val="bottom"/>
          </w:tcPr>
          <w:p>
            <w:pPr>
              <w:jc w:val="right"/>
              <w:spacing w:after="0"/>
              <w:rPr>
                <w:sz w:val="20"/>
                <w:szCs w:val="20"/>
                <w:color w:val="auto"/>
              </w:rPr>
            </w:pPr>
            <w:r>
              <w:rPr>
                <w:rFonts w:ascii="Arial" w:cs="Arial" w:eastAsia="Arial" w:hAnsi="Arial"/>
                <w:sz w:val="36"/>
                <w:szCs w:val="36"/>
                <w:color w:val="auto"/>
              </w:rPr>
              <w:t>5</w:t>
            </w:r>
          </w:p>
        </w:tc>
        <w:tc>
          <w:tcPr>
            <w:tcW w:w="920" w:type="dxa"/>
            <w:vAlign w:val="bottom"/>
            <w:vMerge w:val="restart"/>
          </w:tcPr>
          <w:p>
            <w:pPr>
              <w:ind w:left="8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38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tcPr>
          <w:p>
            <w:pPr>
              <w:ind w:left="60"/>
              <w:spacing w:after="0" w:line="130" w:lineRule="exact"/>
              <w:rPr>
                <w:sz w:val="20"/>
                <w:szCs w:val="20"/>
                <w:color w:val="auto"/>
              </w:rPr>
            </w:pPr>
            <w:r>
              <w:rPr>
                <w:rFonts w:ascii="Arial" w:cs="Arial" w:eastAsia="Arial" w:hAnsi="Arial"/>
                <w:sz w:val="12"/>
                <w:szCs w:val="12"/>
                <w:color w:val="0075C9"/>
                <w:w w:val="99"/>
              </w:rPr>
              <w:t>EXECUTIVE OFFICER</w:t>
            </w:r>
          </w:p>
        </w:tc>
        <w:tc>
          <w:tcPr>
            <w:tcW w:w="740" w:type="dxa"/>
            <w:vAlign w:val="bottom"/>
          </w:tcPr>
          <w:p>
            <w:pPr>
              <w:spacing w:after="0"/>
              <w:rPr>
                <w:sz w:val="11"/>
                <w:szCs w:val="11"/>
                <w:color w:val="auto"/>
              </w:rPr>
            </w:pPr>
          </w:p>
        </w:tc>
        <w:tc>
          <w:tcPr>
            <w:tcW w:w="1020" w:type="dxa"/>
            <w:vAlign w:val="bottom"/>
          </w:tcPr>
          <w:p>
            <w:pPr>
              <w:ind w:left="60"/>
              <w:spacing w:after="0" w:line="130" w:lineRule="exact"/>
              <w:rPr>
                <w:sz w:val="20"/>
                <w:szCs w:val="20"/>
                <w:color w:val="auto"/>
              </w:rPr>
            </w:pPr>
            <w:r>
              <w:rPr>
                <w:rFonts w:ascii="Arial" w:cs="Arial" w:eastAsia="Arial" w:hAnsi="Arial"/>
                <w:sz w:val="12"/>
                <w:szCs w:val="12"/>
                <w:color w:val="auto"/>
              </w:rPr>
              <w:t>COMMITTEE</w:t>
            </w:r>
          </w:p>
        </w:tc>
        <w:tc>
          <w:tcPr>
            <w:tcW w:w="500" w:type="dxa"/>
            <w:vAlign w:val="bottom"/>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20" w:type="dxa"/>
            <w:vAlign w:val="bottom"/>
          </w:tcPr>
          <w:p>
            <w:pPr>
              <w:spacing w:after="0"/>
              <w:rPr>
                <w:sz w:val="11"/>
                <w:szCs w:val="11"/>
                <w:color w:val="auto"/>
              </w:rPr>
            </w:pPr>
          </w:p>
        </w:tc>
        <w:tc>
          <w:tcPr>
            <w:tcW w:w="92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380" w:type="dxa"/>
            <w:vAlign w:val="bottom"/>
          </w:tcPr>
          <w:p>
            <w:pPr>
              <w:ind w:left="80"/>
              <w:spacing w:after="0"/>
              <w:rPr>
                <w:sz w:val="20"/>
                <w:szCs w:val="20"/>
                <w:color w:val="auto"/>
              </w:rPr>
            </w:pPr>
            <w:r>
              <w:rPr>
                <w:rFonts w:ascii="Arial" w:cs="Arial" w:eastAsia="Arial" w:hAnsi="Arial"/>
                <w:sz w:val="12"/>
                <w:szCs w:val="12"/>
                <w:color w:val="auto"/>
              </w:rPr>
              <w:t>DIRECTORS</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0075C9"/>
              </w:rPr>
              <w:t>COMPENSATION</w:t>
            </w:r>
          </w:p>
        </w:tc>
        <w:tc>
          <w:tcPr>
            <w:tcW w:w="740" w:type="dxa"/>
            <w:vAlign w:val="bottom"/>
          </w:tcPr>
          <w:p>
            <w:pPr>
              <w:spacing w:after="0"/>
              <w:rPr>
                <w:sz w:val="12"/>
                <w:szCs w:val="12"/>
                <w:color w:val="auto"/>
              </w:rPr>
            </w:pPr>
          </w:p>
        </w:tc>
        <w:tc>
          <w:tcPr>
            <w:tcW w:w="1020" w:type="dxa"/>
            <w:vAlign w:val="bottom"/>
          </w:tcPr>
          <w:p>
            <w:pPr>
              <w:ind w:left="60"/>
              <w:spacing w:after="0"/>
              <w:rPr>
                <w:sz w:val="20"/>
                <w:szCs w:val="20"/>
                <w:color w:val="auto"/>
              </w:rPr>
            </w:pPr>
            <w:r>
              <w:rPr>
                <w:rFonts w:ascii="Arial" w:cs="Arial" w:eastAsia="Arial" w:hAnsi="Arial"/>
                <w:sz w:val="12"/>
                <w:szCs w:val="12"/>
                <w:color w:val="auto"/>
              </w:rPr>
              <w:t>MATTERS</w:t>
            </w:r>
          </w:p>
        </w:tc>
        <w:tc>
          <w:tcPr>
            <w:tcW w:w="500" w:type="dxa"/>
            <w:vAlign w:val="bottom"/>
          </w:tcPr>
          <w:p>
            <w:pPr>
              <w:spacing w:after="0"/>
              <w:rPr>
                <w:sz w:val="12"/>
                <w:szCs w:val="12"/>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20" w:type="dxa"/>
            <w:vAlign w:val="bottom"/>
          </w:tcPr>
          <w:p>
            <w:pPr>
              <w:spacing w:after="0"/>
              <w:rPr>
                <w:sz w:val="12"/>
                <w:szCs w:val="12"/>
                <w:color w:val="auto"/>
              </w:rPr>
            </w:pPr>
          </w:p>
        </w:tc>
        <w:tc>
          <w:tcPr>
            <w:tcW w:w="92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00" w:lineRule="exact"/>
        <w:rPr>
          <w:sz w:val="20"/>
          <w:szCs w:val="20"/>
          <w:color w:val="auto"/>
        </w:rPr>
      </w:pPr>
    </w:p>
    <w:p>
      <w:pPr>
        <w:ind w:left="1100" w:right="300"/>
        <w:spacing w:after="0" w:line="239" w:lineRule="auto"/>
        <w:rPr>
          <w:sz w:val="20"/>
          <w:szCs w:val="20"/>
          <w:color w:val="auto"/>
        </w:rPr>
      </w:pPr>
      <w:r>
        <w:rPr>
          <w:rFonts w:ascii="Arial" w:cs="Arial" w:eastAsia="Arial" w:hAnsi="Arial"/>
          <w:sz w:val="16"/>
          <w:szCs w:val="16"/>
          <w:color w:val="auto"/>
        </w:rPr>
        <w:t>This table shows the amounts that would have been payable to our Named Executives upon a termination of employment without cause on June 30, 2021.</w:t>
      </w:r>
    </w:p>
    <w:p>
      <w:pPr>
        <w:spacing w:after="0" w:line="209" w:lineRule="exact"/>
        <w:rPr>
          <w:sz w:val="20"/>
          <w:szCs w:val="20"/>
          <w:color w:val="auto"/>
        </w:rPr>
      </w:pPr>
    </w:p>
    <w:tbl>
      <w:tblPr>
        <w:tblLayout w:type="fixed"/>
        <w:tblInd w:w="1100" w:type="dxa"/>
        <w:tblCellMar>
          <w:top w:w="0" w:type="dxa"/>
          <w:left w:w="0" w:type="dxa"/>
          <w:bottom w:w="0" w:type="dxa"/>
          <w:right w:w="0" w:type="dxa"/>
        </w:tblCellMar>
      </w:tblPr>
      <w:tr>
        <w:trPr>
          <w:trHeight w:val="184"/>
        </w:trPr>
        <w:tc>
          <w:tcPr>
            <w:tcW w:w="4900" w:type="dxa"/>
            <w:vAlign w:val="bottom"/>
          </w:tcPr>
          <w:p>
            <w:pPr>
              <w:spacing w:after="0"/>
              <w:rPr>
                <w:sz w:val="16"/>
                <w:szCs w:val="16"/>
                <w:color w:val="auto"/>
              </w:rPr>
            </w:pPr>
          </w:p>
        </w:tc>
        <w:tc>
          <w:tcPr>
            <w:tcW w:w="4140" w:type="dxa"/>
            <w:vAlign w:val="bottom"/>
          </w:tcPr>
          <w:p>
            <w:pPr>
              <w:jc w:val="right"/>
              <w:spacing w:after="0"/>
              <w:rPr>
                <w:sz w:val="20"/>
                <w:szCs w:val="20"/>
                <w:color w:val="auto"/>
              </w:rPr>
            </w:pPr>
            <w:r>
              <w:rPr>
                <w:rFonts w:ascii="Arial" w:cs="Arial" w:eastAsia="Arial" w:hAnsi="Arial"/>
                <w:sz w:val="16"/>
                <w:szCs w:val="16"/>
                <w:b w:val="1"/>
                <w:bCs w:val="1"/>
                <w:color w:val="auto"/>
              </w:rPr>
              <w:t>Amount</w:t>
            </w:r>
          </w:p>
        </w:tc>
      </w:tr>
      <w:tr>
        <w:trPr>
          <w:trHeight w:val="181"/>
        </w:trPr>
        <w:tc>
          <w:tcPr>
            <w:tcW w:w="4900" w:type="dxa"/>
            <w:vAlign w:val="bottom"/>
          </w:tcPr>
          <w:p>
            <w:pPr>
              <w:spacing w:after="0"/>
              <w:rPr>
                <w:sz w:val="15"/>
                <w:szCs w:val="15"/>
                <w:color w:val="auto"/>
              </w:rPr>
            </w:pPr>
          </w:p>
        </w:tc>
        <w:tc>
          <w:tcPr>
            <w:tcW w:w="414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Payable</w:t>
            </w:r>
          </w:p>
        </w:tc>
      </w:tr>
      <w:tr>
        <w:trPr>
          <w:trHeight w:val="229"/>
        </w:trPr>
        <w:tc>
          <w:tcPr>
            <w:tcW w:w="49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Named Executive</w:t>
            </w:r>
          </w:p>
        </w:tc>
        <w:tc>
          <w:tcPr>
            <w:tcW w:w="4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52"/>
        </w:trPr>
        <w:tc>
          <w:tcPr>
            <w:tcW w:w="490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Satya Nadella</w:t>
            </w:r>
          </w:p>
        </w:tc>
        <w:tc>
          <w:tcPr>
            <w:tcW w:w="414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$91,530,656</w:t>
            </w:r>
          </w:p>
        </w:tc>
      </w:tr>
      <w:tr>
        <w:trPr>
          <w:trHeight w:val="252"/>
        </w:trPr>
        <w:tc>
          <w:tcPr>
            <w:tcW w:w="490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Amy E. Hood</w:t>
            </w:r>
          </w:p>
        </w:tc>
        <w:tc>
          <w:tcPr>
            <w:tcW w:w="414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$41,294,665</w:t>
            </w:r>
          </w:p>
        </w:tc>
      </w:tr>
      <w:tr>
        <w:trPr>
          <w:trHeight w:val="252"/>
        </w:trPr>
        <w:tc>
          <w:tcPr>
            <w:tcW w:w="490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Jean-Philippe Courtois</w:t>
            </w:r>
          </w:p>
        </w:tc>
        <w:tc>
          <w:tcPr>
            <w:tcW w:w="414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$29,571,396</w:t>
            </w:r>
          </w:p>
        </w:tc>
      </w:tr>
      <w:tr>
        <w:trPr>
          <w:trHeight w:val="259"/>
        </w:trPr>
        <w:tc>
          <w:tcPr>
            <w:tcW w:w="490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Bradford L. Smith</w:t>
            </w:r>
          </w:p>
        </w:tc>
        <w:tc>
          <w:tcPr>
            <w:tcW w:w="4140" w:type="dxa"/>
            <w:vAlign w:val="bottom"/>
            <w:tcBorders>
              <w:bottom w:val="single" w:sz="8" w:color="0075C9"/>
            </w:tcBorders>
          </w:tcPr>
          <w:p>
            <w:pPr>
              <w:jc w:val="right"/>
              <w:spacing w:after="0" w:line="258" w:lineRule="exact"/>
              <w:rPr>
                <w:sz w:val="20"/>
                <w:szCs w:val="20"/>
                <w:color w:val="auto"/>
              </w:rPr>
            </w:pPr>
            <w:r>
              <w:rPr>
                <w:rFonts w:ascii="Arial" w:cs="Arial" w:eastAsia="Arial" w:hAnsi="Arial"/>
                <w:sz w:val="16"/>
                <w:szCs w:val="16"/>
                <w:color w:val="auto"/>
              </w:rPr>
              <w:t>$39,957,792</w:t>
            </w:r>
            <w:r>
              <w:rPr>
                <w:rFonts w:ascii="Arial" w:cs="Arial" w:eastAsia="Arial" w:hAnsi="Arial"/>
                <w:sz w:val="26"/>
                <w:szCs w:val="26"/>
                <w:color w:val="auto"/>
                <w:vertAlign w:val="superscript"/>
              </w:rPr>
              <w:t>1</w:t>
            </w:r>
          </w:p>
        </w:tc>
      </w:tr>
      <w:tr>
        <w:trPr>
          <w:trHeight w:val="245"/>
        </w:trPr>
        <w:tc>
          <w:tcPr>
            <w:tcW w:w="490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Christopher D. Young</w:t>
            </w:r>
          </w:p>
        </w:tc>
        <w:tc>
          <w:tcPr>
            <w:tcW w:w="414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$12,686,341</w:t>
            </w:r>
          </w:p>
        </w:tc>
      </w:tr>
    </w:tbl>
    <w:p>
      <w:pPr>
        <w:spacing w:after="0" w:line="72" w:lineRule="exact"/>
        <w:rPr>
          <w:sz w:val="20"/>
          <w:szCs w:val="20"/>
          <w:color w:val="auto"/>
        </w:rPr>
      </w:pPr>
    </w:p>
    <w:p>
      <w:pPr>
        <w:ind w:left="1100"/>
        <w:spacing w:after="0"/>
        <w:tabs>
          <w:tab w:leader="none" w:pos="1340" w:val="left"/>
        </w:tabs>
        <w:rPr>
          <w:sz w:val="20"/>
          <w:szCs w:val="20"/>
          <w:color w:val="auto"/>
        </w:rPr>
      </w:pPr>
      <w:r>
        <w:rPr>
          <w:rFonts w:ascii="Arial" w:cs="Arial" w:eastAsia="Arial" w:hAnsi="Arial"/>
          <w:sz w:val="12"/>
          <w:szCs w:val="12"/>
          <w:color w:val="auto"/>
        </w:rPr>
        <w:t>(1)</w:t>
        <w:tab/>
        <w:t>Includes $11,170,874 in Severance Plan benefits and $28,786,918 in retirement-based stock vesting under Mr. Smith’s SAs and PSAs.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310515</wp:posOffset>
            </wp:positionV>
            <wp:extent cx="573976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CEO Pay Ratio</w:t>
      </w:r>
    </w:p>
    <w:p>
      <w:pPr>
        <w:spacing w:after="0" w:line="143" w:lineRule="exact"/>
        <w:rPr>
          <w:sz w:val="20"/>
          <w:szCs w:val="20"/>
          <w:color w:val="auto"/>
        </w:rPr>
      </w:pPr>
    </w:p>
    <w:p>
      <w:pPr>
        <w:ind w:left="1100" w:right="260"/>
        <w:spacing w:after="0" w:line="237" w:lineRule="auto"/>
        <w:rPr>
          <w:sz w:val="20"/>
          <w:szCs w:val="20"/>
          <w:color w:val="auto"/>
        </w:rPr>
      </w:pPr>
      <w:r>
        <w:rPr>
          <w:rFonts w:ascii="Arial" w:cs="Arial" w:eastAsia="Arial" w:hAnsi="Arial"/>
          <w:sz w:val="16"/>
          <w:szCs w:val="16"/>
          <w:color w:val="auto"/>
        </w:rPr>
        <w:t>For fiscal year 2021, the annual total compensation for the median employee of the Company (other than our CEO) was $176,858 and the annual total compensation of our CEO was $49,858,280. Based on this information, for fiscal year 2021 the ratio of the annual total compensation of our CEO to the annual total compensation of the median employee was 282 to 1. This ratio is a reasonable estimate calculated in a manner consistent with Item 402(u) of Regulation S-K under the Securities Exchange Act of 1934.</w:t>
      </w:r>
    </w:p>
    <w:p>
      <w:pPr>
        <w:spacing w:after="0" w:line="102" w:lineRule="exact"/>
        <w:rPr>
          <w:sz w:val="20"/>
          <w:szCs w:val="20"/>
          <w:color w:val="auto"/>
        </w:rPr>
      </w:pPr>
    </w:p>
    <w:p>
      <w:pPr>
        <w:ind w:left="1100" w:right="160"/>
        <w:spacing w:after="0" w:line="237" w:lineRule="auto"/>
        <w:rPr>
          <w:sz w:val="20"/>
          <w:szCs w:val="20"/>
          <w:color w:val="auto"/>
        </w:rPr>
      </w:pPr>
      <w:r>
        <w:rPr>
          <w:rFonts w:ascii="Arial" w:cs="Arial" w:eastAsia="Arial" w:hAnsi="Arial"/>
          <w:sz w:val="16"/>
          <w:szCs w:val="16"/>
          <w:color w:val="auto"/>
        </w:rPr>
        <w:t>We identified our median employee from among our employees as of June 30, 2021, the last day of our fiscal year, excluding approximately 3,430 employees who became Microsoft employees in fiscal year 2021 in the following business acquisitions: Kinvolk GmbH, The Marsden Group, Inc., Metaswitch Networks Ltd, Orions Digital Systems, Inc., ReFirm Labs, Inc., smashgg, Inc., and ZeniMax Media Inc. To identify our median employee, we used a “total direct compensation” measure consisting of: (i) fiscal year 2021 annual base pay (salary or gross wages for hourly employees, excluding paid leave), which we annualized for any permanent employees who commenced work during the year, (ii) bonuses and cash incentives payable for fiscal year 2021 (excluding allowances, relocation payments, and profit-sharing), and (iii) the dollar value of SAs granted in fiscal year 2021. Compensation amounts were determined from our human resources and payroll systems of record. Payments not made in U.S. dollars were converted to U.S. dollars using 12-month average exchange rates for the year. To identify our median employee, we then calculated the total direct compensation for our global employee population and excluded employees at the median who had anomalous compensation characteristics.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308610</wp:posOffset>
            </wp:positionV>
            <wp:extent cx="573976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Equity Compensation Plan Information</w:t>
      </w:r>
    </w:p>
    <w:p>
      <w:pPr>
        <w:spacing w:after="0" w:line="143" w:lineRule="exact"/>
        <w:rPr>
          <w:sz w:val="20"/>
          <w:szCs w:val="20"/>
          <w:color w:val="auto"/>
        </w:rPr>
      </w:pPr>
    </w:p>
    <w:p>
      <w:pPr>
        <w:ind w:left="1100" w:right="220"/>
        <w:spacing w:after="0" w:line="237" w:lineRule="auto"/>
        <w:rPr>
          <w:sz w:val="20"/>
          <w:szCs w:val="20"/>
          <w:color w:val="auto"/>
        </w:rPr>
      </w:pPr>
      <w:r>
        <w:rPr>
          <w:rFonts w:ascii="Arial" w:cs="Arial" w:eastAsia="Arial" w:hAnsi="Arial"/>
          <w:sz w:val="16"/>
          <w:szCs w:val="16"/>
          <w:color w:val="auto"/>
        </w:rPr>
        <w:t>This table provides information about shares of Microsoft common stock that may be issued under our equity compensation plans approved by shareholders and plans not approved by shareholders (if any) as of June 30, 2021. Under the 2017 and 2001 Stock Plans, no option or stock appreciation rights may be repriced, replaced, regranted through cancellation, repurchased for cash or other consideration, or modified without shareholder approval (except in connection with a change in our capitalization) if the effect would be to reduce the exercise price for the shares underlying the award.</w:t>
      </w:r>
    </w:p>
    <w:p>
      <w:pPr>
        <w:spacing w:after="0" w:line="211" w:lineRule="exact"/>
        <w:rPr>
          <w:sz w:val="20"/>
          <w:szCs w:val="20"/>
          <w:color w:val="auto"/>
        </w:rPr>
      </w:pPr>
    </w:p>
    <w:tbl>
      <w:tblPr>
        <w:tblLayout w:type="fixed"/>
        <w:tblInd w:w="1100" w:type="dxa"/>
        <w:tblCellMar>
          <w:top w:w="0" w:type="dxa"/>
          <w:left w:w="0" w:type="dxa"/>
          <w:bottom w:w="0" w:type="dxa"/>
          <w:right w:w="0" w:type="dxa"/>
        </w:tblCellMar>
      </w:tblPr>
      <w:tr>
        <w:trPr>
          <w:trHeight w:val="184"/>
        </w:trPr>
        <w:tc>
          <w:tcPr>
            <w:tcW w:w="28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160" w:type="dxa"/>
            <w:vAlign w:val="bottom"/>
          </w:tcPr>
          <w:p>
            <w:pPr>
              <w:jc w:val="right"/>
              <w:ind w:right="3"/>
              <w:spacing w:after="0"/>
              <w:rPr>
                <w:sz w:val="20"/>
                <w:szCs w:val="20"/>
                <w:color w:val="auto"/>
              </w:rPr>
            </w:pPr>
            <w:r>
              <w:rPr>
                <w:rFonts w:ascii="Arial" w:cs="Arial" w:eastAsia="Arial" w:hAnsi="Arial"/>
                <w:sz w:val="16"/>
                <w:szCs w:val="16"/>
                <w:b w:val="1"/>
                <w:bCs w:val="1"/>
                <w:color w:val="auto"/>
              </w:rPr>
              <w:t>Number of Securities</w:t>
            </w:r>
          </w:p>
        </w:tc>
        <w:tc>
          <w:tcPr>
            <w:tcW w:w="0" w:type="dxa"/>
            <w:vAlign w:val="bottom"/>
          </w:tcPr>
          <w:p>
            <w:pPr>
              <w:spacing w:after="0"/>
              <w:rPr>
                <w:sz w:val="1"/>
                <w:szCs w:val="1"/>
                <w:color w:val="auto"/>
              </w:rPr>
            </w:pPr>
          </w:p>
        </w:tc>
      </w:tr>
      <w:tr>
        <w:trPr>
          <w:trHeight w:val="181"/>
        </w:trPr>
        <w:tc>
          <w:tcPr>
            <w:tcW w:w="28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780" w:type="dxa"/>
            <w:vAlign w:val="bottom"/>
          </w:tcPr>
          <w:p>
            <w:pPr>
              <w:jc w:val="right"/>
              <w:ind w:right="123"/>
              <w:spacing w:after="0" w:line="181" w:lineRule="exact"/>
              <w:rPr>
                <w:sz w:val="20"/>
                <w:szCs w:val="20"/>
                <w:color w:val="auto"/>
              </w:rPr>
            </w:pPr>
            <w:r>
              <w:rPr>
                <w:rFonts w:ascii="Arial" w:cs="Arial" w:eastAsia="Arial" w:hAnsi="Arial"/>
                <w:sz w:val="16"/>
                <w:szCs w:val="16"/>
                <w:b w:val="1"/>
                <w:bCs w:val="1"/>
                <w:color w:val="auto"/>
              </w:rPr>
              <w:t>Weighted-</w:t>
            </w:r>
          </w:p>
        </w:tc>
        <w:tc>
          <w:tcPr>
            <w:tcW w:w="2160" w:type="dxa"/>
            <w:vAlign w:val="bottom"/>
          </w:tcPr>
          <w:p>
            <w:pPr>
              <w:jc w:val="right"/>
              <w:ind w:right="3"/>
              <w:spacing w:after="0" w:line="181" w:lineRule="exact"/>
              <w:rPr>
                <w:sz w:val="20"/>
                <w:szCs w:val="20"/>
                <w:color w:val="auto"/>
              </w:rPr>
            </w:pPr>
            <w:r>
              <w:rPr>
                <w:rFonts w:ascii="Arial" w:cs="Arial" w:eastAsia="Arial" w:hAnsi="Arial"/>
                <w:sz w:val="16"/>
                <w:szCs w:val="16"/>
                <w:b w:val="1"/>
                <w:bCs w:val="1"/>
                <w:color w:val="auto"/>
              </w:rPr>
              <w:t>Remaining Available</w:t>
            </w:r>
          </w:p>
        </w:tc>
        <w:tc>
          <w:tcPr>
            <w:tcW w:w="0" w:type="dxa"/>
            <w:vAlign w:val="bottom"/>
          </w:tcPr>
          <w:p>
            <w:pPr>
              <w:spacing w:after="0"/>
              <w:rPr>
                <w:sz w:val="1"/>
                <w:szCs w:val="1"/>
                <w:color w:val="auto"/>
              </w:rPr>
            </w:pPr>
          </w:p>
        </w:tc>
      </w:tr>
      <w:tr>
        <w:trPr>
          <w:trHeight w:val="181"/>
        </w:trPr>
        <w:tc>
          <w:tcPr>
            <w:tcW w:w="2840" w:type="dxa"/>
            <w:vAlign w:val="bottom"/>
          </w:tcPr>
          <w:p>
            <w:pPr>
              <w:spacing w:after="0"/>
              <w:rPr>
                <w:sz w:val="15"/>
                <w:szCs w:val="15"/>
                <w:color w:val="auto"/>
              </w:rPr>
            </w:pPr>
          </w:p>
        </w:tc>
        <w:tc>
          <w:tcPr>
            <w:tcW w:w="2260" w:type="dxa"/>
            <w:vAlign w:val="bottom"/>
          </w:tcPr>
          <w:p>
            <w:pPr>
              <w:jc w:val="right"/>
              <w:ind w:right="164"/>
              <w:spacing w:after="0" w:line="181" w:lineRule="exact"/>
              <w:rPr>
                <w:sz w:val="20"/>
                <w:szCs w:val="20"/>
                <w:color w:val="auto"/>
              </w:rPr>
            </w:pPr>
            <w:r>
              <w:rPr>
                <w:rFonts w:ascii="Arial" w:cs="Arial" w:eastAsia="Arial" w:hAnsi="Arial"/>
                <w:sz w:val="16"/>
                <w:szCs w:val="16"/>
                <w:b w:val="1"/>
                <w:bCs w:val="1"/>
                <w:color w:val="auto"/>
              </w:rPr>
              <w:t>Number of Securities</w:t>
            </w:r>
          </w:p>
        </w:tc>
        <w:tc>
          <w:tcPr>
            <w:tcW w:w="1780" w:type="dxa"/>
            <w:vAlign w:val="bottom"/>
          </w:tcPr>
          <w:p>
            <w:pPr>
              <w:jc w:val="right"/>
              <w:ind w:right="123"/>
              <w:spacing w:after="0" w:line="181" w:lineRule="exact"/>
              <w:rPr>
                <w:sz w:val="20"/>
                <w:szCs w:val="20"/>
                <w:color w:val="auto"/>
              </w:rPr>
            </w:pPr>
            <w:r>
              <w:rPr>
                <w:rFonts w:ascii="Arial" w:cs="Arial" w:eastAsia="Arial" w:hAnsi="Arial"/>
                <w:sz w:val="16"/>
                <w:szCs w:val="16"/>
                <w:b w:val="1"/>
                <w:bCs w:val="1"/>
                <w:color w:val="auto"/>
              </w:rPr>
              <w:t>Average</w:t>
            </w:r>
          </w:p>
        </w:tc>
        <w:tc>
          <w:tcPr>
            <w:tcW w:w="2160" w:type="dxa"/>
            <w:vAlign w:val="bottom"/>
          </w:tcPr>
          <w:p>
            <w:pPr>
              <w:jc w:val="right"/>
              <w:ind w:right="3"/>
              <w:spacing w:after="0" w:line="181" w:lineRule="exact"/>
              <w:rPr>
                <w:sz w:val="20"/>
                <w:szCs w:val="20"/>
                <w:color w:val="auto"/>
              </w:rPr>
            </w:pPr>
            <w:r>
              <w:rPr>
                <w:rFonts w:ascii="Arial" w:cs="Arial" w:eastAsia="Arial" w:hAnsi="Arial"/>
                <w:sz w:val="16"/>
                <w:szCs w:val="16"/>
                <w:b w:val="1"/>
                <w:bCs w:val="1"/>
                <w:color w:val="auto"/>
              </w:rPr>
              <w:t>for Future Issuance</w:t>
            </w:r>
          </w:p>
        </w:tc>
        <w:tc>
          <w:tcPr>
            <w:tcW w:w="0" w:type="dxa"/>
            <w:vAlign w:val="bottom"/>
          </w:tcPr>
          <w:p>
            <w:pPr>
              <w:spacing w:after="0"/>
              <w:rPr>
                <w:sz w:val="1"/>
                <w:szCs w:val="1"/>
                <w:color w:val="auto"/>
              </w:rPr>
            </w:pPr>
          </w:p>
        </w:tc>
      </w:tr>
      <w:tr>
        <w:trPr>
          <w:trHeight w:val="181"/>
        </w:trPr>
        <w:tc>
          <w:tcPr>
            <w:tcW w:w="2840" w:type="dxa"/>
            <w:vAlign w:val="bottom"/>
          </w:tcPr>
          <w:p>
            <w:pPr>
              <w:spacing w:after="0"/>
              <w:rPr>
                <w:sz w:val="15"/>
                <w:szCs w:val="15"/>
                <w:color w:val="auto"/>
              </w:rPr>
            </w:pPr>
          </w:p>
        </w:tc>
        <w:tc>
          <w:tcPr>
            <w:tcW w:w="2260" w:type="dxa"/>
            <w:vAlign w:val="bottom"/>
          </w:tcPr>
          <w:p>
            <w:pPr>
              <w:jc w:val="right"/>
              <w:ind w:right="164"/>
              <w:spacing w:after="0" w:line="181" w:lineRule="exact"/>
              <w:rPr>
                <w:sz w:val="20"/>
                <w:szCs w:val="20"/>
                <w:color w:val="auto"/>
              </w:rPr>
            </w:pPr>
            <w:r>
              <w:rPr>
                <w:rFonts w:ascii="Arial" w:cs="Arial" w:eastAsia="Arial" w:hAnsi="Arial"/>
                <w:sz w:val="16"/>
                <w:szCs w:val="16"/>
                <w:b w:val="1"/>
                <w:bCs w:val="1"/>
                <w:color w:val="auto"/>
              </w:rPr>
              <w:t>to be Issued upon</w:t>
            </w:r>
          </w:p>
        </w:tc>
        <w:tc>
          <w:tcPr>
            <w:tcW w:w="1780" w:type="dxa"/>
            <w:vAlign w:val="bottom"/>
          </w:tcPr>
          <w:p>
            <w:pPr>
              <w:jc w:val="right"/>
              <w:ind w:right="123"/>
              <w:spacing w:after="0" w:line="181" w:lineRule="exact"/>
              <w:rPr>
                <w:sz w:val="20"/>
                <w:szCs w:val="20"/>
                <w:color w:val="auto"/>
              </w:rPr>
            </w:pPr>
            <w:r>
              <w:rPr>
                <w:rFonts w:ascii="Arial" w:cs="Arial" w:eastAsia="Arial" w:hAnsi="Arial"/>
                <w:sz w:val="16"/>
                <w:szCs w:val="16"/>
                <w:b w:val="1"/>
                <w:bCs w:val="1"/>
                <w:color w:val="auto"/>
              </w:rPr>
              <w:t>Exercise price</w:t>
            </w:r>
          </w:p>
        </w:tc>
        <w:tc>
          <w:tcPr>
            <w:tcW w:w="2160" w:type="dxa"/>
            <w:vAlign w:val="bottom"/>
          </w:tcPr>
          <w:p>
            <w:pPr>
              <w:jc w:val="right"/>
              <w:ind w:right="3"/>
              <w:spacing w:after="0" w:line="181" w:lineRule="exact"/>
              <w:rPr>
                <w:sz w:val="20"/>
                <w:szCs w:val="20"/>
                <w:color w:val="auto"/>
              </w:rPr>
            </w:pPr>
            <w:r>
              <w:rPr>
                <w:rFonts w:ascii="Arial" w:cs="Arial" w:eastAsia="Arial" w:hAnsi="Arial"/>
                <w:sz w:val="16"/>
                <w:szCs w:val="16"/>
                <w:b w:val="1"/>
                <w:bCs w:val="1"/>
                <w:color w:val="auto"/>
              </w:rPr>
              <w:t>Under Equity</w:t>
            </w:r>
          </w:p>
        </w:tc>
        <w:tc>
          <w:tcPr>
            <w:tcW w:w="0" w:type="dxa"/>
            <w:vAlign w:val="bottom"/>
          </w:tcPr>
          <w:p>
            <w:pPr>
              <w:spacing w:after="0"/>
              <w:rPr>
                <w:sz w:val="1"/>
                <w:szCs w:val="1"/>
                <w:color w:val="auto"/>
              </w:rPr>
            </w:pPr>
          </w:p>
        </w:tc>
      </w:tr>
      <w:tr>
        <w:trPr>
          <w:trHeight w:val="181"/>
        </w:trPr>
        <w:tc>
          <w:tcPr>
            <w:tcW w:w="2840" w:type="dxa"/>
            <w:vAlign w:val="bottom"/>
          </w:tcPr>
          <w:p>
            <w:pPr>
              <w:spacing w:after="0"/>
              <w:rPr>
                <w:sz w:val="15"/>
                <w:szCs w:val="15"/>
                <w:color w:val="auto"/>
              </w:rPr>
            </w:pPr>
          </w:p>
        </w:tc>
        <w:tc>
          <w:tcPr>
            <w:tcW w:w="2260" w:type="dxa"/>
            <w:vAlign w:val="bottom"/>
          </w:tcPr>
          <w:p>
            <w:pPr>
              <w:jc w:val="right"/>
              <w:ind w:right="164"/>
              <w:spacing w:after="0" w:line="181" w:lineRule="exact"/>
              <w:rPr>
                <w:sz w:val="20"/>
                <w:szCs w:val="20"/>
                <w:color w:val="auto"/>
              </w:rPr>
            </w:pPr>
            <w:r>
              <w:rPr>
                <w:rFonts w:ascii="Arial" w:cs="Arial" w:eastAsia="Arial" w:hAnsi="Arial"/>
                <w:sz w:val="16"/>
                <w:szCs w:val="16"/>
                <w:b w:val="1"/>
                <w:bCs w:val="1"/>
                <w:color w:val="auto"/>
              </w:rPr>
              <w:t>Exercise of Outstanding</w:t>
            </w:r>
          </w:p>
        </w:tc>
        <w:tc>
          <w:tcPr>
            <w:tcW w:w="1780" w:type="dxa"/>
            <w:vAlign w:val="bottom"/>
          </w:tcPr>
          <w:p>
            <w:pPr>
              <w:jc w:val="right"/>
              <w:ind w:right="123"/>
              <w:spacing w:after="0" w:line="181" w:lineRule="exact"/>
              <w:rPr>
                <w:sz w:val="20"/>
                <w:szCs w:val="20"/>
                <w:color w:val="auto"/>
              </w:rPr>
            </w:pPr>
            <w:r>
              <w:rPr>
                <w:rFonts w:ascii="Arial" w:cs="Arial" w:eastAsia="Arial" w:hAnsi="Arial"/>
                <w:sz w:val="16"/>
                <w:szCs w:val="16"/>
                <w:b w:val="1"/>
                <w:bCs w:val="1"/>
                <w:color w:val="auto"/>
              </w:rPr>
              <w:t>of Outstanding</w:t>
            </w:r>
          </w:p>
        </w:tc>
        <w:tc>
          <w:tcPr>
            <w:tcW w:w="2160" w:type="dxa"/>
            <w:vAlign w:val="bottom"/>
          </w:tcPr>
          <w:p>
            <w:pPr>
              <w:jc w:val="right"/>
              <w:ind w:right="3"/>
              <w:spacing w:after="0" w:line="181" w:lineRule="exact"/>
              <w:rPr>
                <w:sz w:val="20"/>
                <w:szCs w:val="20"/>
                <w:color w:val="auto"/>
              </w:rPr>
            </w:pPr>
            <w:r>
              <w:rPr>
                <w:rFonts w:ascii="Arial" w:cs="Arial" w:eastAsia="Arial" w:hAnsi="Arial"/>
                <w:sz w:val="16"/>
                <w:szCs w:val="16"/>
                <w:b w:val="1"/>
                <w:bCs w:val="1"/>
                <w:color w:val="auto"/>
              </w:rPr>
              <w:t>Compensation Plans</w:t>
            </w:r>
          </w:p>
        </w:tc>
        <w:tc>
          <w:tcPr>
            <w:tcW w:w="0" w:type="dxa"/>
            <w:vAlign w:val="bottom"/>
          </w:tcPr>
          <w:p>
            <w:pPr>
              <w:spacing w:after="0"/>
              <w:rPr>
                <w:sz w:val="1"/>
                <w:szCs w:val="1"/>
                <w:color w:val="auto"/>
              </w:rPr>
            </w:pPr>
          </w:p>
        </w:tc>
      </w:tr>
      <w:tr>
        <w:trPr>
          <w:trHeight w:val="178"/>
        </w:trPr>
        <w:tc>
          <w:tcPr>
            <w:tcW w:w="2840" w:type="dxa"/>
            <w:vAlign w:val="bottom"/>
          </w:tcPr>
          <w:p>
            <w:pPr>
              <w:spacing w:after="0"/>
              <w:rPr>
                <w:sz w:val="15"/>
                <w:szCs w:val="15"/>
                <w:color w:val="auto"/>
              </w:rPr>
            </w:pPr>
          </w:p>
        </w:tc>
        <w:tc>
          <w:tcPr>
            <w:tcW w:w="2260" w:type="dxa"/>
            <w:vAlign w:val="bottom"/>
          </w:tcPr>
          <w:p>
            <w:pPr>
              <w:jc w:val="right"/>
              <w:ind w:right="164"/>
              <w:spacing w:after="0" w:line="178" w:lineRule="exact"/>
              <w:rPr>
                <w:sz w:val="20"/>
                <w:szCs w:val="20"/>
                <w:color w:val="auto"/>
              </w:rPr>
            </w:pPr>
            <w:r>
              <w:rPr>
                <w:rFonts w:ascii="Arial" w:cs="Arial" w:eastAsia="Arial" w:hAnsi="Arial"/>
                <w:sz w:val="16"/>
                <w:szCs w:val="16"/>
                <w:b w:val="1"/>
                <w:bCs w:val="1"/>
                <w:color w:val="auto"/>
              </w:rPr>
              <w:t>Options, Warrants</w:t>
            </w:r>
          </w:p>
        </w:tc>
        <w:tc>
          <w:tcPr>
            <w:tcW w:w="1780" w:type="dxa"/>
            <w:vAlign w:val="bottom"/>
          </w:tcPr>
          <w:p>
            <w:pPr>
              <w:jc w:val="right"/>
              <w:ind w:right="123"/>
              <w:spacing w:after="0" w:line="178" w:lineRule="exact"/>
              <w:rPr>
                <w:sz w:val="20"/>
                <w:szCs w:val="20"/>
                <w:color w:val="auto"/>
              </w:rPr>
            </w:pPr>
            <w:r>
              <w:rPr>
                <w:rFonts w:ascii="Arial" w:cs="Arial" w:eastAsia="Arial" w:hAnsi="Arial"/>
                <w:sz w:val="16"/>
                <w:szCs w:val="16"/>
                <w:b w:val="1"/>
                <w:bCs w:val="1"/>
                <w:color w:val="auto"/>
              </w:rPr>
              <w:t>Options, Warrants</w:t>
            </w:r>
          </w:p>
        </w:tc>
        <w:tc>
          <w:tcPr>
            <w:tcW w:w="2160" w:type="dxa"/>
            <w:vAlign w:val="bottom"/>
          </w:tcPr>
          <w:p>
            <w:pPr>
              <w:jc w:val="right"/>
              <w:ind w:right="3"/>
              <w:spacing w:after="0" w:line="178" w:lineRule="exact"/>
              <w:rPr>
                <w:sz w:val="20"/>
                <w:szCs w:val="20"/>
                <w:color w:val="auto"/>
              </w:rPr>
            </w:pPr>
            <w:r>
              <w:rPr>
                <w:rFonts w:ascii="Arial" w:cs="Arial" w:eastAsia="Arial" w:hAnsi="Arial"/>
                <w:sz w:val="16"/>
                <w:szCs w:val="16"/>
                <w:b w:val="1"/>
                <w:bCs w:val="1"/>
                <w:color w:val="auto"/>
              </w:rPr>
              <w:t>(Excluding Securities</w:t>
            </w:r>
          </w:p>
        </w:tc>
        <w:tc>
          <w:tcPr>
            <w:tcW w:w="0" w:type="dxa"/>
            <w:vAlign w:val="bottom"/>
          </w:tcPr>
          <w:p>
            <w:pPr>
              <w:spacing w:after="0"/>
              <w:rPr>
                <w:sz w:val="1"/>
                <w:szCs w:val="1"/>
                <w:color w:val="auto"/>
              </w:rPr>
            </w:pPr>
          </w:p>
        </w:tc>
      </w:tr>
      <w:tr>
        <w:trPr>
          <w:trHeight w:val="184"/>
        </w:trPr>
        <w:tc>
          <w:tcPr>
            <w:tcW w:w="2840" w:type="dxa"/>
            <w:vAlign w:val="bottom"/>
          </w:tcPr>
          <w:p>
            <w:pPr>
              <w:spacing w:after="0"/>
              <w:rPr>
                <w:sz w:val="16"/>
                <w:szCs w:val="16"/>
                <w:color w:val="auto"/>
              </w:rPr>
            </w:pPr>
          </w:p>
        </w:tc>
        <w:tc>
          <w:tcPr>
            <w:tcW w:w="2260" w:type="dxa"/>
            <w:vAlign w:val="bottom"/>
          </w:tcPr>
          <w:p>
            <w:pPr>
              <w:jc w:val="right"/>
              <w:ind w:right="164"/>
              <w:spacing w:after="0" w:line="184" w:lineRule="exact"/>
              <w:rPr>
                <w:sz w:val="20"/>
                <w:szCs w:val="20"/>
                <w:color w:val="auto"/>
              </w:rPr>
            </w:pPr>
            <w:r>
              <w:rPr>
                <w:rFonts w:ascii="Arial" w:cs="Arial" w:eastAsia="Arial" w:hAnsi="Arial"/>
                <w:sz w:val="13"/>
                <w:szCs w:val="13"/>
                <w:b w:val="1"/>
                <w:bCs w:val="1"/>
                <w:color w:val="auto"/>
              </w:rPr>
              <w:t>and Rights</w:t>
            </w:r>
            <w:r>
              <w:rPr>
                <w:rFonts w:ascii="Arial" w:cs="Arial" w:eastAsia="Arial" w:hAnsi="Arial"/>
                <w:sz w:val="21"/>
                <w:szCs w:val="21"/>
                <w:b w:val="1"/>
                <w:bCs w:val="1"/>
                <w:color w:val="auto"/>
                <w:vertAlign w:val="superscript"/>
              </w:rPr>
              <w:t>1</w:t>
            </w:r>
          </w:p>
        </w:tc>
        <w:tc>
          <w:tcPr>
            <w:tcW w:w="1780" w:type="dxa"/>
            <w:vAlign w:val="bottom"/>
          </w:tcPr>
          <w:p>
            <w:pPr>
              <w:jc w:val="right"/>
              <w:ind w:right="123"/>
              <w:spacing w:after="0" w:line="184" w:lineRule="exact"/>
              <w:rPr>
                <w:sz w:val="20"/>
                <w:szCs w:val="20"/>
                <w:color w:val="auto"/>
              </w:rPr>
            </w:pPr>
            <w:r>
              <w:rPr>
                <w:rFonts w:ascii="Arial" w:cs="Arial" w:eastAsia="Arial" w:hAnsi="Arial"/>
                <w:sz w:val="13"/>
                <w:szCs w:val="13"/>
                <w:b w:val="1"/>
                <w:bCs w:val="1"/>
                <w:color w:val="auto"/>
              </w:rPr>
              <w:t>and Rights</w:t>
            </w:r>
            <w:r>
              <w:rPr>
                <w:rFonts w:ascii="Arial" w:cs="Arial" w:eastAsia="Arial" w:hAnsi="Arial"/>
                <w:sz w:val="21"/>
                <w:szCs w:val="21"/>
                <w:b w:val="1"/>
                <w:bCs w:val="1"/>
                <w:color w:val="auto"/>
                <w:vertAlign w:val="superscript"/>
              </w:rPr>
              <w:t>2</w:t>
            </w:r>
          </w:p>
        </w:tc>
        <w:tc>
          <w:tcPr>
            <w:tcW w:w="2160" w:type="dxa"/>
            <w:vAlign w:val="bottom"/>
          </w:tcPr>
          <w:p>
            <w:pPr>
              <w:jc w:val="right"/>
              <w:ind w:right="3"/>
              <w:spacing w:after="0" w:line="184" w:lineRule="exact"/>
              <w:rPr>
                <w:sz w:val="20"/>
                <w:szCs w:val="20"/>
                <w:color w:val="auto"/>
              </w:rPr>
            </w:pPr>
            <w:r>
              <w:rPr>
                <w:rFonts w:ascii="Arial" w:cs="Arial" w:eastAsia="Arial" w:hAnsi="Arial"/>
                <w:sz w:val="13"/>
                <w:szCs w:val="13"/>
                <w:b w:val="1"/>
                <w:bCs w:val="1"/>
                <w:color w:val="auto"/>
              </w:rPr>
              <w:t>Reflected in Column (a))</w:t>
            </w:r>
            <w:r>
              <w:rPr>
                <w:rFonts w:ascii="Arial" w:cs="Arial" w:eastAsia="Arial" w:hAnsi="Arial"/>
                <w:sz w:val="21"/>
                <w:szCs w:val="21"/>
                <w:b w:val="1"/>
                <w:bCs w:val="1"/>
                <w:color w:val="auto"/>
                <w:vertAlign w:val="superscript"/>
              </w:rPr>
              <w:t>3</w:t>
            </w:r>
          </w:p>
        </w:tc>
        <w:tc>
          <w:tcPr>
            <w:tcW w:w="0" w:type="dxa"/>
            <w:vAlign w:val="bottom"/>
          </w:tcPr>
          <w:p>
            <w:pPr>
              <w:spacing w:after="0"/>
              <w:rPr>
                <w:sz w:val="1"/>
                <w:szCs w:val="1"/>
                <w:color w:val="auto"/>
              </w:rPr>
            </w:pPr>
          </w:p>
        </w:tc>
      </w:tr>
      <w:tr>
        <w:trPr>
          <w:trHeight w:val="229"/>
        </w:trPr>
        <w:tc>
          <w:tcPr>
            <w:tcW w:w="28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Plan Category</w:t>
            </w:r>
          </w:p>
        </w:tc>
        <w:tc>
          <w:tcPr>
            <w:tcW w:w="2260" w:type="dxa"/>
            <w:vAlign w:val="bottom"/>
            <w:tcBorders>
              <w:bottom w:val="single" w:sz="8" w:color="auto"/>
            </w:tcBorders>
          </w:tcPr>
          <w:p>
            <w:pPr>
              <w:jc w:val="right"/>
              <w:ind w:right="164"/>
              <w:spacing w:after="0"/>
              <w:rPr>
                <w:sz w:val="20"/>
                <w:szCs w:val="20"/>
                <w:color w:val="auto"/>
              </w:rPr>
            </w:pPr>
            <w:r>
              <w:rPr>
                <w:rFonts w:ascii="Arial" w:cs="Arial" w:eastAsia="Arial" w:hAnsi="Arial"/>
                <w:sz w:val="16"/>
                <w:szCs w:val="16"/>
                <w:b w:val="1"/>
                <w:bCs w:val="1"/>
                <w:color w:val="auto"/>
              </w:rPr>
              <w:t>(a)</w:t>
            </w:r>
          </w:p>
        </w:tc>
        <w:tc>
          <w:tcPr>
            <w:tcW w:w="178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b w:val="1"/>
                <w:bCs w:val="1"/>
                <w:color w:val="auto"/>
              </w:rPr>
              <w:t>($)(b)</w:t>
            </w:r>
          </w:p>
        </w:tc>
        <w:tc>
          <w:tcPr>
            <w:tcW w:w="21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(c)</w:t>
            </w:r>
          </w:p>
        </w:tc>
        <w:tc>
          <w:tcPr>
            <w:tcW w:w="0" w:type="dxa"/>
            <w:vAlign w:val="bottom"/>
          </w:tcPr>
          <w:p>
            <w:pPr>
              <w:spacing w:after="0"/>
              <w:rPr>
                <w:sz w:val="1"/>
                <w:szCs w:val="1"/>
                <w:color w:val="auto"/>
              </w:rPr>
            </w:pPr>
          </w:p>
        </w:tc>
      </w:tr>
      <w:tr>
        <w:trPr>
          <w:trHeight w:val="235"/>
        </w:trPr>
        <w:tc>
          <w:tcPr>
            <w:tcW w:w="2840" w:type="dxa"/>
            <w:vAlign w:val="bottom"/>
          </w:tcPr>
          <w:p>
            <w:pPr>
              <w:ind w:left="80"/>
              <w:spacing w:after="0"/>
              <w:rPr>
                <w:sz w:val="20"/>
                <w:szCs w:val="20"/>
                <w:color w:val="auto"/>
              </w:rPr>
            </w:pPr>
            <w:r>
              <w:rPr>
                <w:rFonts w:ascii="Arial" w:cs="Arial" w:eastAsia="Arial" w:hAnsi="Arial"/>
                <w:sz w:val="16"/>
                <w:szCs w:val="16"/>
                <w:color w:val="auto"/>
              </w:rPr>
              <w:t>Equity compensation plans approved</w:t>
            </w:r>
          </w:p>
        </w:tc>
        <w:tc>
          <w:tcPr>
            <w:tcW w:w="22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84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auto"/>
              </w:rPr>
              <w:t>by security holders</w:t>
            </w:r>
          </w:p>
        </w:tc>
        <w:tc>
          <w:tcPr>
            <w:tcW w:w="2260" w:type="dxa"/>
            <w:vAlign w:val="bottom"/>
            <w:tcBorders>
              <w:bottom w:val="single" w:sz="8" w:color="0075C9"/>
            </w:tcBorders>
          </w:tcPr>
          <w:p>
            <w:pPr>
              <w:jc w:val="right"/>
              <w:ind w:right="164"/>
              <w:spacing w:after="0"/>
              <w:rPr>
                <w:sz w:val="20"/>
                <w:szCs w:val="20"/>
                <w:color w:val="auto"/>
              </w:rPr>
            </w:pPr>
            <w:r>
              <w:rPr>
                <w:rFonts w:ascii="Arial" w:cs="Arial" w:eastAsia="Arial" w:hAnsi="Arial"/>
                <w:sz w:val="16"/>
                <w:szCs w:val="16"/>
                <w:color w:val="auto"/>
              </w:rPr>
              <w:t>101,767,558</w:t>
            </w:r>
          </w:p>
        </w:tc>
        <w:tc>
          <w:tcPr>
            <w:tcW w:w="1780" w:type="dxa"/>
            <w:vAlign w:val="bottom"/>
            <w:tcBorders>
              <w:bottom w:val="single" w:sz="8" w:color="0075C9"/>
            </w:tcBorders>
          </w:tcPr>
          <w:p>
            <w:pPr>
              <w:jc w:val="right"/>
              <w:ind w:right="123"/>
              <w:spacing w:after="0"/>
              <w:rPr>
                <w:sz w:val="20"/>
                <w:szCs w:val="20"/>
                <w:color w:val="auto"/>
              </w:rPr>
            </w:pPr>
            <w:r>
              <w:rPr>
                <w:rFonts w:ascii="Arial" w:cs="Arial" w:eastAsia="Arial" w:hAnsi="Arial"/>
                <w:sz w:val="16"/>
                <w:szCs w:val="16"/>
                <w:color w:val="auto"/>
              </w:rPr>
              <w:t>$26.63</w:t>
            </w:r>
          </w:p>
        </w:tc>
        <w:tc>
          <w:tcPr>
            <w:tcW w:w="2160" w:type="dxa"/>
            <w:vAlign w:val="bottom"/>
            <w:tcBorders>
              <w:bottom w:val="single" w:sz="8" w:color="0075C9"/>
            </w:tcBorders>
          </w:tcPr>
          <w:p>
            <w:pPr>
              <w:jc w:val="right"/>
              <w:ind w:right="3"/>
              <w:spacing w:after="0"/>
              <w:rPr>
                <w:sz w:val="20"/>
                <w:szCs w:val="20"/>
                <w:color w:val="auto"/>
              </w:rPr>
            </w:pPr>
            <w:r>
              <w:rPr>
                <w:rFonts w:ascii="Arial" w:cs="Arial" w:eastAsia="Arial" w:hAnsi="Arial"/>
                <w:sz w:val="16"/>
                <w:szCs w:val="16"/>
                <w:color w:val="auto"/>
              </w:rPr>
              <w:t>339,920,108</w:t>
            </w:r>
          </w:p>
        </w:tc>
        <w:tc>
          <w:tcPr>
            <w:tcW w:w="0" w:type="dxa"/>
            <w:vAlign w:val="bottom"/>
          </w:tcPr>
          <w:p>
            <w:pPr>
              <w:spacing w:after="0"/>
              <w:rPr>
                <w:sz w:val="1"/>
                <w:szCs w:val="1"/>
                <w:color w:val="auto"/>
              </w:rPr>
            </w:pPr>
          </w:p>
        </w:tc>
      </w:tr>
      <w:tr>
        <w:trPr>
          <w:trHeight w:val="235"/>
        </w:trPr>
        <w:tc>
          <w:tcPr>
            <w:tcW w:w="2840" w:type="dxa"/>
            <w:vAlign w:val="bottom"/>
          </w:tcPr>
          <w:p>
            <w:pPr>
              <w:ind w:left="80"/>
              <w:spacing w:after="0"/>
              <w:rPr>
                <w:sz w:val="20"/>
                <w:szCs w:val="20"/>
                <w:color w:val="auto"/>
              </w:rPr>
            </w:pPr>
            <w:r>
              <w:rPr>
                <w:rFonts w:ascii="Arial" w:cs="Arial" w:eastAsia="Arial" w:hAnsi="Arial"/>
                <w:sz w:val="16"/>
                <w:szCs w:val="16"/>
                <w:color w:val="auto"/>
              </w:rPr>
              <w:t>Equity compensation plans not</w:t>
            </w:r>
          </w:p>
        </w:tc>
        <w:tc>
          <w:tcPr>
            <w:tcW w:w="2260" w:type="dxa"/>
            <w:vAlign w:val="bottom"/>
            <w:vMerge w:val="restart"/>
          </w:tcPr>
          <w:p>
            <w:pPr>
              <w:jc w:val="right"/>
              <w:ind w:right="164"/>
              <w:spacing w:after="0"/>
              <w:rPr>
                <w:sz w:val="20"/>
                <w:szCs w:val="20"/>
                <w:color w:val="auto"/>
              </w:rPr>
            </w:pPr>
            <w:r>
              <w:rPr>
                <w:rFonts w:ascii="Arial" w:cs="Arial" w:eastAsia="Arial" w:hAnsi="Arial"/>
                <w:sz w:val="16"/>
                <w:szCs w:val="16"/>
                <w:color w:val="auto"/>
              </w:rPr>
              <w:t>0</w:t>
            </w:r>
          </w:p>
        </w:tc>
        <w:tc>
          <w:tcPr>
            <w:tcW w:w="1780" w:type="dxa"/>
            <w:vAlign w:val="bottom"/>
            <w:vMerge w:val="restart"/>
          </w:tcPr>
          <w:p>
            <w:pPr>
              <w:jc w:val="right"/>
              <w:ind w:right="123"/>
              <w:spacing w:after="0"/>
              <w:rPr>
                <w:sz w:val="20"/>
                <w:szCs w:val="20"/>
                <w:color w:val="auto"/>
              </w:rPr>
            </w:pPr>
            <w:r>
              <w:rPr>
                <w:rFonts w:ascii="Arial" w:cs="Arial" w:eastAsia="Arial" w:hAnsi="Arial"/>
                <w:sz w:val="16"/>
                <w:szCs w:val="16"/>
                <w:color w:val="auto"/>
              </w:rPr>
              <w:t>N/A</w:t>
            </w:r>
          </w:p>
        </w:tc>
        <w:tc>
          <w:tcPr>
            <w:tcW w:w="2160" w:type="dxa"/>
            <w:vAlign w:val="bottom"/>
            <w:vMerge w:val="restart"/>
          </w:tcPr>
          <w:p>
            <w:pPr>
              <w:jc w:val="right"/>
              <w:ind w:right="3"/>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96"/>
        </w:trPr>
        <w:tc>
          <w:tcPr>
            <w:tcW w:w="2840" w:type="dxa"/>
            <w:vAlign w:val="bottom"/>
            <w:vMerge w:val="restart"/>
          </w:tcPr>
          <w:p>
            <w:pPr>
              <w:ind w:left="80"/>
              <w:spacing w:after="0"/>
              <w:rPr>
                <w:sz w:val="20"/>
                <w:szCs w:val="20"/>
                <w:color w:val="auto"/>
              </w:rPr>
            </w:pPr>
            <w:r>
              <w:rPr>
                <w:rFonts w:ascii="Arial" w:cs="Arial" w:eastAsia="Arial" w:hAnsi="Arial"/>
                <w:sz w:val="16"/>
                <w:szCs w:val="16"/>
                <w:color w:val="auto"/>
              </w:rPr>
              <w:t>approved by security holders</w:t>
            </w:r>
          </w:p>
        </w:tc>
        <w:tc>
          <w:tcPr>
            <w:tcW w:w="2260" w:type="dxa"/>
            <w:vAlign w:val="bottom"/>
            <w:vMerge w:val="continue"/>
          </w:tcPr>
          <w:p>
            <w:pPr>
              <w:spacing w:after="0"/>
              <w:rPr>
                <w:sz w:val="8"/>
                <w:szCs w:val="8"/>
                <w:color w:val="auto"/>
              </w:rPr>
            </w:pPr>
          </w:p>
        </w:tc>
        <w:tc>
          <w:tcPr>
            <w:tcW w:w="1780" w:type="dxa"/>
            <w:vAlign w:val="bottom"/>
            <w:vMerge w:val="continue"/>
          </w:tcPr>
          <w:p>
            <w:pPr>
              <w:spacing w:after="0"/>
              <w:rPr>
                <w:sz w:val="8"/>
                <w:szCs w:val="8"/>
                <w:color w:val="auto"/>
              </w:rPr>
            </w:pPr>
          </w:p>
        </w:tc>
        <w:tc>
          <w:tcPr>
            <w:tcW w:w="2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840" w:type="dxa"/>
            <w:vAlign w:val="bottom"/>
            <w:tcBorders>
              <w:bottom w:val="single" w:sz="8" w:color="0075C9"/>
            </w:tcBorders>
            <w:vMerge w:val="continue"/>
          </w:tcPr>
          <w:p>
            <w:pPr>
              <w:spacing w:after="0"/>
              <w:rPr>
                <w:sz w:val="8"/>
                <w:szCs w:val="8"/>
                <w:color w:val="auto"/>
              </w:rPr>
            </w:pPr>
          </w:p>
        </w:tc>
        <w:tc>
          <w:tcPr>
            <w:tcW w:w="2260" w:type="dxa"/>
            <w:vAlign w:val="bottom"/>
            <w:tcBorders>
              <w:bottom w:val="single" w:sz="8" w:color="0075C9"/>
            </w:tcBorders>
          </w:tcPr>
          <w:p>
            <w:pPr>
              <w:spacing w:after="0"/>
              <w:rPr>
                <w:sz w:val="8"/>
                <w:szCs w:val="8"/>
                <w:color w:val="auto"/>
              </w:rPr>
            </w:pPr>
          </w:p>
        </w:tc>
        <w:tc>
          <w:tcPr>
            <w:tcW w:w="1780" w:type="dxa"/>
            <w:vAlign w:val="bottom"/>
            <w:tcBorders>
              <w:bottom w:val="single" w:sz="8" w:color="0075C9"/>
            </w:tcBorders>
          </w:tcPr>
          <w:p>
            <w:pPr>
              <w:spacing w:after="0"/>
              <w:rPr>
                <w:sz w:val="8"/>
                <w:szCs w:val="8"/>
                <w:color w:val="auto"/>
              </w:rPr>
            </w:pPr>
          </w:p>
        </w:tc>
        <w:tc>
          <w:tcPr>
            <w:tcW w:w="2160" w:type="dxa"/>
            <w:vAlign w:val="bottom"/>
            <w:tcBorders>
              <w:bottom w:val="single" w:sz="8" w:color="0075C9"/>
            </w:tcBorders>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284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auto"/>
              </w:rPr>
              <w:t>Total</w:t>
            </w:r>
          </w:p>
        </w:tc>
        <w:tc>
          <w:tcPr>
            <w:tcW w:w="2260" w:type="dxa"/>
            <w:vAlign w:val="bottom"/>
            <w:tcBorders>
              <w:bottom w:val="single" w:sz="8" w:color="0075C9"/>
            </w:tcBorders>
          </w:tcPr>
          <w:p>
            <w:pPr>
              <w:jc w:val="right"/>
              <w:ind w:right="164"/>
              <w:spacing w:after="0"/>
              <w:rPr>
                <w:sz w:val="20"/>
                <w:szCs w:val="20"/>
                <w:color w:val="auto"/>
              </w:rPr>
            </w:pPr>
            <w:r>
              <w:rPr>
                <w:rFonts w:ascii="Arial" w:cs="Arial" w:eastAsia="Arial" w:hAnsi="Arial"/>
                <w:sz w:val="16"/>
                <w:szCs w:val="16"/>
                <w:color w:val="auto"/>
              </w:rPr>
              <w:t>101,767,558</w:t>
            </w:r>
          </w:p>
        </w:tc>
        <w:tc>
          <w:tcPr>
            <w:tcW w:w="1780" w:type="dxa"/>
            <w:vAlign w:val="bottom"/>
            <w:tcBorders>
              <w:bottom w:val="single" w:sz="8" w:color="0075C9"/>
            </w:tcBorders>
          </w:tcPr>
          <w:p>
            <w:pPr>
              <w:jc w:val="right"/>
              <w:ind w:right="123"/>
              <w:spacing w:after="0"/>
              <w:rPr>
                <w:sz w:val="20"/>
                <w:szCs w:val="20"/>
                <w:color w:val="auto"/>
              </w:rPr>
            </w:pPr>
            <w:r>
              <w:rPr>
                <w:rFonts w:ascii="Arial" w:cs="Arial" w:eastAsia="Arial" w:hAnsi="Arial"/>
                <w:sz w:val="16"/>
                <w:szCs w:val="16"/>
                <w:color w:val="auto"/>
              </w:rPr>
              <w:t>$26.63</w:t>
            </w:r>
          </w:p>
        </w:tc>
        <w:tc>
          <w:tcPr>
            <w:tcW w:w="2160" w:type="dxa"/>
            <w:vAlign w:val="bottom"/>
            <w:tcBorders>
              <w:bottom w:val="single" w:sz="8" w:color="0075C9"/>
            </w:tcBorders>
          </w:tcPr>
          <w:p>
            <w:pPr>
              <w:jc w:val="right"/>
              <w:ind w:right="3"/>
              <w:spacing w:after="0"/>
              <w:rPr>
                <w:sz w:val="20"/>
                <w:szCs w:val="20"/>
                <w:color w:val="auto"/>
              </w:rPr>
            </w:pPr>
            <w:r>
              <w:rPr>
                <w:rFonts w:ascii="Arial" w:cs="Arial" w:eastAsia="Arial" w:hAnsi="Arial"/>
                <w:sz w:val="16"/>
                <w:szCs w:val="16"/>
                <w:color w:val="auto"/>
              </w:rPr>
              <w:t>339,920,108</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360" w:right="280" w:hanging="258"/>
        <w:spacing w:after="0" w:line="239" w:lineRule="auto"/>
        <w:tabs>
          <w:tab w:leader="none" w:pos="1360" w:val="left"/>
        </w:tabs>
        <w:numPr>
          <w:ilvl w:val="0"/>
          <w:numId w:val="88"/>
        </w:numPr>
        <w:rPr>
          <w:rFonts w:ascii="Arial" w:cs="Arial" w:eastAsia="Arial" w:hAnsi="Arial"/>
          <w:sz w:val="12"/>
          <w:szCs w:val="12"/>
          <w:color w:val="auto"/>
        </w:rPr>
      </w:pPr>
      <w:r>
        <w:rPr>
          <w:rFonts w:ascii="Arial" w:cs="Arial" w:eastAsia="Arial" w:hAnsi="Arial"/>
          <w:sz w:val="12"/>
          <w:szCs w:val="12"/>
          <w:color w:val="auto"/>
        </w:rPr>
        <w:t>Represents shares issuable upon vesting of outstanding SAs granted under the 2017 and 2001 Stock Plans and PSAs for which there is a grant date under FASB ASC Topic 718; includes shares under PSAs and options granted in connection with acquisitions.</w:t>
      </w:r>
    </w:p>
    <w:p>
      <w:pPr>
        <w:spacing w:after="0" w:line="61" w:lineRule="exact"/>
        <w:rPr>
          <w:rFonts w:ascii="Arial" w:cs="Arial" w:eastAsia="Arial" w:hAnsi="Arial"/>
          <w:sz w:val="12"/>
          <w:szCs w:val="12"/>
          <w:color w:val="auto"/>
        </w:rPr>
      </w:pPr>
    </w:p>
    <w:p>
      <w:pPr>
        <w:ind w:left="1360" w:hanging="258"/>
        <w:spacing w:after="0"/>
        <w:tabs>
          <w:tab w:leader="none" w:pos="1360" w:val="left"/>
        </w:tabs>
        <w:numPr>
          <w:ilvl w:val="0"/>
          <w:numId w:val="88"/>
        </w:numPr>
        <w:rPr>
          <w:rFonts w:ascii="Arial" w:cs="Arial" w:eastAsia="Arial" w:hAnsi="Arial"/>
          <w:sz w:val="12"/>
          <w:szCs w:val="12"/>
          <w:color w:val="auto"/>
        </w:rPr>
      </w:pPr>
      <w:r>
        <w:rPr>
          <w:rFonts w:ascii="Arial" w:cs="Arial" w:eastAsia="Arial" w:hAnsi="Arial"/>
          <w:sz w:val="12"/>
          <w:szCs w:val="12"/>
          <w:color w:val="auto"/>
        </w:rPr>
        <w:t>The weighted average exercise price does not take into account the shares issuable upon vesting of outstanding stock awards, which have no exercise price.</w:t>
      </w:r>
    </w:p>
    <w:p>
      <w:pPr>
        <w:spacing w:after="0" w:line="69" w:lineRule="exact"/>
        <w:rPr>
          <w:rFonts w:ascii="Arial" w:cs="Arial" w:eastAsia="Arial" w:hAnsi="Arial"/>
          <w:sz w:val="12"/>
          <w:szCs w:val="12"/>
          <w:color w:val="auto"/>
        </w:rPr>
      </w:pPr>
    </w:p>
    <w:p>
      <w:pPr>
        <w:ind w:left="1360" w:hanging="258"/>
        <w:spacing w:after="0"/>
        <w:tabs>
          <w:tab w:leader="none" w:pos="1360" w:val="left"/>
        </w:tabs>
        <w:numPr>
          <w:ilvl w:val="0"/>
          <w:numId w:val="88"/>
        </w:numPr>
        <w:rPr>
          <w:rFonts w:ascii="Arial" w:cs="Arial" w:eastAsia="Arial" w:hAnsi="Arial"/>
          <w:sz w:val="12"/>
          <w:szCs w:val="12"/>
          <w:color w:val="auto"/>
        </w:rPr>
      </w:pPr>
      <w:r>
        <w:rPr>
          <w:rFonts w:ascii="Arial" w:cs="Arial" w:eastAsia="Arial" w:hAnsi="Arial"/>
          <w:sz w:val="12"/>
          <w:szCs w:val="12"/>
          <w:color w:val="auto"/>
        </w:rPr>
        <w:t>Includes 88,139,420 shares remaining available for issuance as of June 30, 2021 under the Employee Stock Purchase Plan.</w:t>
      </w:r>
    </w:p>
    <w:p>
      <w:pPr>
        <w:sectPr>
          <w:pgSz w:w="11900" w:h="16838" w:orient="portrait"/>
          <w:cols w:equalWidth="0" w:num="1">
            <w:col w:w="10280"/>
          </w:cols>
          <w:pgMar w:left="320" w:top="445" w:right="129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ind w:left="8240"/>
        <w:spacing w:after="0"/>
        <w:tabs>
          <w:tab w:leader="none" w:pos="10120" w:val="left"/>
        </w:tabs>
        <w:rPr>
          <w:sz w:val="20"/>
          <w:szCs w:val="20"/>
          <w:color w:val="auto"/>
        </w:rPr>
      </w:pPr>
      <w:r>
        <w:rPr>
          <w:rFonts w:ascii="Arial" w:cs="Arial" w:eastAsia="Arial" w:hAnsi="Arial"/>
          <w:sz w:val="14"/>
          <w:szCs w:val="14"/>
          <w:color w:val="auto"/>
        </w:rPr>
        <w:t>2021 PROXY STATEMENT</w:t>
      </w:r>
      <w:r>
        <w:rPr>
          <w:sz w:val="20"/>
          <w:szCs w:val="20"/>
          <w:color w:val="auto"/>
        </w:rPr>
        <w:tab/>
      </w:r>
      <w:r>
        <w:rPr>
          <w:rFonts w:ascii="Arial" w:cs="Arial" w:eastAsia="Arial" w:hAnsi="Arial"/>
          <w:sz w:val="12"/>
          <w:szCs w:val="12"/>
          <w:b w:val="1"/>
          <w:bCs w:val="1"/>
          <w:color w:val="0075C9"/>
        </w:rPr>
        <w:t>59</w:t>
      </w:r>
    </w:p>
    <w:p>
      <w:pPr>
        <w:sectPr>
          <w:pgSz w:w="11900" w:h="16838" w:orient="portrait"/>
          <w:cols w:equalWidth="0" w:num="1">
            <w:col w:w="10280"/>
          </w:cols>
          <w:pgMar w:left="320" w:top="445" w:right="1299" w:bottom="1440" w:gutter="0" w:footer="0" w:header="0"/>
          <w:type w:val="continuous"/>
        </w:sectPr>
      </w:pPr>
    </w:p>
    <w:bookmarkStart w:id="67" w:name="page68"/>
    <w:bookmarkEnd w:id="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auto"/>
                <w:w w:val="89"/>
              </w:rPr>
              <w:t>1</w:t>
            </w:r>
          </w:p>
        </w:tc>
        <w:tc>
          <w:tcPr>
            <w:tcW w:w="1380" w:type="dxa"/>
            <w:vAlign w:val="bottom"/>
            <w:vMerge w:val="restart"/>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gridSpan w:val="2"/>
          </w:tcPr>
          <w:p>
            <w:pPr>
              <w:jc w:val="right"/>
              <w:ind w:right="80"/>
              <w:spacing w:after="0"/>
              <w:rPr>
                <w:sz w:val="20"/>
                <w:szCs w:val="20"/>
                <w:color w:val="auto"/>
              </w:rPr>
            </w:pPr>
            <w:r>
              <w:rPr>
                <w:rFonts w:ascii="Arial" w:cs="Arial" w:eastAsia="Arial" w:hAnsi="Arial"/>
                <w:sz w:val="36"/>
                <w:szCs w:val="36"/>
                <w:color w:val="0075C9"/>
              </w:rPr>
              <w:t>2</w:t>
            </w:r>
          </w:p>
        </w:tc>
        <w:tc>
          <w:tcPr>
            <w:tcW w:w="1320" w:type="dxa"/>
            <w:vAlign w:val="bottom"/>
            <w:vMerge w:val="restart"/>
          </w:tcPr>
          <w:p>
            <w:pPr>
              <w:ind w:left="60"/>
              <w:spacing w:after="0"/>
              <w:rPr>
                <w:sz w:val="20"/>
                <w:szCs w:val="20"/>
                <w:color w:val="auto"/>
              </w:rPr>
            </w:pPr>
            <w:r>
              <w:rPr>
                <w:rFonts w:ascii="Arial" w:cs="Arial" w:eastAsia="Arial" w:hAnsi="Arial"/>
                <w:sz w:val="12"/>
                <w:szCs w:val="12"/>
                <w:color w:val="0075C9"/>
              </w:rPr>
              <w:t>NAMED</w:t>
            </w:r>
          </w:p>
        </w:tc>
        <w:tc>
          <w:tcPr>
            <w:tcW w:w="740" w:type="dxa"/>
            <w:vAlign w:val="bottom"/>
          </w:tcPr>
          <w:p>
            <w:pPr>
              <w:jc w:val="right"/>
              <w:spacing w:after="0"/>
              <w:rPr>
                <w:sz w:val="20"/>
                <w:szCs w:val="20"/>
                <w:color w:val="auto"/>
              </w:rPr>
            </w:pPr>
            <w:r>
              <w:rPr>
                <w:rFonts w:ascii="Arial" w:cs="Arial" w:eastAsia="Arial" w:hAnsi="Arial"/>
                <w:sz w:val="36"/>
                <w:szCs w:val="36"/>
                <w:color w:val="auto"/>
              </w:rPr>
              <w:t>3</w:t>
            </w:r>
          </w:p>
        </w:tc>
        <w:tc>
          <w:tcPr>
            <w:tcW w:w="1020" w:type="dxa"/>
            <w:vAlign w:val="bottom"/>
            <w:vMerge w:val="restart"/>
          </w:tcPr>
          <w:p>
            <w:pPr>
              <w:ind w:left="60"/>
              <w:spacing w:after="0"/>
              <w:rPr>
                <w:sz w:val="20"/>
                <w:szCs w:val="20"/>
                <w:color w:val="auto"/>
              </w:rPr>
            </w:pPr>
            <w:r>
              <w:rPr>
                <w:rFonts w:ascii="Arial" w:cs="Arial" w:eastAsia="Arial" w:hAnsi="Arial"/>
                <w:sz w:val="12"/>
                <w:szCs w:val="12"/>
                <w:color w:val="auto"/>
              </w:rPr>
              <w:t>AUDIT</w:t>
            </w:r>
          </w:p>
        </w:tc>
        <w:tc>
          <w:tcPr>
            <w:tcW w:w="500" w:type="dxa"/>
            <w:vAlign w:val="bottom"/>
          </w:tcPr>
          <w:p>
            <w:pPr>
              <w:jc w:val="right"/>
              <w:spacing w:after="0"/>
              <w:rPr>
                <w:sz w:val="20"/>
                <w:szCs w:val="20"/>
                <w:color w:val="auto"/>
              </w:rPr>
            </w:pPr>
            <w:r>
              <w:rPr>
                <w:rFonts w:ascii="Arial" w:cs="Arial" w:eastAsia="Arial" w:hAnsi="Arial"/>
                <w:sz w:val="36"/>
                <w:szCs w:val="36"/>
                <w:color w:val="auto"/>
              </w:rPr>
              <w:t>4</w:t>
            </w:r>
          </w:p>
        </w:tc>
        <w:tc>
          <w:tcPr>
            <w:tcW w:w="1580" w:type="dxa"/>
            <w:vAlign w:val="bottom"/>
            <w:vMerge w:val="restart"/>
          </w:tcPr>
          <w:p>
            <w:pPr>
              <w:ind w:left="80"/>
              <w:spacing w:after="0"/>
              <w:rPr>
                <w:sz w:val="20"/>
                <w:szCs w:val="20"/>
                <w:color w:val="auto"/>
              </w:rPr>
            </w:pPr>
            <w:r>
              <w:rPr>
                <w:rFonts w:ascii="Arial" w:cs="Arial" w:eastAsia="Arial" w:hAnsi="Arial"/>
                <w:sz w:val="12"/>
                <w:szCs w:val="12"/>
                <w:color w:val="auto"/>
              </w:rPr>
              <w:t>PROPOSALS TO</w:t>
            </w:r>
          </w:p>
        </w:tc>
        <w:tc>
          <w:tcPr>
            <w:tcW w:w="420" w:type="dxa"/>
            <w:vAlign w:val="bottom"/>
          </w:tcPr>
          <w:p>
            <w:pPr>
              <w:jc w:val="right"/>
              <w:spacing w:after="0"/>
              <w:rPr>
                <w:sz w:val="20"/>
                <w:szCs w:val="20"/>
                <w:color w:val="auto"/>
              </w:rPr>
            </w:pPr>
            <w:r>
              <w:rPr>
                <w:rFonts w:ascii="Arial" w:cs="Arial" w:eastAsia="Arial" w:hAnsi="Arial"/>
                <w:sz w:val="36"/>
                <w:szCs w:val="36"/>
                <w:color w:val="auto"/>
              </w:rPr>
              <w:t>5</w:t>
            </w:r>
          </w:p>
        </w:tc>
        <w:tc>
          <w:tcPr>
            <w:tcW w:w="1360" w:type="dxa"/>
            <w:vAlign w:val="bottom"/>
            <w:vMerge w:val="restart"/>
          </w:tcPr>
          <w:p>
            <w:pPr>
              <w:ind w:left="80"/>
              <w:spacing w:after="0"/>
              <w:rPr>
                <w:sz w:val="20"/>
                <w:szCs w:val="20"/>
                <w:color w:val="auto"/>
              </w:rPr>
            </w:pPr>
            <w:r>
              <w:rPr>
                <w:rFonts w:ascii="Arial" w:cs="Arial" w:eastAsia="Arial" w:hAnsi="Arial"/>
                <w:sz w:val="12"/>
                <w:szCs w:val="12"/>
                <w:color w:val="auto"/>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38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tcPr>
          <w:p>
            <w:pPr>
              <w:ind w:left="60"/>
              <w:spacing w:after="0" w:line="130" w:lineRule="exact"/>
              <w:rPr>
                <w:sz w:val="20"/>
                <w:szCs w:val="20"/>
                <w:color w:val="auto"/>
              </w:rPr>
            </w:pPr>
            <w:r>
              <w:rPr>
                <w:rFonts w:ascii="Arial" w:cs="Arial" w:eastAsia="Arial" w:hAnsi="Arial"/>
                <w:sz w:val="12"/>
                <w:szCs w:val="12"/>
                <w:color w:val="0075C9"/>
                <w:w w:val="99"/>
              </w:rPr>
              <w:t>EXECUTIVE OFFICER</w:t>
            </w:r>
          </w:p>
        </w:tc>
        <w:tc>
          <w:tcPr>
            <w:tcW w:w="740" w:type="dxa"/>
            <w:vAlign w:val="bottom"/>
          </w:tcPr>
          <w:p>
            <w:pPr>
              <w:spacing w:after="0"/>
              <w:rPr>
                <w:sz w:val="11"/>
                <w:szCs w:val="11"/>
                <w:color w:val="auto"/>
              </w:rPr>
            </w:pPr>
          </w:p>
        </w:tc>
        <w:tc>
          <w:tcPr>
            <w:tcW w:w="1020" w:type="dxa"/>
            <w:vAlign w:val="bottom"/>
          </w:tcPr>
          <w:p>
            <w:pPr>
              <w:ind w:left="60"/>
              <w:spacing w:after="0" w:line="130" w:lineRule="exact"/>
              <w:rPr>
                <w:sz w:val="20"/>
                <w:szCs w:val="20"/>
                <w:color w:val="auto"/>
              </w:rPr>
            </w:pPr>
            <w:r>
              <w:rPr>
                <w:rFonts w:ascii="Arial" w:cs="Arial" w:eastAsia="Arial" w:hAnsi="Arial"/>
                <w:sz w:val="12"/>
                <w:szCs w:val="12"/>
                <w:color w:val="auto"/>
              </w:rPr>
              <w:t>COMMITTEE</w:t>
            </w:r>
          </w:p>
        </w:tc>
        <w:tc>
          <w:tcPr>
            <w:tcW w:w="500" w:type="dxa"/>
            <w:vAlign w:val="bottom"/>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20" w:type="dxa"/>
            <w:vAlign w:val="bottom"/>
          </w:tcPr>
          <w:p>
            <w:pPr>
              <w:spacing w:after="0"/>
              <w:rPr>
                <w:sz w:val="11"/>
                <w:szCs w:val="11"/>
                <w:color w:val="auto"/>
              </w:rPr>
            </w:pPr>
          </w:p>
        </w:tc>
        <w:tc>
          <w:tcPr>
            <w:tcW w:w="136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380" w:type="dxa"/>
            <w:vAlign w:val="bottom"/>
          </w:tcPr>
          <w:p>
            <w:pPr>
              <w:ind w:left="80"/>
              <w:spacing w:after="0"/>
              <w:rPr>
                <w:sz w:val="20"/>
                <w:szCs w:val="20"/>
                <w:color w:val="auto"/>
              </w:rPr>
            </w:pPr>
            <w:r>
              <w:rPr>
                <w:rFonts w:ascii="Arial" w:cs="Arial" w:eastAsia="Arial" w:hAnsi="Arial"/>
                <w:sz w:val="12"/>
                <w:szCs w:val="12"/>
                <w:color w:val="auto"/>
              </w:rPr>
              <w:t>DIRECTORS</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0075C9"/>
              </w:rPr>
              <w:t>COMPENSATION</w:t>
            </w:r>
          </w:p>
        </w:tc>
        <w:tc>
          <w:tcPr>
            <w:tcW w:w="740" w:type="dxa"/>
            <w:vAlign w:val="bottom"/>
          </w:tcPr>
          <w:p>
            <w:pPr>
              <w:spacing w:after="0"/>
              <w:rPr>
                <w:sz w:val="12"/>
                <w:szCs w:val="12"/>
                <w:color w:val="auto"/>
              </w:rPr>
            </w:pPr>
          </w:p>
        </w:tc>
        <w:tc>
          <w:tcPr>
            <w:tcW w:w="1020" w:type="dxa"/>
            <w:vAlign w:val="bottom"/>
          </w:tcPr>
          <w:p>
            <w:pPr>
              <w:ind w:left="60"/>
              <w:spacing w:after="0"/>
              <w:rPr>
                <w:sz w:val="20"/>
                <w:szCs w:val="20"/>
                <w:color w:val="auto"/>
              </w:rPr>
            </w:pPr>
            <w:r>
              <w:rPr>
                <w:rFonts w:ascii="Arial" w:cs="Arial" w:eastAsia="Arial" w:hAnsi="Arial"/>
                <w:sz w:val="12"/>
                <w:szCs w:val="12"/>
                <w:color w:val="auto"/>
              </w:rPr>
              <w:t>MATTERS</w:t>
            </w:r>
          </w:p>
        </w:tc>
        <w:tc>
          <w:tcPr>
            <w:tcW w:w="500" w:type="dxa"/>
            <w:vAlign w:val="bottom"/>
          </w:tcPr>
          <w:p>
            <w:pPr>
              <w:spacing w:after="0"/>
              <w:rPr>
                <w:sz w:val="12"/>
                <w:szCs w:val="12"/>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20" w:type="dxa"/>
            <w:vAlign w:val="bottom"/>
          </w:tcPr>
          <w:p>
            <w:pPr>
              <w:spacing w:after="0"/>
              <w:rPr>
                <w:sz w:val="12"/>
                <w:szCs w:val="12"/>
                <w:color w:val="auto"/>
              </w:rPr>
            </w:pPr>
          </w:p>
        </w:tc>
        <w:tc>
          <w:tcPr>
            <w:tcW w:w="136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280" w:type="dxa"/>
            <w:vAlign w:val="bottom"/>
            <w:tcBorders>
              <w:bottom w:val="single" w:sz="8" w:color="0075C9"/>
            </w:tcBorders>
          </w:tcPr>
          <w:p>
            <w:pPr>
              <w:spacing w:after="0"/>
              <w:rPr>
                <w:sz w:val="24"/>
                <w:szCs w:val="24"/>
                <w:color w:val="auto"/>
              </w:rPr>
            </w:pPr>
          </w:p>
        </w:tc>
        <w:tc>
          <w:tcPr>
            <w:tcW w:w="1380" w:type="dxa"/>
            <w:vAlign w:val="bottom"/>
            <w:tcBorders>
              <w:bottom w:val="single" w:sz="8" w:color="0075C9"/>
            </w:tcBorders>
          </w:tcPr>
          <w:p>
            <w:pPr>
              <w:spacing w:after="0"/>
              <w:rPr>
                <w:sz w:val="24"/>
                <w:szCs w:val="24"/>
                <w:color w:val="auto"/>
              </w:rPr>
            </w:pPr>
          </w:p>
        </w:tc>
        <w:tc>
          <w:tcPr>
            <w:tcW w:w="160" w:type="dxa"/>
            <w:vAlign w:val="bottom"/>
            <w:tcBorders>
              <w:bottom w:val="single" w:sz="8" w:color="0075C9"/>
            </w:tcBorders>
          </w:tcPr>
          <w:p>
            <w:pPr>
              <w:spacing w:after="0"/>
              <w:rPr>
                <w:sz w:val="24"/>
                <w:szCs w:val="24"/>
                <w:color w:val="auto"/>
              </w:rPr>
            </w:pPr>
          </w:p>
        </w:tc>
        <w:tc>
          <w:tcPr>
            <w:tcW w:w="280" w:type="dxa"/>
            <w:vAlign w:val="bottom"/>
            <w:tcBorders>
              <w:bottom w:val="single" w:sz="8" w:color="0075C9"/>
            </w:tcBorders>
          </w:tcPr>
          <w:p>
            <w:pPr>
              <w:spacing w:after="0"/>
              <w:rPr>
                <w:sz w:val="24"/>
                <w:szCs w:val="24"/>
                <w:color w:val="auto"/>
              </w:rPr>
            </w:pPr>
          </w:p>
        </w:tc>
        <w:tc>
          <w:tcPr>
            <w:tcW w:w="1320" w:type="dxa"/>
            <w:vAlign w:val="bottom"/>
            <w:tcBorders>
              <w:bottom w:val="single" w:sz="8" w:color="0075C9"/>
            </w:tcBorders>
          </w:tcPr>
          <w:p>
            <w:pPr>
              <w:spacing w:after="0"/>
              <w:rPr>
                <w:sz w:val="24"/>
                <w:szCs w:val="24"/>
                <w:color w:val="auto"/>
              </w:rPr>
            </w:pPr>
          </w:p>
        </w:tc>
        <w:tc>
          <w:tcPr>
            <w:tcW w:w="740" w:type="dxa"/>
            <w:vAlign w:val="bottom"/>
            <w:tcBorders>
              <w:bottom w:val="single" w:sz="8" w:color="0075C9"/>
            </w:tcBorders>
          </w:tcPr>
          <w:p>
            <w:pPr>
              <w:spacing w:after="0"/>
              <w:rPr>
                <w:sz w:val="24"/>
                <w:szCs w:val="24"/>
                <w:color w:val="auto"/>
              </w:rPr>
            </w:pPr>
          </w:p>
        </w:tc>
        <w:tc>
          <w:tcPr>
            <w:tcW w:w="1020" w:type="dxa"/>
            <w:vAlign w:val="bottom"/>
            <w:tcBorders>
              <w:bottom w:val="single" w:sz="8" w:color="0075C9"/>
            </w:tcBorders>
          </w:tcPr>
          <w:p>
            <w:pPr>
              <w:spacing w:after="0"/>
              <w:rPr>
                <w:sz w:val="24"/>
                <w:szCs w:val="24"/>
                <w:color w:val="auto"/>
              </w:rPr>
            </w:pPr>
          </w:p>
        </w:tc>
        <w:tc>
          <w:tcPr>
            <w:tcW w:w="500" w:type="dxa"/>
            <w:vAlign w:val="bottom"/>
            <w:tcBorders>
              <w:bottom w:val="single" w:sz="8" w:color="0075C9"/>
            </w:tcBorders>
          </w:tcPr>
          <w:p>
            <w:pPr>
              <w:spacing w:after="0"/>
              <w:rPr>
                <w:sz w:val="24"/>
                <w:szCs w:val="24"/>
                <w:color w:val="auto"/>
              </w:rPr>
            </w:pPr>
          </w:p>
        </w:tc>
        <w:tc>
          <w:tcPr>
            <w:tcW w:w="1580" w:type="dxa"/>
            <w:vAlign w:val="bottom"/>
            <w:tcBorders>
              <w:bottom w:val="single" w:sz="8" w:color="0075C9"/>
            </w:tcBorders>
          </w:tcPr>
          <w:p>
            <w:pPr>
              <w:spacing w:after="0"/>
              <w:rPr>
                <w:sz w:val="24"/>
                <w:szCs w:val="24"/>
                <w:color w:val="auto"/>
              </w:rPr>
            </w:pPr>
          </w:p>
        </w:tc>
        <w:tc>
          <w:tcPr>
            <w:tcW w:w="420" w:type="dxa"/>
            <w:vAlign w:val="bottom"/>
            <w:tcBorders>
              <w:bottom w:val="single" w:sz="8" w:color="0075C9"/>
            </w:tcBorders>
          </w:tcPr>
          <w:p>
            <w:pPr>
              <w:spacing w:after="0"/>
              <w:rPr>
                <w:sz w:val="24"/>
                <w:szCs w:val="24"/>
                <w:color w:val="auto"/>
              </w:rPr>
            </w:pPr>
          </w:p>
        </w:tc>
        <w:tc>
          <w:tcPr>
            <w:tcW w:w="1360" w:type="dxa"/>
            <w:vAlign w:val="bottom"/>
            <w:tcBorders>
              <w:bottom w:val="single" w:sz="8" w:color="0075C9"/>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Stock Ownership Information</w:t>
      </w:r>
    </w:p>
    <w:p>
      <w:pPr>
        <w:spacing w:after="0" w:line="143" w:lineRule="exact"/>
        <w:rPr>
          <w:sz w:val="20"/>
          <w:szCs w:val="20"/>
          <w:color w:val="auto"/>
        </w:rPr>
      </w:pPr>
    </w:p>
    <w:p>
      <w:pPr>
        <w:ind w:left="1100" w:right="120"/>
        <w:spacing w:after="0" w:line="238" w:lineRule="auto"/>
        <w:rPr>
          <w:sz w:val="20"/>
          <w:szCs w:val="20"/>
          <w:color w:val="auto"/>
        </w:rPr>
      </w:pPr>
      <w:r>
        <w:rPr>
          <w:rFonts w:ascii="Arial" w:cs="Arial" w:eastAsia="Arial" w:hAnsi="Arial"/>
          <w:sz w:val="16"/>
          <w:szCs w:val="16"/>
          <w:color w:val="auto"/>
        </w:rPr>
        <w:t>As of September 30, 2021, this table describes the number of shares of our common stock beneficially owned by each director, director nominee, Named Executive, and all directors and executive officers as a group, together with additional underlying shares or stock units as described in Notes 2 through 4 to the table.</w:t>
      </w:r>
    </w:p>
    <w:p>
      <w:pPr>
        <w:spacing w:after="0" w:line="100" w:lineRule="exact"/>
        <w:rPr>
          <w:sz w:val="20"/>
          <w:szCs w:val="20"/>
          <w:color w:val="auto"/>
        </w:rPr>
      </w:pPr>
    </w:p>
    <w:p>
      <w:pPr>
        <w:ind w:left="1100" w:right="240"/>
        <w:spacing w:after="0" w:line="238" w:lineRule="auto"/>
        <w:rPr>
          <w:sz w:val="20"/>
          <w:szCs w:val="20"/>
          <w:color w:val="auto"/>
        </w:rPr>
      </w:pPr>
      <w:r>
        <w:rPr>
          <w:rFonts w:ascii="Arial" w:cs="Arial" w:eastAsia="Arial" w:hAnsi="Arial"/>
          <w:sz w:val="16"/>
          <w:szCs w:val="16"/>
          <w:color w:val="auto"/>
        </w:rPr>
        <w:t>In computing the number and percentage of shares beneficially owned by each person, we have included any shares of our common stock that could be acquired within 60 days of September 30, 2021, by exercising options, vesting SAs, or receiving shares credited under the Deferred Compensation Plan for Non-Employee Directors. These shares, however, are not counted in computing the percentage ownership of any other person.</w:t>
      </w:r>
    </w:p>
    <w:p>
      <w:pPr>
        <w:spacing w:after="0" w:line="223"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45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Beneficial Ownership</w:t>
            </w:r>
          </w:p>
        </w:tc>
        <w:tc>
          <w:tcPr>
            <w:tcW w:w="1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5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65"/>
        </w:trPr>
        <w:tc>
          <w:tcPr>
            <w:tcW w:w="4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Pr>
          <w:p>
            <w:pPr>
              <w:jc w:val="right"/>
              <w:spacing w:after="0" w:line="165" w:lineRule="exact"/>
              <w:rPr>
                <w:sz w:val="20"/>
                <w:szCs w:val="20"/>
                <w:color w:val="auto"/>
              </w:rPr>
            </w:pPr>
            <w:r>
              <w:rPr>
                <w:rFonts w:ascii="Arial" w:cs="Arial" w:eastAsia="Arial" w:hAnsi="Arial"/>
                <w:sz w:val="16"/>
                <w:szCs w:val="16"/>
                <w:b w:val="1"/>
                <w:bCs w:val="1"/>
                <w:color w:val="auto"/>
              </w:rPr>
              <w:t>Percent of</w:t>
            </w:r>
          </w:p>
        </w:tc>
        <w:tc>
          <w:tcPr>
            <w:tcW w:w="1580" w:type="dxa"/>
            <w:vAlign w:val="bottom"/>
          </w:tcPr>
          <w:p>
            <w:pPr>
              <w:jc w:val="right"/>
              <w:ind w:right="42"/>
              <w:spacing w:after="0" w:line="165" w:lineRule="exact"/>
              <w:rPr>
                <w:sz w:val="20"/>
                <w:szCs w:val="20"/>
                <w:color w:val="auto"/>
              </w:rPr>
            </w:pPr>
            <w:r>
              <w:rPr>
                <w:rFonts w:ascii="Arial" w:cs="Arial" w:eastAsia="Arial" w:hAnsi="Arial"/>
                <w:sz w:val="16"/>
                <w:szCs w:val="16"/>
                <w:b w:val="1"/>
                <w:bCs w:val="1"/>
                <w:color w:val="auto"/>
              </w:rPr>
              <w:t>Additional</w:t>
            </w:r>
          </w:p>
        </w:tc>
        <w:tc>
          <w:tcPr>
            <w:tcW w:w="860" w:type="dxa"/>
            <w:vAlign w:val="bottom"/>
          </w:tcPr>
          <w:p>
            <w:pPr>
              <w:spacing w:after="0"/>
              <w:rPr>
                <w:sz w:val="14"/>
                <w:szCs w:val="14"/>
                <w:color w:val="auto"/>
              </w:rPr>
            </w:pPr>
          </w:p>
        </w:tc>
      </w:tr>
      <w:tr>
        <w:trPr>
          <w:trHeight w:val="178"/>
        </w:trPr>
        <w:tc>
          <w:tcPr>
            <w:tcW w:w="4500" w:type="dxa"/>
            <w:vAlign w:val="bottom"/>
          </w:tcPr>
          <w:p>
            <w:pPr>
              <w:spacing w:after="0"/>
              <w:rPr>
                <w:sz w:val="15"/>
                <w:szCs w:val="15"/>
                <w:color w:val="auto"/>
              </w:rPr>
            </w:pPr>
          </w:p>
        </w:tc>
        <w:tc>
          <w:tcPr>
            <w:tcW w:w="1220" w:type="dxa"/>
            <w:vAlign w:val="bottom"/>
          </w:tcPr>
          <w:p>
            <w:pPr>
              <w:jc w:val="right"/>
              <w:ind w:right="142"/>
              <w:spacing w:after="0" w:line="178" w:lineRule="exact"/>
              <w:rPr>
                <w:sz w:val="20"/>
                <w:szCs w:val="20"/>
                <w:color w:val="auto"/>
              </w:rPr>
            </w:pPr>
            <w:r>
              <w:rPr>
                <w:rFonts w:ascii="Arial" w:cs="Arial" w:eastAsia="Arial" w:hAnsi="Arial"/>
                <w:sz w:val="16"/>
                <w:szCs w:val="16"/>
                <w:b w:val="1"/>
                <w:bCs w:val="1"/>
                <w:color w:val="auto"/>
              </w:rPr>
              <w:t>Common</w:t>
            </w:r>
          </w:p>
        </w:tc>
        <w:tc>
          <w:tcPr>
            <w:tcW w:w="880" w:type="dxa"/>
            <w:vAlign w:val="bottom"/>
          </w:tcPr>
          <w:p>
            <w:pPr>
              <w:jc w:val="right"/>
              <w:spacing w:after="0" w:line="178" w:lineRule="exact"/>
              <w:rPr>
                <w:sz w:val="20"/>
                <w:szCs w:val="20"/>
                <w:color w:val="auto"/>
              </w:rPr>
            </w:pPr>
            <w:r>
              <w:rPr>
                <w:rFonts w:ascii="Arial" w:cs="Arial" w:eastAsia="Arial" w:hAnsi="Arial"/>
                <w:sz w:val="16"/>
                <w:szCs w:val="16"/>
                <w:b w:val="1"/>
                <w:bCs w:val="1"/>
                <w:color w:val="auto"/>
              </w:rPr>
              <w:t>Common</w:t>
            </w:r>
          </w:p>
        </w:tc>
        <w:tc>
          <w:tcPr>
            <w:tcW w:w="1580" w:type="dxa"/>
            <w:vAlign w:val="bottom"/>
          </w:tcPr>
          <w:p>
            <w:pPr>
              <w:jc w:val="right"/>
              <w:ind w:right="42"/>
              <w:spacing w:after="0" w:line="178" w:lineRule="exact"/>
              <w:rPr>
                <w:sz w:val="20"/>
                <w:szCs w:val="20"/>
                <w:color w:val="auto"/>
              </w:rPr>
            </w:pPr>
            <w:r>
              <w:rPr>
                <w:rFonts w:ascii="Arial" w:cs="Arial" w:eastAsia="Arial" w:hAnsi="Arial"/>
                <w:sz w:val="16"/>
                <w:szCs w:val="16"/>
                <w:b w:val="1"/>
                <w:bCs w:val="1"/>
                <w:color w:val="auto"/>
              </w:rPr>
              <w:t>Underlying Shares</w:t>
            </w:r>
          </w:p>
        </w:tc>
        <w:tc>
          <w:tcPr>
            <w:tcW w:w="860" w:type="dxa"/>
            <w:vAlign w:val="bottom"/>
          </w:tcPr>
          <w:p>
            <w:pPr>
              <w:spacing w:after="0"/>
              <w:rPr>
                <w:sz w:val="15"/>
                <w:szCs w:val="15"/>
                <w:color w:val="auto"/>
              </w:rPr>
            </w:pPr>
          </w:p>
        </w:tc>
      </w:tr>
      <w:tr>
        <w:trPr>
          <w:trHeight w:val="239"/>
        </w:trPr>
        <w:tc>
          <w:tcPr>
            <w:tcW w:w="45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Name</w:t>
            </w:r>
          </w:p>
        </w:tc>
        <w:tc>
          <w:tcPr>
            <w:tcW w:w="1220" w:type="dxa"/>
            <w:vAlign w:val="bottom"/>
            <w:tcBorders>
              <w:bottom w:val="single" w:sz="8" w:color="auto"/>
            </w:tcBorders>
          </w:tcPr>
          <w:p>
            <w:pPr>
              <w:jc w:val="right"/>
              <w:ind w:right="142"/>
              <w:spacing w:after="0" w:line="238" w:lineRule="exact"/>
              <w:rPr>
                <w:sz w:val="20"/>
                <w:szCs w:val="20"/>
                <w:color w:val="auto"/>
              </w:rPr>
            </w:pPr>
            <w:r>
              <w:rPr>
                <w:rFonts w:ascii="Arial" w:cs="Arial" w:eastAsia="Arial" w:hAnsi="Arial"/>
                <w:sz w:val="16"/>
                <w:szCs w:val="16"/>
                <w:b w:val="1"/>
                <w:bCs w:val="1"/>
                <w:color w:val="auto"/>
              </w:rPr>
              <w:t>Stock</w:t>
            </w:r>
            <w:r>
              <w:rPr>
                <w:rFonts w:ascii="Arial" w:cs="Arial" w:eastAsia="Arial" w:hAnsi="Arial"/>
                <w:sz w:val="26"/>
                <w:szCs w:val="26"/>
                <w:b w:val="1"/>
                <w:bCs w:val="1"/>
                <w:color w:val="auto"/>
                <w:vertAlign w:val="superscript"/>
              </w:rPr>
              <w:t>1,2</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Stock</w:t>
            </w:r>
          </w:p>
        </w:tc>
        <w:tc>
          <w:tcPr>
            <w:tcW w:w="1580" w:type="dxa"/>
            <w:vAlign w:val="bottom"/>
            <w:tcBorders>
              <w:bottom w:val="single" w:sz="8" w:color="auto"/>
            </w:tcBorders>
          </w:tcPr>
          <w:p>
            <w:pPr>
              <w:jc w:val="right"/>
              <w:ind w:right="42"/>
              <w:spacing w:after="0" w:line="238" w:lineRule="exact"/>
              <w:rPr>
                <w:sz w:val="20"/>
                <w:szCs w:val="20"/>
                <w:color w:val="auto"/>
              </w:rPr>
            </w:pPr>
            <w:r>
              <w:rPr>
                <w:rFonts w:ascii="Arial" w:cs="Arial" w:eastAsia="Arial" w:hAnsi="Arial"/>
                <w:sz w:val="16"/>
                <w:szCs w:val="16"/>
                <w:b w:val="1"/>
                <w:bCs w:val="1"/>
                <w:color w:val="auto"/>
              </w:rPr>
              <w:t>or Stock Units</w:t>
            </w:r>
            <w:r>
              <w:rPr>
                <w:rFonts w:ascii="Arial" w:cs="Arial" w:eastAsia="Arial" w:hAnsi="Arial"/>
                <w:sz w:val="26"/>
                <w:szCs w:val="26"/>
                <w:b w:val="1"/>
                <w:bCs w:val="1"/>
                <w:color w:val="auto"/>
                <w:vertAlign w:val="superscript"/>
              </w:rPr>
              <w:t>3,4</w:t>
            </w: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Total</w:t>
            </w:r>
          </w:p>
        </w:tc>
      </w:tr>
      <w:tr>
        <w:trPr>
          <w:trHeight w:val="252"/>
        </w:trPr>
        <w:tc>
          <w:tcPr>
            <w:tcW w:w="450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Reid G. Hoffman</w:t>
            </w:r>
          </w:p>
        </w:tc>
        <w:tc>
          <w:tcPr>
            <w:tcW w:w="1220" w:type="dxa"/>
            <w:vAlign w:val="bottom"/>
            <w:tcBorders>
              <w:bottom w:val="single" w:sz="8" w:color="0075C9"/>
            </w:tcBorders>
          </w:tcPr>
          <w:p>
            <w:pPr>
              <w:jc w:val="right"/>
              <w:ind w:right="62"/>
              <w:spacing w:after="0" w:line="252" w:lineRule="exact"/>
              <w:rPr>
                <w:sz w:val="20"/>
                <w:szCs w:val="20"/>
                <w:color w:val="auto"/>
              </w:rPr>
            </w:pPr>
            <w:r>
              <w:rPr>
                <w:rFonts w:ascii="Arial" w:cs="Arial" w:eastAsia="Arial" w:hAnsi="Arial"/>
                <w:sz w:val="16"/>
                <w:szCs w:val="16"/>
                <w:color w:val="auto"/>
              </w:rPr>
              <w:t>15,905</w:t>
            </w:r>
            <w:r>
              <w:rPr>
                <w:rFonts w:ascii="Arial" w:cs="Arial" w:eastAsia="Arial" w:hAnsi="Arial"/>
                <w:sz w:val="26"/>
                <w:szCs w:val="26"/>
                <w:color w:val="auto"/>
                <w:vertAlign w:val="superscript"/>
              </w:rPr>
              <w:t>5</w:t>
            </w:r>
          </w:p>
        </w:tc>
        <w:tc>
          <w:tcPr>
            <w:tcW w:w="88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0075C9"/>
            </w:tcBorders>
          </w:tcPr>
          <w:p>
            <w:pPr>
              <w:jc w:val="right"/>
              <w:ind w:right="42"/>
              <w:spacing w:after="0"/>
              <w:rPr>
                <w:sz w:val="20"/>
                <w:szCs w:val="20"/>
                <w:color w:val="auto"/>
              </w:rPr>
            </w:pPr>
            <w:r>
              <w:rPr>
                <w:rFonts w:ascii="Arial" w:cs="Arial" w:eastAsia="Arial" w:hAnsi="Arial"/>
                <w:sz w:val="16"/>
                <w:szCs w:val="16"/>
                <w:color w:val="auto"/>
              </w:rPr>
              <w:t>11,573</w:t>
            </w:r>
          </w:p>
        </w:tc>
        <w:tc>
          <w:tcPr>
            <w:tcW w:w="86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27,478</w:t>
            </w:r>
          </w:p>
        </w:tc>
      </w:tr>
      <w:tr>
        <w:trPr>
          <w:trHeight w:val="252"/>
        </w:trPr>
        <w:tc>
          <w:tcPr>
            <w:tcW w:w="450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Hugh F. Johnston</w:t>
            </w:r>
          </w:p>
        </w:tc>
        <w:tc>
          <w:tcPr>
            <w:tcW w:w="1220" w:type="dxa"/>
            <w:vAlign w:val="bottom"/>
            <w:tcBorders>
              <w:bottom w:val="single" w:sz="8" w:color="0075C9"/>
            </w:tcBorders>
          </w:tcPr>
          <w:p>
            <w:pPr>
              <w:jc w:val="right"/>
              <w:ind w:right="62"/>
              <w:spacing w:after="0" w:line="252" w:lineRule="exact"/>
              <w:rPr>
                <w:sz w:val="20"/>
                <w:szCs w:val="20"/>
                <w:color w:val="auto"/>
              </w:rPr>
            </w:pPr>
            <w:r>
              <w:rPr>
                <w:rFonts w:ascii="Arial" w:cs="Arial" w:eastAsia="Arial" w:hAnsi="Arial"/>
                <w:sz w:val="16"/>
                <w:szCs w:val="16"/>
                <w:color w:val="auto"/>
              </w:rPr>
              <w:t>5,848</w:t>
            </w:r>
            <w:r>
              <w:rPr>
                <w:rFonts w:ascii="Arial" w:cs="Arial" w:eastAsia="Arial" w:hAnsi="Arial"/>
                <w:sz w:val="26"/>
                <w:szCs w:val="26"/>
                <w:color w:val="auto"/>
                <w:vertAlign w:val="superscript"/>
              </w:rPr>
              <w:t>6</w:t>
            </w:r>
          </w:p>
        </w:tc>
        <w:tc>
          <w:tcPr>
            <w:tcW w:w="88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0075C9"/>
            </w:tcBorders>
          </w:tcPr>
          <w:p>
            <w:pPr>
              <w:jc w:val="right"/>
              <w:ind w:right="42"/>
              <w:spacing w:after="0"/>
              <w:rPr>
                <w:sz w:val="20"/>
                <w:szCs w:val="20"/>
                <w:color w:val="auto"/>
              </w:rPr>
            </w:pPr>
            <w:r>
              <w:rPr>
                <w:rFonts w:ascii="Arial" w:cs="Arial" w:eastAsia="Arial" w:hAnsi="Arial"/>
                <w:sz w:val="16"/>
                <w:szCs w:val="16"/>
                <w:color w:val="auto"/>
              </w:rPr>
              <w:t>0</w:t>
            </w:r>
          </w:p>
        </w:tc>
        <w:tc>
          <w:tcPr>
            <w:tcW w:w="86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5,848</w:t>
            </w:r>
          </w:p>
        </w:tc>
      </w:tr>
      <w:tr>
        <w:trPr>
          <w:trHeight w:val="245"/>
        </w:trPr>
        <w:tc>
          <w:tcPr>
            <w:tcW w:w="450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Teri L. List</w:t>
            </w:r>
          </w:p>
        </w:tc>
        <w:tc>
          <w:tcPr>
            <w:tcW w:w="1220" w:type="dxa"/>
            <w:vAlign w:val="bottom"/>
            <w:tcBorders>
              <w:bottom w:val="single" w:sz="8" w:color="0075C9"/>
            </w:tcBorders>
          </w:tcPr>
          <w:p>
            <w:pPr>
              <w:jc w:val="right"/>
              <w:ind w:right="142"/>
              <w:spacing w:after="0"/>
              <w:rPr>
                <w:sz w:val="20"/>
                <w:szCs w:val="20"/>
                <w:color w:val="auto"/>
              </w:rPr>
            </w:pPr>
            <w:r>
              <w:rPr>
                <w:rFonts w:ascii="Arial" w:cs="Arial" w:eastAsia="Arial" w:hAnsi="Arial"/>
                <w:sz w:val="16"/>
                <w:szCs w:val="16"/>
                <w:color w:val="auto"/>
              </w:rPr>
              <w:t>25,026</w:t>
            </w:r>
          </w:p>
        </w:tc>
        <w:tc>
          <w:tcPr>
            <w:tcW w:w="88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0075C9"/>
            </w:tcBorders>
          </w:tcPr>
          <w:p>
            <w:pPr>
              <w:jc w:val="right"/>
              <w:ind w:right="42"/>
              <w:spacing w:after="0"/>
              <w:rPr>
                <w:sz w:val="20"/>
                <w:szCs w:val="20"/>
                <w:color w:val="auto"/>
              </w:rPr>
            </w:pPr>
            <w:r>
              <w:rPr>
                <w:rFonts w:ascii="Arial" w:cs="Arial" w:eastAsia="Arial" w:hAnsi="Arial"/>
                <w:sz w:val="16"/>
                <w:szCs w:val="16"/>
                <w:color w:val="auto"/>
              </w:rPr>
              <w:t>0</w:t>
            </w:r>
          </w:p>
        </w:tc>
        <w:tc>
          <w:tcPr>
            <w:tcW w:w="86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25,026</w:t>
            </w:r>
          </w:p>
        </w:tc>
      </w:tr>
      <w:tr>
        <w:trPr>
          <w:trHeight w:val="252"/>
        </w:trPr>
        <w:tc>
          <w:tcPr>
            <w:tcW w:w="450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Sandra E. Peterson</w:t>
            </w:r>
          </w:p>
        </w:tc>
        <w:tc>
          <w:tcPr>
            <w:tcW w:w="1220" w:type="dxa"/>
            <w:vAlign w:val="bottom"/>
            <w:tcBorders>
              <w:bottom w:val="single" w:sz="8" w:color="0075C9"/>
            </w:tcBorders>
          </w:tcPr>
          <w:p>
            <w:pPr>
              <w:jc w:val="right"/>
              <w:ind w:right="142"/>
              <w:spacing w:after="0"/>
              <w:rPr>
                <w:sz w:val="20"/>
                <w:szCs w:val="20"/>
                <w:color w:val="auto"/>
              </w:rPr>
            </w:pPr>
            <w:r>
              <w:rPr>
                <w:rFonts w:ascii="Arial" w:cs="Arial" w:eastAsia="Arial" w:hAnsi="Arial"/>
                <w:sz w:val="16"/>
                <w:szCs w:val="16"/>
                <w:color w:val="auto"/>
              </w:rPr>
              <w:t>25,153</w:t>
            </w:r>
          </w:p>
        </w:tc>
        <w:tc>
          <w:tcPr>
            <w:tcW w:w="88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0075C9"/>
            </w:tcBorders>
          </w:tcPr>
          <w:p>
            <w:pPr>
              <w:jc w:val="right"/>
              <w:ind w:right="42"/>
              <w:spacing w:after="0"/>
              <w:rPr>
                <w:sz w:val="20"/>
                <w:szCs w:val="20"/>
                <w:color w:val="auto"/>
              </w:rPr>
            </w:pPr>
            <w:r>
              <w:rPr>
                <w:rFonts w:ascii="Arial" w:cs="Arial" w:eastAsia="Arial" w:hAnsi="Arial"/>
                <w:sz w:val="16"/>
                <w:szCs w:val="16"/>
                <w:color w:val="auto"/>
              </w:rPr>
              <w:t>0</w:t>
            </w:r>
          </w:p>
        </w:tc>
        <w:tc>
          <w:tcPr>
            <w:tcW w:w="86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25,153</w:t>
            </w:r>
          </w:p>
        </w:tc>
      </w:tr>
      <w:tr>
        <w:trPr>
          <w:trHeight w:val="259"/>
        </w:trPr>
        <w:tc>
          <w:tcPr>
            <w:tcW w:w="450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Penny S. Pritzker</w:t>
            </w:r>
          </w:p>
        </w:tc>
        <w:tc>
          <w:tcPr>
            <w:tcW w:w="1220" w:type="dxa"/>
            <w:vAlign w:val="bottom"/>
            <w:tcBorders>
              <w:bottom w:val="single" w:sz="8" w:color="0075C9"/>
            </w:tcBorders>
          </w:tcPr>
          <w:p>
            <w:pPr>
              <w:jc w:val="right"/>
              <w:ind w:right="62"/>
              <w:spacing w:after="0" w:line="258" w:lineRule="exact"/>
              <w:rPr>
                <w:sz w:val="20"/>
                <w:szCs w:val="20"/>
                <w:color w:val="auto"/>
              </w:rPr>
            </w:pPr>
            <w:r>
              <w:rPr>
                <w:rFonts w:ascii="Arial" w:cs="Arial" w:eastAsia="Arial" w:hAnsi="Arial"/>
                <w:sz w:val="16"/>
                <w:szCs w:val="16"/>
                <w:color w:val="auto"/>
              </w:rPr>
              <w:t>20,716</w:t>
            </w:r>
            <w:r>
              <w:rPr>
                <w:rFonts w:ascii="Arial" w:cs="Arial" w:eastAsia="Arial" w:hAnsi="Arial"/>
                <w:sz w:val="26"/>
                <w:szCs w:val="26"/>
                <w:color w:val="auto"/>
                <w:vertAlign w:val="superscript"/>
              </w:rPr>
              <w:t>7</w:t>
            </w:r>
          </w:p>
        </w:tc>
        <w:tc>
          <w:tcPr>
            <w:tcW w:w="88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0075C9"/>
            </w:tcBorders>
          </w:tcPr>
          <w:p>
            <w:pPr>
              <w:jc w:val="right"/>
              <w:ind w:right="42"/>
              <w:spacing w:after="0"/>
              <w:rPr>
                <w:sz w:val="20"/>
                <w:szCs w:val="20"/>
                <w:color w:val="auto"/>
              </w:rPr>
            </w:pPr>
            <w:r>
              <w:rPr>
                <w:rFonts w:ascii="Arial" w:cs="Arial" w:eastAsia="Arial" w:hAnsi="Arial"/>
                <w:sz w:val="16"/>
                <w:szCs w:val="16"/>
                <w:color w:val="auto"/>
              </w:rPr>
              <w:t>0</w:t>
            </w:r>
          </w:p>
        </w:tc>
        <w:tc>
          <w:tcPr>
            <w:tcW w:w="86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20,716</w:t>
            </w:r>
          </w:p>
        </w:tc>
      </w:tr>
      <w:tr>
        <w:trPr>
          <w:trHeight w:val="245"/>
        </w:trPr>
        <w:tc>
          <w:tcPr>
            <w:tcW w:w="450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Carlos A. Rodriguez</w:t>
            </w:r>
          </w:p>
        </w:tc>
        <w:tc>
          <w:tcPr>
            <w:tcW w:w="1220" w:type="dxa"/>
            <w:vAlign w:val="bottom"/>
            <w:tcBorders>
              <w:bottom w:val="single" w:sz="8" w:color="0075C9"/>
            </w:tcBorders>
          </w:tcPr>
          <w:p>
            <w:pPr>
              <w:jc w:val="right"/>
              <w:ind w:right="142"/>
              <w:spacing w:after="0"/>
              <w:rPr>
                <w:sz w:val="20"/>
                <w:szCs w:val="20"/>
                <w:color w:val="auto"/>
              </w:rPr>
            </w:pPr>
            <w:r>
              <w:rPr>
                <w:rFonts w:ascii="Arial" w:cs="Arial" w:eastAsia="Arial" w:hAnsi="Arial"/>
                <w:sz w:val="16"/>
                <w:szCs w:val="16"/>
                <w:color w:val="auto"/>
              </w:rPr>
              <w:t>0</w:t>
            </w:r>
          </w:p>
        </w:tc>
        <w:tc>
          <w:tcPr>
            <w:tcW w:w="88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0075C9"/>
            </w:tcBorders>
          </w:tcPr>
          <w:p>
            <w:pPr>
              <w:jc w:val="right"/>
              <w:ind w:right="42"/>
              <w:spacing w:after="0"/>
              <w:rPr>
                <w:sz w:val="20"/>
                <w:szCs w:val="20"/>
                <w:color w:val="auto"/>
              </w:rPr>
            </w:pPr>
            <w:r>
              <w:rPr>
                <w:rFonts w:ascii="Arial" w:cs="Arial" w:eastAsia="Arial" w:hAnsi="Arial"/>
                <w:sz w:val="16"/>
                <w:szCs w:val="16"/>
                <w:color w:val="auto"/>
              </w:rPr>
              <w:t>0</w:t>
            </w:r>
          </w:p>
        </w:tc>
        <w:tc>
          <w:tcPr>
            <w:tcW w:w="86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0</w:t>
            </w:r>
          </w:p>
        </w:tc>
      </w:tr>
      <w:tr>
        <w:trPr>
          <w:trHeight w:val="259"/>
        </w:trPr>
        <w:tc>
          <w:tcPr>
            <w:tcW w:w="450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Charles W. Scharf</w:t>
            </w:r>
          </w:p>
        </w:tc>
        <w:tc>
          <w:tcPr>
            <w:tcW w:w="1220" w:type="dxa"/>
            <w:vAlign w:val="bottom"/>
            <w:tcBorders>
              <w:bottom w:val="single" w:sz="8" w:color="0075C9"/>
            </w:tcBorders>
          </w:tcPr>
          <w:p>
            <w:pPr>
              <w:jc w:val="right"/>
              <w:ind w:right="62"/>
              <w:spacing w:after="0" w:line="258" w:lineRule="exact"/>
              <w:rPr>
                <w:sz w:val="20"/>
                <w:szCs w:val="20"/>
                <w:color w:val="auto"/>
              </w:rPr>
            </w:pPr>
            <w:r>
              <w:rPr>
                <w:rFonts w:ascii="Arial" w:cs="Arial" w:eastAsia="Arial" w:hAnsi="Arial"/>
                <w:sz w:val="16"/>
                <w:szCs w:val="16"/>
                <w:color w:val="auto"/>
              </w:rPr>
              <w:t>42,416</w:t>
            </w:r>
            <w:r>
              <w:rPr>
                <w:rFonts w:ascii="Arial" w:cs="Arial" w:eastAsia="Arial" w:hAnsi="Arial"/>
                <w:sz w:val="26"/>
                <w:szCs w:val="26"/>
                <w:color w:val="auto"/>
                <w:vertAlign w:val="superscript"/>
              </w:rPr>
              <w:t>8</w:t>
            </w:r>
          </w:p>
        </w:tc>
        <w:tc>
          <w:tcPr>
            <w:tcW w:w="88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0075C9"/>
            </w:tcBorders>
          </w:tcPr>
          <w:p>
            <w:pPr>
              <w:jc w:val="right"/>
              <w:ind w:right="42"/>
              <w:spacing w:after="0"/>
              <w:rPr>
                <w:sz w:val="20"/>
                <w:szCs w:val="20"/>
                <w:color w:val="auto"/>
              </w:rPr>
            </w:pPr>
            <w:r>
              <w:rPr>
                <w:rFonts w:ascii="Arial" w:cs="Arial" w:eastAsia="Arial" w:hAnsi="Arial"/>
                <w:sz w:val="16"/>
                <w:szCs w:val="16"/>
                <w:color w:val="auto"/>
              </w:rPr>
              <w:t>0</w:t>
            </w:r>
          </w:p>
        </w:tc>
        <w:tc>
          <w:tcPr>
            <w:tcW w:w="86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42,416</w:t>
            </w:r>
          </w:p>
        </w:tc>
      </w:tr>
      <w:tr>
        <w:trPr>
          <w:trHeight w:val="252"/>
        </w:trPr>
        <w:tc>
          <w:tcPr>
            <w:tcW w:w="450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John W. Stanton</w:t>
            </w:r>
          </w:p>
        </w:tc>
        <w:tc>
          <w:tcPr>
            <w:tcW w:w="1220" w:type="dxa"/>
            <w:vAlign w:val="bottom"/>
            <w:tcBorders>
              <w:bottom w:val="single" w:sz="8" w:color="0075C9"/>
            </w:tcBorders>
          </w:tcPr>
          <w:p>
            <w:pPr>
              <w:jc w:val="right"/>
              <w:ind w:right="62"/>
              <w:spacing w:after="0" w:line="252" w:lineRule="exact"/>
              <w:rPr>
                <w:sz w:val="20"/>
                <w:szCs w:val="20"/>
                <w:color w:val="auto"/>
              </w:rPr>
            </w:pPr>
            <w:r>
              <w:rPr>
                <w:rFonts w:ascii="Arial" w:cs="Arial" w:eastAsia="Arial" w:hAnsi="Arial"/>
                <w:sz w:val="16"/>
                <w:szCs w:val="16"/>
                <w:color w:val="auto"/>
              </w:rPr>
              <w:t>83,147</w:t>
            </w:r>
            <w:r>
              <w:rPr>
                <w:rFonts w:ascii="Arial" w:cs="Arial" w:eastAsia="Arial" w:hAnsi="Arial"/>
                <w:sz w:val="26"/>
                <w:szCs w:val="26"/>
                <w:color w:val="auto"/>
                <w:vertAlign w:val="superscript"/>
              </w:rPr>
              <w:t>9</w:t>
            </w:r>
          </w:p>
        </w:tc>
        <w:tc>
          <w:tcPr>
            <w:tcW w:w="88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0075C9"/>
            </w:tcBorders>
          </w:tcPr>
          <w:p>
            <w:pPr>
              <w:jc w:val="right"/>
              <w:ind w:right="42"/>
              <w:spacing w:after="0"/>
              <w:rPr>
                <w:sz w:val="20"/>
                <w:szCs w:val="20"/>
                <w:color w:val="auto"/>
              </w:rPr>
            </w:pPr>
            <w:r>
              <w:rPr>
                <w:rFonts w:ascii="Arial" w:cs="Arial" w:eastAsia="Arial" w:hAnsi="Arial"/>
                <w:sz w:val="16"/>
                <w:szCs w:val="16"/>
                <w:color w:val="auto"/>
              </w:rPr>
              <w:t>0</w:t>
            </w:r>
          </w:p>
        </w:tc>
        <w:tc>
          <w:tcPr>
            <w:tcW w:w="86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83,147</w:t>
            </w:r>
          </w:p>
        </w:tc>
      </w:tr>
      <w:tr>
        <w:trPr>
          <w:trHeight w:val="252"/>
        </w:trPr>
        <w:tc>
          <w:tcPr>
            <w:tcW w:w="450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John W. Thompson</w:t>
            </w:r>
          </w:p>
        </w:tc>
        <w:tc>
          <w:tcPr>
            <w:tcW w:w="1220" w:type="dxa"/>
            <w:vAlign w:val="bottom"/>
            <w:tcBorders>
              <w:bottom w:val="single" w:sz="8" w:color="0075C9"/>
            </w:tcBorders>
          </w:tcPr>
          <w:p>
            <w:pPr>
              <w:jc w:val="right"/>
              <w:spacing w:after="0" w:line="252" w:lineRule="exact"/>
              <w:rPr>
                <w:sz w:val="20"/>
                <w:szCs w:val="20"/>
                <w:color w:val="auto"/>
              </w:rPr>
            </w:pPr>
            <w:r>
              <w:rPr>
                <w:rFonts w:ascii="Arial" w:cs="Arial" w:eastAsia="Arial" w:hAnsi="Arial"/>
                <w:sz w:val="16"/>
                <w:szCs w:val="16"/>
                <w:color w:val="auto"/>
              </w:rPr>
              <w:t>36,315</w:t>
            </w:r>
            <w:r>
              <w:rPr>
                <w:rFonts w:ascii="Arial" w:cs="Arial" w:eastAsia="Arial" w:hAnsi="Arial"/>
                <w:sz w:val="26"/>
                <w:szCs w:val="26"/>
                <w:color w:val="auto"/>
                <w:vertAlign w:val="superscript"/>
              </w:rPr>
              <w:t>10</w:t>
            </w:r>
          </w:p>
        </w:tc>
        <w:tc>
          <w:tcPr>
            <w:tcW w:w="88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0075C9"/>
            </w:tcBorders>
          </w:tcPr>
          <w:p>
            <w:pPr>
              <w:jc w:val="right"/>
              <w:ind w:right="42"/>
              <w:spacing w:after="0"/>
              <w:rPr>
                <w:sz w:val="20"/>
                <w:szCs w:val="20"/>
                <w:color w:val="auto"/>
              </w:rPr>
            </w:pPr>
            <w:r>
              <w:rPr>
                <w:rFonts w:ascii="Arial" w:cs="Arial" w:eastAsia="Arial" w:hAnsi="Arial"/>
                <w:sz w:val="16"/>
                <w:szCs w:val="16"/>
                <w:color w:val="auto"/>
              </w:rPr>
              <w:t>58,072</w:t>
            </w:r>
          </w:p>
        </w:tc>
        <w:tc>
          <w:tcPr>
            <w:tcW w:w="86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94,387</w:t>
            </w:r>
          </w:p>
        </w:tc>
      </w:tr>
      <w:tr>
        <w:trPr>
          <w:trHeight w:val="245"/>
        </w:trPr>
        <w:tc>
          <w:tcPr>
            <w:tcW w:w="450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Emma N. Walmsley</w:t>
            </w:r>
          </w:p>
        </w:tc>
        <w:tc>
          <w:tcPr>
            <w:tcW w:w="1220" w:type="dxa"/>
            <w:vAlign w:val="bottom"/>
            <w:tcBorders>
              <w:bottom w:val="single" w:sz="8" w:color="0075C9"/>
            </w:tcBorders>
          </w:tcPr>
          <w:p>
            <w:pPr>
              <w:jc w:val="right"/>
              <w:ind w:right="142"/>
              <w:spacing w:after="0"/>
              <w:rPr>
                <w:sz w:val="20"/>
                <w:szCs w:val="20"/>
                <w:color w:val="auto"/>
              </w:rPr>
            </w:pPr>
            <w:r>
              <w:rPr>
                <w:rFonts w:ascii="Arial" w:cs="Arial" w:eastAsia="Arial" w:hAnsi="Arial"/>
                <w:sz w:val="16"/>
                <w:szCs w:val="16"/>
                <w:color w:val="auto"/>
              </w:rPr>
              <w:t>5,283</w:t>
            </w:r>
          </w:p>
        </w:tc>
        <w:tc>
          <w:tcPr>
            <w:tcW w:w="88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0075C9"/>
            </w:tcBorders>
          </w:tcPr>
          <w:p>
            <w:pPr>
              <w:jc w:val="right"/>
              <w:ind w:right="42"/>
              <w:spacing w:after="0"/>
              <w:rPr>
                <w:sz w:val="20"/>
                <w:szCs w:val="20"/>
                <w:color w:val="auto"/>
              </w:rPr>
            </w:pPr>
            <w:r>
              <w:rPr>
                <w:rFonts w:ascii="Arial" w:cs="Arial" w:eastAsia="Arial" w:hAnsi="Arial"/>
                <w:sz w:val="16"/>
                <w:szCs w:val="16"/>
                <w:color w:val="auto"/>
              </w:rPr>
              <w:t>0</w:t>
            </w:r>
          </w:p>
        </w:tc>
        <w:tc>
          <w:tcPr>
            <w:tcW w:w="86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5,283</w:t>
            </w:r>
          </w:p>
        </w:tc>
      </w:tr>
      <w:tr>
        <w:trPr>
          <w:trHeight w:val="252"/>
        </w:trPr>
        <w:tc>
          <w:tcPr>
            <w:tcW w:w="450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Padmasree Warrior</w:t>
            </w:r>
          </w:p>
        </w:tc>
        <w:tc>
          <w:tcPr>
            <w:tcW w:w="1220" w:type="dxa"/>
            <w:vAlign w:val="bottom"/>
            <w:tcBorders>
              <w:bottom w:val="single" w:sz="8" w:color="0075C9"/>
            </w:tcBorders>
          </w:tcPr>
          <w:p>
            <w:pPr>
              <w:jc w:val="right"/>
              <w:ind w:right="142"/>
              <w:spacing w:after="0"/>
              <w:rPr>
                <w:sz w:val="20"/>
                <w:szCs w:val="20"/>
                <w:color w:val="auto"/>
              </w:rPr>
            </w:pPr>
            <w:r>
              <w:rPr>
                <w:rFonts w:ascii="Arial" w:cs="Arial" w:eastAsia="Arial" w:hAnsi="Arial"/>
                <w:sz w:val="16"/>
                <w:szCs w:val="16"/>
                <w:color w:val="auto"/>
              </w:rPr>
              <w:t>15,820</w:t>
            </w:r>
          </w:p>
        </w:tc>
        <w:tc>
          <w:tcPr>
            <w:tcW w:w="88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0075C9"/>
            </w:tcBorders>
          </w:tcPr>
          <w:p>
            <w:pPr>
              <w:jc w:val="right"/>
              <w:ind w:right="42"/>
              <w:spacing w:after="0"/>
              <w:rPr>
                <w:sz w:val="20"/>
                <w:szCs w:val="20"/>
                <w:color w:val="auto"/>
              </w:rPr>
            </w:pPr>
            <w:r>
              <w:rPr>
                <w:rFonts w:ascii="Arial" w:cs="Arial" w:eastAsia="Arial" w:hAnsi="Arial"/>
                <w:sz w:val="16"/>
                <w:szCs w:val="16"/>
                <w:color w:val="auto"/>
              </w:rPr>
              <w:t>0</w:t>
            </w:r>
          </w:p>
        </w:tc>
        <w:tc>
          <w:tcPr>
            <w:tcW w:w="86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15,820</w:t>
            </w:r>
          </w:p>
        </w:tc>
      </w:tr>
      <w:tr>
        <w:trPr>
          <w:trHeight w:val="252"/>
        </w:trPr>
        <w:tc>
          <w:tcPr>
            <w:tcW w:w="450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Satya Nadella</w:t>
            </w:r>
          </w:p>
        </w:tc>
        <w:tc>
          <w:tcPr>
            <w:tcW w:w="1220" w:type="dxa"/>
            <w:vAlign w:val="bottom"/>
            <w:tcBorders>
              <w:bottom w:val="single" w:sz="8" w:color="0075C9"/>
            </w:tcBorders>
          </w:tcPr>
          <w:p>
            <w:pPr>
              <w:jc w:val="right"/>
              <w:ind w:right="142"/>
              <w:spacing w:after="0"/>
              <w:rPr>
                <w:sz w:val="20"/>
                <w:szCs w:val="20"/>
                <w:color w:val="auto"/>
              </w:rPr>
            </w:pPr>
            <w:r>
              <w:rPr>
                <w:rFonts w:ascii="Arial" w:cs="Arial" w:eastAsia="Arial" w:hAnsi="Arial"/>
                <w:sz w:val="16"/>
                <w:szCs w:val="16"/>
                <w:color w:val="auto"/>
              </w:rPr>
              <w:t>1,574,939</w:t>
            </w:r>
          </w:p>
        </w:tc>
        <w:tc>
          <w:tcPr>
            <w:tcW w:w="88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0075C9"/>
            </w:tcBorders>
          </w:tcPr>
          <w:p>
            <w:pPr>
              <w:jc w:val="right"/>
              <w:ind w:right="42"/>
              <w:spacing w:after="0"/>
              <w:rPr>
                <w:sz w:val="20"/>
                <w:szCs w:val="20"/>
                <w:color w:val="auto"/>
              </w:rPr>
            </w:pPr>
            <w:r>
              <w:rPr>
                <w:rFonts w:ascii="Arial" w:cs="Arial" w:eastAsia="Arial" w:hAnsi="Arial"/>
                <w:sz w:val="16"/>
                <w:szCs w:val="16"/>
                <w:color w:val="auto"/>
              </w:rPr>
              <w:t>98,098</w:t>
            </w:r>
          </w:p>
        </w:tc>
        <w:tc>
          <w:tcPr>
            <w:tcW w:w="86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1,673,037</w:t>
            </w:r>
          </w:p>
        </w:tc>
      </w:tr>
      <w:tr>
        <w:trPr>
          <w:trHeight w:val="252"/>
        </w:trPr>
        <w:tc>
          <w:tcPr>
            <w:tcW w:w="450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Amy E. Hood</w:t>
            </w:r>
          </w:p>
        </w:tc>
        <w:tc>
          <w:tcPr>
            <w:tcW w:w="1220" w:type="dxa"/>
            <w:vAlign w:val="bottom"/>
            <w:tcBorders>
              <w:bottom w:val="single" w:sz="8" w:color="0075C9"/>
            </w:tcBorders>
          </w:tcPr>
          <w:p>
            <w:pPr>
              <w:jc w:val="right"/>
              <w:ind w:right="142"/>
              <w:spacing w:after="0"/>
              <w:rPr>
                <w:sz w:val="20"/>
                <w:szCs w:val="20"/>
                <w:color w:val="auto"/>
              </w:rPr>
            </w:pPr>
            <w:r>
              <w:rPr>
                <w:rFonts w:ascii="Arial" w:cs="Arial" w:eastAsia="Arial" w:hAnsi="Arial"/>
                <w:sz w:val="16"/>
                <w:szCs w:val="16"/>
                <w:color w:val="auto"/>
              </w:rPr>
              <w:t>369,960</w:t>
            </w:r>
          </w:p>
        </w:tc>
        <w:tc>
          <w:tcPr>
            <w:tcW w:w="88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0075C9"/>
            </w:tcBorders>
          </w:tcPr>
          <w:p>
            <w:pPr>
              <w:jc w:val="right"/>
              <w:ind w:right="42"/>
              <w:spacing w:after="0"/>
              <w:rPr>
                <w:sz w:val="20"/>
                <w:szCs w:val="20"/>
                <w:color w:val="auto"/>
              </w:rPr>
            </w:pPr>
            <w:r>
              <w:rPr>
                <w:rFonts w:ascii="Arial" w:cs="Arial" w:eastAsia="Arial" w:hAnsi="Arial"/>
                <w:sz w:val="16"/>
                <w:szCs w:val="16"/>
                <w:color w:val="auto"/>
              </w:rPr>
              <w:t>85,872</w:t>
            </w:r>
          </w:p>
        </w:tc>
        <w:tc>
          <w:tcPr>
            <w:tcW w:w="86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455,832</w:t>
            </w:r>
          </w:p>
        </w:tc>
      </w:tr>
      <w:tr>
        <w:trPr>
          <w:trHeight w:val="259"/>
        </w:trPr>
        <w:tc>
          <w:tcPr>
            <w:tcW w:w="450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Jean-Philippe Courtois</w:t>
            </w:r>
          </w:p>
        </w:tc>
        <w:tc>
          <w:tcPr>
            <w:tcW w:w="1220" w:type="dxa"/>
            <w:vAlign w:val="bottom"/>
            <w:tcBorders>
              <w:bottom w:val="single" w:sz="8" w:color="0075C9"/>
            </w:tcBorders>
          </w:tcPr>
          <w:p>
            <w:pPr>
              <w:jc w:val="right"/>
              <w:spacing w:after="0" w:line="258" w:lineRule="exact"/>
              <w:rPr>
                <w:sz w:val="20"/>
                <w:szCs w:val="20"/>
                <w:color w:val="auto"/>
              </w:rPr>
            </w:pPr>
            <w:r>
              <w:rPr>
                <w:rFonts w:ascii="Arial" w:cs="Arial" w:eastAsia="Arial" w:hAnsi="Arial"/>
                <w:sz w:val="16"/>
                <w:szCs w:val="16"/>
                <w:color w:val="auto"/>
              </w:rPr>
              <w:t>537,061</w:t>
            </w:r>
            <w:r>
              <w:rPr>
                <w:rFonts w:ascii="Arial" w:cs="Arial" w:eastAsia="Arial" w:hAnsi="Arial"/>
                <w:sz w:val="26"/>
                <w:szCs w:val="26"/>
                <w:color w:val="auto"/>
                <w:vertAlign w:val="superscript"/>
              </w:rPr>
              <w:t>11</w:t>
            </w:r>
          </w:p>
        </w:tc>
        <w:tc>
          <w:tcPr>
            <w:tcW w:w="88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0075C9"/>
            </w:tcBorders>
          </w:tcPr>
          <w:p>
            <w:pPr>
              <w:jc w:val="right"/>
              <w:ind w:right="42"/>
              <w:spacing w:after="0"/>
              <w:rPr>
                <w:sz w:val="20"/>
                <w:szCs w:val="20"/>
                <w:color w:val="auto"/>
              </w:rPr>
            </w:pPr>
            <w:r>
              <w:rPr>
                <w:rFonts w:ascii="Arial" w:cs="Arial" w:eastAsia="Arial" w:hAnsi="Arial"/>
                <w:sz w:val="16"/>
                <w:szCs w:val="16"/>
                <w:color w:val="auto"/>
              </w:rPr>
              <w:t>38,575</w:t>
            </w:r>
          </w:p>
        </w:tc>
        <w:tc>
          <w:tcPr>
            <w:tcW w:w="86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575,636</w:t>
            </w:r>
          </w:p>
        </w:tc>
      </w:tr>
      <w:tr>
        <w:trPr>
          <w:trHeight w:val="245"/>
        </w:trPr>
        <w:tc>
          <w:tcPr>
            <w:tcW w:w="450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Bradford L. Smith</w:t>
            </w:r>
          </w:p>
        </w:tc>
        <w:tc>
          <w:tcPr>
            <w:tcW w:w="1220" w:type="dxa"/>
            <w:vAlign w:val="bottom"/>
            <w:tcBorders>
              <w:bottom w:val="single" w:sz="8" w:color="0075C9"/>
            </w:tcBorders>
          </w:tcPr>
          <w:p>
            <w:pPr>
              <w:jc w:val="right"/>
              <w:ind w:right="142"/>
              <w:spacing w:after="0"/>
              <w:rPr>
                <w:sz w:val="20"/>
                <w:szCs w:val="20"/>
                <w:color w:val="auto"/>
              </w:rPr>
            </w:pPr>
            <w:r>
              <w:rPr>
                <w:rFonts w:ascii="Arial" w:cs="Arial" w:eastAsia="Arial" w:hAnsi="Arial"/>
                <w:sz w:val="16"/>
                <w:szCs w:val="16"/>
                <w:color w:val="auto"/>
              </w:rPr>
              <w:t>601,232</w:t>
            </w:r>
          </w:p>
        </w:tc>
        <w:tc>
          <w:tcPr>
            <w:tcW w:w="88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0075C9"/>
            </w:tcBorders>
          </w:tcPr>
          <w:p>
            <w:pPr>
              <w:jc w:val="right"/>
              <w:ind w:right="42"/>
              <w:spacing w:after="0"/>
              <w:rPr>
                <w:sz w:val="20"/>
                <w:szCs w:val="20"/>
                <w:color w:val="auto"/>
              </w:rPr>
            </w:pPr>
            <w:r>
              <w:rPr>
                <w:rFonts w:ascii="Arial" w:cs="Arial" w:eastAsia="Arial" w:hAnsi="Arial"/>
                <w:sz w:val="16"/>
                <w:szCs w:val="16"/>
                <w:color w:val="auto"/>
              </w:rPr>
              <w:t>73,547</w:t>
            </w:r>
          </w:p>
        </w:tc>
        <w:tc>
          <w:tcPr>
            <w:tcW w:w="86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674,779</w:t>
            </w:r>
          </w:p>
        </w:tc>
      </w:tr>
      <w:tr>
        <w:trPr>
          <w:trHeight w:val="259"/>
        </w:trPr>
        <w:tc>
          <w:tcPr>
            <w:tcW w:w="450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Christopher D. Young</w:t>
            </w:r>
          </w:p>
        </w:tc>
        <w:tc>
          <w:tcPr>
            <w:tcW w:w="1220" w:type="dxa"/>
            <w:vAlign w:val="bottom"/>
            <w:tcBorders>
              <w:bottom w:val="single" w:sz="8" w:color="0075C9"/>
            </w:tcBorders>
          </w:tcPr>
          <w:p>
            <w:pPr>
              <w:jc w:val="right"/>
              <w:spacing w:after="0" w:line="258" w:lineRule="exact"/>
              <w:rPr>
                <w:sz w:val="20"/>
                <w:szCs w:val="20"/>
                <w:color w:val="auto"/>
              </w:rPr>
            </w:pPr>
            <w:r>
              <w:rPr>
                <w:rFonts w:ascii="Arial" w:cs="Arial" w:eastAsia="Arial" w:hAnsi="Arial"/>
                <w:sz w:val="16"/>
                <w:szCs w:val="16"/>
                <w:color w:val="auto"/>
              </w:rPr>
              <w:t>3,719</w:t>
            </w:r>
            <w:r>
              <w:rPr>
                <w:rFonts w:ascii="Arial" w:cs="Arial" w:eastAsia="Arial" w:hAnsi="Arial"/>
                <w:sz w:val="26"/>
                <w:szCs w:val="26"/>
                <w:color w:val="auto"/>
                <w:vertAlign w:val="superscript"/>
              </w:rPr>
              <w:t>12</w:t>
            </w:r>
          </w:p>
        </w:tc>
        <w:tc>
          <w:tcPr>
            <w:tcW w:w="88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0075C9"/>
            </w:tcBorders>
          </w:tcPr>
          <w:p>
            <w:pPr>
              <w:jc w:val="right"/>
              <w:ind w:right="42"/>
              <w:spacing w:after="0"/>
              <w:rPr>
                <w:sz w:val="20"/>
                <w:szCs w:val="20"/>
                <w:color w:val="auto"/>
              </w:rPr>
            </w:pPr>
            <w:r>
              <w:rPr>
                <w:rFonts w:ascii="Arial" w:cs="Arial" w:eastAsia="Arial" w:hAnsi="Arial"/>
                <w:sz w:val="16"/>
                <w:szCs w:val="16"/>
                <w:color w:val="auto"/>
              </w:rPr>
              <w:t>87,754</w:t>
            </w:r>
          </w:p>
        </w:tc>
        <w:tc>
          <w:tcPr>
            <w:tcW w:w="86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91,473</w:t>
            </w:r>
          </w:p>
        </w:tc>
      </w:tr>
      <w:tr>
        <w:trPr>
          <w:trHeight w:val="252"/>
        </w:trPr>
        <w:tc>
          <w:tcPr>
            <w:tcW w:w="450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Directors and Executive Officers as a Group (17 people)</w:t>
            </w:r>
          </w:p>
        </w:tc>
        <w:tc>
          <w:tcPr>
            <w:tcW w:w="1220" w:type="dxa"/>
            <w:vAlign w:val="bottom"/>
            <w:tcBorders>
              <w:bottom w:val="single" w:sz="8" w:color="0075C9"/>
            </w:tcBorders>
          </w:tcPr>
          <w:p>
            <w:pPr>
              <w:jc w:val="right"/>
              <w:spacing w:after="0" w:line="252" w:lineRule="exact"/>
              <w:rPr>
                <w:sz w:val="20"/>
                <w:szCs w:val="20"/>
                <w:color w:val="auto"/>
              </w:rPr>
            </w:pPr>
            <w:r>
              <w:rPr>
                <w:rFonts w:ascii="Arial" w:cs="Arial" w:eastAsia="Arial" w:hAnsi="Arial"/>
                <w:sz w:val="16"/>
                <w:szCs w:val="16"/>
                <w:color w:val="auto"/>
              </w:rPr>
              <w:t>3,599,480</w:t>
            </w:r>
            <w:r>
              <w:rPr>
                <w:rFonts w:ascii="Arial" w:cs="Arial" w:eastAsia="Arial" w:hAnsi="Arial"/>
                <w:sz w:val="26"/>
                <w:szCs w:val="26"/>
                <w:color w:val="auto"/>
                <w:vertAlign w:val="superscript"/>
              </w:rPr>
              <w:t>13</w:t>
            </w:r>
          </w:p>
        </w:tc>
        <w:tc>
          <w:tcPr>
            <w:tcW w:w="88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0075C9"/>
            </w:tcBorders>
          </w:tcPr>
          <w:p>
            <w:pPr>
              <w:jc w:val="right"/>
              <w:ind w:right="42"/>
              <w:spacing w:after="0"/>
              <w:rPr>
                <w:sz w:val="20"/>
                <w:szCs w:val="20"/>
                <w:color w:val="auto"/>
              </w:rPr>
            </w:pPr>
            <w:r>
              <w:rPr>
                <w:rFonts w:ascii="Arial" w:cs="Arial" w:eastAsia="Arial" w:hAnsi="Arial"/>
                <w:sz w:val="16"/>
                <w:szCs w:val="16"/>
                <w:color w:val="auto"/>
              </w:rPr>
              <w:t>N/A</w:t>
            </w:r>
          </w:p>
        </w:tc>
        <w:tc>
          <w:tcPr>
            <w:tcW w:w="86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N/A</w:t>
            </w:r>
          </w:p>
        </w:tc>
      </w:tr>
    </w:tbl>
    <w:p>
      <w:pPr>
        <w:spacing w:after="0" w:line="72" w:lineRule="exact"/>
        <w:rPr>
          <w:sz w:val="20"/>
          <w:szCs w:val="20"/>
          <w:color w:val="auto"/>
        </w:rPr>
      </w:pPr>
    </w:p>
    <w:p>
      <w:pPr>
        <w:ind w:left="1360" w:hanging="258"/>
        <w:spacing w:after="0"/>
        <w:tabs>
          <w:tab w:leader="none" w:pos="1360" w:val="left"/>
        </w:tabs>
        <w:numPr>
          <w:ilvl w:val="0"/>
          <w:numId w:val="89"/>
        </w:numPr>
        <w:rPr>
          <w:rFonts w:ascii="Arial" w:cs="Arial" w:eastAsia="Arial" w:hAnsi="Arial"/>
          <w:sz w:val="12"/>
          <w:szCs w:val="12"/>
          <w:color w:val="auto"/>
        </w:rPr>
      </w:pPr>
      <w:r>
        <w:rPr>
          <w:rFonts w:ascii="Arial" w:cs="Arial" w:eastAsia="Arial" w:hAnsi="Arial"/>
          <w:sz w:val="12"/>
          <w:szCs w:val="12"/>
          <w:color w:val="auto"/>
        </w:rPr>
        <w:t>Less than 1%</w:t>
      </w:r>
    </w:p>
    <w:p>
      <w:pPr>
        <w:spacing w:after="0" w:line="69" w:lineRule="exact"/>
        <w:rPr>
          <w:sz w:val="20"/>
          <w:szCs w:val="20"/>
          <w:color w:val="auto"/>
        </w:rPr>
      </w:pPr>
    </w:p>
    <w:p>
      <w:pPr>
        <w:ind w:left="1360" w:hanging="258"/>
        <w:spacing w:after="0"/>
        <w:tabs>
          <w:tab w:leader="none" w:pos="1360" w:val="left"/>
        </w:tabs>
        <w:numPr>
          <w:ilvl w:val="0"/>
          <w:numId w:val="90"/>
        </w:numPr>
        <w:rPr>
          <w:rFonts w:ascii="Arial" w:cs="Arial" w:eastAsia="Arial" w:hAnsi="Arial"/>
          <w:sz w:val="12"/>
          <w:szCs w:val="12"/>
          <w:color w:val="auto"/>
        </w:rPr>
      </w:pPr>
      <w:r>
        <w:rPr>
          <w:rFonts w:ascii="Arial" w:cs="Arial" w:eastAsia="Arial" w:hAnsi="Arial"/>
          <w:sz w:val="12"/>
          <w:szCs w:val="12"/>
          <w:color w:val="auto"/>
        </w:rPr>
        <w:t>Beneficial ownership represents sole voting and investment power.</w:t>
      </w:r>
    </w:p>
    <w:p>
      <w:pPr>
        <w:spacing w:after="0" w:line="69" w:lineRule="exact"/>
        <w:rPr>
          <w:rFonts w:ascii="Arial" w:cs="Arial" w:eastAsia="Arial" w:hAnsi="Arial"/>
          <w:sz w:val="12"/>
          <w:szCs w:val="12"/>
          <w:color w:val="auto"/>
        </w:rPr>
      </w:pPr>
    </w:p>
    <w:p>
      <w:pPr>
        <w:ind w:left="1360" w:right="780" w:hanging="258"/>
        <w:spacing w:after="0" w:line="239" w:lineRule="auto"/>
        <w:tabs>
          <w:tab w:leader="none" w:pos="1360" w:val="left"/>
        </w:tabs>
        <w:numPr>
          <w:ilvl w:val="0"/>
          <w:numId w:val="90"/>
        </w:numPr>
        <w:rPr>
          <w:rFonts w:ascii="Arial" w:cs="Arial" w:eastAsia="Arial" w:hAnsi="Arial"/>
          <w:sz w:val="12"/>
          <w:szCs w:val="12"/>
          <w:color w:val="auto"/>
        </w:rPr>
      </w:pPr>
      <w:r>
        <w:rPr>
          <w:rFonts w:ascii="Arial" w:cs="Arial" w:eastAsia="Arial" w:hAnsi="Arial"/>
          <w:sz w:val="12"/>
          <w:szCs w:val="12"/>
          <w:color w:val="auto"/>
        </w:rPr>
        <w:t>For directors, includes shares credited under the Deferred Compensation Plan for Non-Employee Directors that may be distributable within 60 days of September 30, 2021: Ms. List, 21,628; Ms. Peterson, 19,753; Ms. Pritzker, 8,716; Mr. Thompson, 7,970; and Ms. Warrior, 3,774.</w:t>
      </w:r>
    </w:p>
    <w:p>
      <w:pPr>
        <w:spacing w:after="0" w:line="61" w:lineRule="exact"/>
        <w:rPr>
          <w:rFonts w:ascii="Arial" w:cs="Arial" w:eastAsia="Arial" w:hAnsi="Arial"/>
          <w:sz w:val="12"/>
          <w:szCs w:val="12"/>
          <w:color w:val="auto"/>
        </w:rPr>
      </w:pPr>
    </w:p>
    <w:p>
      <w:pPr>
        <w:ind w:left="1360" w:right="40" w:hanging="258"/>
        <w:spacing w:after="0" w:line="239" w:lineRule="auto"/>
        <w:tabs>
          <w:tab w:leader="none" w:pos="1360" w:val="left"/>
        </w:tabs>
        <w:numPr>
          <w:ilvl w:val="0"/>
          <w:numId w:val="90"/>
        </w:numPr>
        <w:rPr>
          <w:rFonts w:ascii="Arial" w:cs="Arial" w:eastAsia="Arial" w:hAnsi="Arial"/>
          <w:sz w:val="12"/>
          <w:szCs w:val="12"/>
          <w:color w:val="auto"/>
        </w:rPr>
      </w:pPr>
      <w:r>
        <w:rPr>
          <w:rFonts w:ascii="Arial" w:cs="Arial" w:eastAsia="Arial" w:hAnsi="Arial"/>
          <w:sz w:val="12"/>
          <w:szCs w:val="12"/>
          <w:color w:val="auto"/>
        </w:rPr>
        <w:t>For directors, includes shares credited under the Deferred Compensation Plan for Non-Employee Directors that are not payable within 60 days following termination of Board service: Mr. Hoffman, 11,573; Mr. Thompson, 58,072.</w:t>
      </w:r>
    </w:p>
    <w:p>
      <w:pPr>
        <w:spacing w:after="0" w:line="61" w:lineRule="exact"/>
        <w:rPr>
          <w:rFonts w:ascii="Arial" w:cs="Arial" w:eastAsia="Arial" w:hAnsi="Arial"/>
          <w:sz w:val="12"/>
          <w:szCs w:val="12"/>
          <w:color w:val="auto"/>
        </w:rPr>
      </w:pPr>
    </w:p>
    <w:p>
      <w:pPr>
        <w:ind w:left="1360" w:right="60" w:hanging="258"/>
        <w:spacing w:after="0" w:line="234" w:lineRule="auto"/>
        <w:tabs>
          <w:tab w:leader="none" w:pos="1360" w:val="left"/>
        </w:tabs>
        <w:numPr>
          <w:ilvl w:val="0"/>
          <w:numId w:val="90"/>
        </w:numPr>
        <w:rPr>
          <w:rFonts w:ascii="Arial" w:cs="Arial" w:eastAsia="Arial" w:hAnsi="Arial"/>
          <w:sz w:val="12"/>
          <w:szCs w:val="12"/>
          <w:color w:val="auto"/>
        </w:rPr>
      </w:pPr>
      <w:r>
        <w:rPr>
          <w:rFonts w:ascii="Arial" w:cs="Arial" w:eastAsia="Arial" w:hAnsi="Arial"/>
          <w:sz w:val="12"/>
          <w:szCs w:val="12"/>
          <w:color w:val="auto"/>
        </w:rPr>
        <w:t>For Named Executives, includes (i) unvested SAs that do not vest within 60 days of September 30, 2021, subject to continued employment at the time of each vest: Mr. Nadella, 98,098; Ms. Hood, 85,872; Mr. Courtois, 38,575; Mr. Smith, 25,673; Mr. Young, 87,754, and (ii) 47,874 PSA shares that would vest if Mr. Smith retires from Microsoft assuming PSAs are earned at 100% of target.</w:t>
      </w:r>
    </w:p>
    <w:p>
      <w:pPr>
        <w:spacing w:after="0" w:line="62" w:lineRule="exact"/>
        <w:rPr>
          <w:rFonts w:ascii="Arial" w:cs="Arial" w:eastAsia="Arial" w:hAnsi="Arial"/>
          <w:sz w:val="12"/>
          <w:szCs w:val="12"/>
          <w:color w:val="auto"/>
        </w:rPr>
      </w:pPr>
    </w:p>
    <w:p>
      <w:pPr>
        <w:ind w:left="1360" w:hanging="258"/>
        <w:spacing w:after="0"/>
        <w:tabs>
          <w:tab w:leader="none" w:pos="1360" w:val="left"/>
        </w:tabs>
        <w:numPr>
          <w:ilvl w:val="0"/>
          <w:numId w:val="90"/>
        </w:numPr>
        <w:rPr>
          <w:rFonts w:ascii="Arial" w:cs="Arial" w:eastAsia="Arial" w:hAnsi="Arial"/>
          <w:sz w:val="12"/>
          <w:szCs w:val="12"/>
          <w:color w:val="auto"/>
        </w:rPr>
      </w:pPr>
      <w:r>
        <w:rPr>
          <w:rFonts w:ascii="Arial" w:cs="Arial" w:eastAsia="Arial" w:hAnsi="Arial"/>
          <w:sz w:val="12"/>
          <w:szCs w:val="12"/>
          <w:color w:val="auto"/>
        </w:rPr>
        <w:t>Includes 15,905 shares held by a family trust.</w:t>
      </w:r>
    </w:p>
    <w:p>
      <w:pPr>
        <w:spacing w:after="0" w:line="69" w:lineRule="exact"/>
        <w:rPr>
          <w:rFonts w:ascii="Arial" w:cs="Arial" w:eastAsia="Arial" w:hAnsi="Arial"/>
          <w:sz w:val="12"/>
          <w:szCs w:val="12"/>
          <w:color w:val="auto"/>
        </w:rPr>
      </w:pPr>
    </w:p>
    <w:p>
      <w:pPr>
        <w:ind w:left="1360" w:hanging="258"/>
        <w:spacing w:after="0"/>
        <w:tabs>
          <w:tab w:leader="none" w:pos="1360" w:val="left"/>
        </w:tabs>
        <w:numPr>
          <w:ilvl w:val="0"/>
          <w:numId w:val="90"/>
        </w:numPr>
        <w:rPr>
          <w:rFonts w:ascii="Arial" w:cs="Arial" w:eastAsia="Arial" w:hAnsi="Arial"/>
          <w:sz w:val="12"/>
          <w:szCs w:val="12"/>
          <w:color w:val="auto"/>
        </w:rPr>
      </w:pPr>
      <w:r>
        <w:rPr>
          <w:rFonts w:ascii="Arial" w:cs="Arial" w:eastAsia="Arial" w:hAnsi="Arial"/>
          <w:sz w:val="12"/>
          <w:szCs w:val="12"/>
          <w:color w:val="auto"/>
        </w:rPr>
        <w:t>Excludes 68 shares held by a family trust as to which Mr. Johnston disclaims beneficial ownership.</w:t>
      </w:r>
    </w:p>
    <w:p>
      <w:pPr>
        <w:spacing w:after="0" w:line="69" w:lineRule="exact"/>
        <w:rPr>
          <w:rFonts w:ascii="Arial" w:cs="Arial" w:eastAsia="Arial" w:hAnsi="Arial"/>
          <w:sz w:val="12"/>
          <w:szCs w:val="12"/>
          <w:color w:val="auto"/>
        </w:rPr>
      </w:pPr>
    </w:p>
    <w:p>
      <w:pPr>
        <w:ind w:left="1360" w:hanging="258"/>
        <w:spacing w:after="0"/>
        <w:tabs>
          <w:tab w:leader="none" w:pos="1360" w:val="left"/>
        </w:tabs>
        <w:numPr>
          <w:ilvl w:val="0"/>
          <w:numId w:val="90"/>
        </w:numPr>
        <w:rPr>
          <w:rFonts w:ascii="Arial" w:cs="Arial" w:eastAsia="Arial" w:hAnsi="Arial"/>
          <w:sz w:val="12"/>
          <w:szCs w:val="12"/>
          <w:color w:val="auto"/>
        </w:rPr>
      </w:pPr>
      <w:r>
        <w:rPr>
          <w:rFonts w:ascii="Arial" w:cs="Arial" w:eastAsia="Arial" w:hAnsi="Arial"/>
          <w:sz w:val="12"/>
          <w:szCs w:val="12"/>
          <w:color w:val="auto"/>
        </w:rPr>
        <w:t>Includes 12,000 shares held by a family trust.</w:t>
      </w:r>
    </w:p>
    <w:p>
      <w:pPr>
        <w:spacing w:after="0" w:line="69" w:lineRule="exact"/>
        <w:rPr>
          <w:rFonts w:ascii="Arial" w:cs="Arial" w:eastAsia="Arial" w:hAnsi="Arial"/>
          <w:sz w:val="12"/>
          <w:szCs w:val="12"/>
          <w:color w:val="auto"/>
        </w:rPr>
      </w:pPr>
    </w:p>
    <w:p>
      <w:pPr>
        <w:ind w:left="1360" w:hanging="258"/>
        <w:spacing w:after="0"/>
        <w:tabs>
          <w:tab w:leader="none" w:pos="1360" w:val="left"/>
        </w:tabs>
        <w:numPr>
          <w:ilvl w:val="0"/>
          <w:numId w:val="90"/>
        </w:numPr>
        <w:rPr>
          <w:rFonts w:ascii="Arial" w:cs="Arial" w:eastAsia="Arial" w:hAnsi="Arial"/>
          <w:sz w:val="12"/>
          <w:szCs w:val="12"/>
          <w:color w:val="auto"/>
        </w:rPr>
      </w:pPr>
      <w:r>
        <w:rPr>
          <w:rFonts w:ascii="Arial" w:cs="Arial" w:eastAsia="Arial" w:hAnsi="Arial"/>
          <w:sz w:val="12"/>
          <w:szCs w:val="12"/>
          <w:color w:val="auto"/>
        </w:rPr>
        <w:t>Includes 525 shares held by a family trust.</w:t>
      </w:r>
    </w:p>
    <w:p>
      <w:pPr>
        <w:spacing w:after="0" w:line="69" w:lineRule="exact"/>
        <w:rPr>
          <w:rFonts w:ascii="Arial" w:cs="Arial" w:eastAsia="Arial" w:hAnsi="Arial"/>
          <w:sz w:val="12"/>
          <w:szCs w:val="12"/>
          <w:color w:val="auto"/>
        </w:rPr>
      </w:pPr>
    </w:p>
    <w:p>
      <w:pPr>
        <w:ind w:left="1360" w:hanging="258"/>
        <w:spacing w:after="0"/>
        <w:tabs>
          <w:tab w:leader="none" w:pos="1360" w:val="left"/>
        </w:tabs>
        <w:numPr>
          <w:ilvl w:val="0"/>
          <w:numId w:val="90"/>
        </w:numPr>
        <w:rPr>
          <w:rFonts w:ascii="Arial" w:cs="Arial" w:eastAsia="Arial" w:hAnsi="Arial"/>
          <w:sz w:val="12"/>
          <w:szCs w:val="12"/>
          <w:color w:val="auto"/>
        </w:rPr>
      </w:pPr>
      <w:r>
        <w:rPr>
          <w:rFonts w:ascii="Arial" w:cs="Arial" w:eastAsia="Arial" w:hAnsi="Arial"/>
          <w:sz w:val="12"/>
          <w:szCs w:val="12"/>
          <w:color w:val="auto"/>
        </w:rPr>
        <w:t>Includes 7,243 shares held by a family trust.</w:t>
      </w:r>
    </w:p>
    <w:p>
      <w:pPr>
        <w:spacing w:after="0" w:line="69" w:lineRule="exact"/>
        <w:rPr>
          <w:rFonts w:ascii="Arial" w:cs="Arial" w:eastAsia="Arial" w:hAnsi="Arial"/>
          <w:sz w:val="12"/>
          <w:szCs w:val="12"/>
          <w:color w:val="auto"/>
        </w:rPr>
      </w:pPr>
    </w:p>
    <w:p>
      <w:pPr>
        <w:ind w:left="1360" w:hanging="258"/>
        <w:spacing w:after="0"/>
        <w:tabs>
          <w:tab w:leader="none" w:pos="1360" w:val="left"/>
        </w:tabs>
        <w:numPr>
          <w:ilvl w:val="0"/>
          <w:numId w:val="90"/>
        </w:numPr>
        <w:rPr>
          <w:rFonts w:ascii="Arial" w:cs="Arial" w:eastAsia="Arial" w:hAnsi="Arial"/>
          <w:sz w:val="12"/>
          <w:szCs w:val="12"/>
          <w:color w:val="auto"/>
        </w:rPr>
      </w:pPr>
      <w:r>
        <w:rPr>
          <w:rFonts w:ascii="Arial" w:cs="Arial" w:eastAsia="Arial" w:hAnsi="Arial"/>
          <w:sz w:val="12"/>
          <w:szCs w:val="12"/>
          <w:color w:val="auto"/>
        </w:rPr>
        <w:t>Includes 27,279 shares held by a family trust.</w:t>
      </w:r>
    </w:p>
    <w:p>
      <w:pPr>
        <w:spacing w:after="0" w:line="69" w:lineRule="exact"/>
        <w:rPr>
          <w:rFonts w:ascii="Arial" w:cs="Arial" w:eastAsia="Arial" w:hAnsi="Arial"/>
          <w:sz w:val="12"/>
          <w:szCs w:val="12"/>
          <w:color w:val="auto"/>
        </w:rPr>
      </w:pPr>
    </w:p>
    <w:p>
      <w:pPr>
        <w:ind w:left="1360" w:right="440" w:hanging="258"/>
        <w:spacing w:after="0" w:line="239" w:lineRule="auto"/>
        <w:tabs>
          <w:tab w:leader="none" w:pos="1360" w:val="left"/>
        </w:tabs>
        <w:numPr>
          <w:ilvl w:val="0"/>
          <w:numId w:val="90"/>
        </w:numPr>
        <w:rPr>
          <w:rFonts w:ascii="Arial" w:cs="Arial" w:eastAsia="Arial" w:hAnsi="Arial"/>
          <w:sz w:val="12"/>
          <w:szCs w:val="12"/>
          <w:color w:val="auto"/>
        </w:rPr>
      </w:pPr>
      <w:r>
        <w:rPr>
          <w:rFonts w:ascii="Arial" w:cs="Arial" w:eastAsia="Arial" w:hAnsi="Arial"/>
          <w:sz w:val="12"/>
          <w:szCs w:val="12"/>
          <w:color w:val="auto"/>
        </w:rPr>
        <w:t>Excludes an aggregate of 257,532 shares held by contrats d’assurance vie and an aggregate of 49,200 shares held by contrats de capitalisation as to which Mr. Courtois disclaims beneficial ownership.</w:t>
      </w:r>
    </w:p>
    <w:p>
      <w:pPr>
        <w:spacing w:after="0" w:line="61" w:lineRule="exact"/>
        <w:rPr>
          <w:rFonts w:ascii="Arial" w:cs="Arial" w:eastAsia="Arial" w:hAnsi="Arial"/>
          <w:sz w:val="12"/>
          <w:szCs w:val="12"/>
          <w:color w:val="auto"/>
        </w:rPr>
      </w:pPr>
    </w:p>
    <w:p>
      <w:pPr>
        <w:ind w:left="1360" w:hanging="258"/>
        <w:spacing w:after="0"/>
        <w:tabs>
          <w:tab w:leader="none" w:pos="1360" w:val="left"/>
        </w:tabs>
        <w:numPr>
          <w:ilvl w:val="0"/>
          <w:numId w:val="90"/>
        </w:numPr>
        <w:rPr>
          <w:rFonts w:ascii="Arial" w:cs="Arial" w:eastAsia="Arial" w:hAnsi="Arial"/>
          <w:sz w:val="12"/>
          <w:szCs w:val="12"/>
          <w:color w:val="auto"/>
        </w:rPr>
      </w:pPr>
      <w:r>
        <w:rPr>
          <w:rFonts w:ascii="Arial" w:cs="Arial" w:eastAsia="Arial" w:hAnsi="Arial"/>
          <w:sz w:val="12"/>
          <w:szCs w:val="12"/>
          <w:color w:val="auto"/>
        </w:rPr>
        <w:t>Includes 1,500 shares held by a living trust.</w:t>
      </w:r>
    </w:p>
    <w:p>
      <w:pPr>
        <w:spacing w:after="0" w:line="69" w:lineRule="exact"/>
        <w:rPr>
          <w:rFonts w:ascii="Arial" w:cs="Arial" w:eastAsia="Arial" w:hAnsi="Arial"/>
          <w:sz w:val="12"/>
          <w:szCs w:val="12"/>
          <w:color w:val="auto"/>
        </w:rPr>
      </w:pPr>
    </w:p>
    <w:p>
      <w:pPr>
        <w:ind w:left="1360" w:right="300" w:hanging="258"/>
        <w:spacing w:after="0" w:line="239" w:lineRule="auto"/>
        <w:tabs>
          <w:tab w:leader="none" w:pos="1360" w:val="left"/>
        </w:tabs>
        <w:numPr>
          <w:ilvl w:val="0"/>
          <w:numId w:val="90"/>
        </w:numPr>
        <w:rPr>
          <w:rFonts w:ascii="Arial" w:cs="Arial" w:eastAsia="Arial" w:hAnsi="Arial"/>
          <w:sz w:val="12"/>
          <w:szCs w:val="12"/>
          <w:color w:val="auto"/>
        </w:rPr>
      </w:pPr>
      <w:r>
        <w:rPr>
          <w:rFonts w:ascii="Arial" w:cs="Arial" w:eastAsia="Arial" w:hAnsi="Arial"/>
          <w:sz w:val="12"/>
          <w:szCs w:val="12"/>
          <w:color w:val="auto"/>
        </w:rPr>
        <w:t>Includes 61,841 shares credited under the Deferred Compensation Plan for Non-Employee Directors that may be distributable within 60 days of September 30, 2021.</w:t>
      </w:r>
    </w:p>
    <w:p>
      <w:pPr>
        <w:spacing w:after="0" w:line="200" w:lineRule="exact"/>
        <w:rPr>
          <w:sz w:val="20"/>
          <w:szCs w:val="20"/>
          <w:color w:val="auto"/>
        </w:rPr>
      </w:pPr>
    </w:p>
    <w:p>
      <w:pPr>
        <w:spacing w:after="0" w:line="296"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-94615</wp:posOffset>
            </wp:positionV>
            <wp:extent cx="485140" cy="9842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45" w:right="1439" w:bottom="1440" w:gutter="0" w:footer="0" w:header="0"/>
        </w:sectPr>
      </w:pPr>
    </w:p>
    <w:bookmarkStart w:id="68" w:name="page69"/>
    <w:bookmarkEnd w:id="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spacing w:after="0"/>
              <w:rPr>
                <w:sz w:val="20"/>
                <w:szCs w:val="20"/>
                <w:color w:val="auto"/>
              </w:rPr>
            </w:pPr>
            <w:r>
              <w:rPr>
                <w:rFonts w:ascii="Arial" w:cs="Arial" w:eastAsia="Arial" w:hAnsi="Arial"/>
                <w:sz w:val="36"/>
                <w:szCs w:val="36"/>
                <w:color w:val="auto"/>
              </w:rPr>
              <w:t>1</w:t>
            </w:r>
          </w:p>
        </w:tc>
        <w:tc>
          <w:tcPr>
            <w:tcW w:w="1380" w:type="dxa"/>
            <w:vAlign w:val="bottom"/>
            <w:vMerge w:val="restart"/>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gridSpan w:val="2"/>
          </w:tcPr>
          <w:p>
            <w:pPr>
              <w:jc w:val="right"/>
              <w:ind w:right="80"/>
              <w:spacing w:after="0"/>
              <w:rPr>
                <w:sz w:val="20"/>
                <w:szCs w:val="20"/>
                <w:color w:val="auto"/>
              </w:rPr>
            </w:pPr>
            <w:r>
              <w:rPr>
                <w:rFonts w:ascii="Arial" w:cs="Arial" w:eastAsia="Arial" w:hAnsi="Arial"/>
                <w:sz w:val="36"/>
                <w:szCs w:val="36"/>
                <w:color w:val="0075C9"/>
              </w:rPr>
              <w:t>2</w:t>
            </w:r>
          </w:p>
        </w:tc>
        <w:tc>
          <w:tcPr>
            <w:tcW w:w="1320" w:type="dxa"/>
            <w:vAlign w:val="bottom"/>
            <w:vMerge w:val="restart"/>
          </w:tcPr>
          <w:p>
            <w:pPr>
              <w:ind w:left="60"/>
              <w:spacing w:after="0"/>
              <w:rPr>
                <w:sz w:val="20"/>
                <w:szCs w:val="20"/>
                <w:color w:val="auto"/>
              </w:rPr>
            </w:pPr>
            <w:r>
              <w:rPr>
                <w:rFonts w:ascii="Arial" w:cs="Arial" w:eastAsia="Arial" w:hAnsi="Arial"/>
                <w:sz w:val="12"/>
                <w:szCs w:val="12"/>
                <w:color w:val="0075C9"/>
              </w:rPr>
              <w:t>NAMED</w:t>
            </w:r>
          </w:p>
        </w:tc>
        <w:tc>
          <w:tcPr>
            <w:tcW w:w="740" w:type="dxa"/>
            <w:vAlign w:val="bottom"/>
          </w:tcPr>
          <w:p>
            <w:pPr>
              <w:jc w:val="right"/>
              <w:spacing w:after="0"/>
              <w:rPr>
                <w:sz w:val="20"/>
                <w:szCs w:val="20"/>
                <w:color w:val="auto"/>
              </w:rPr>
            </w:pPr>
            <w:r>
              <w:rPr>
                <w:rFonts w:ascii="Arial" w:cs="Arial" w:eastAsia="Arial" w:hAnsi="Arial"/>
                <w:sz w:val="36"/>
                <w:szCs w:val="36"/>
                <w:color w:val="auto"/>
              </w:rPr>
              <w:t>3</w:t>
            </w:r>
          </w:p>
        </w:tc>
        <w:tc>
          <w:tcPr>
            <w:tcW w:w="1020" w:type="dxa"/>
            <w:vAlign w:val="bottom"/>
            <w:vMerge w:val="restart"/>
          </w:tcPr>
          <w:p>
            <w:pPr>
              <w:ind w:left="60"/>
              <w:spacing w:after="0"/>
              <w:rPr>
                <w:sz w:val="20"/>
                <w:szCs w:val="20"/>
                <w:color w:val="auto"/>
              </w:rPr>
            </w:pPr>
            <w:r>
              <w:rPr>
                <w:rFonts w:ascii="Arial" w:cs="Arial" w:eastAsia="Arial" w:hAnsi="Arial"/>
                <w:sz w:val="12"/>
                <w:szCs w:val="12"/>
                <w:color w:val="auto"/>
              </w:rPr>
              <w:t>AUDIT</w:t>
            </w:r>
          </w:p>
        </w:tc>
        <w:tc>
          <w:tcPr>
            <w:tcW w:w="500" w:type="dxa"/>
            <w:vAlign w:val="bottom"/>
          </w:tcPr>
          <w:p>
            <w:pPr>
              <w:jc w:val="right"/>
              <w:spacing w:after="0"/>
              <w:rPr>
                <w:sz w:val="20"/>
                <w:szCs w:val="20"/>
                <w:color w:val="auto"/>
              </w:rPr>
            </w:pPr>
            <w:r>
              <w:rPr>
                <w:rFonts w:ascii="Arial" w:cs="Arial" w:eastAsia="Arial" w:hAnsi="Arial"/>
                <w:sz w:val="36"/>
                <w:szCs w:val="36"/>
                <w:color w:val="auto"/>
              </w:rPr>
              <w:t>4</w:t>
            </w:r>
          </w:p>
        </w:tc>
        <w:tc>
          <w:tcPr>
            <w:tcW w:w="1700" w:type="dxa"/>
            <w:vAlign w:val="bottom"/>
            <w:vMerge w:val="restart"/>
          </w:tcPr>
          <w:p>
            <w:pPr>
              <w:ind w:left="80"/>
              <w:spacing w:after="0"/>
              <w:rPr>
                <w:sz w:val="20"/>
                <w:szCs w:val="20"/>
                <w:color w:val="auto"/>
              </w:rPr>
            </w:pPr>
            <w:r>
              <w:rPr>
                <w:rFonts w:ascii="Arial" w:cs="Arial" w:eastAsia="Arial" w:hAnsi="Arial"/>
                <w:sz w:val="12"/>
                <w:szCs w:val="12"/>
                <w:color w:val="auto"/>
              </w:rPr>
              <w:t>PROPOSALS TO</w:t>
            </w:r>
          </w:p>
        </w:tc>
        <w:tc>
          <w:tcPr>
            <w:tcW w:w="280" w:type="dxa"/>
            <w:vAlign w:val="bottom"/>
          </w:tcPr>
          <w:p>
            <w:pPr>
              <w:jc w:val="right"/>
              <w:spacing w:after="0"/>
              <w:rPr>
                <w:sz w:val="20"/>
                <w:szCs w:val="20"/>
                <w:color w:val="auto"/>
              </w:rPr>
            </w:pPr>
            <w:r>
              <w:rPr>
                <w:rFonts w:ascii="Arial" w:cs="Arial" w:eastAsia="Arial" w:hAnsi="Arial"/>
                <w:sz w:val="36"/>
                <w:szCs w:val="36"/>
                <w:color w:val="auto"/>
              </w:rPr>
              <w:t>5</w:t>
            </w:r>
          </w:p>
        </w:tc>
        <w:tc>
          <w:tcPr>
            <w:tcW w:w="1380" w:type="dxa"/>
            <w:vAlign w:val="bottom"/>
            <w:vMerge w:val="restart"/>
          </w:tcPr>
          <w:p>
            <w:pPr>
              <w:ind w:left="100"/>
              <w:spacing w:after="0"/>
              <w:rPr>
                <w:sz w:val="20"/>
                <w:szCs w:val="20"/>
                <w:color w:val="auto"/>
              </w:rPr>
            </w:pPr>
            <w:r>
              <w:rPr>
                <w:rFonts w:ascii="Arial" w:cs="Arial" w:eastAsia="Arial" w:hAnsi="Arial"/>
                <w:sz w:val="12"/>
                <w:szCs w:val="12"/>
                <w:color w:val="auto"/>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0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38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tcPr>
          <w:p>
            <w:pPr>
              <w:ind w:left="60"/>
              <w:spacing w:after="0" w:line="130" w:lineRule="exact"/>
              <w:rPr>
                <w:sz w:val="20"/>
                <w:szCs w:val="20"/>
                <w:color w:val="auto"/>
              </w:rPr>
            </w:pPr>
            <w:r>
              <w:rPr>
                <w:rFonts w:ascii="Arial" w:cs="Arial" w:eastAsia="Arial" w:hAnsi="Arial"/>
                <w:sz w:val="12"/>
                <w:szCs w:val="12"/>
                <w:color w:val="0075C9"/>
                <w:w w:val="99"/>
              </w:rPr>
              <w:t>EXECUTIVE OFFICER</w:t>
            </w:r>
          </w:p>
        </w:tc>
        <w:tc>
          <w:tcPr>
            <w:tcW w:w="740" w:type="dxa"/>
            <w:vAlign w:val="bottom"/>
          </w:tcPr>
          <w:p>
            <w:pPr>
              <w:spacing w:after="0"/>
              <w:rPr>
                <w:sz w:val="11"/>
                <w:szCs w:val="11"/>
                <w:color w:val="auto"/>
              </w:rPr>
            </w:pPr>
          </w:p>
        </w:tc>
        <w:tc>
          <w:tcPr>
            <w:tcW w:w="1020" w:type="dxa"/>
            <w:vAlign w:val="bottom"/>
          </w:tcPr>
          <w:p>
            <w:pPr>
              <w:ind w:left="60"/>
              <w:spacing w:after="0" w:line="130" w:lineRule="exact"/>
              <w:rPr>
                <w:sz w:val="20"/>
                <w:szCs w:val="20"/>
                <w:color w:val="auto"/>
              </w:rPr>
            </w:pPr>
            <w:r>
              <w:rPr>
                <w:rFonts w:ascii="Arial" w:cs="Arial" w:eastAsia="Arial" w:hAnsi="Arial"/>
                <w:sz w:val="12"/>
                <w:szCs w:val="12"/>
                <w:color w:val="auto"/>
              </w:rPr>
              <w:t>COMMITTEE</w:t>
            </w:r>
          </w:p>
        </w:tc>
        <w:tc>
          <w:tcPr>
            <w:tcW w:w="500" w:type="dxa"/>
            <w:vAlign w:val="bottom"/>
          </w:tcPr>
          <w:p>
            <w:pPr>
              <w:spacing w:after="0"/>
              <w:rPr>
                <w:sz w:val="11"/>
                <w:szCs w:val="11"/>
                <w:color w:val="auto"/>
              </w:rPr>
            </w:pPr>
          </w:p>
        </w:tc>
        <w:tc>
          <w:tcPr>
            <w:tcW w:w="170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280" w:type="dxa"/>
            <w:vAlign w:val="bottom"/>
          </w:tcPr>
          <w:p>
            <w:pPr>
              <w:spacing w:after="0"/>
              <w:rPr>
                <w:sz w:val="11"/>
                <w:szCs w:val="11"/>
                <w:color w:val="auto"/>
              </w:rPr>
            </w:pPr>
          </w:p>
        </w:tc>
        <w:tc>
          <w:tcPr>
            <w:tcW w:w="1380" w:type="dxa"/>
            <w:vAlign w:val="bottom"/>
          </w:tcPr>
          <w:p>
            <w:pPr>
              <w:ind w:left="10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380" w:type="dxa"/>
            <w:vAlign w:val="bottom"/>
          </w:tcPr>
          <w:p>
            <w:pPr>
              <w:ind w:left="80"/>
              <w:spacing w:after="0"/>
              <w:rPr>
                <w:sz w:val="20"/>
                <w:szCs w:val="20"/>
                <w:color w:val="auto"/>
              </w:rPr>
            </w:pPr>
            <w:r>
              <w:rPr>
                <w:rFonts w:ascii="Arial" w:cs="Arial" w:eastAsia="Arial" w:hAnsi="Arial"/>
                <w:sz w:val="12"/>
                <w:szCs w:val="12"/>
                <w:color w:val="auto"/>
              </w:rPr>
              <w:t>DIRECTORS</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0075C9"/>
              </w:rPr>
              <w:t>COMPENSATION</w:t>
            </w:r>
          </w:p>
        </w:tc>
        <w:tc>
          <w:tcPr>
            <w:tcW w:w="740" w:type="dxa"/>
            <w:vAlign w:val="bottom"/>
          </w:tcPr>
          <w:p>
            <w:pPr>
              <w:spacing w:after="0"/>
              <w:rPr>
                <w:sz w:val="12"/>
                <w:szCs w:val="12"/>
                <w:color w:val="auto"/>
              </w:rPr>
            </w:pPr>
          </w:p>
        </w:tc>
        <w:tc>
          <w:tcPr>
            <w:tcW w:w="1020" w:type="dxa"/>
            <w:vAlign w:val="bottom"/>
          </w:tcPr>
          <w:p>
            <w:pPr>
              <w:ind w:left="60"/>
              <w:spacing w:after="0"/>
              <w:rPr>
                <w:sz w:val="20"/>
                <w:szCs w:val="20"/>
                <w:color w:val="auto"/>
              </w:rPr>
            </w:pPr>
            <w:r>
              <w:rPr>
                <w:rFonts w:ascii="Arial" w:cs="Arial" w:eastAsia="Arial" w:hAnsi="Arial"/>
                <w:sz w:val="12"/>
                <w:szCs w:val="12"/>
                <w:color w:val="auto"/>
              </w:rPr>
              <w:t>MATTERS</w:t>
            </w:r>
          </w:p>
        </w:tc>
        <w:tc>
          <w:tcPr>
            <w:tcW w:w="500" w:type="dxa"/>
            <w:vAlign w:val="bottom"/>
          </w:tcPr>
          <w:p>
            <w:pPr>
              <w:spacing w:after="0"/>
              <w:rPr>
                <w:sz w:val="12"/>
                <w:szCs w:val="12"/>
                <w:color w:val="auto"/>
              </w:rPr>
            </w:pPr>
          </w:p>
        </w:tc>
        <w:tc>
          <w:tcPr>
            <w:tcW w:w="170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280" w:type="dxa"/>
            <w:vAlign w:val="bottom"/>
          </w:tcPr>
          <w:p>
            <w:pPr>
              <w:spacing w:after="0"/>
              <w:rPr>
                <w:sz w:val="12"/>
                <w:szCs w:val="12"/>
                <w:color w:val="auto"/>
              </w:rPr>
            </w:pPr>
          </w:p>
        </w:tc>
        <w:tc>
          <w:tcPr>
            <w:tcW w:w="1380" w:type="dxa"/>
            <w:vAlign w:val="bottom"/>
          </w:tcPr>
          <w:p>
            <w:pPr>
              <w:ind w:left="10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9"/>
        </w:trPr>
        <w:tc>
          <w:tcPr>
            <w:tcW w:w="3420" w:type="dxa"/>
            <w:vAlign w:val="bottom"/>
            <w:gridSpan w:val="5"/>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1820" w:type="dxa"/>
            <w:vAlign w:val="bottom"/>
            <w:gridSpan w:val="3"/>
          </w:tcPr>
          <w:p>
            <w:pPr>
              <w:spacing w:after="0"/>
              <w:rPr>
                <w:sz w:val="9"/>
                <w:szCs w:val="9"/>
                <w:color w:val="auto"/>
              </w:rPr>
            </w:pPr>
          </w:p>
        </w:tc>
        <w:tc>
          <w:tcPr>
            <w:tcW w:w="1600" w:type="dxa"/>
            <w:vAlign w:val="bottom"/>
            <w:gridSpan w:val="2"/>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3420" w:type="dxa"/>
            <w:vAlign w:val="bottom"/>
            <w:tcBorders>
              <w:bottom w:val="single" w:sz="8" w:color="0075C9"/>
            </w:tcBorders>
            <w:gridSpan w:val="5"/>
          </w:tcPr>
          <w:p>
            <w:pPr>
              <w:spacing w:after="0"/>
              <w:rPr>
                <w:sz w:val="24"/>
                <w:szCs w:val="24"/>
                <w:color w:val="auto"/>
              </w:rPr>
            </w:pPr>
          </w:p>
        </w:tc>
        <w:tc>
          <w:tcPr>
            <w:tcW w:w="740" w:type="dxa"/>
            <w:vAlign w:val="bottom"/>
            <w:tcBorders>
              <w:bottom w:val="single" w:sz="8" w:color="0075C9"/>
            </w:tcBorders>
          </w:tcPr>
          <w:p>
            <w:pPr>
              <w:spacing w:after="0"/>
              <w:rPr>
                <w:sz w:val="24"/>
                <w:szCs w:val="24"/>
                <w:color w:val="auto"/>
              </w:rPr>
            </w:pPr>
          </w:p>
        </w:tc>
        <w:tc>
          <w:tcPr>
            <w:tcW w:w="1020" w:type="dxa"/>
            <w:vAlign w:val="bottom"/>
            <w:tcBorders>
              <w:bottom w:val="single" w:sz="8" w:color="0075C9"/>
            </w:tcBorders>
          </w:tcPr>
          <w:p>
            <w:pPr>
              <w:spacing w:after="0"/>
              <w:rPr>
                <w:sz w:val="24"/>
                <w:szCs w:val="24"/>
                <w:color w:val="auto"/>
              </w:rPr>
            </w:pPr>
          </w:p>
        </w:tc>
        <w:tc>
          <w:tcPr>
            <w:tcW w:w="500" w:type="dxa"/>
            <w:vAlign w:val="bottom"/>
            <w:tcBorders>
              <w:bottom w:val="single" w:sz="8" w:color="0075C9"/>
            </w:tcBorders>
          </w:tcPr>
          <w:p>
            <w:pPr>
              <w:spacing w:after="0"/>
              <w:rPr>
                <w:sz w:val="24"/>
                <w:szCs w:val="24"/>
                <w:color w:val="auto"/>
              </w:rPr>
            </w:pPr>
          </w:p>
        </w:tc>
        <w:tc>
          <w:tcPr>
            <w:tcW w:w="1700" w:type="dxa"/>
            <w:vAlign w:val="bottom"/>
            <w:tcBorders>
              <w:bottom w:val="single" w:sz="8" w:color="0075C9"/>
            </w:tcBorders>
          </w:tcPr>
          <w:p>
            <w:pPr>
              <w:spacing w:after="0"/>
              <w:rPr>
                <w:sz w:val="24"/>
                <w:szCs w:val="24"/>
                <w:color w:val="auto"/>
              </w:rPr>
            </w:pPr>
          </w:p>
        </w:tc>
        <w:tc>
          <w:tcPr>
            <w:tcW w:w="280" w:type="dxa"/>
            <w:vAlign w:val="bottom"/>
            <w:tcBorders>
              <w:bottom w:val="single" w:sz="8" w:color="0075C9"/>
            </w:tcBorders>
          </w:tcPr>
          <w:p>
            <w:pPr>
              <w:spacing w:after="0"/>
              <w:rPr>
                <w:sz w:val="24"/>
                <w:szCs w:val="24"/>
                <w:color w:val="auto"/>
              </w:rPr>
            </w:pPr>
          </w:p>
        </w:tc>
        <w:tc>
          <w:tcPr>
            <w:tcW w:w="1380" w:type="dxa"/>
            <w:vAlign w:val="bottom"/>
            <w:tcBorders>
              <w:bottom w:val="single" w:sz="8" w:color="0075C9"/>
            </w:tcBorders>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3420" w:type="dxa"/>
            <w:vAlign w:val="bottom"/>
            <w:gridSpan w:val="5"/>
          </w:tcPr>
          <w:p>
            <w:pPr>
              <w:spacing w:after="0"/>
              <w:rPr>
                <w:sz w:val="20"/>
                <w:szCs w:val="20"/>
                <w:color w:val="auto"/>
              </w:rPr>
            </w:pPr>
            <w:r>
              <w:rPr>
                <w:rFonts w:ascii="Arial" w:cs="Arial" w:eastAsia="Arial" w:hAnsi="Arial"/>
                <w:sz w:val="24"/>
                <w:szCs w:val="24"/>
                <w:b w:val="1"/>
                <w:bCs w:val="1"/>
                <w:color w:val="0075C9"/>
              </w:rPr>
              <w:t>Principal Shareholders</w:t>
            </w: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380" w:type="dxa"/>
            <w:vAlign w:val="bottom"/>
            <w:gridSpan w:val="9"/>
          </w:tcPr>
          <w:p>
            <w:pPr>
              <w:spacing w:after="0"/>
              <w:rPr>
                <w:sz w:val="20"/>
                <w:szCs w:val="20"/>
                <w:color w:val="auto"/>
              </w:rPr>
            </w:pPr>
            <w:r>
              <w:rPr>
                <w:rFonts w:ascii="Arial" w:cs="Arial" w:eastAsia="Arial" w:hAnsi="Arial"/>
                <w:sz w:val="16"/>
                <w:szCs w:val="16"/>
                <w:color w:val="auto"/>
              </w:rPr>
              <w:t>This table lists all entities that are the beneficial owner of more than 5% of Microsoft common stock.</w:t>
            </w: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rPr>
              <w:t>Amount and</w:t>
            </w:r>
          </w:p>
        </w:tc>
        <w:tc>
          <w:tcPr>
            <w:tcW w:w="2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Percent of</w:t>
            </w:r>
          </w:p>
        </w:tc>
        <w:tc>
          <w:tcPr>
            <w:tcW w:w="0" w:type="dxa"/>
            <w:vAlign w:val="bottom"/>
          </w:tcPr>
          <w:p>
            <w:pPr>
              <w:spacing w:after="0"/>
              <w:rPr>
                <w:sz w:val="1"/>
                <w:szCs w:val="1"/>
                <w:color w:val="auto"/>
              </w:rPr>
            </w:pPr>
          </w:p>
        </w:tc>
      </w:tr>
      <w:tr>
        <w:trPr>
          <w:trHeight w:val="181"/>
        </w:trPr>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70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Nature of Beneficial</w:t>
            </w:r>
          </w:p>
        </w:tc>
        <w:tc>
          <w:tcPr>
            <w:tcW w:w="280" w:type="dxa"/>
            <w:vAlign w:val="bottom"/>
          </w:tcPr>
          <w:p>
            <w:pPr>
              <w:spacing w:after="0"/>
              <w:rPr>
                <w:sz w:val="15"/>
                <w:szCs w:val="15"/>
                <w:color w:val="auto"/>
              </w:rPr>
            </w:pPr>
          </w:p>
        </w:tc>
        <w:tc>
          <w:tcPr>
            <w:tcW w:w="1380" w:type="dxa"/>
            <w:vAlign w:val="bottom"/>
          </w:tcPr>
          <w:p>
            <w:pPr>
              <w:jc w:val="right"/>
              <w:spacing w:after="0" w:line="181" w:lineRule="exact"/>
              <w:rPr>
                <w:sz w:val="20"/>
                <w:szCs w:val="20"/>
                <w:color w:val="auto"/>
              </w:rPr>
            </w:pPr>
            <w:r>
              <w:rPr>
                <w:rFonts w:ascii="Arial" w:cs="Arial" w:eastAsia="Arial" w:hAnsi="Arial"/>
                <w:sz w:val="16"/>
                <w:szCs w:val="16"/>
                <w:b w:val="1"/>
                <w:bCs w:val="1"/>
                <w:color w:val="auto"/>
                <w:w w:val="96"/>
              </w:rPr>
              <w:t>Class to be Voted</w:t>
            </w:r>
          </w:p>
        </w:tc>
        <w:tc>
          <w:tcPr>
            <w:tcW w:w="0" w:type="dxa"/>
            <w:vAlign w:val="bottom"/>
          </w:tcPr>
          <w:p>
            <w:pPr>
              <w:spacing w:after="0"/>
              <w:rPr>
                <w:sz w:val="1"/>
                <w:szCs w:val="1"/>
                <w:color w:val="auto"/>
              </w:rPr>
            </w:pPr>
          </w:p>
        </w:tc>
      </w:tr>
      <w:tr>
        <w:trPr>
          <w:trHeight w:val="229"/>
        </w:trPr>
        <w:tc>
          <w:tcPr>
            <w:tcW w:w="166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Name</w:t>
            </w: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Ownership as of 9/30/2021</w:t>
            </w: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During the Meeting</w:t>
            </w:r>
          </w:p>
        </w:tc>
        <w:tc>
          <w:tcPr>
            <w:tcW w:w="0" w:type="dxa"/>
            <w:vAlign w:val="bottom"/>
          </w:tcPr>
          <w:p>
            <w:pPr>
              <w:spacing w:after="0"/>
              <w:rPr>
                <w:sz w:val="1"/>
                <w:szCs w:val="1"/>
                <w:color w:val="auto"/>
              </w:rPr>
            </w:pPr>
          </w:p>
        </w:tc>
      </w:tr>
      <w:tr>
        <w:trPr>
          <w:trHeight w:val="235"/>
        </w:trPr>
        <w:tc>
          <w:tcPr>
            <w:tcW w:w="2100" w:type="dxa"/>
            <w:vAlign w:val="bottom"/>
            <w:gridSpan w:val="4"/>
          </w:tcPr>
          <w:p>
            <w:pPr>
              <w:ind w:left="80"/>
              <w:spacing w:after="0"/>
              <w:rPr>
                <w:sz w:val="20"/>
                <w:szCs w:val="20"/>
                <w:color w:val="auto"/>
              </w:rPr>
            </w:pPr>
            <w:r>
              <w:rPr>
                <w:rFonts w:ascii="Arial" w:cs="Arial" w:eastAsia="Arial" w:hAnsi="Arial"/>
                <w:sz w:val="16"/>
                <w:szCs w:val="16"/>
                <w:color w:val="auto"/>
              </w:rPr>
              <w:t>The Vanguard Group, Inc.</w:t>
            </w:r>
          </w:p>
        </w:tc>
        <w:tc>
          <w:tcPr>
            <w:tcW w:w="1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00" w:type="dxa"/>
            <w:vAlign w:val="bottom"/>
            <w:vMerge w:val="restart"/>
          </w:tcPr>
          <w:p>
            <w:pPr>
              <w:jc w:val="right"/>
              <w:spacing w:after="0"/>
              <w:rPr>
                <w:sz w:val="20"/>
                <w:szCs w:val="20"/>
                <w:color w:val="auto"/>
              </w:rPr>
            </w:pPr>
            <w:r>
              <w:rPr>
                <w:rFonts w:ascii="Arial" w:cs="Arial" w:eastAsia="Arial" w:hAnsi="Arial"/>
                <w:sz w:val="16"/>
                <w:szCs w:val="16"/>
                <w:color w:val="auto"/>
              </w:rPr>
              <w:t>614,100,233¹</w:t>
            </w:r>
          </w:p>
        </w:tc>
        <w:tc>
          <w:tcPr>
            <w:tcW w:w="280" w:type="dxa"/>
            <w:vAlign w:val="bottom"/>
          </w:tcPr>
          <w:p>
            <w:pPr>
              <w:spacing w:after="0"/>
              <w:rPr>
                <w:sz w:val="20"/>
                <w:szCs w:val="20"/>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8.12%</w:t>
            </w:r>
          </w:p>
        </w:tc>
        <w:tc>
          <w:tcPr>
            <w:tcW w:w="0" w:type="dxa"/>
            <w:vAlign w:val="bottom"/>
          </w:tcPr>
          <w:p>
            <w:pPr>
              <w:spacing w:after="0"/>
              <w:rPr>
                <w:sz w:val="1"/>
                <w:szCs w:val="1"/>
                <w:color w:val="auto"/>
              </w:rPr>
            </w:pPr>
          </w:p>
        </w:tc>
      </w:tr>
      <w:tr>
        <w:trPr>
          <w:trHeight w:val="96"/>
        </w:trPr>
        <w:tc>
          <w:tcPr>
            <w:tcW w:w="3420" w:type="dxa"/>
            <w:vAlign w:val="bottom"/>
            <w:gridSpan w:val="5"/>
            <w:vMerge w:val="restart"/>
          </w:tcPr>
          <w:p>
            <w:pPr>
              <w:ind w:left="80"/>
              <w:spacing w:after="0"/>
              <w:rPr>
                <w:sz w:val="20"/>
                <w:szCs w:val="20"/>
                <w:color w:val="auto"/>
              </w:rPr>
            </w:pPr>
            <w:r>
              <w:rPr>
                <w:rFonts w:ascii="Arial" w:cs="Arial" w:eastAsia="Arial" w:hAnsi="Arial"/>
                <w:sz w:val="16"/>
                <w:szCs w:val="16"/>
                <w:color w:val="auto"/>
              </w:rPr>
              <w:t>100 Vanguard Blvd., Malvern, PA 19355</w:t>
            </w:r>
          </w:p>
        </w:tc>
        <w:tc>
          <w:tcPr>
            <w:tcW w:w="7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7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3420" w:type="dxa"/>
            <w:vAlign w:val="bottom"/>
            <w:gridSpan w:val="5"/>
            <w:vMerge w:val="continue"/>
          </w:tcPr>
          <w:p>
            <w:pPr>
              <w:spacing w:after="0"/>
              <w:rPr>
                <w:sz w:val="7"/>
                <w:szCs w:val="7"/>
                <w:color w:val="auto"/>
              </w:rPr>
            </w:pPr>
          </w:p>
        </w:tc>
        <w:tc>
          <w:tcPr>
            <w:tcW w:w="7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
        </w:trPr>
        <w:tc>
          <w:tcPr>
            <w:tcW w:w="1660" w:type="dxa"/>
            <w:vAlign w:val="bottom"/>
            <w:tcBorders>
              <w:bottom w:val="single" w:sz="8" w:color="0075C9"/>
            </w:tcBorders>
            <w:gridSpan w:val="2"/>
          </w:tcPr>
          <w:p>
            <w:pPr>
              <w:spacing w:after="0"/>
              <w:rPr>
                <w:sz w:val="2"/>
                <w:szCs w:val="2"/>
                <w:color w:val="auto"/>
              </w:rPr>
            </w:pPr>
          </w:p>
        </w:tc>
        <w:tc>
          <w:tcPr>
            <w:tcW w:w="160" w:type="dxa"/>
            <w:vAlign w:val="bottom"/>
            <w:tcBorders>
              <w:bottom w:val="single" w:sz="8" w:color="0075C9"/>
            </w:tcBorders>
          </w:tcPr>
          <w:p>
            <w:pPr>
              <w:spacing w:after="0"/>
              <w:rPr>
                <w:sz w:val="2"/>
                <w:szCs w:val="2"/>
                <w:color w:val="auto"/>
              </w:rPr>
            </w:pPr>
          </w:p>
        </w:tc>
        <w:tc>
          <w:tcPr>
            <w:tcW w:w="280" w:type="dxa"/>
            <w:vAlign w:val="bottom"/>
            <w:tcBorders>
              <w:bottom w:val="single" w:sz="8" w:color="0075C9"/>
            </w:tcBorders>
          </w:tcPr>
          <w:p>
            <w:pPr>
              <w:spacing w:after="0"/>
              <w:rPr>
                <w:sz w:val="2"/>
                <w:szCs w:val="2"/>
                <w:color w:val="auto"/>
              </w:rPr>
            </w:pPr>
          </w:p>
        </w:tc>
        <w:tc>
          <w:tcPr>
            <w:tcW w:w="1320" w:type="dxa"/>
            <w:vAlign w:val="bottom"/>
            <w:tcBorders>
              <w:bottom w:val="single" w:sz="8" w:color="0075C9"/>
            </w:tcBorders>
          </w:tcPr>
          <w:p>
            <w:pPr>
              <w:spacing w:after="0"/>
              <w:rPr>
                <w:sz w:val="2"/>
                <w:szCs w:val="2"/>
                <w:color w:val="auto"/>
              </w:rPr>
            </w:pPr>
          </w:p>
        </w:tc>
        <w:tc>
          <w:tcPr>
            <w:tcW w:w="740" w:type="dxa"/>
            <w:vAlign w:val="bottom"/>
            <w:tcBorders>
              <w:bottom w:val="single" w:sz="8" w:color="0075C9"/>
            </w:tcBorders>
          </w:tcPr>
          <w:p>
            <w:pPr>
              <w:spacing w:after="0"/>
              <w:rPr>
                <w:sz w:val="2"/>
                <w:szCs w:val="2"/>
                <w:color w:val="auto"/>
              </w:rPr>
            </w:pPr>
          </w:p>
        </w:tc>
        <w:tc>
          <w:tcPr>
            <w:tcW w:w="1020" w:type="dxa"/>
            <w:vAlign w:val="bottom"/>
            <w:tcBorders>
              <w:bottom w:val="single" w:sz="8" w:color="0075C9"/>
            </w:tcBorders>
          </w:tcPr>
          <w:p>
            <w:pPr>
              <w:spacing w:after="0"/>
              <w:rPr>
                <w:sz w:val="2"/>
                <w:szCs w:val="2"/>
                <w:color w:val="auto"/>
              </w:rPr>
            </w:pPr>
          </w:p>
        </w:tc>
        <w:tc>
          <w:tcPr>
            <w:tcW w:w="500" w:type="dxa"/>
            <w:vAlign w:val="bottom"/>
            <w:tcBorders>
              <w:bottom w:val="single" w:sz="8" w:color="0075C9"/>
            </w:tcBorders>
          </w:tcPr>
          <w:p>
            <w:pPr>
              <w:spacing w:after="0"/>
              <w:rPr>
                <w:sz w:val="2"/>
                <w:szCs w:val="2"/>
                <w:color w:val="auto"/>
              </w:rPr>
            </w:pPr>
          </w:p>
        </w:tc>
        <w:tc>
          <w:tcPr>
            <w:tcW w:w="1700" w:type="dxa"/>
            <w:vAlign w:val="bottom"/>
            <w:tcBorders>
              <w:bottom w:val="single" w:sz="8" w:color="0075C9"/>
            </w:tcBorders>
          </w:tcPr>
          <w:p>
            <w:pPr>
              <w:spacing w:after="0"/>
              <w:rPr>
                <w:sz w:val="2"/>
                <w:szCs w:val="2"/>
                <w:color w:val="auto"/>
              </w:rPr>
            </w:pPr>
          </w:p>
        </w:tc>
        <w:tc>
          <w:tcPr>
            <w:tcW w:w="280" w:type="dxa"/>
            <w:vAlign w:val="bottom"/>
            <w:tcBorders>
              <w:bottom w:val="single" w:sz="8" w:color="0075C9"/>
            </w:tcBorders>
          </w:tcPr>
          <w:p>
            <w:pPr>
              <w:spacing w:after="0"/>
              <w:rPr>
                <w:sz w:val="2"/>
                <w:szCs w:val="2"/>
                <w:color w:val="auto"/>
              </w:rPr>
            </w:pPr>
          </w:p>
        </w:tc>
        <w:tc>
          <w:tcPr>
            <w:tcW w:w="138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660" w:type="dxa"/>
            <w:vAlign w:val="bottom"/>
            <w:gridSpan w:val="2"/>
          </w:tcPr>
          <w:p>
            <w:pPr>
              <w:ind w:left="80"/>
              <w:spacing w:after="0"/>
              <w:rPr>
                <w:sz w:val="20"/>
                <w:szCs w:val="20"/>
                <w:color w:val="auto"/>
              </w:rPr>
            </w:pPr>
            <w:r>
              <w:rPr>
                <w:rFonts w:ascii="Arial" w:cs="Arial" w:eastAsia="Arial" w:hAnsi="Arial"/>
                <w:sz w:val="16"/>
                <w:szCs w:val="16"/>
                <w:color w:val="auto"/>
              </w:rPr>
              <w:t>BlackRock, Inc.</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00" w:type="dxa"/>
            <w:vAlign w:val="bottom"/>
            <w:vMerge w:val="restart"/>
          </w:tcPr>
          <w:p>
            <w:pPr>
              <w:jc w:val="right"/>
              <w:spacing w:after="0"/>
              <w:rPr>
                <w:sz w:val="20"/>
                <w:szCs w:val="20"/>
                <w:color w:val="auto"/>
              </w:rPr>
            </w:pPr>
            <w:r>
              <w:rPr>
                <w:rFonts w:ascii="Arial" w:cs="Arial" w:eastAsia="Arial" w:hAnsi="Arial"/>
                <w:sz w:val="16"/>
                <w:szCs w:val="16"/>
                <w:color w:val="auto"/>
              </w:rPr>
              <w:t>515,872,379²</w:t>
            </w:r>
          </w:p>
        </w:tc>
        <w:tc>
          <w:tcPr>
            <w:tcW w:w="280" w:type="dxa"/>
            <w:vAlign w:val="bottom"/>
          </w:tcPr>
          <w:p>
            <w:pPr>
              <w:spacing w:after="0"/>
              <w:rPr>
                <w:sz w:val="19"/>
                <w:szCs w:val="19"/>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101"/>
        </w:trPr>
        <w:tc>
          <w:tcPr>
            <w:tcW w:w="3420" w:type="dxa"/>
            <w:vAlign w:val="bottom"/>
            <w:gridSpan w:val="5"/>
            <w:vMerge w:val="restart"/>
          </w:tcPr>
          <w:p>
            <w:pPr>
              <w:ind w:left="80"/>
              <w:spacing w:after="0" w:line="223" w:lineRule="exact"/>
              <w:rPr>
                <w:sz w:val="20"/>
                <w:szCs w:val="20"/>
                <w:color w:val="auto"/>
              </w:rPr>
            </w:pPr>
            <w:r>
              <w:rPr>
                <w:rFonts w:ascii="Arial" w:cs="Arial" w:eastAsia="Arial" w:hAnsi="Arial"/>
                <w:sz w:val="15"/>
                <w:szCs w:val="15"/>
                <w:color w:val="auto"/>
              </w:rPr>
              <w:t>55 East 52</w:t>
            </w:r>
            <w:r>
              <w:rPr>
                <w:rFonts w:ascii="Arial" w:cs="Arial" w:eastAsia="Arial" w:hAnsi="Arial"/>
                <w:sz w:val="25"/>
                <w:szCs w:val="25"/>
                <w:color w:val="auto"/>
                <w:vertAlign w:val="superscript"/>
              </w:rPr>
              <w:t>nd</w:t>
            </w:r>
            <w:r>
              <w:rPr>
                <w:rFonts w:ascii="Arial" w:cs="Arial" w:eastAsia="Arial" w:hAnsi="Arial"/>
                <w:sz w:val="15"/>
                <w:szCs w:val="15"/>
                <w:color w:val="auto"/>
              </w:rPr>
              <w:t xml:space="preserve"> Street, New York, NY 10055</w:t>
            </w:r>
          </w:p>
        </w:tc>
        <w:tc>
          <w:tcPr>
            <w:tcW w:w="7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7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420" w:type="dxa"/>
            <w:vAlign w:val="bottom"/>
            <w:tcBorders>
              <w:bottom w:val="single" w:sz="8" w:color="0075C9"/>
            </w:tcBorders>
            <w:gridSpan w:val="5"/>
            <w:vMerge w:val="continue"/>
          </w:tcPr>
          <w:p>
            <w:pPr>
              <w:spacing w:after="0"/>
              <w:rPr>
                <w:sz w:val="10"/>
                <w:szCs w:val="10"/>
                <w:color w:val="auto"/>
              </w:rPr>
            </w:pPr>
          </w:p>
        </w:tc>
        <w:tc>
          <w:tcPr>
            <w:tcW w:w="740" w:type="dxa"/>
            <w:vAlign w:val="bottom"/>
            <w:tcBorders>
              <w:bottom w:val="single" w:sz="8" w:color="0075C9"/>
            </w:tcBorders>
          </w:tcPr>
          <w:p>
            <w:pPr>
              <w:spacing w:after="0"/>
              <w:rPr>
                <w:sz w:val="10"/>
                <w:szCs w:val="10"/>
                <w:color w:val="auto"/>
              </w:rPr>
            </w:pPr>
          </w:p>
        </w:tc>
        <w:tc>
          <w:tcPr>
            <w:tcW w:w="1020" w:type="dxa"/>
            <w:vAlign w:val="bottom"/>
            <w:tcBorders>
              <w:bottom w:val="single" w:sz="8" w:color="0075C9"/>
            </w:tcBorders>
          </w:tcPr>
          <w:p>
            <w:pPr>
              <w:spacing w:after="0"/>
              <w:rPr>
                <w:sz w:val="10"/>
                <w:szCs w:val="10"/>
                <w:color w:val="auto"/>
              </w:rPr>
            </w:pPr>
          </w:p>
        </w:tc>
        <w:tc>
          <w:tcPr>
            <w:tcW w:w="500" w:type="dxa"/>
            <w:vAlign w:val="bottom"/>
            <w:tcBorders>
              <w:bottom w:val="single" w:sz="8" w:color="0075C9"/>
            </w:tcBorders>
          </w:tcPr>
          <w:p>
            <w:pPr>
              <w:spacing w:after="0"/>
              <w:rPr>
                <w:sz w:val="10"/>
                <w:szCs w:val="10"/>
                <w:color w:val="auto"/>
              </w:rPr>
            </w:pPr>
          </w:p>
        </w:tc>
        <w:tc>
          <w:tcPr>
            <w:tcW w:w="1700" w:type="dxa"/>
            <w:vAlign w:val="bottom"/>
            <w:tcBorders>
              <w:bottom w:val="single" w:sz="8" w:color="0075C9"/>
            </w:tcBorders>
          </w:tcPr>
          <w:p>
            <w:pPr>
              <w:spacing w:after="0"/>
              <w:rPr>
                <w:sz w:val="10"/>
                <w:szCs w:val="10"/>
                <w:color w:val="auto"/>
              </w:rPr>
            </w:pPr>
          </w:p>
        </w:tc>
        <w:tc>
          <w:tcPr>
            <w:tcW w:w="280" w:type="dxa"/>
            <w:vAlign w:val="bottom"/>
            <w:tcBorders>
              <w:bottom w:val="single" w:sz="8" w:color="0075C9"/>
            </w:tcBorders>
          </w:tcPr>
          <w:p>
            <w:pPr>
              <w:spacing w:after="0"/>
              <w:rPr>
                <w:sz w:val="10"/>
                <w:szCs w:val="10"/>
                <w:color w:val="auto"/>
              </w:rPr>
            </w:pPr>
          </w:p>
        </w:tc>
        <w:tc>
          <w:tcPr>
            <w:tcW w:w="1380" w:type="dxa"/>
            <w:vAlign w:val="bottom"/>
            <w:tcBorders>
              <w:bottom w:val="single" w:sz="8" w:color="0075C9"/>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360" w:right="160" w:hanging="258"/>
        <w:spacing w:after="0" w:line="234" w:lineRule="auto"/>
        <w:tabs>
          <w:tab w:leader="none" w:pos="1360" w:val="left"/>
        </w:tabs>
        <w:numPr>
          <w:ilvl w:val="0"/>
          <w:numId w:val="91"/>
        </w:numPr>
        <w:rPr>
          <w:rFonts w:ascii="Arial" w:cs="Arial" w:eastAsia="Arial" w:hAnsi="Arial"/>
          <w:sz w:val="12"/>
          <w:szCs w:val="12"/>
          <w:color w:val="auto"/>
        </w:rPr>
      </w:pPr>
      <w:r>
        <w:rPr>
          <w:rFonts w:ascii="Arial" w:cs="Arial" w:eastAsia="Arial" w:hAnsi="Arial"/>
          <w:sz w:val="12"/>
          <w:szCs w:val="12"/>
          <w:color w:val="auto"/>
        </w:rPr>
        <w:t>All information about The Vanguard Group, Inc. is based on a Schedule 13G/A filed with the SEC on February 10, 2021. The Vanguard Group, Inc. reported that it has no sole voting power with respect to shares of common stock, sole dispositive power with respect to 580,778,095 shares of common stock, shared voting power of 12,882,933 shares of common stock, and shared dispositive power of 33,322,138 shares of common stock.</w:t>
      </w:r>
    </w:p>
    <w:p>
      <w:pPr>
        <w:spacing w:after="0" w:line="62" w:lineRule="exact"/>
        <w:rPr>
          <w:rFonts w:ascii="Arial" w:cs="Arial" w:eastAsia="Arial" w:hAnsi="Arial"/>
          <w:sz w:val="12"/>
          <w:szCs w:val="12"/>
          <w:color w:val="auto"/>
        </w:rPr>
      </w:pPr>
    </w:p>
    <w:p>
      <w:pPr>
        <w:jc w:val="both"/>
        <w:ind w:left="1360" w:right="240" w:hanging="258"/>
        <w:spacing w:after="0" w:line="234" w:lineRule="auto"/>
        <w:tabs>
          <w:tab w:leader="none" w:pos="1360" w:val="left"/>
        </w:tabs>
        <w:numPr>
          <w:ilvl w:val="0"/>
          <w:numId w:val="91"/>
        </w:numPr>
        <w:rPr>
          <w:rFonts w:ascii="Arial" w:cs="Arial" w:eastAsia="Arial" w:hAnsi="Arial"/>
          <w:sz w:val="12"/>
          <w:szCs w:val="12"/>
          <w:color w:val="auto"/>
        </w:rPr>
      </w:pPr>
      <w:r>
        <w:rPr>
          <w:rFonts w:ascii="Arial" w:cs="Arial" w:eastAsia="Arial" w:hAnsi="Arial"/>
          <w:sz w:val="12"/>
          <w:szCs w:val="12"/>
          <w:color w:val="auto"/>
        </w:rPr>
        <w:t>All information about BlackRock, Inc. is based on a Schedule 13G/A filed with the SEC on February 5, 2021. BlackRock, Inc. reported that it has sole voting power with respect to 446,778,448 shares of common stock, sole dispositive power with respect to 515,872,379 shares of common stock, and no shared voting or shared dispositive power.</w:t>
      </w:r>
    </w:p>
    <w:p>
      <w:pPr>
        <w:spacing w:after="0" w:line="200" w:lineRule="exact"/>
        <w:rPr>
          <w:sz w:val="20"/>
          <w:szCs w:val="20"/>
          <w:color w:val="auto"/>
        </w:rPr>
      </w:pPr>
    </w:p>
    <w:p>
      <w:pPr>
        <w:spacing w:after="0" w:line="297"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2021 PROXY STATEMENT</w:t>
      </w:r>
      <w:r>
        <w:rPr>
          <w:sz w:val="20"/>
          <w:szCs w:val="20"/>
          <w:color w:val="auto"/>
        </w:rPr>
        <w:tab/>
      </w:r>
      <w:r>
        <w:rPr>
          <w:rFonts w:ascii="Arial" w:cs="Arial" w:eastAsia="Arial" w:hAnsi="Arial"/>
          <w:sz w:val="12"/>
          <w:szCs w:val="12"/>
          <w:b w:val="1"/>
          <w:bCs w:val="1"/>
          <w:color w:val="0075C9"/>
        </w:rPr>
        <w:t>61</w:t>
      </w:r>
    </w:p>
    <w:p>
      <w:pPr>
        <w:sectPr>
          <w:pgSz w:w="11900" w:h="16838" w:orient="portrait"/>
          <w:cols w:equalWidth="0" w:num="1">
            <w:col w:w="10280"/>
          </w:cols>
          <w:pgMar w:left="320" w:top="445" w:right="1299" w:bottom="1440" w:gutter="0" w:footer="0" w:header="0"/>
        </w:sectPr>
      </w:pPr>
    </w:p>
    <w:bookmarkStart w:id="69" w:name="page70"/>
    <w:bookmarkEnd w:id="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auto"/>
                <w:w w:val="89"/>
              </w:rPr>
              <w:t>1</w:t>
            </w:r>
          </w:p>
        </w:tc>
        <w:tc>
          <w:tcPr>
            <w:tcW w:w="1380" w:type="dxa"/>
            <w:vAlign w:val="bottom"/>
            <w:vMerge w:val="restart"/>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tcPr>
          <w:p>
            <w:pPr>
              <w:jc w:val="right"/>
              <w:spacing w:after="0"/>
              <w:rPr>
                <w:sz w:val="20"/>
                <w:szCs w:val="20"/>
                <w:color w:val="auto"/>
              </w:rPr>
            </w:pPr>
            <w:r>
              <w:rPr>
                <w:rFonts w:ascii="Arial" w:cs="Arial" w:eastAsia="Arial" w:hAnsi="Arial"/>
                <w:sz w:val="36"/>
                <w:szCs w:val="36"/>
                <w:color w:val="auto"/>
              </w:rPr>
              <w:t>2</w:t>
            </w:r>
          </w:p>
        </w:tc>
        <w:tc>
          <w:tcPr>
            <w:tcW w:w="1560" w:type="dxa"/>
            <w:vAlign w:val="bottom"/>
            <w:vMerge w:val="restart"/>
          </w:tcPr>
          <w:p>
            <w:pPr>
              <w:ind w:left="60"/>
              <w:spacing w:after="0"/>
              <w:rPr>
                <w:sz w:val="20"/>
                <w:szCs w:val="20"/>
                <w:color w:val="auto"/>
              </w:rPr>
            </w:pPr>
            <w:r>
              <w:rPr>
                <w:rFonts w:ascii="Arial" w:cs="Arial" w:eastAsia="Arial" w:hAnsi="Arial"/>
                <w:sz w:val="12"/>
                <w:szCs w:val="12"/>
                <w:color w:val="auto"/>
              </w:rPr>
              <w:t>NAMED</w:t>
            </w:r>
          </w:p>
        </w:tc>
        <w:tc>
          <w:tcPr>
            <w:tcW w:w="500" w:type="dxa"/>
            <w:vAlign w:val="bottom"/>
            <w:gridSpan w:val="2"/>
          </w:tcPr>
          <w:p>
            <w:pPr>
              <w:jc w:val="right"/>
              <w:ind w:right="60"/>
              <w:spacing w:after="0"/>
              <w:rPr>
                <w:sz w:val="20"/>
                <w:szCs w:val="20"/>
                <w:color w:val="auto"/>
              </w:rPr>
            </w:pPr>
            <w:r>
              <w:rPr>
                <w:rFonts w:ascii="Arial" w:cs="Arial" w:eastAsia="Arial" w:hAnsi="Arial"/>
                <w:sz w:val="36"/>
                <w:szCs w:val="36"/>
                <w:color w:val="0075C9"/>
              </w:rPr>
              <w:t>3</w:t>
            </w:r>
          </w:p>
        </w:tc>
        <w:tc>
          <w:tcPr>
            <w:tcW w:w="1160" w:type="dxa"/>
            <w:vAlign w:val="bottom"/>
            <w:vMerge w:val="restart"/>
          </w:tcPr>
          <w:p>
            <w:pPr>
              <w:ind w:left="80"/>
              <w:spacing w:after="0"/>
              <w:rPr>
                <w:sz w:val="20"/>
                <w:szCs w:val="20"/>
                <w:color w:val="auto"/>
              </w:rPr>
            </w:pPr>
            <w:r>
              <w:rPr>
                <w:rFonts w:ascii="Arial" w:cs="Arial" w:eastAsia="Arial" w:hAnsi="Arial"/>
                <w:sz w:val="12"/>
                <w:szCs w:val="12"/>
                <w:color w:val="0075C9"/>
              </w:rPr>
              <w:t>AUDIT</w:t>
            </w:r>
          </w:p>
        </w:tc>
        <w:tc>
          <w:tcPr>
            <w:tcW w:w="340" w:type="dxa"/>
            <w:vAlign w:val="bottom"/>
          </w:tcPr>
          <w:p>
            <w:pPr>
              <w:jc w:val="right"/>
              <w:spacing w:after="0"/>
              <w:rPr>
                <w:sz w:val="20"/>
                <w:szCs w:val="20"/>
                <w:color w:val="auto"/>
              </w:rPr>
            </w:pPr>
            <w:r>
              <w:rPr>
                <w:rFonts w:ascii="Arial" w:cs="Arial" w:eastAsia="Arial" w:hAnsi="Arial"/>
                <w:sz w:val="36"/>
                <w:szCs w:val="36"/>
                <w:color w:val="auto"/>
              </w:rPr>
              <w:t>4</w:t>
            </w:r>
          </w:p>
        </w:tc>
        <w:tc>
          <w:tcPr>
            <w:tcW w:w="1580" w:type="dxa"/>
            <w:vAlign w:val="bottom"/>
            <w:vMerge w:val="restart"/>
          </w:tcPr>
          <w:p>
            <w:pPr>
              <w:ind w:left="60"/>
              <w:spacing w:after="0"/>
              <w:rPr>
                <w:sz w:val="20"/>
                <w:szCs w:val="20"/>
                <w:color w:val="auto"/>
              </w:rPr>
            </w:pPr>
            <w:r>
              <w:rPr>
                <w:rFonts w:ascii="Arial" w:cs="Arial" w:eastAsia="Arial" w:hAnsi="Arial"/>
                <w:sz w:val="12"/>
                <w:szCs w:val="12"/>
                <w:color w:val="auto"/>
              </w:rPr>
              <w:t>PROPOSALS TO</w:t>
            </w:r>
          </w:p>
        </w:tc>
        <w:tc>
          <w:tcPr>
            <w:tcW w:w="440" w:type="dxa"/>
            <w:vAlign w:val="bottom"/>
          </w:tcPr>
          <w:p>
            <w:pPr>
              <w:jc w:val="right"/>
              <w:spacing w:after="0"/>
              <w:rPr>
                <w:sz w:val="20"/>
                <w:szCs w:val="20"/>
                <w:color w:val="auto"/>
              </w:rPr>
            </w:pPr>
            <w:r>
              <w:rPr>
                <w:rFonts w:ascii="Arial" w:cs="Arial" w:eastAsia="Arial" w:hAnsi="Arial"/>
                <w:sz w:val="36"/>
                <w:szCs w:val="36"/>
                <w:color w:val="auto"/>
              </w:rPr>
              <w:t>5</w:t>
            </w:r>
          </w:p>
        </w:tc>
        <w:tc>
          <w:tcPr>
            <w:tcW w:w="900" w:type="dxa"/>
            <w:vAlign w:val="bottom"/>
            <w:vMerge w:val="restart"/>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6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38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tcPr>
          <w:p>
            <w:pPr>
              <w:spacing w:after="0"/>
              <w:rPr>
                <w:sz w:val="11"/>
                <w:szCs w:val="11"/>
                <w:color w:val="auto"/>
              </w:rPr>
            </w:pPr>
          </w:p>
        </w:tc>
        <w:tc>
          <w:tcPr>
            <w:tcW w:w="1560" w:type="dxa"/>
            <w:vAlign w:val="bottom"/>
          </w:tcPr>
          <w:p>
            <w:pPr>
              <w:ind w:left="60"/>
              <w:spacing w:after="0" w:line="130" w:lineRule="exact"/>
              <w:rPr>
                <w:sz w:val="20"/>
                <w:szCs w:val="20"/>
                <w:color w:val="auto"/>
              </w:rPr>
            </w:pPr>
            <w:r>
              <w:rPr>
                <w:rFonts w:ascii="Arial" w:cs="Arial" w:eastAsia="Arial" w:hAnsi="Arial"/>
                <w:sz w:val="12"/>
                <w:szCs w:val="12"/>
                <w:color w:val="auto"/>
              </w:rPr>
              <w:t>EXECUTIVE OFFICER</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ind w:left="80"/>
              <w:spacing w:after="0" w:line="130" w:lineRule="exact"/>
              <w:rPr>
                <w:sz w:val="20"/>
                <w:szCs w:val="20"/>
                <w:color w:val="auto"/>
              </w:rPr>
            </w:pPr>
            <w:r>
              <w:rPr>
                <w:rFonts w:ascii="Arial" w:cs="Arial" w:eastAsia="Arial" w:hAnsi="Arial"/>
                <w:sz w:val="12"/>
                <w:szCs w:val="12"/>
                <w:color w:val="0075C9"/>
              </w:rPr>
              <w:t>COMMITTEE</w:t>
            </w:r>
          </w:p>
        </w:tc>
        <w:tc>
          <w:tcPr>
            <w:tcW w:w="340" w:type="dxa"/>
            <w:vAlign w:val="bottom"/>
          </w:tcPr>
          <w:p>
            <w:pPr>
              <w:spacing w:after="0"/>
              <w:rPr>
                <w:sz w:val="11"/>
                <w:szCs w:val="11"/>
                <w:color w:val="auto"/>
              </w:rPr>
            </w:pPr>
          </w:p>
        </w:tc>
        <w:tc>
          <w:tcPr>
            <w:tcW w:w="1580" w:type="dxa"/>
            <w:vAlign w:val="bottom"/>
          </w:tcPr>
          <w:p>
            <w:pPr>
              <w:ind w:left="60"/>
              <w:spacing w:after="0" w:line="130" w:lineRule="exact"/>
              <w:rPr>
                <w:sz w:val="20"/>
                <w:szCs w:val="20"/>
                <w:color w:val="auto"/>
              </w:rPr>
            </w:pPr>
            <w:r>
              <w:rPr>
                <w:rFonts w:ascii="Arial" w:cs="Arial" w:eastAsia="Arial" w:hAnsi="Arial"/>
                <w:sz w:val="12"/>
                <w:szCs w:val="12"/>
                <w:color w:val="auto"/>
              </w:rPr>
              <w:t>BE VOTED ON DURING</w:t>
            </w:r>
          </w:p>
        </w:tc>
        <w:tc>
          <w:tcPr>
            <w:tcW w:w="440" w:type="dxa"/>
            <w:vAlign w:val="bottom"/>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38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tcPr>
          <w:p>
            <w:pPr>
              <w:spacing w:after="0"/>
              <w:rPr>
                <w:sz w:val="12"/>
                <w:szCs w:val="12"/>
                <w:color w:val="auto"/>
              </w:rPr>
            </w:pPr>
          </w:p>
        </w:tc>
        <w:tc>
          <w:tcPr>
            <w:tcW w:w="156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ind w:left="80"/>
              <w:spacing w:after="0"/>
              <w:rPr>
                <w:sz w:val="20"/>
                <w:szCs w:val="20"/>
                <w:color w:val="auto"/>
              </w:rPr>
            </w:pPr>
            <w:r>
              <w:rPr>
                <w:rFonts w:ascii="Arial" w:cs="Arial" w:eastAsia="Arial" w:hAnsi="Arial"/>
                <w:sz w:val="12"/>
                <w:szCs w:val="12"/>
                <w:color w:val="0075C9"/>
              </w:rPr>
              <w:t>MATTERS</w:t>
            </w:r>
          </w:p>
        </w:tc>
        <w:tc>
          <w:tcPr>
            <w:tcW w:w="34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12"/>
                <w:szCs w:val="12"/>
                <w:color w:val="auto"/>
              </w:rPr>
              <w:t>THE MEETING</w:t>
            </w:r>
          </w:p>
        </w:tc>
        <w:tc>
          <w:tcPr>
            <w:tcW w:w="440" w:type="dxa"/>
            <w:vAlign w:val="bottom"/>
          </w:tcPr>
          <w:p>
            <w:pPr>
              <w:spacing w:after="0"/>
              <w:rPr>
                <w:sz w:val="12"/>
                <w:szCs w:val="12"/>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160" w:type="dxa"/>
            <w:vAlign w:val="bottom"/>
            <w:shd w:val="clear" w:color="auto" w:fill="0075C9"/>
          </w:tcPr>
          <w:p>
            <w:pPr>
              <w:spacing w:after="0"/>
              <w:rPr>
                <w:sz w:val="9"/>
                <w:szCs w:val="9"/>
                <w:color w:val="auto"/>
              </w:rPr>
            </w:pPr>
          </w:p>
        </w:tc>
        <w:tc>
          <w:tcPr>
            <w:tcW w:w="3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1100"/>
        <w:spacing w:after="0"/>
        <w:rPr>
          <w:sz w:val="20"/>
          <w:szCs w:val="20"/>
          <w:color w:val="auto"/>
        </w:rPr>
      </w:pPr>
      <w:r>
        <w:rPr>
          <w:rFonts w:ascii="Arial" w:cs="Arial" w:eastAsia="Arial" w:hAnsi="Arial"/>
          <w:sz w:val="43"/>
          <w:szCs w:val="43"/>
          <w:b w:val="1"/>
          <w:bCs w:val="1"/>
          <w:color w:val="auto"/>
        </w:rPr>
        <w:t>3. Audit Committee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346710</wp:posOffset>
            </wp:positionV>
            <wp:extent cx="573976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Audit Committee Report</w:t>
      </w:r>
    </w:p>
    <w:p>
      <w:pPr>
        <w:spacing w:after="0" w:line="316"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Charter and Responsibilities</w:t>
      </w:r>
    </w:p>
    <w:p>
      <w:pPr>
        <w:spacing w:after="0" w:line="129" w:lineRule="exact"/>
        <w:rPr>
          <w:sz w:val="20"/>
          <w:szCs w:val="20"/>
          <w:color w:val="auto"/>
        </w:rPr>
      </w:pPr>
    </w:p>
    <w:p>
      <w:pPr>
        <w:ind w:left="1100" w:right="299"/>
        <w:spacing w:after="0" w:line="238" w:lineRule="auto"/>
        <w:rPr>
          <w:sz w:val="20"/>
          <w:szCs w:val="20"/>
          <w:color w:val="auto"/>
        </w:rPr>
      </w:pPr>
      <w:r>
        <w:rPr>
          <w:rFonts w:ascii="Arial" w:cs="Arial" w:eastAsia="Arial" w:hAnsi="Arial"/>
          <w:sz w:val="16"/>
          <w:szCs w:val="16"/>
          <w:color w:val="auto"/>
        </w:rPr>
        <w:t xml:space="preserve">The Audit Committee operates under a written charter adopted by the Board of Directors. It is available on our website at </w:t>
      </w:r>
      <w:r>
        <w:rPr>
          <w:rFonts w:ascii="Arial" w:cs="Arial" w:eastAsia="Arial" w:hAnsi="Arial"/>
          <w:sz w:val="16"/>
          <w:szCs w:val="16"/>
          <w:u w:val="single" w:color="auto"/>
          <w:color w:val="auto"/>
        </w:rPr>
        <w:t>aka.ms/policiesandguidelines</w:t>
      </w:r>
      <w:r>
        <w:rPr>
          <w:rFonts w:ascii="Arial" w:cs="Arial" w:eastAsia="Arial" w:hAnsi="Arial"/>
          <w:sz w:val="16"/>
          <w:szCs w:val="16"/>
          <w:color w:val="auto"/>
        </w:rPr>
        <w:t>. The charter, which was last amended effective July 1, 2021, includes a calendar that outlines the Committee’s duties and responsibilities. The Committee reviews the charter and calendar annually and works with the Board of Directors to amend them as appropriate to reflect the evolving role of the Committee.</w:t>
      </w:r>
    </w:p>
    <w:p>
      <w:pPr>
        <w:spacing w:after="0" w:line="99" w:lineRule="exact"/>
        <w:rPr>
          <w:sz w:val="20"/>
          <w:szCs w:val="20"/>
          <w:color w:val="auto"/>
        </w:rPr>
      </w:pPr>
    </w:p>
    <w:p>
      <w:pPr>
        <w:ind w:left="1100" w:right="99"/>
        <w:spacing w:after="0" w:line="237" w:lineRule="auto"/>
        <w:rPr>
          <w:sz w:val="20"/>
          <w:szCs w:val="20"/>
          <w:color w:val="auto"/>
        </w:rPr>
      </w:pPr>
      <w:r>
        <w:rPr>
          <w:rFonts w:ascii="Arial" w:cs="Arial" w:eastAsia="Arial" w:hAnsi="Arial"/>
          <w:sz w:val="16"/>
          <w:szCs w:val="16"/>
          <w:color w:val="auto"/>
        </w:rPr>
        <w:t>The Board has the ultimate authority for effective corporate governance, including oversight of the management of Microsoft. The Audit Committee assists the Board in fulfilling its responsibilities by overseeing the accounting and financial reporting processes of Microsoft, the audits of Microsoft’s consolidated financial statements and internal control over financial reporting, the qualifications and performance of the independent registered public accounting firm engaged as Microsoft’s independent auditor, and the performance of Microsoft’s internal auditor.</w:t>
      </w:r>
    </w:p>
    <w:p>
      <w:pPr>
        <w:spacing w:after="0" w:line="102" w:lineRule="exact"/>
        <w:rPr>
          <w:sz w:val="20"/>
          <w:szCs w:val="20"/>
          <w:color w:val="auto"/>
        </w:rPr>
      </w:pPr>
    </w:p>
    <w:p>
      <w:pPr>
        <w:ind w:left="1100" w:right="159"/>
        <w:spacing w:after="0" w:line="275" w:lineRule="auto"/>
        <w:rPr>
          <w:sz w:val="20"/>
          <w:szCs w:val="20"/>
          <w:color w:val="auto"/>
        </w:rPr>
      </w:pPr>
      <w:r>
        <w:rPr>
          <w:rFonts w:ascii="Arial" w:cs="Arial" w:eastAsia="Arial" w:hAnsi="Arial"/>
          <w:sz w:val="14"/>
          <w:szCs w:val="14"/>
          <w:color w:val="auto"/>
        </w:rPr>
        <w:t>The Audit Committee relies on the expertise and knowledge of management, the internal auditor, and the independent auditor in carrying out its oversight responsibilities. Management is responsible for the preparation, presentation, and integrity of Microsoft’s consolidated financial statements, accounting and financial reporting principles, internal control over financial reporting, and disclosure controls and procedures designed to ensure compliance with accounting standards, applicable laws, and regulations. Management is also responsible for objectively reviewing and evaluating the adequacy, effectiveness, and quality of Microsoft’s system of internal control. Microsoft’s independent auditor, Deloitte &amp; Touche LLP (“Deloitte &amp; Touche”), is responsible for performing an independent audit of the consolidated financial statements and expressing an opinion on the conformity of those financial statements with accounting principles generally accepted in the United States of America (“GAAP”). The independent auditor is also responsible for expressing an opinion on the effectiveness of Microsoft’s internal control over financial reporting.</w:t>
      </w:r>
    </w:p>
    <w:p>
      <w:pPr>
        <w:spacing w:after="0" w:line="248"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Fiscal Year 2021 Activity</w:t>
      </w:r>
    </w:p>
    <w:p>
      <w:pPr>
        <w:spacing w:after="0" w:line="129" w:lineRule="exact"/>
        <w:rPr>
          <w:sz w:val="20"/>
          <w:szCs w:val="20"/>
          <w:color w:val="auto"/>
        </w:rPr>
      </w:pPr>
    </w:p>
    <w:p>
      <w:pPr>
        <w:ind w:left="1100" w:right="59"/>
        <w:spacing w:after="0" w:line="238" w:lineRule="auto"/>
        <w:rPr>
          <w:sz w:val="20"/>
          <w:szCs w:val="20"/>
          <w:color w:val="auto"/>
        </w:rPr>
      </w:pPr>
      <w:r>
        <w:rPr>
          <w:rFonts w:ascii="Arial" w:cs="Arial" w:eastAsia="Arial" w:hAnsi="Arial"/>
          <w:sz w:val="16"/>
          <w:szCs w:val="16"/>
          <w:color w:val="auto"/>
        </w:rPr>
        <w:t>During fiscal year 2021, the Audit Committee fulfilled its duties and responsibilities as outlined in the charter and the accompanying calendar. The Committee meets twice each quarter; once in connection with quarterly Board of Directors meetings and once to review the quarterly Form 10-Q or annual Form 10-K. In addition, the Committee meets as needed to address emerging accounting, compliance, or other matters or for educational training. Specifically, the Committee:</w:t>
      </w:r>
    </w:p>
    <w:p>
      <w:pPr>
        <w:spacing w:after="0" w:line="112" w:lineRule="exact"/>
        <w:rPr>
          <w:sz w:val="20"/>
          <w:szCs w:val="20"/>
          <w:color w:val="auto"/>
        </w:rPr>
      </w:pPr>
    </w:p>
    <w:p>
      <w:pPr>
        <w:ind w:left="1260" w:right="479" w:hanging="158"/>
        <w:spacing w:after="0" w:line="308" w:lineRule="auto"/>
        <w:tabs>
          <w:tab w:leader="none" w:pos="1260" w:val="left"/>
        </w:tabs>
        <w:numPr>
          <w:ilvl w:val="0"/>
          <w:numId w:val="92"/>
        </w:numPr>
        <w:rPr>
          <w:rFonts w:ascii="Arial" w:cs="Arial" w:eastAsia="Arial" w:hAnsi="Arial"/>
          <w:sz w:val="14"/>
          <w:szCs w:val="14"/>
          <w:color w:val="auto"/>
        </w:rPr>
      </w:pPr>
      <w:r>
        <w:rPr>
          <w:rFonts w:ascii="Arial" w:cs="Arial" w:eastAsia="Arial" w:hAnsi="Arial"/>
          <w:sz w:val="14"/>
          <w:szCs w:val="14"/>
          <w:color w:val="auto"/>
        </w:rPr>
        <w:t>Reviewed and discussed with management and the independent auditor Microsoft’s quarterly earnings press releases, consolidated financial statements, and related periodic reports filed with the Securities and Exchange Commission (“SEC”)</w:t>
      </w:r>
    </w:p>
    <w:p>
      <w:pPr>
        <w:spacing w:after="0" w:line="65" w:lineRule="exact"/>
        <w:rPr>
          <w:rFonts w:ascii="Arial" w:cs="Arial" w:eastAsia="Arial" w:hAnsi="Arial"/>
          <w:sz w:val="14"/>
          <w:szCs w:val="14"/>
          <w:color w:val="auto"/>
        </w:rPr>
      </w:pPr>
    </w:p>
    <w:p>
      <w:pPr>
        <w:ind w:left="1260" w:right="139" w:hanging="158"/>
        <w:spacing w:after="0" w:line="238" w:lineRule="auto"/>
        <w:tabs>
          <w:tab w:leader="none" w:pos="12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Reviewed and discussed with management, the internal auditor, and the independent auditor management’s assessment of the effectiveness of the Company’s internal control over financial reporting and the independent auditor’s opinion about the effectiveness of Microsoft’s internal control over financial reporting</w:t>
      </w:r>
    </w:p>
    <w:p>
      <w:pPr>
        <w:spacing w:after="0" w:line="113" w:lineRule="exact"/>
        <w:rPr>
          <w:rFonts w:ascii="Arial" w:cs="Arial" w:eastAsia="Arial" w:hAnsi="Arial"/>
          <w:sz w:val="16"/>
          <w:szCs w:val="16"/>
          <w:color w:val="auto"/>
        </w:rPr>
      </w:pPr>
    </w:p>
    <w:p>
      <w:pPr>
        <w:ind w:left="1260" w:right="219" w:hanging="158"/>
        <w:spacing w:after="0" w:line="239" w:lineRule="auto"/>
        <w:tabs>
          <w:tab w:leader="none" w:pos="12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Reviewed and discussed with management, the internal auditor, and the independent auditor, as appropriate, the audit scopes and plans of both the internal auditor and the independent auditor</w:t>
      </w:r>
    </w:p>
    <w:p>
      <w:pPr>
        <w:spacing w:after="0" w:line="112" w:lineRule="exact"/>
        <w:rPr>
          <w:rFonts w:ascii="Arial" w:cs="Arial" w:eastAsia="Arial" w:hAnsi="Arial"/>
          <w:sz w:val="16"/>
          <w:szCs w:val="16"/>
          <w:color w:val="auto"/>
        </w:rPr>
      </w:pPr>
    </w:p>
    <w:p>
      <w:pPr>
        <w:ind w:left="1260" w:right="539" w:hanging="158"/>
        <w:spacing w:after="0" w:line="239" w:lineRule="auto"/>
        <w:tabs>
          <w:tab w:leader="none" w:pos="12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Inquired about significant business and financial reporting risks, reviewed Microsoft’s policies for risk assessment and risk management, and assessed the steps management is taking to control these risks</w:t>
      </w:r>
    </w:p>
    <w:p>
      <w:pPr>
        <w:spacing w:after="0" w:line="112" w:lineRule="exact"/>
        <w:rPr>
          <w:rFonts w:ascii="Arial" w:cs="Arial" w:eastAsia="Arial" w:hAnsi="Arial"/>
          <w:sz w:val="16"/>
          <w:szCs w:val="16"/>
          <w:color w:val="auto"/>
        </w:rPr>
      </w:pPr>
    </w:p>
    <w:p>
      <w:pPr>
        <w:ind w:left="1260" w:right="79" w:hanging="158"/>
        <w:spacing w:after="0" w:line="238" w:lineRule="auto"/>
        <w:tabs>
          <w:tab w:leader="none" w:pos="12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Met in periodic executive sessions with each of management, the internal auditor, and the independent auditor to discuss the results of the examinations by the independent and internal auditors, their evaluations of internal controls, and the overall quality of the Company’s financial reporting, and any other matters as appropriate</w:t>
      </w:r>
    </w:p>
    <w:p>
      <w:pPr>
        <w:spacing w:after="0" w:line="113" w:lineRule="exact"/>
        <w:rPr>
          <w:rFonts w:ascii="Arial" w:cs="Arial" w:eastAsia="Arial" w:hAnsi="Arial"/>
          <w:sz w:val="16"/>
          <w:szCs w:val="16"/>
          <w:color w:val="auto"/>
        </w:rPr>
      </w:pPr>
    </w:p>
    <w:p>
      <w:pPr>
        <w:ind w:left="1260" w:right="79" w:hanging="158"/>
        <w:spacing w:after="0" w:line="238" w:lineRule="auto"/>
        <w:tabs>
          <w:tab w:leader="none" w:pos="12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Met with the CEO and CFO to discuss the processes they have undertaken to evaluate the accuracy and fair presentation of the Company’s consolidated financial statements and the effectiveness of the Company’s systems of disclosure controls and procedures and internal control over financial reporting</w:t>
      </w:r>
    </w:p>
    <w:p>
      <w:pPr>
        <w:spacing w:after="0" w:line="200" w:lineRule="exact"/>
        <w:rPr>
          <w:sz w:val="20"/>
          <w:szCs w:val="20"/>
          <w:color w:val="auto"/>
        </w:rPr>
      </w:pPr>
    </w:p>
    <w:p>
      <w:pPr>
        <w:spacing w:after="0" w:line="301"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-94615</wp:posOffset>
            </wp:positionV>
            <wp:extent cx="485140" cy="9842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39"/>
          </w:cols>
          <w:pgMar w:left="320" w:top="445" w:right="1440" w:bottom="1440" w:gutter="0" w:footer="0" w:header="0"/>
        </w:sectPr>
      </w:pPr>
    </w:p>
    <w:bookmarkStart w:id="70" w:name="page71"/>
    <w:bookmarkEnd w:id="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auto"/>
                <w:w w:val="89"/>
              </w:rPr>
              <w:t>1</w:t>
            </w:r>
          </w:p>
        </w:tc>
        <w:tc>
          <w:tcPr>
            <w:tcW w:w="1380" w:type="dxa"/>
            <w:vAlign w:val="bottom"/>
            <w:vMerge w:val="restart"/>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tcPr>
          <w:p>
            <w:pPr>
              <w:jc w:val="right"/>
              <w:spacing w:after="0"/>
              <w:rPr>
                <w:sz w:val="20"/>
                <w:szCs w:val="20"/>
                <w:color w:val="auto"/>
              </w:rPr>
            </w:pPr>
            <w:r>
              <w:rPr>
                <w:rFonts w:ascii="Arial" w:cs="Arial" w:eastAsia="Arial" w:hAnsi="Arial"/>
                <w:sz w:val="36"/>
                <w:szCs w:val="36"/>
                <w:color w:val="auto"/>
              </w:rPr>
              <w:t>2</w:t>
            </w:r>
          </w:p>
        </w:tc>
        <w:tc>
          <w:tcPr>
            <w:tcW w:w="1560" w:type="dxa"/>
            <w:vAlign w:val="bottom"/>
            <w:vMerge w:val="restart"/>
          </w:tcPr>
          <w:p>
            <w:pPr>
              <w:ind w:left="60"/>
              <w:spacing w:after="0"/>
              <w:rPr>
                <w:sz w:val="20"/>
                <w:szCs w:val="20"/>
                <w:color w:val="auto"/>
              </w:rPr>
            </w:pPr>
            <w:r>
              <w:rPr>
                <w:rFonts w:ascii="Arial" w:cs="Arial" w:eastAsia="Arial" w:hAnsi="Arial"/>
                <w:sz w:val="12"/>
                <w:szCs w:val="12"/>
                <w:color w:val="auto"/>
              </w:rPr>
              <w:t>NAMED</w:t>
            </w:r>
          </w:p>
        </w:tc>
        <w:tc>
          <w:tcPr>
            <w:tcW w:w="500" w:type="dxa"/>
            <w:vAlign w:val="bottom"/>
            <w:gridSpan w:val="2"/>
          </w:tcPr>
          <w:p>
            <w:pPr>
              <w:jc w:val="right"/>
              <w:ind w:right="60"/>
              <w:spacing w:after="0"/>
              <w:rPr>
                <w:sz w:val="20"/>
                <w:szCs w:val="20"/>
                <w:color w:val="auto"/>
              </w:rPr>
            </w:pPr>
            <w:r>
              <w:rPr>
                <w:rFonts w:ascii="Arial" w:cs="Arial" w:eastAsia="Arial" w:hAnsi="Arial"/>
                <w:sz w:val="36"/>
                <w:szCs w:val="36"/>
                <w:color w:val="0075C9"/>
              </w:rPr>
              <w:t>3</w:t>
            </w:r>
          </w:p>
        </w:tc>
        <w:tc>
          <w:tcPr>
            <w:tcW w:w="1160" w:type="dxa"/>
            <w:vAlign w:val="bottom"/>
            <w:vMerge w:val="restart"/>
          </w:tcPr>
          <w:p>
            <w:pPr>
              <w:ind w:left="80"/>
              <w:spacing w:after="0"/>
              <w:rPr>
                <w:sz w:val="20"/>
                <w:szCs w:val="20"/>
                <w:color w:val="auto"/>
              </w:rPr>
            </w:pPr>
            <w:r>
              <w:rPr>
                <w:rFonts w:ascii="Arial" w:cs="Arial" w:eastAsia="Arial" w:hAnsi="Arial"/>
                <w:sz w:val="12"/>
                <w:szCs w:val="12"/>
                <w:color w:val="0075C9"/>
              </w:rPr>
              <w:t>AUDIT</w:t>
            </w:r>
          </w:p>
        </w:tc>
        <w:tc>
          <w:tcPr>
            <w:tcW w:w="340" w:type="dxa"/>
            <w:vAlign w:val="bottom"/>
          </w:tcPr>
          <w:p>
            <w:pPr>
              <w:jc w:val="right"/>
              <w:spacing w:after="0"/>
              <w:rPr>
                <w:sz w:val="20"/>
                <w:szCs w:val="20"/>
                <w:color w:val="auto"/>
              </w:rPr>
            </w:pPr>
            <w:r>
              <w:rPr>
                <w:rFonts w:ascii="Arial" w:cs="Arial" w:eastAsia="Arial" w:hAnsi="Arial"/>
                <w:sz w:val="36"/>
                <w:szCs w:val="36"/>
                <w:color w:val="auto"/>
              </w:rPr>
              <w:t>4</w:t>
            </w:r>
          </w:p>
        </w:tc>
        <w:tc>
          <w:tcPr>
            <w:tcW w:w="1580" w:type="dxa"/>
            <w:vAlign w:val="bottom"/>
            <w:vMerge w:val="restart"/>
          </w:tcPr>
          <w:p>
            <w:pPr>
              <w:ind w:left="60"/>
              <w:spacing w:after="0"/>
              <w:rPr>
                <w:sz w:val="20"/>
                <w:szCs w:val="20"/>
                <w:color w:val="auto"/>
              </w:rPr>
            </w:pPr>
            <w:r>
              <w:rPr>
                <w:rFonts w:ascii="Arial" w:cs="Arial" w:eastAsia="Arial" w:hAnsi="Arial"/>
                <w:sz w:val="12"/>
                <w:szCs w:val="12"/>
                <w:color w:val="auto"/>
              </w:rPr>
              <w:t>PROPOSALS TO</w:t>
            </w:r>
          </w:p>
        </w:tc>
        <w:tc>
          <w:tcPr>
            <w:tcW w:w="440" w:type="dxa"/>
            <w:vAlign w:val="bottom"/>
          </w:tcPr>
          <w:p>
            <w:pPr>
              <w:jc w:val="right"/>
              <w:spacing w:after="0"/>
              <w:rPr>
                <w:sz w:val="20"/>
                <w:szCs w:val="20"/>
                <w:color w:val="auto"/>
              </w:rPr>
            </w:pPr>
            <w:r>
              <w:rPr>
                <w:rFonts w:ascii="Arial" w:cs="Arial" w:eastAsia="Arial" w:hAnsi="Arial"/>
                <w:sz w:val="36"/>
                <w:szCs w:val="36"/>
                <w:color w:val="auto"/>
              </w:rPr>
              <w:t>5</w:t>
            </w:r>
          </w:p>
        </w:tc>
        <w:tc>
          <w:tcPr>
            <w:tcW w:w="900" w:type="dxa"/>
            <w:vAlign w:val="bottom"/>
            <w:vMerge w:val="restart"/>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6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38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tcPr>
          <w:p>
            <w:pPr>
              <w:spacing w:after="0"/>
              <w:rPr>
                <w:sz w:val="11"/>
                <w:szCs w:val="11"/>
                <w:color w:val="auto"/>
              </w:rPr>
            </w:pPr>
          </w:p>
        </w:tc>
        <w:tc>
          <w:tcPr>
            <w:tcW w:w="1560" w:type="dxa"/>
            <w:vAlign w:val="bottom"/>
          </w:tcPr>
          <w:p>
            <w:pPr>
              <w:ind w:left="60"/>
              <w:spacing w:after="0" w:line="130" w:lineRule="exact"/>
              <w:rPr>
                <w:sz w:val="20"/>
                <w:szCs w:val="20"/>
                <w:color w:val="auto"/>
              </w:rPr>
            </w:pPr>
            <w:r>
              <w:rPr>
                <w:rFonts w:ascii="Arial" w:cs="Arial" w:eastAsia="Arial" w:hAnsi="Arial"/>
                <w:sz w:val="12"/>
                <w:szCs w:val="12"/>
                <w:color w:val="auto"/>
              </w:rPr>
              <w:t>EXECUTIVE OFFICER</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ind w:left="80"/>
              <w:spacing w:after="0" w:line="130" w:lineRule="exact"/>
              <w:rPr>
                <w:sz w:val="20"/>
                <w:szCs w:val="20"/>
                <w:color w:val="auto"/>
              </w:rPr>
            </w:pPr>
            <w:r>
              <w:rPr>
                <w:rFonts w:ascii="Arial" w:cs="Arial" w:eastAsia="Arial" w:hAnsi="Arial"/>
                <w:sz w:val="12"/>
                <w:szCs w:val="12"/>
                <w:color w:val="0075C9"/>
              </w:rPr>
              <w:t>COMMITTEE</w:t>
            </w:r>
          </w:p>
        </w:tc>
        <w:tc>
          <w:tcPr>
            <w:tcW w:w="340" w:type="dxa"/>
            <w:vAlign w:val="bottom"/>
          </w:tcPr>
          <w:p>
            <w:pPr>
              <w:spacing w:after="0"/>
              <w:rPr>
                <w:sz w:val="11"/>
                <w:szCs w:val="11"/>
                <w:color w:val="auto"/>
              </w:rPr>
            </w:pPr>
          </w:p>
        </w:tc>
        <w:tc>
          <w:tcPr>
            <w:tcW w:w="1580" w:type="dxa"/>
            <w:vAlign w:val="bottom"/>
          </w:tcPr>
          <w:p>
            <w:pPr>
              <w:ind w:left="60"/>
              <w:spacing w:after="0" w:line="130" w:lineRule="exact"/>
              <w:rPr>
                <w:sz w:val="20"/>
                <w:szCs w:val="20"/>
                <w:color w:val="auto"/>
              </w:rPr>
            </w:pPr>
            <w:r>
              <w:rPr>
                <w:rFonts w:ascii="Arial" w:cs="Arial" w:eastAsia="Arial" w:hAnsi="Arial"/>
                <w:sz w:val="12"/>
                <w:szCs w:val="12"/>
                <w:color w:val="auto"/>
              </w:rPr>
              <w:t>BE VOTED ON DURING</w:t>
            </w:r>
          </w:p>
        </w:tc>
        <w:tc>
          <w:tcPr>
            <w:tcW w:w="440" w:type="dxa"/>
            <w:vAlign w:val="bottom"/>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38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tcPr>
          <w:p>
            <w:pPr>
              <w:spacing w:after="0"/>
              <w:rPr>
                <w:sz w:val="12"/>
                <w:szCs w:val="12"/>
                <w:color w:val="auto"/>
              </w:rPr>
            </w:pPr>
          </w:p>
        </w:tc>
        <w:tc>
          <w:tcPr>
            <w:tcW w:w="156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ind w:left="80"/>
              <w:spacing w:after="0"/>
              <w:rPr>
                <w:sz w:val="20"/>
                <w:szCs w:val="20"/>
                <w:color w:val="auto"/>
              </w:rPr>
            </w:pPr>
            <w:r>
              <w:rPr>
                <w:rFonts w:ascii="Arial" w:cs="Arial" w:eastAsia="Arial" w:hAnsi="Arial"/>
                <w:sz w:val="12"/>
                <w:szCs w:val="12"/>
                <w:color w:val="0075C9"/>
              </w:rPr>
              <w:t>MATTERS</w:t>
            </w:r>
          </w:p>
        </w:tc>
        <w:tc>
          <w:tcPr>
            <w:tcW w:w="34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12"/>
                <w:szCs w:val="12"/>
                <w:color w:val="auto"/>
              </w:rPr>
              <w:t>THE MEETING</w:t>
            </w:r>
          </w:p>
        </w:tc>
        <w:tc>
          <w:tcPr>
            <w:tcW w:w="440" w:type="dxa"/>
            <w:vAlign w:val="bottom"/>
          </w:tcPr>
          <w:p>
            <w:pPr>
              <w:spacing w:after="0"/>
              <w:rPr>
                <w:sz w:val="12"/>
                <w:szCs w:val="12"/>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160" w:type="dxa"/>
            <w:vAlign w:val="bottom"/>
            <w:shd w:val="clear" w:color="auto" w:fill="0075C9"/>
          </w:tcPr>
          <w:p>
            <w:pPr>
              <w:spacing w:after="0"/>
              <w:rPr>
                <w:sz w:val="9"/>
                <w:szCs w:val="9"/>
                <w:color w:val="auto"/>
              </w:rPr>
            </w:pPr>
          </w:p>
        </w:tc>
        <w:tc>
          <w:tcPr>
            <w:tcW w:w="3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00" w:lineRule="exact"/>
        <w:rPr>
          <w:sz w:val="20"/>
          <w:szCs w:val="20"/>
          <w:color w:val="auto"/>
        </w:rPr>
      </w:pPr>
    </w:p>
    <w:p>
      <w:pPr>
        <w:ind w:left="1260" w:right="160" w:hanging="158"/>
        <w:spacing w:after="0" w:line="238" w:lineRule="auto"/>
        <w:tabs>
          <w:tab w:leader="none" w:pos="12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Reviewed with management and the independent auditor the Company’s critical accounting policies, significant changes in the selection or application of accounting principles, the effect of regulatory and accounting initiatives on the Company’s consolidated financial statements, and critical audit matters addressed during the audit</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Reviewed the Company’s related party transactions and Policy for Related Party Transactions</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Received reports about the receipt, retention, and treatment of financial reporting and other compliance concerns</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Reviewed and assessed the qualitative aspects of the Company’s ethics and compliance programs</w:t>
      </w:r>
    </w:p>
    <w:p>
      <w:pPr>
        <w:spacing w:after="0" w:line="113" w:lineRule="exact"/>
        <w:rPr>
          <w:rFonts w:ascii="Arial" w:cs="Arial" w:eastAsia="Arial" w:hAnsi="Arial"/>
          <w:sz w:val="16"/>
          <w:szCs w:val="16"/>
          <w:color w:val="auto"/>
        </w:rPr>
      </w:pPr>
    </w:p>
    <w:p>
      <w:pPr>
        <w:ind w:left="1260" w:right="360" w:hanging="158"/>
        <w:spacing w:after="0" w:line="239" w:lineRule="auto"/>
        <w:tabs>
          <w:tab w:leader="none" w:pos="12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Reviewed with the Chief Compliance Officer, legal and regulatory matters that may have a material impact on the consolidated financial statements or internal control over financial reporting</w:t>
      </w:r>
    </w:p>
    <w:p>
      <w:pPr>
        <w:spacing w:after="0" w:line="169"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Fiscal Year 2021 Financial Statements</w:t>
      </w:r>
    </w:p>
    <w:p>
      <w:pPr>
        <w:spacing w:after="0" w:line="129" w:lineRule="exact"/>
        <w:rPr>
          <w:sz w:val="20"/>
          <w:szCs w:val="20"/>
          <w:color w:val="auto"/>
        </w:rPr>
      </w:pPr>
    </w:p>
    <w:p>
      <w:pPr>
        <w:ind w:left="1100" w:right="220"/>
        <w:spacing w:after="0" w:line="237" w:lineRule="auto"/>
        <w:rPr>
          <w:sz w:val="20"/>
          <w:szCs w:val="20"/>
          <w:color w:val="auto"/>
        </w:rPr>
      </w:pPr>
      <w:r>
        <w:rPr>
          <w:rFonts w:ascii="Arial" w:cs="Arial" w:eastAsia="Arial" w:hAnsi="Arial"/>
          <w:sz w:val="16"/>
          <w:szCs w:val="16"/>
          <w:color w:val="auto"/>
        </w:rPr>
        <w:t>The Audit Committee has reviewed and discussed with management and the independent auditor Microsoft’s audited consolidated financial statements and related footnotes for the fiscal year ended June 30, 2021, and the independent auditor’s report on those financial statements. Management represented to the Committee that Microsoft’s consolidated financial statements were prepared in accordance with GAAP. Deloitte &amp; Touche presented the matters required to be discussed with the Committee by Public Company Accounting Oversight Board (“PCAOB”) standards and Rule 2-07 of SEC Regulation S-X. This review included a discussion with management and the independent auditor of the quality (not merely the acceptability) of Microsoft’s accounting principles, the reasonableness of significant estimates and judgments, and the disclosures in Microsoft’s consolidated financial statements, including the disclosures relating to critical accounting policies.</w:t>
      </w:r>
    </w:p>
    <w:p>
      <w:pPr>
        <w:spacing w:after="0" w:line="101" w:lineRule="exact"/>
        <w:rPr>
          <w:sz w:val="20"/>
          <w:szCs w:val="20"/>
          <w:color w:val="auto"/>
        </w:rPr>
      </w:pPr>
    </w:p>
    <w:p>
      <w:pPr>
        <w:ind w:left="1100" w:right="180"/>
        <w:spacing w:after="0" w:line="238" w:lineRule="auto"/>
        <w:rPr>
          <w:sz w:val="20"/>
          <w:szCs w:val="20"/>
          <w:color w:val="auto"/>
        </w:rPr>
      </w:pPr>
      <w:r>
        <w:rPr>
          <w:rFonts w:ascii="Arial" w:cs="Arial" w:eastAsia="Arial" w:hAnsi="Arial"/>
          <w:sz w:val="16"/>
          <w:szCs w:val="16"/>
          <w:color w:val="auto"/>
        </w:rPr>
        <w:t>Based on the reviews and discussions described above, the Audit Committee recommended to the Board of Directors that the audited consolidated financial statements be included in Microsoft’s Annual Report on Form 10-K for the fiscal year ended June 30, 2021, for filing with the SEC.</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Independent Auditor Tenure and Rotation</w:t>
      </w:r>
    </w:p>
    <w:p>
      <w:pPr>
        <w:spacing w:after="0" w:line="129" w:lineRule="exact"/>
        <w:rPr>
          <w:sz w:val="20"/>
          <w:szCs w:val="20"/>
          <w:color w:val="auto"/>
        </w:rPr>
      </w:pPr>
    </w:p>
    <w:p>
      <w:pPr>
        <w:ind w:left="1100" w:right="200"/>
        <w:spacing w:after="0" w:line="237" w:lineRule="auto"/>
        <w:rPr>
          <w:sz w:val="20"/>
          <w:szCs w:val="20"/>
          <w:color w:val="auto"/>
        </w:rPr>
      </w:pPr>
      <w:r>
        <w:rPr>
          <w:rFonts w:ascii="Arial" w:cs="Arial" w:eastAsia="Arial" w:hAnsi="Arial"/>
          <w:sz w:val="16"/>
          <w:szCs w:val="16"/>
          <w:color w:val="auto"/>
        </w:rPr>
        <w:t>As part of its auditor engagement process, the Audit Committee considers whether to rotate the independent audit firm. Deloitte &amp; Touche has been Microsoft’s independent auditor since the Company’s initial public offering in 1986. Deloitte rotates its lead audit engagement partner every five years; the Audit Committee interviews proposed candidates and selects the lead audit engagement partner. The Committee selected a new Deloitte &amp; Touche lead audit engagement partner beginning with the fiscal year 2020 audit. The Audit Committee believes there are significant benefits to having an independent auditor with an extensive history with the Company. These include:</w:t>
      </w:r>
    </w:p>
    <w:p>
      <w:pPr>
        <w:spacing w:after="0" w:line="114" w:lineRule="exact"/>
        <w:rPr>
          <w:sz w:val="20"/>
          <w:szCs w:val="20"/>
          <w:color w:val="auto"/>
        </w:rPr>
      </w:pPr>
    </w:p>
    <w:p>
      <w:pPr>
        <w:ind w:left="1260" w:right="880" w:hanging="158"/>
        <w:spacing w:after="0" w:line="239" w:lineRule="auto"/>
        <w:tabs>
          <w:tab w:leader="none" w:pos="12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Higher quality audit work and accounting advice due to Deloitte &amp; Touche’s institutional knowledge of our business and operations, accounting policies and financial systems, and internal control framework</w:t>
      </w:r>
    </w:p>
    <w:p>
      <w:pPr>
        <w:spacing w:after="0" w:line="112" w:lineRule="exact"/>
        <w:rPr>
          <w:rFonts w:ascii="Arial" w:cs="Arial" w:eastAsia="Arial" w:hAnsi="Arial"/>
          <w:sz w:val="16"/>
          <w:szCs w:val="16"/>
          <w:color w:val="auto"/>
        </w:rPr>
      </w:pPr>
    </w:p>
    <w:p>
      <w:pPr>
        <w:ind w:left="1260" w:right="760" w:hanging="158"/>
        <w:spacing w:after="0" w:line="239" w:lineRule="auto"/>
        <w:tabs>
          <w:tab w:leader="none" w:pos="12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Operational efficiencies and a resulting lower fee structure because of Deloitte &amp; Touche’s history and familiarity with our business</w:t>
      </w:r>
    </w:p>
    <w:p>
      <w:pPr>
        <w:spacing w:after="0" w:line="169"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Independence and Performance of Outside Audit Firm</w:t>
      </w:r>
    </w:p>
    <w:p>
      <w:pPr>
        <w:spacing w:after="0" w:line="129" w:lineRule="exact"/>
        <w:rPr>
          <w:sz w:val="20"/>
          <w:szCs w:val="20"/>
          <w:color w:val="auto"/>
        </w:rPr>
      </w:pPr>
    </w:p>
    <w:p>
      <w:pPr>
        <w:ind w:left="1100" w:right="160"/>
        <w:spacing w:after="0" w:line="274" w:lineRule="auto"/>
        <w:rPr>
          <w:sz w:val="20"/>
          <w:szCs w:val="20"/>
          <w:color w:val="auto"/>
        </w:rPr>
      </w:pPr>
      <w:r>
        <w:rPr>
          <w:rFonts w:ascii="Arial" w:cs="Arial" w:eastAsia="Arial" w:hAnsi="Arial"/>
          <w:sz w:val="14"/>
          <w:szCs w:val="14"/>
          <w:color w:val="auto"/>
        </w:rPr>
        <w:t>The Audit Committee recognizes the importance of maintaining the independence of Microsoft’s independent auditor, both in fact and appearance, and takes a number of measures to ensure independence. The Committee leads the selection of the lead audit engagement partner, working with Deloitte &amp; Touche with input from management. The Committee has established a policy pursuant to which all services, audit and non-audit, provided by the independent auditor must be pre-approved by the Committee or its delegate. This policy prohibits the independent auditor from providing non-audit services such as bookkeeping or financial systems design and implementation. The Company’s pre-approval policy is more fully described below in this Part 3 – Policy on Audit Committee Pre-Approval of Audit and Permissible Non-Audit Services of Independent Auditor. The Committee has concluded that the amount and nature of those services provided was compatible with maintaining the independence of Deloitte &amp; Touche. In addition, Deloitte &amp; Touche has provided the Committee with the written disclosures and letter required by applicable requirements of the PCAOB regarding the independent accountant’s communications with the audit committee concerning independence. The Committee has reviewed these materials and discussed the firm’s independence with Deloitte &amp; Touche.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2021 PROXY STATEMENT</w:t>
      </w:r>
      <w:r>
        <w:rPr>
          <w:sz w:val="20"/>
          <w:szCs w:val="20"/>
          <w:color w:val="auto"/>
        </w:rPr>
        <w:tab/>
      </w:r>
      <w:r>
        <w:rPr>
          <w:rFonts w:ascii="Arial" w:cs="Arial" w:eastAsia="Arial" w:hAnsi="Arial"/>
          <w:sz w:val="12"/>
          <w:szCs w:val="12"/>
          <w:b w:val="1"/>
          <w:bCs w:val="1"/>
          <w:color w:val="0075C9"/>
        </w:rPr>
        <w:t>63</w:t>
      </w:r>
    </w:p>
    <w:p>
      <w:pPr>
        <w:sectPr>
          <w:pgSz w:w="11900" w:h="16838" w:orient="portrait"/>
          <w:cols w:equalWidth="0" w:num="1">
            <w:col w:w="10280"/>
          </w:cols>
          <w:pgMar w:left="320" w:top="445" w:right="1299" w:bottom="1440" w:gutter="0" w:footer="0" w:header="0"/>
        </w:sectPr>
      </w:pPr>
    </w:p>
    <w:bookmarkStart w:id="71" w:name="page72"/>
    <w:bookmarkEnd w:id="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auto"/>
                <w:w w:val="89"/>
              </w:rPr>
              <w:t>1</w:t>
            </w:r>
          </w:p>
        </w:tc>
        <w:tc>
          <w:tcPr>
            <w:tcW w:w="1380" w:type="dxa"/>
            <w:vAlign w:val="bottom"/>
            <w:vMerge w:val="restart"/>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tcPr>
          <w:p>
            <w:pPr>
              <w:jc w:val="right"/>
              <w:spacing w:after="0"/>
              <w:rPr>
                <w:sz w:val="20"/>
                <w:szCs w:val="20"/>
                <w:color w:val="auto"/>
              </w:rPr>
            </w:pPr>
            <w:r>
              <w:rPr>
                <w:rFonts w:ascii="Arial" w:cs="Arial" w:eastAsia="Arial" w:hAnsi="Arial"/>
                <w:sz w:val="36"/>
                <w:szCs w:val="36"/>
                <w:color w:val="auto"/>
              </w:rPr>
              <w:t>2</w:t>
            </w:r>
          </w:p>
        </w:tc>
        <w:tc>
          <w:tcPr>
            <w:tcW w:w="1560" w:type="dxa"/>
            <w:vAlign w:val="bottom"/>
            <w:vMerge w:val="restart"/>
          </w:tcPr>
          <w:p>
            <w:pPr>
              <w:ind w:left="60"/>
              <w:spacing w:after="0"/>
              <w:rPr>
                <w:sz w:val="20"/>
                <w:szCs w:val="20"/>
                <w:color w:val="auto"/>
              </w:rPr>
            </w:pPr>
            <w:r>
              <w:rPr>
                <w:rFonts w:ascii="Arial" w:cs="Arial" w:eastAsia="Arial" w:hAnsi="Arial"/>
                <w:sz w:val="12"/>
                <w:szCs w:val="12"/>
                <w:color w:val="auto"/>
              </w:rPr>
              <w:t>NAMED</w:t>
            </w:r>
          </w:p>
        </w:tc>
        <w:tc>
          <w:tcPr>
            <w:tcW w:w="500" w:type="dxa"/>
            <w:vAlign w:val="bottom"/>
            <w:gridSpan w:val="2"/>
          </w:tcPr>
          <w:p>
            <w:pPr>
              <w:jc w:val="right"/>
              <w:ind w:right="60"/>
              <w:spacing w:after="0"/>
              <w:rPr>
                <w:sz w:val="20"/>
                <w:szCs w:val="20"/>
                <w:color w:val="auto"/>
              </w:rPr>
            </w:pPr>
            <w:r>
              <w:rPr>
                <w:rFonts w:ascii="Arial" w:cs="Arial" w:eastAsia="Arial" w:hAnsi="Arial"/>
                <w:sz w:val="36"/>
                <w:szCs w:val="36"/>
                <w:color w:val="0075C9"/>
              </w:rPr>
              <w:t>3</w:t>
            </w:r>
          </w:p>
        </w:tc>
        <w:tc>
          <w:tcPr>
            <w:tcW w:w="1160" w:type="dxa"/>
            <w:vAlign w:val="bottom"/>
            <w:vMerge w:val="restart"/>
          </w:tcPr>
          <w:p>
            <w:pPr>
              <w:ind w:left="80"/>
              <w:spacing w:after="0"/>
              <w:rPr>
                <w:sz w:val="20"/>
                <w:szCs w:val="20"/>
                <w:color w:val="auto"/>
              </w:rPr>
            </w:pPr>
            <w:r>
              <w:rPr>
                <w:rFonts w:ascii="Arial" w:cs="Arial" w:eastAsia="Arial" w:hAnsi="Arial"/>
                <w:sz w:val="12"/>
                <w:szCs w:val="12"/>
                <w:color w:val="0075C9"/>
              </w:rPr>
              <w:t>AUDIT</w:t>
            </w:r>
          </w:p>
        </w:tc>
        <w:tc>
          <w:tcPr>
            <w:tcW w:w="340" w:type="dxa"/>
            <w:vAlign w:val="bottom"/>
          </w:tcPr>
          <w:p>
            <w:pPr>
              <w:jc w:val="right"/>
              <w:spacing w:after="0"/>
              <w:rPr>
                <w:sz w:val="20"/>
                <w:szCs w:val="20"/>
                <w:color w:val="auto"/>
              </w:rPr>
            </w:pPr>
            <w:r>
              <w:rPr>
                <w:rFonts w:ascii="Arial" w:cs="Arial" w:eastAsia="Arial" w:hAnsi="Arial"/>
                <w:sz w:val="36"/>
                <w:szCs w:val="36"/>
                <w:color w:val="auto"/>
              </w:rPr>
              <w:t>4</w:t>
            </w:r>
          </w:p>
        </w:tc>
        <w:tc>
          <w:tcPr>
            <w:tcW w:w="1580" w:type="dxa"/>
            <w:vAlign w:val="bottom"/>
            <w:vMerge w:val="restart"/>
          </w:tcPr>
          <w:p>
            <w:pPr>
              <w:ind w:left="60"/>
              <w:spacing w:after="0"/>
              <w:rPr>
                <w:sz w:val="20"/>
                <w:szCs w:val="20"/>
                <w:color w:val="auto"/>
              </w:rPr>
            </w:pPr>
            <w:r>
              <w:rPr>
                <w:rFonts w:ascii="Arial" w:cs="Arial" w:eastAsia="Arial" w:hAnsi="Arial"/>
                <w:sz w:val="12"/>
                <w:szCs w:val="12"/>
                <w:color w:val="auto"/>
              </w:rPr>
              <w:t>PROPOSALS TO</w:t>
            </w:r>
          </w:p>
        </w:tc>
        <w:tc>
          <w:tcPr>
            <w:tcW w:w="440" w:type="dxa"/>
            <w:vAlign w:val="bottom"/>
          </w:tcPr>
          <w:p>
            <w:pPr>
              <w:jc w:val="right"/>
              <w:spacing w:after="0"/>
              <w:rPr>
                <w:sz w:val="20"/>
                <w:szCs w:val="20"/>
                <w:color w:val="auto"/>
              </w:rPr>
            </w:pPr>
            <w:r>
              <w:rPr>
                <w:rFonts w:ascii="Arial" w:cs="Arial" w:eastAsia="Arial" w:hAnsi="Arial"/>
                <w:sz w:val="36"/>
                <w:szCs w:val="36"/>
                <w:color w:val="auto"/>
              </w:rPr>
              <w:t>5</w:t>
            </w:r>
          </w:p>
        </w:tc>
        <w:tc>
          <w:tcPr>
            <w:tcW w:w="900" w:type="dxa"/>
            <w:vAlign w:val="bottom"/>
            <w:vMerge w:val="restart"/>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6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38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tcPr>
          <w:p>
            <w:pPr>
              <w:spacing w:after="0"/>
              <w:rPr>
                <w:sz w:val="11"/>
                <w:szCs w:val="11"/>
                <w:color w:val="auto"/>
              </w:rPr>
            </w:pPr>
          </w:p>
        </w:tc>
        <w:tc>
          <w:tcPr>
            <w:tcW w:w="1560" w:type="dxa"/>
            <w:vAlign w:val="bottom"/>
          </w:tcPr>
          <w:p>
            <w:pPr>
              <w:ind w:left="60"/>
              <w:spacing w:after="0" w:line="130" w:lineRule="exact"/>
              <w:rPr>
                <w:sz w:val="20"/>
                <w:szCs w:val="20"/>
                <w:color w:val="auto"/>
              </w:rPr>
            </w:pPr>
            <w:r>
              <w:rPr>
                <w:rFonts w:ascii="Arial" w:cs="Arial" w:eastAsia="Arial" w:hAnsi="Arial"/>
                <w:sz w:val="12"/>
                <w:szCs w:val="12"/>
                <w:color w:val="auto"/>
              </w:rPr>
              <w:t>EXECUTIVE OFFICER</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ind w:left="80"/>
              <w:spacing w:after="0" w:line="130" w:lineRule="exact"/>
              <w:rPr>
                <w:sz w:val="20"/>
                <w:szCs w:val="20"/>
                <w:color w:val="auto"/>
              </w:rPr>
            </w:pPr>
            <w:r>
              <w:rPr>
                <w:rFonts w:ascii="Arial" w:cs="Arial" w:eastAsia="Arial" w:hAnsi="Arial"/>
                <w:sz w:val="12"/>
                <w:szCs w:val="12"/>
                <w:color w:val="0075C9"/>
              </w:rPr>
              <w:t>COMMITTEE</w:t>
            </w:r>
          </w:p>
        </w:tc>
        <w:tc>
          <w:tcPr>
            <w:tcW w:w="340" w:type="dxa"/>
            <w:vAlign w:val="bottom"/>
          </w:tcPr>
          <w:p>
            <w:pPr>
              <w:spacing w:after="0"/>
              <w:rPr>
                <w:sz w:val="11"/>
                <w:szCs w:val="11"/>
                <w:color w:val="auto"/>
              </w:rPr>
            </w:pPr>
          </w:p>
        </w:tc>
        <w:tc>
          <w:tcPr>
            <w:tcW w:w="1580" w:type="dxa"/>
            <w:vAlign w:val="bottom"/>
          </w:tcPr>
          <w:p>
            <w:pPr>
              <w:ind w:left="60"/>
              <w:spacing w:after="0" w:line="130" w:lineRule="exact"/>
              <w:rPr>
                <w:sz w:val="20"/>
                <w:szCs w:val="20"/>
                <w:color w:val="auto"/>
              </w:rPr>
            </w:pPr>
            <w:r>
              <w:rPr>
                <w:rFonts w:ascii="Arial" w:cs="Arial" w:eastAsia="Arial" w:hAnsi="Arial"/>
                <w:sz w:val="12"/>
                <w:szCs w:val="12"/>
                <w:color w:val="auto"/>
              </w:rPr>
              <w:t>BE VOTED ON DURING</w:t>
            </w:r>
          </w:p>
        </w:tc>
        <w:tc>
          <w:tcPr>
            <w:tcW w:w="440" w:type="dxa"/>
            <w:vAlign w:val="bottom"/>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38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tcPr>
          <w:p>
            <w:pPr>
              <w:spacing w:after="0"/>
              <w:rPr>
                <w:sz w:val="12"/>
                <w:szCs w:val="12"/>
                <w:color w:val="auto"/>
              </w:rPr>
            </w:pPr>
          </w:p>
        </w:tc>
        <w:tc>
          <w:tcPr>
            <w:tcW w:w="156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ind w:left="80"/>
              <w:spacing w:after="0"/>
              <w:rPr>
                <w:sz w:val="20"/>
                <w:szCs w:val="20"/>
                <w:color w:val="auto"/>
              </w:rPr>
            </w:pPr>
            <w:r>
              <w:rPr>
                <w:rFonts w:ascii="Arial" w:cs="Arial" w:eastAsia="Arial" w:hAnsi="Arial"/>
                <w:sz w:val="12"/>
                <w:szCs w:val="12"/>
                <w:color w:val="0075C9"/>
              </w:rPr>
              <w:t>MATTERS</w:t>
            </w:r>
          </w:p>
        </w:tc>
        <w:tc>
          <w:tcPr>
            <w:tcW w:w="34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12"/>
                <w:szCs w:val="12"/>
                <w:color w:val="auto"/>
              </w:rPr>
              <w:t>THE MEETING</w:t>
            </w:r>
          </w:p>
        </w:tc>
        <w:tc>
          <w:tcPr>
            <w:tcW w:w="440" w:type="dxa"/>
            <w:vAlign w:val="bottom"/>
          </w:tcPr>
          <w:p>
            <w:pPr>
              <w:spacing w:after="0"/>
              <w:rPr>
                <w:sz w:val="12"/>
                <w:szCs w:val="12"/>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160" w:type="dxa"/>
            <w:vAlign w:val="bottom"/>
            <w:shd w:val="clear" w:color="auto" w:fill="0075C9"/>
          </w:tcPr>
          <w:p>
            <w:pPr>
              <w:spacing w:after="0"/>
              <w:rPr>
                <w:sz w:val="9"/>
                <w:szCs w:val="9"/>
                <w:color w:val="auto"/>
              </w:rPr>
            </w:pPr>
          </w:p>
        </w:tc>
        <w:tc>
          <w:tcPr>
            <w:tcW w:w="3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00" w:lineRule="exact"/>
        <w:rPr>
          <w:sz w:val="20"/>
          <w:szCs w:val="20"/>
          <w:color w:val="auto"/>
        </w:rPr>
      </w:pPr>
    </w:p>
    <w:p>
      <w:pPr>
        <w:ind w:left="1100" w:right="280"/>
        <w:spacing w:after="0" w:line="238" w:lineRule="auto"/>
        <w:rPr>
          <w:sz w:val="20"/>
          <w:szCs w:val="20"/>
          <w:color w:val="auto"/>
        </w:rPr>
      </w:pPr>
      <w:r>
        <w:rPr>
          <w:rFonts w:ascii="Arial" w:cs="Arial" w:eastAsia="Arial" w:hAnsi="Arial"/>
          <w:sz w:val="16"/>
          <w:szCs w:val="16"/>
          <w:color w:val="auto"/>
        </w:rPr>
        <w:t>As provided in its charter, in addition to evaluating Deloitte &amp; Touche’s independence, the Audit Committee performed its annual assessment of Deloitte &amp; Touche’s performance as independent auditor during fiscal year 2021. The Committee assessed the performance of the Deloitte &amp; Touche lead audit engagement partner and the audit team. The Committee reviewed a variety of indicators of audit quality including:</w:t>
      </w:r>
    </w:p>
    <w:p>
      <w:pPr>
        <w:spacing w:after="0" w:line="112" w:lineRule="exact"/>
        <w:rPr>
          <w:sz w:val="20"/>
          <w:szCs w:val="20"/>
          <w:color w:val="auto"/>
        </w:rPr>
      </w:pPr>
    </w:p>
    <w:p>
      <w:pPr>
        <w:ind w:left="1260" w:hanging="158"/>
        <w:spacing w:after="0"/>
        <w:tabs>
          <w:tab w:leader="none" w:pos="12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quality and candor of Deloitte &amp; Touche’s communications with the Audit Committee and management</w:t>
      </w:r>
    </w:p>
    <w:p>
      <w:pPr>
        <w:spacing w:after="0" w:line="113" w:lineRule="exact"/>
        <w:rPr>
          <w:rFonts w:ascii="Arial" w:cs="Arial" w:eastAsia="Arial" w:hAnsi="Arial"/>
          <w:sz w:val="16"/>
          <w:szCs w:val="16"/>
          <w:color w:val="auto"/>
        </w:rPr>
      </w:pPr>
    </w:p>
    <w:p>
      <w:pPr>
        <w:ind w:left="1260" w:right="660" w:hanging="158"/>
        <w:spacing w:after="0" w:line="239" w:lineRule="auto"/>
        <w:tabs>
          <w:tab w:leader="none" w:pos="12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How effectively Deloitte &amp; Touche maintained its independence and employed its independent judgment, objectivity, and professional skepticism</w:t>
      </w:r>
    </w:p>
    <w:p>
      <w:pPr>
        <w:spacing w:after="0" w:line="112" w:lineRule="exact"/>
        <w:rPr>
          <w:rFonts w:ascii="Arial" w:cs="Arial" w:eastAsia="Arial" w:hAnsi="Arial"/>
          <w:sz w:val="16"/>
          <w:szCs w:val="16"/>
          <w:color w:val="auto"/>
        </w:rPr>
      </w:pPr>
    </w:p>
    <w:p>
      <w:pPr>
        <w:ind w:left="1260" w:hanging="158"/>
        <w:spacing w:after="0"/>
        <w:tabs>
          <w:tab w:leader="none" w:pos="12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level of engagement and value provided by the Deloitte &amp; Touche national office</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depth and expertise of the global Deloitte &amp; Touche audit team</w:t>
      </w:r>
    </w:p>
    <w:p>
      <w:pPr>
        <w:spacing w:after="0" w:line="113" w:lineRule="exact"/>
        <w:rPr>
          <w:rFonts w:ascii="Arial" w:cs="Arial" w:eastAsia="Arial" w:hAnsi="Arial"/>
          <w:sz w:val="16"/>
          <w:szCs w:val="16"/>
          <w:color w:val="auto"/>
        </w:rPr>
      </w:pPr>
    </w:p>
    <w:p>
      <w:pPr>
        <w:ind w:left="1260" w:right="120" w:hanging="158"/>
        <w:spacing w:after="0" w:line="239" w:lineRule="auto"/>
        <w:tabs>
          <w:tab w:leader="none" w:pos="12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quality of insight demonstrated in Deloitte &amp; Touche’s review of the Company’s assessment of internal control over financial reporting and remediation of control deficiencies</w:t>
      </w:r>
    </w:p>
    <w:p>
      <w:pPr>
        <w:spacing w:after="0" w:line="112" w:lineRule="exact"/>
        <w:rPr>
          <w:rFonts w:ascii="Arial" w:cs="Arial" w:eastAsia="Arial" w:hAnsi="Arial"/>
          <w:sz w:val="16"/>
          <w:szCs w:val="16"/>
          <w:color w:val="auto"/>
        </w:rPr>
      </w:pPr>
    </w:p>
    <w:p>
      <w:pPr>
        <w:ind w:left="1260" w:right="220" w:hanging="158"/>
        <w:spacing w:after="0" w:line="239" w:lineRule="auto"/>
        <w:tabs>
          <w:tab w:leader="none" w:pos="12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Available external data about quality and performance, including reports of the PCAOB on Deloitte &amp; Touche and its peer firms and Deloitte &amp; Touche’s response to those reports</w:t>
      </w:r>
    </w:p>
    <w:p>
      <w:pPr>
        <w:spacing w:after="0" w:line="112" w:lineRule="exact"/>
        <w:rPr>
          <w:rFonts w:ascii="Arial" w:cs="Arial" w:eastAsia="Arial" w:hAnsi="Arial"/>
          <w:sz w:val="16"/>
          <w:szCs w:val="16"/>
          <w:color w:val="auto"/>
        </w:rPr>
      </w:pPr>
    </w:p>
    <w:p>
      <w:pPr>
        <w:ind w:left="1260" w:right="100" w:hanging="158"/>
        <w:spacing w:after="0" w:line="239" w:lineRule="auto"/>
        <w:tabs>
          <w:tab w:leader="none" w:pos="12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appropriateness of Deloitte &amp; Touche’s fees, taking into account the size and complexity of the Company and the resources necessary to perform the audit</w:t>
      </w:r>
    </w:p>
    <w:p>
      <w:pPr>
        <w:spacing w:after="0" w:line="112" w:lineRule="exact"/>
        <w:rPr>
          <w:rFonts w:ascii="Arial" w:cs="Arial" w:eastAsia="Arial" w:hAnsi="Arial"/>
          <w:sz w:val="16"/>
          <w:szCs w:val="16"/>
          <w:color w:val="auto"/>
        </w:rPr>
      </w:pPr>
    </w:p>
    <w:p>
      <w:pPr>
        <w:ind w:left="1260" w:right="360" w:hanging="158"/>
        <w:spacing w:after="0" w:line="239" w:lineRule="auto"/>
        <w:tabs>
          <w:tab w:leader="none" w:pos="12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Deloitte &amp; Touche’s knowledge of our global operations, accounting policies and practices, and internal control over financial reporting</w:t>
      </w:r>
    </w:p>
    <w:p>
      <w:pPr>
        <w:spacing w:after="0" w:line="112" w:lineRule="exact"/>
        <w:rPr>
          <w:rFonts w:ascii="Arial" w:cs="Arial" w:eastAsia="Arial" w:hAnsi="Arial"/>
          <w:sz w:val="16"/>
          <w:szCs w:val="16"/>
          <w:color w:val="auto"/>
        </w:rPr>
      </w:pPr>
    </w:p>
    <w:p>
      <w:pPr>
        <w:ind w:left="1260" w:hanging="158"/>
        <w:spacing w:after="0"/>
        <w:tabs>
          <w:tab w:leader="none" w:pos="12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Deloitte &amp; Touche’s tenure as the Company’s independent auditor and safeguards in place to maintain its independence</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Recommendation of Deloitte &amp; Touche as Independent Audit Firm for Fiscal Year 2022</w:t>
      </w:r>
    </w:p>
    <w:p>
      <w:pPr>
        <w:spacing w:after="0" w:line="129" w:lineRule="exact"/>
        <w:rPr>
          <w:sz w:val="20"/>
          <w:szCs w:val="20"/>
          <w:color w:val="auto"/>
        </w:rPr>
      </w:pPr>
    </w:p>
    <w:p>
      <w:pPr>
        <w:ind w:left="1100" w:right="180"/>
        <w:spacing w:after="0" w:line="239" w:lineRule="auto"/>
        <w:rPr>
          <w:sz w:val="20"/>
          <w:szCs w:val="20"/>
          <w:color w:val="auto"/>
        </w:rPr>
      </w:pPr>
      <w:r>
        <w:rPr>
          <w:rFonts w:ascii="Arial" w:cs="Arial" w:eastAsia="Arial" w:hAnsi="Arial"/>
          <w:sz w:val="16"/>
          <w:szCs w:val="16"/>
          <w:color w:val="auto"/>
        </w:rPr>
        <w:t>As a result of its evaluation, the Audit Committee concluded that the selection of Deloitte &amp; Touche as the independent registered public accounting firm for fiscal year 2022 is in the best interest of the Company and its shareholders.</w:t>
      </w:r>
    </w:p>
    <w:p>
      <w:pPr>
        <w:spacing w:after="0" w:line="185"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Audit Committee</w:t>
      </w:r>
    </w:p>
    <w:p>
      <w:pPr>
        <w:spacing w:after="0" w:line="13"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Hugh F. Johnston (Chair)</w:t>
      </w:r>
    </w:p>
    <w:p>
      <w:pPr>
        <w:ind w:left="1100"/>
        <w:spacing w:after="0" w:line="236" w:lineRule="auto"/>
        <w:rPr>
          <w:sz w:val="20"/>
          <w:szCs w:val="20"/>
          <w:color w:val="auto"/>
        </w:rPr>
      </w:pPr>
      <w:r>
        <w:rPr>
          <w:rFonts w:ascii="Arial" w:cs="Arial" w:eastAsia="Arial" w:hAnsi="Arial"/>
          <w:sz w:val="16"/>
          <w:szCs w:val="16"/>
          <w:color w:val="auto"/>
        </w:rPr>
        <w:t>Teri L. List</w:t>
      </w:r>
    </w:p>
    <w:p>
      <w:pPr>
        <w:ind w:left="1100"/>
        <w:spacing w:after="0"/>
        <w:rPr>
          <w:sz w:val="20"/>
          <w:szCs w:val="20"/>
          <w:color w:val="auto"/>
        </w:rPr>
      </w:pPr>
      <w:r>
        <w:rPr>
          <w:rFonts w:ascii="Arial" w:cs="Arial" w:eastAsia="Arial" w:hAnsi="Arial"/>
          <w:sz w:val="16"/>
          <w:szCs w:val="16"/>
          <w:color w:val="auto"/>
        </w:rPr>
        <w:t>John W. Stanton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309880</wp:posOffset>
            </wp:positionV>
            <wp:extent cx="573976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Fees Billed by Deloitte &amp; Touche</w:t>
      </w:r>
    </w:p>
    <w:p>
      <w:pPr>
        <w:spacing w:after="0" w:line="143"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This table presents fees for professional audit and other services rendered by Deloitte &amp; Touche for the fiscal years 2021 and 2020.</w:t>
      </w:r>
    </w:p>
    <w:p>
      <w:pPr>
        <w:spacing w:after="0" w:line="212"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426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Year ended June 30,</w:t>
            </w:r>
          </w:p>
        </w:tc>
        <w:tc>
          <w:tcPr>
            <w:tcW w:w="37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2021</w:t>
            </w: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2020</w:t>
            </w:r>
          </w:p>
        </w:tc>
      </w:tr>
      <w:tr>
        <w:trPr>
          <w:trHeight w:val="252"/>
        </w:trPr>
        <w:tc>
          <w:tcPr>
            <w:tcW w:w="426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auto"/>
              </w:rPr>
              <w:t>Audit Fees</w:t>
            </w:r>
          </w:p>
        </w:tc>
        <w:tc>
          <w:tcPr>
            <w:tcW w:w="3700" w:type="dxa"/>
            <w:vAlign w:val="bottom"/>
            <w:tcBorders>
              <w:bottom w:val="single" w:sz="8" w:color="0075C9"/>
            </w:tcBorders>
          </w:tcPr>
          <w:p>
            <w:pPr>
              <w:jc w:val="right"/>
              <w:ind w:right="62"/>
              <w:spacing w:after="0"/>
              <w:rPr>
                <w:sz w:val="20"/>
                <w:szCs w:val="20"/>
                <w:color w:val="auto"/>
              </w:rPr>
            </w:pPr>
            <w:r>
              <w:rPr>
                <w:rFonts w:ascii="Arial" w:cs="Arial" w:eastAsia="Arial" w:hAnsi="Arial"/>
                <w:sz w:val="16"/>
                <w:szCs w:val="16"/>
                <w:color w:val="auto"/>
              </w:rPr>
              <w:t>$42,300,000</w:t>
            </w:r>
          </w:p>
        </w:tc>
        <w:tc>
          <w:tcPr>
            <w:tcW w:w="108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$41,710,000</w:t>
            </w:r>
          </w:p>
        </w:tc>
      </w:tr>
      <w:tr>
        <w:trPr>
          <w:trHeight w:val="252"/>
        </w:trPr>
        <w:tc>
          <w:tcPr>
            <w:tcW w:w="426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auto"/>
              </w:rPr>
              <w:t>Audit-Related Fees</w:t>
            </w:r>
          </w:p>
        </w:tc>
        <w:tc>
          <w:tcPr>
            <w:tcW w:w="3700" w:type="dxa"/>
            <w:vAlign w:val="bottom"/>
            <w:tcBorders>
              <w:bottom w:val="single" w:sz="8" w:color="0075C9"/>
            </w:tcBorders>
          </w:tcPr>
          <w:p>
            <w:pPr>
              <w:jc w:val="right"/>
              <w:ind w:right="62"/>
              <w:spacing w:after="0"/>
              <w:rPr>
                <w:sz w:val="20"/>
                <w:szCs w:val="20"/>
                <w:color w:val="auto"/>
              </w:rPr>
            </w:pPr>
            <w:r>
              <w:rPr>
                <w:rFonts w:ascii="Arial" w:cs="Arial" w:eastAsia="Arial" w:hAnsi="Arial"/>
                <w:sz w:val="16"/>
                <w:szCs w:val="16"/>
                <w:color w:val="auto"/>
              </w:rPr>
              <w:t>10,491,000</w:t>
            </w:r>
          </w:p>
        </w:tc>
        <w:tc>
          <w:tcPr>
            <w:tcW w:w="108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10,150,000</w:t>
            </w:r>
          </w:p>
        </w:tc>
      </w:tr>
      <w:tr>
        <w:trPr>
          <w:trHeight w:val="252"/>
        </w:trPr>
        <w:tc>
          <w:tcPr>
            <w:tcW w:w="426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auto"/>
              </w:rPr>
              <w:t>Tax Fees</w:t>
            </w:r>
          </w:p>
        </w:tc>
        <w:tc>
          <w:tcPr>
            <w:tcW w:w="3700" w:type="dxa"/>
            <w:vAlign w:val="bottom"/>
            <w:tcBorders>
              <w:bottom w:val="single" w:sz="8" w:color="0075C9"/>
            </w:tcBorders>
          </w:tcPr>
          <w:p>
            <w:pPr>
              <w:jc w:val="right"/>
              <w:ind w:right="62"/>
              <w:spacing w:after="0"/>
              <w:rPr>
                <w:sz w:val="20"/>
                <w:szCs w:val="20"/>
                <w:color w:val="auto"/>
              </w:rPr>
            </w:pPr>
            <w:r>
              <w:rPr>
                <w:rFonts w:ascii="Arial" w:cs="Arial" w:eastAsia="Arial" w:hAnsi="Arial"/>
                <w:sz w:val="16"/>
                <w:szCs w:val="16"/>
                <w:color w:val="auto"/>
              </w:rPr>
              <w:t>4,312,000</w:t>
            </w:r>
          </w:p>
        </w:tc>
        <w:tc>
          <w:tcPr>
            <w:tcW w:w="108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3,377,000</w:t>
            </w:r>
          </w:p>
        </w:tc>
      </w:tr>
      <w:tr>
        <w:trPr>
          <w:trHeight w:val="252"/>
        </w:trPr>
        <w:tc>
          <w:tcPr>
            <w:tcW w:w="426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auto"/>
              </w:rPr>
              <w:t>All Other Fees</w:t>
            </w:r>
          </w:p>
        </w:tc>
        <w:tc>
          <w:tcPr>
            <w:tcW w:w="3700" w:type="dxa"/>
            <w:vAlign w:val="bottom"/>
            <w:tcBorders>
              <w:bottom w:val="single" w:sz="8" w:color="0075C9"/>
            </w:tcBorders>
          </w:tcPr>
          <w:p>
            <w:pPr>
              <w:jc w:val="right"/>
              <w:ind w:right="62"/>
              <w:spacing w:after="0"/>
              <w:rPr>
                <w:sz w:val="20"/>
                <w:szCs w:val="20"/>
                <w:color w:val="auto"/>
              </w:rPr>
            </w:pPr>
            <w:r>
              <w:rPr>
                <w:rFonts w:ascii="Arial" w:cs="Arial" w:eastAsia="Arial" w:hAnsi="Arial"/>
                <w:sz w:val="16"/>
                <w:szCs w:val="16"/>
                <w:color w:val="auto"/>
              </w:rPr>
              <w:t>37,000</w:t>
            </w:r>
          </w:p>
        </w:tc>
        <w:tc>
          <w:tcPr>
            <w:tcW w:w="108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54,000</w:t>
            </w:r>
          </w:p>
        </w:tc>
      </w:tr>
      <w:tr>
        <w:trPr>
          <w:trHeight w:val="252"/>
        </w:trPr>
        <w:tc>
          <w:tcPr>
            <w:tcW w:w="426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auto"/>
              </w:rPr>
              <w:t>Total</w:t>
            </w:r>
          </w:p>
        </w:tc>
        <w:tc>
          <w:tcPr>
            <w:tcW w:w="3700" w:type="dxa"/>
            <w:vAlign w:val="bottom"/>
            <w:tcBorders>
              <w:bottom w:val="single" w:sz="8" w:color="0075C9"/>
            </w:tcBorders>
          </w:tcPr>
          <w:p>
            <w:pPr>
              <w:jc w:val="right"/>
              <w:ind w:right="62"/>
              <w:spacing w:after="0"/>
              <w:rPr>
                <w:sz w:val="20"/>
                <w:szCs w:val="20"/>
                <w:color w:val="auto"/>
              </w:rPr>
            </w:pPr>
            <w:r>
              <w:rPr>
                <w:rFonts w:ascii="Arial" w:cs="Arial" w:eastAsia="Arial" w:hAnsi="Arial"/>
                <w:sz w:val="16"/>
                <w:szCs w:val="16"/>
                <w:color w:val="auto"/>
              </w:rPr>
              <w:t>$57,140,000</w:t>
            </w:r>
          </w:p>
        </w:tc>
        <w:tc>
          <w:tcPr>
            <w:tcW w:w="108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$55,291,000</w:t>
            </w:r>
          </w:p>
        </w:tc>
      </w:tr>
    </w:tbl>
    <w:p>
      <w:pPr>
        <w:spacing w:after="0" w:line="175"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Audit Fees</w:t>
      </w:r>
    </w:p>
    <w:p>
      <w:pPr>
        <w:spacing w:after="0" w:line="129" w:lineRule="exact"/>
        <w:rPr>
          <w:sz w:val="20"/>
          <w:szCs w:val="20"/>
          <w:color w:val="auto"/>
        </w:rPr>
      </w:pPr>
    </w:p>
    <w:p>
      <w:pPr>
        <w:ind w:left="1100" w:right="80"/>
        <w:spacing w:after="0" w:line="237" w:lineRule="auto"/>
        <w:rPr>
          <w:sz w:val="20"/>
          <w:szCs w:val="20"/>
          <w:color w:val="auto"/>
        </w:rPr>
      </w:pPr>
      <w:r>
        <w:rPr>
          <w:rFonts w:ascii="Arial" w:cs="Arial" w:eastAsia="Arial" w:hAnsi="Arial"/>
          <w:sz w:val="16"/>
          <w:szCs w:val="16"/>
          <w:color w:val="auto"/>
        </w:rPr>
        <w:t>These amounts represent fees of Deloitte &amp; Touche for the audit of our annual consolidated financial statements, the review of consolidated financial statements included in our quarterly Form 10-Q reports, the audit of internal control over financial reporting, and the services that an independent auditor would customarily provide in connection with subsidiary audits, statutory requirements, regulatory filings, and similar engagements for the fiscal year, such as comfort letters, attest services, consents, and assistance with review of documents filed with the SEC. Audit fees also include procedures relating to accounting matters that arose in connection with or as a result of the audit or the review of periodic financial statements and statutory audits that non-U.S. jurisdictions require.</w:t>
      </w:r>
    </w:p>
    <w:p>
      <w:pPr>
        <w:spacing w:after="0" w:line="200" w:lineRule="exact"/>
        <w:rPr>
          <w:sz w:val="20"/>
          <w:szCs w:val="20"/>
          <w:color w:val="auto"/>
        </w:rPr>
      </w:pPr>
    </w:p>
    <w:p>
      <w:pPr>
        <w:spacing w:after="0" w:line="302"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-94615</wp:posOffset>
            </wp:positionV>
            <wp:extent cx="485140" cy="9842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45" w:right="1439" w:bottom="1440" w:gutter="0" w:footer="0" w:header="0"/>
        </w:sectPr>
      </w:pPr>
    </w:p>
    <w:bookmarkStart w:id="72" w:name="page73"/>
    <w:bookmarkEnd w:id="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auto"/>
                <w:w w:val="89"/>
              </w:rPr>
              <w:t>1</w:t>
            </w:r>
          </w:p>
        </w:tc>
        <w:tc>
          <w:tcPr>
            <w:tcW w:w="1380" w:type="dxa"/>
            <w:vAlign w:val="bottom"/>
            <w:vMerge w:val="restart"/>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tcPr>
          <w:p>
            <w:pPr>
              <w:jc w:val="right"/>
              <w:spacing w:after="0"/>
              <w:rPr>
                <w:sz w:val="20"/>
                <w:szCs w:val="20"/>
                <w:color w:val="auto"/>
              </w:rPr>
            </w:pPr>
            <w:r>
              <w:rPr>
                <w:rFonts w:ascii="Arial" w:cs="Arial" w:eastAsia="Arial" w:hAnsi="Arial"/>
                <w:sz w:val="36"/>
                <w:szCs w:val="36"/>
                <w:color w:val="auto"/>
              </w:rPr>
              <w:t>2</w:t>
            </w:r>
          </w:p>
        </w:tc>
        <w:tc>
          <w:tcPr>
            <w:tcW w:w="1560" w:type="dxa"/>
            <w:vAlign w:val="bottom"/>
            <w:vMerge w:val="restart"/>
          </w:tcPr>
          <w:p>
            <w:pPr>
              <w:ind w:left="60"/>
              <w:spacing w:after="0"/>
              <w:rPr>
                <w:sz w:val="20"/>
                <w:szCs w:val="20"/>
                <w:color w:val="auto"/>
              </w:rPr>
            </w:pPr>
            <w:r>
              <w:rPr>
                <w:rFonts w:ascii="Arial" w:cs="Arial" w:eastAsia="Arial" w:hAnsi="Arial"/>
                <w:sz w:val="12"/>
                <w:szCs w:val="12"/>
                <w:color w:val="auto"/>
              </w:rPr>
              <w:t>NAMED</w:t>
            </w:r>
          </w:p>
        </w:tc>
        <w:tc>
          <w:tcPr>
            <w:tcW w:w="500" w:type="dxa"/>
            <w:vAlign w:val="bottom"/>
            <w:gridSpan w:val="2"/>
          </w:tcPr>
          <w:p>
            <w:pPr>
              <w:jc w:val="right"/>
              <w:ind w:right="60"/>
              <w:spacing w:after="0"/>
              <w:rPr>
                <w:sz w:val="20"/>
                <w:szCs w:val="20"/>
                <w:color w:val="auto"/>
              </w:rPr>
            </w:pPr>
            <w:r>
              <w:rPr>
                <w:rFonts w:ascii="Arial" w:cs="Arial" w:eastAsia="Arial" w:hAnsi="Arial"/>
                <w:sz w:val="36"/>
                <w:szCs w:val="36"/>
                <w:color w:val="0075C9"/>
              </w:rPr>
              <w:t>3</w:t>
            </w:r>
          </w:p>
        </w:tc>
        <w:tc>
          <w:tcPr>
            <w:tcW w:w="1160" w:type="dxa"/>
            <w:vAlign w:val="bottom"/>
            <w:vMerge w:val="restart"/>
          </w:tcPr>
          <w:p>
            <w:pPr>
              <w:ind w:left="80"/>
              <w:spacing w:after="0"/>
              <w:rPr>
                <w:sz w:val="20"/>
                <w:szCs w:val="20"/>
                <w:color w:val="auto"/>
              </w:rPr>
            </w:pPr>
            <w:r>
              <w:rPr>
                <w:rFonts w:ascii="Arial" w:cs="Arial" w:eastAsia="Arial" w:hAnsi="Arial"/>
                <w:sz w:val="12"/>
                <w:szCs w:val="12"/>
                <w:color w:val="0075C9"/>
              </w:rPr>
              <w:t>AUDIT</w:t>
            </w:r>
          </w:p>
        </w:tc>
        <w:tc>
          <w:tcPr>
            <w:tcW w:w="340" w:type="dxa"/>
            <w:vAlign w:val="bottom"/>
          </w:tcPr>
          <w:p>
            <w:pPr>
              <w:jc w:val="right"/>
              <w:spacing w:after="0"/>
              <w:rPr>
                <w:sz w:val="20"/>
                <w:szCs w:val="20"/>
                <w:color w:val="auto"/>
              </w:rPr>
            </w:pPr>
            <w:r>
              <w:rPr>
                <w:rFonts w:ascii="Arial" w:cs="Arial" w:eastAsia="Arial" w:hAnsi="Arial"/>
                <w:sz w:val="36"/>
                <w:szCs w:val="36"/>
                <w:color w:val="auto"/>
              </w:rPr>
              <w:t>4</w:t>
            </w:r>
          </w:p>
        </w:tc>
        <w:tc>
          <w:tcPr>
            <w:tcW w:w="1580" w:type="dxa"/>
            <w:vAlign w:val="bottom"/>
            <w:vMerge w:val="restart"/>
          </w:tcPr>
          <w:p>
            <w:pPr>
              <w:ind w:left="60"/>
              <w:spacing w:after="0"/>
              <w:rPr>
                <w:sz w:val="20"/>
                <w:szCs w:val="20"/>
                <w:color w:val="auto"/>
              </w:rPr>
            </w:pPr>
            <w:r>
              <w:rPr>
                <w:rFonts w:ascii="Arial" w:cs="Arial" w:eastAsia="Arial" w:hAnsi="Arial"/>
                <w:sz w:val="12"/>
                <w:szCs w:val="12"/>
                <w:color w:val="auto"/>
              </w:rPr>
              <w:t>PROPOSALS TO</w:t>
            </w:r>
          </w:p>
        </w:tc>
        <w:tc>
          <w:tcPr>
            <w:tcW w:w="440" w:type="dxa"/>
            <w:vAlign w:val="bottom"/>
          </w:tcPr>
          <w:p>
            <w:pPr>
              <w:jc w:val="right"/>
              <w:spacing w:after="0"/>
              <w:rPr>
                <w:sz w:val="20"/>
                <w:szCs w:val="20"/>
                <w:color w:val="auto"/>
              </w:rPr>
            </w:pPr>
            <w:r>
              <w:rPr>
                <w:rFonts w:ascii="Arial" w:cs="Arial" w:eastAsia="Arial" w:hAnsi="Arial"/>
                <w:sz w:val="36"/>
                <w:szCs w:val="36"/>
                <w:color w:val="auto"/>
              </w:rPr>
              <w:t>5</w:t>
            </w:r>
          </w:p>
        </w:tc>
        <w:tc>
          <w:tcPr>
            <w:tcW w:w="900" w:type="dxa"/>
            <w:vAlign w:val="bottom"/>
            <w:vMerge w:val="restart"/>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6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38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tcPr>
          <w:p>
            <w:pPr>
              <w:spacing w:after="0"/>
              <w:rPr>
                <w:sz w:val="11"/>
                <w:szCs w:val="11"/>
                <w:color w:val="auto"/>
              </w:rPr>
            </w:pPr>
          </w:p>
        </w:tc>
        <w:tc>
          <w:tcPr>
            <w:tcW w:w="1560" w:type="dxa"/>
            <w:vAlign w:val="bottom"/>
          </w:tcPr>
          <w:p>
            <w:pPr>
              <w:ind w:left="60"/>
              <w:spacing w:after="0" w:line="130" w:lineRule="exact"/>
              <w:rPr>
                <w:sz w:val="20"/>
                <w:szCs w:val="20"/>
                <w:color w:val="auto"/>
              </w:rPr>
            </w:pPr>
            <w:r>
              <w:rPr>
                <w:rFonts w:ascii="Arial" w:cs="Arial" w:eastAsia="Arial" w:hAnsi="Arial"/>
                <w:sz w:val="12"/>
                <w:szCs w:val="12"/>
                <w:color w:val="auto"/>
              </w:rPr>
              <w:t>EXECUTIVE OFFICER</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ind w:left="80"/>
              <w:spacing w:after="0" w:line="130" w:lineRule="exact"/>
              <w:rPr>
                <w:sz w:val="20"/>
                <w:szCs w:val="20"/>
                <w:color w:val="auto"/>
              </w:rPr>
            </w:pPr>
            <w:r>
              <w:rPr>
                <w:rFonts w:ascii="Arial" w:cs="Arial" w:eastAsia="Arial" w:hAnsi="Arial"/>
                <w:sz w:val="12"/>
                <w:szCs w:val="12"/>
                <w:color w:val="0075C9"/>
              </w:rPr>
              <w:t>COMMITTEE</w:t>
            </w:r>
          </w:p>
        </w:tc>
        <w:tc>
          <w:tcPr>
            <w:tcW w:w="340" w:type="dxa"/>
            <w:vAlign w:val="bottom"/>
          </w:tcPr>
          <w:p>
            <w:pPr>
              <w:spacing w:after="0"/>
              <w:rPr>
                <w:sz w:val="11"/>
                <w:szCs w:val="11"/>
                <w:color w:val="auto"/>
              </w:rPr>
            </w:pPr>
          </w:p>
        </w:tc>
        <w:tc>
          <w:tcPr>
            <w:tcW w:w="1580" w:type="dxa"/>
            <w:vAlign w:val="bottom"/>
          </w:tcPr>
          <w:p>
            <w:pPr>
              <w:ind w:left="60"/>
              <w:spacing w:after="0" w:line="130" w:lineRule="exact"/>
              <w:rPr>
                <w:sz w:val="20"/>
                <w:szCs w:val="20"/>
                <w:color w:val="auto"/>
              </w:rPr>
            </w:pPr>
            <w:r>
              <w:rPr>
                <w:rFonts w:ascii="Arial" w:cs="Arial" w:eastAsia="Arial" w:hAnsi="Arial"/>
                <w:sz w:val="12"/>
                <w:szCs w:val="12"/>
                <w:color w:val="auto"/>
              </w:rPr>
              <w:t>BE VOTED ON DURING</w:t>
            </w:r>
          </w:p>
        </w:tc>
        <w:tc>
          <w:tcPr>
            <w:tcW w:w="440" w:type="dxa"/>
            <w:vAlign w:val="bottom"/>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38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tcPr>
          <w:p>
            <w:pPr>
              <w:spacing w:after="0"/>
              <w:rPr>
                <w:sz w:val="12"/>
                <w:szCs w:val="12"/>
                <w:color w:val="auto"/>
              </w:rPr>
            </w:pPr>
          </w:p>
        </w:tc>
        <w:tc>
          <w:tcPr>
            <w:tcW w:w="156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ind w:left="80"/>
              <w:spacing w:after="0"/>
              <w:rPr>
                <w:sz w:val="20"/>
                <w:szCs w:val="20"/>
                <w:color w:val="auto"/>
              </w:rPr>
            </w:pPr>
            <w:r>
              <w:rPr>
                <w:rFonts w:ascii="Arial" w:cs="Arial" w:eastAsia="Arial" w:hAnsi="Arial"/>
                <w:sz w:val="12"/>
                <w:szCs w:val="12"/>
                <w:color w:val="0075C9"/>
              </w:rPr>
              <w:t>MATTERS</w:t>
            </w:r>
          </w:p>
        </w:tc>
        <w:tc>
          <w:tcPr>
            <w:tcW w:w="34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12"/>
                <w:szCs w:val="12"/>
                <w:color w:val="auto"/>
              </w:rPr>
              <w:t>THE MEETING</w:t>
            </w:r>
          </w:p>
        </w:tc>
        <w:tc>
          <w:tcPr>
            <w:tcW w:w="440" w:type="dxa"/>
            <w:vAlign w:val="bottom"/>
          </w:tcPr>
          <w:p>
            <w:pPr>
              <w:spacing w:after="0"/>
              <w:rPr>
                <w:sz w:val="12"/>
                <w:szCs w:val="12"/>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160" w:type="dxa"/>
            <w:vAlign w:val="bottom"/>
            <w:shd w:val="clear" w:color="auto" w:fill="0075C9"/>
          </w:tcPr>
          <w:p>
            <w:pPr>
              <w:spacing w:after="0"/>
              <w:rPr>
                <w:sz w:val="9"/>
                <w:szCs w:val="9"/>
                <w:color w:val="auto"/>
              </w:rPr>
            </w:pPr>
          </w:p>
        </w:tc>
        <w:tc>
          <w:tcPr>
            <w:tcW w:w="3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Audit-Related Fees</w:t>
      </w:r>
    </w:p>
    <w:p>
      <w:pPr>
        <w:spacing w:after="0" w:line="129" w:lineRule="exact"/>
        <w:rPr>
          <w:sz w:val="20"/>
          <w:szCs w:val="20"/>
          <w:color w:val="auto"/>
        </w:rPr>
      </w:pPr>
    </w:p>
    <w:p>
      <w:pPr>
        <w:ind w:left="1100" w:right="160"/>
        <w:spacing w:after="0" w:line="237" w:lineRule="auto"/>
        <w:rPr>
          <w:sz w:val="20"/>
          <w:szCs w:val="20"/>
          <w:color w:val="auto"/>
        </w:rPr>
      </w:pPr>
      <w:r>
        <w:rPr>
          <w:rFonts w:ascii="Arial" w:cs="Arial" w:eastAsia="Arial" w:hAnsi="Arial"/>
          <w:sz w:val="16"/>
          <w:szCs w:val="16"/>
          <w:color w:val="auto"/>
        </w:rPr>
        <w:t>Audit-related fees consist of assurance and related services that are reasonably related to the performance of the audit or review of Microsoft’s consolidated financial statements or internal control over financial reporting. This category may include fees related to the performance of audits and attest services not required by statute or regulations; audits of our employee benefit plans; due diligence related to mergers, acquisitions, and investments; additional revenue and license compliance procedures related to the performance of review or audit of Microsoft’s consolidated financial statements; third-party assurance audits for cloud services; and accounting consultations about the application of GAAP to proposed transactions. Revenue assurance and license compliance includes procedures under contracts we have entered that provide for review by an independent accountant, and advice about controls associated with the completeness and accuracy of our software licensing revenue. These services support the evaluation of the effectiveness of internal control over revenue recognition and enhance the independent auditor’s understanding of our licensing programs and controls.</w:t>
      </w:r>
    </w:p>
    <w:p>
      <w:pPr>
        <w:spacing w:after="0" w:line="169"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Tax Fees</w:t>
      </w:r>
    </w:p>
    <w:p>
      <w:pPr>
        <w:spacing w:after="0" w:line="129" w:lineRule="exact"/>
        <w:rPr>
          <w:sz w:val="20"/>
          <w:szCs w:val="20"/>
          <w:color w:val="auto"/>
        </w:rPr>
      </w:pPr>
    </w:p>
    <w:p>
      <w:pPr>
        <w:ind w:left="1100" w:right="640"/>
        <w:spacing w:after="0" w:line="238" w:lineRule="auto"/>
        <w:rPr>
          <w:sz w:val="20"/>
          <w:szCs w:val="20"/>
          <w:color w:val="auto"/>
        </w:rPr>
      </w:pPr>
      <w:r>
        <w:rPr>
          <w:rFonts w:ascii="Arial" w:cs="Arial" w:eastAsia="Arial" w:hAnsi="Arial"/>
          <w:sz w:val="16"/>
          <w:szCs w:val="16"/>
          <w:color w:val="auto"/>
        </w:rPr>
        <w:t>Tax fees generally consist of tax compliance and return preparation, and tax planning and advice. Tax compliance and return preparation services consist of preparing original and amended tax returns and claims for refunds. Tax planning and advice services consist of support during income tax audits or inquiries.</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All Other Fees</w:t>
      </w:r>
    </w:p>
    <w:p>
      <w:pPr>
        <w:spacing w:after="0" w:line="129" w:lineRule="exact"/>
        <w:rPr>
          <w:sz w:val="20"/>
          <w:szCs w:val="20"/>
          <w:color w:val="auto"/>
        </w:rPr>
      </w:pPr>
    </w:p>
    <w:p>
      <w:pPr>
        <w:ind w:left="1100" w:right="800"/>
        <w:spacing w:after="0" w:line="239" w:lineRule="auto"/>
        <w:rPr>
          <w:sz w:val="20"/>
          <w:szCs w:val="20"/>
          <w:color w:val="auto"/>
        </w:rPr>
      </w:pPr>
      <w:r>
        <w:rPr>
          <w:rFonts w:ascii="Arial" w:cs="Arial" w:eastAsia="Arial" w:hAnsi="Arial"/>
          <w:sz w:val="16"/>
          <w:szCs w:val="16"/>
          <w:color w:val="auto"/>
        </w:rPr>
        <w:t>All other fees consist of permitted services other than those that meet the criteria above and include training activities, and subscriptions and surveys on economic, industry, accounting, and human resources topics.</w:t>
      </w:r>
    </w:p>
    <w:p>
      <w:pPr>
        <w:spacing w:after="0" w:line="100" w:lineRule="exact"/>
        <w:rPr>
          <w:sz w:val="20"/>
          <w:szCs w:val="20"/>
          <w:color w:val="auto"/>
        </w:rPr>
      </w:pPr>
    </w:p>
    <w:p>
      <w:pPr>
        <w:ind w:left="1100" w:right="760"/>
        <w:spacing w:after="0" w:line="239" w:lineRule="auto"/>
        <w:rPr>
          <w:sz w:val="20"/>
          <w:szCs w:val="20"/>
          <w:color w:val="auto"/>
        </w:rPr>
      </w:pPr>
      <w:r>
        <w:rPr>
          <w:rFonts w:ascii="Arial" w:cs="Arial" w:eastAsia="Arial" w:hAnsi="Arial"/>
          <w:sz w:val="16"/>
          <w:szCs w:val="16"/>
          <w:color w:val="auto"/>
        </w:rPr>
        <w:t>The Audit Committee concluded that the provision of the non-audit services listed above is compatible with maintaining the independence of Deloitte &amp; Touche.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308610</wp:posOffset>
            </wp:positionV>
            <wp:extent cx="573976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1100" w:right="400"/>
        <w:spacing w:after="0" w:line="286" w:lineRule="auto"/>
        <w:rPr>
          <w:sz w:val="20"/>
          <w:szCs w:val="20"/>
          <w:color w:val="auto"/>
        </w:rPr>
      </w:pPr>
      <w:r>
        <w:rPr>
          <w:rFonts w:ascii="Arial" w:cs="Arial" w:eastAsia="Arial" w:hAnsi="Arial"/>
          <w:sz w:val="24"/>
          <w:szCs w:val="24"/>
          <w:b w:val="1"/>
          <w:bCs w:val="1"/>
          <w:color w:val="0075C9"/>
        </w:rPr>
        <w:t>Policy on Audit Committee Pre-Approval of Audit and Permissible Non-Audit Services of Independent Auditor</w:t>
      </w:r>
    </w:p>
    <w:p>
      <w:pPr>
        <w:spacing w:after="0" w:line="46" w:lineRule="exact"/>
        <w:rPr>
          <w:sz w:val="20"/>
          <w:szCs w:val="20"/>
          <w:color w:val="auto"/>
        </w:rPr>
      </w:pPr>
    </w:p>
    <w:p>
      <w:pPr>
        <w:ind w:left="1100" w:right="180"/>
        <w:spacing w:after="0" w:line="237" w:lineRule="auto"/>
        <w:rPr>
          <w:sz w:val="20"/>
          <w:szCs w:val="20"/>
          <w:color w:val="auto"/>
        </w:rPr>
      </w:pPr>
      <w:r>
        <w:rPr>
          <w:rFonts w:ascii="Arial" w:cs="Arial" w:eastAsia="Arial" w:hAnsi="Arial"/>
          <w:sz w:val="16"/>
          <w:szCs w:val="16"/>
          <w:color w:val="auto"/>
        </w:rPr>
        <w:t>The Audit Committee has a policy for pre-approval of all audit and permissible non-audit services provided by the independent auditor. Each year, the Committee approves the terms on which the independent auditor is engaged for the ensuing fiscal year. At least quarterly, the Committee reviews and, if appropriate, pre-approves services to be performed by the independent auditor, reviews a report summarizing fiscal year-to-date services provided by the independent auditor, and reviews an updated projection of the fiscal year’s estimated fees. The Committee, as permitted by its pre-approval policy, from time to time delegates the approval of certain permitted services or classes of services to a member of the Committee. The Committee then reviews the delegate’s approval decisions each quarter. Microsoft uses a centralized internal system to collect requests from Company personnel for services by the independent auditor to facilitate compliance with this pre-approval policy.</w:t>
      </w:r>
    </w:p>
    <w:p>
      <w:pPr>
        <w:spacing w:after="0" w:line="200" w:lineRule="exact"/>
        <w:rPr>
          <w:sz w:val="20"/>
          <w:szCs w:val="20"/>
          <w:color w:val="auto"/>
        </w:rPr>
      </w:pPr>
    </w:p>
    <w:p>
      <w:pPr>
        <w:spacing w:after="0" w:line="302"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2021 PROXY STATEMENT</w:t>
      </w:r>
      <w:r>
        <w:rPr>
          <w:sz w:val="20"/>
          <w:szCs w:val="20"/>
          <w:color w:val="auto"/>
        </w:rPr>
        <w:tab/>
      </w:r>
      <w:r>
        <w:rPr>
          <w:rFonts w:ascii="Arial" w:cs="Arial" w:eastAsia="Arial" w:hAnsi="Arial"/>
          <w:sz w:val="12"/>
          <w:szCs w:val="12"/>
          <w:b w:val="1"/>
          <w:bCs w:val="1"/>
          <w:color w:val="0075C9"/>
        </w:rPr>
        <w:t>65</w:t>
      </w:r>
    </w:p>
    <w:p>
      <w:pPr>
        <w:sectPr>
          <w:pgSz w:w="11900" w:h="16838" w:orient="portrait"/>
          <w:cols w:equalWidth="0" w:num="1">
            <w:col w:w="10280"/>
          </w:cols>
          <w:pgMar w:left="320" w:top="446" w:right="1299" w:bottom="1440" w:gutter="0" w:footer="0" w:header="0"/>
        </w:sectPr>
      </w:pPr>
    </w:p>
    <w:bookmarkStart w:id="73" w:name="page74"/>
    <w:bookmarkEnd w:id="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auto"/>
                <w:w w:val="89"/>
              </w:rPr>
              <w:t>1</w:t>
            </w:r>
          </w:p>
        </w:tc>
        <w:tc>
          <w:tcPr>
            <w:tcW w:w="1360" w:type="dxa"/>
            <w:vAlign w:val="bottom"/>
            <w:vMerge w:val="restart"/>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tcPr>
          <w:p>
            <w:pPr>
              <w:jc w:val="right"/>
              <w:spacing w:after="0"/>
              <w:rPr>
                <w:sz w:val="20"/>
                <w:szCs w:val="20"/>
                <w:color w:val="auto"/>
              </w:rPr>
            </w:pPr>
            <w:r>
              <w:rPr>
                <w:rFonts w:ascii="Arial" w:cs="Arial" w:eastAsia="Arial" w:hAnsi="Arial"/>
                <w:sz w:val="36"/>
                <w:szCs w:val="36"/>
                <w:color w:val="auto"/>
              </w:rPr>
              <w:t>2</w:t>
            </w:r>
          </w:p>
        </w:tc>
        <w:tc>
          <w:tcPr>
            <w:tcW w:w="1540" w:type="dxa"/>
            <w:vAlign w:val="bottom"/>
            <w:vMerge w:val="restart"/>
          </w:tcPr>
          <w:p>
            <w:pPr>
              <w:ind w:left="80"/>
              <w:spacing w:after="0"/>
              <w:rPr>
                <w:sz w:val="20"/>
                <w:szCs w:val="20"/>
                <w:color w:val="auto"/>
              </w:rPr>
            </w:pPr>
            <w:r>
              <w:rPr>
                <w:rFonts w:ascii="Arial" w:cs="Arial" w:eastAsia="Arial" w:hAnsi="Arial"/>
                <w:sz w:val="12"/>
                <w:szCs w:val="12"/>
                <w:color w:val="auto"/>
              </w:rPr>
              <w:t>NAMED</w:t>
            </w:r>
          </w:p>
        </w:tc>
        <w:tc>
          <w:tcPr>
            <w:tcW w:w="500" w:type="dxa"/>
            <w:vAlign w:val="bottom"/>
          </w:tcPr>
          <w:p>
            <w:pPr>
              <w:jc w:val="right"/>
              <w:spacing w:after="0"/>
              <w:rPr>
                <w:sz w:val="20"/>
                <w:szCs w:val="20"/>
                <w:color w:val="auto"/>
              </w:rPr>
            </w:pPr>
            <w:r>
              <w:rPr>
                <w:rFonts w:ascii="Arial" w:cs="Arial" w:eastAsia="Arial" w:hAnsi="Arial"/>
                <w:sz w:val="36"/>
                <w:szCs w:val="36"/>
                <w:color w:val="auto"/>
              </w:rPr>
              <w:t>3</w:t>
            </w:r>
          </w:p>
        </w:tc>
        <w:tc>
          <w:tcPr>
            <w:tcW w:w="980" w:type="dxa"/>
            <w:vAlign w:val="bottom"/>
            <w:vMerge w:val="restart"/>
          </w:tcPr>
          <w:p>
            <w:pPr>
              <w:ind w:left="80"/>
              <w:spacing w:after="0"/>
              <w:rPr>
                <w:sz w:val="20"/>
                <w:szCs w:val="20"/>
                <w:color w:val="auto"/>
              </w:rPr>
            </w:pPr>
            <w:r>
              <w:rPr>
                <w:rFonts w:ascii="Arial" w:cs="Arial" w:eastAsia="Arial" w:hAnsi="Arial"/>
                <w:sz w:val="12"/>
                <w:szCs w:val="12"/>
                <w:color w:val="auto"/>
              </w:rPr>
              <w:t>AUDIT</w:t>
            </w:r>
          </w:p>
        </w:tc>
        <w:tc>
          <w:tcPr>
            <w:tcW w:w="460" w:type="dxa"/>
            <w:vAlign w:val="bottom"/>
            <w:gridSpan w:val="2"/>
          </w:tcPr>
          <w:p>
            <w:pPr>
              <w:jc w:val="right"/>
              <w:ind w:right="80"/>
              <w:spacing w:after="0"/>
              <w:rPr>
                <w:sz w:val="20"/>
                <w:szCs w:val="20"/>
                <w:color w:val="auto"/>
              </w:rPr>
            </w:pPr>
            <w:r>
              <w:rPr>
                <w:rFonts w:ascii="Arial" w:cs="Arial" w:eastAsia="Arial" w:hAnsi="Arial"/>
                <w:sz w:val="36"/>
                <w:szCs w:val="36"/>
                <w:color w:val="0075C9"/>
              </w:rPr>
              <w:t>4</w:t>
            </w:r>
          </w:p>
        </w:tc>
        <w:tc>
          <w:tcPr>
            <w:tcW w:w="1420" w:type="dxa"/>
            <w:vAlign w:val="bottom"/>
            <w:vMerge w:val="restart"/>
          </w:tcPr>
          <w:p>
            <w:pPr>
              <w:ind w:left="80"/>
              <w:spacing w:after="0"/>
              <w:rPr>
                <w:sz w:val="20"/>
                <w:szCs w:val="20"/>
                <w:color w:val="auto"/>
              </w:rPr>
            </w:pPr>
            <w:r>
              <w:rPr>
                <w:rFonts w:ascii="Arial" w:cs="Arial" w:eastAsia="Arial" w:hAnsi="Arial"/>
                <w:sz w:val="12"/>
                <w:szCs w:val="12"/>
                <w:color w:val="0075C9"/>
              </w:rPr>
              <w:t>PROPOSALS TO</w:t>
            </w:r>
          </w:p>
        </w:tc>
        <w:tc>
          <w:tcPr>
            <w:tcW w:w="740" w:type="dxa"/>
            <w:vAlign w:val="bottom"/>
          </w:tcPr>
          <w:p>
            <w:pPr>
              <w:jc w:val="right"/>
              <w:spacing w:after="0"/>
              <w:rPr>
                <w:sz w:val="20"/>
                <w:szCs w:val="20"/>
                <w:color w:val="auto"/>
              </w:rPr>
            </w:pPr>
            <w:r>
              <w:rPr>
                <w:rFonts w:ascii="Arial" w:cs="Arial" w:eastAsia="Arial" w:hAnsi="Arial"/>
                <w:sz w:val="36"/>
                <w:szCs w:val="36"/>
                <w:color w:val="auto"/>
              </w:rPr>
              <w:t>5</w:t>
            </w:r>
          </w:p>
        </w:tc>
        <w:tc>
          <w:tcPr>
            <w:tcW w:w="900" w:type="dxa"/>
            <w:vAlign w:val="bottom"/>
            <w:vMerge w:val="restart"/>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36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tcPr>
          <w:p>
            <w:pPr>
              <w:ind w:left="80"/>
              <w:spacing w:after="0" w:line="130" w:lineRule="exact"/>
              <w:rPr>
                <w:sz w:val="20"/>
                <w:szCs w:val="20"/>
                <w:color w:val="auto"/>
              </w:rPr>
            </w:pPr>
            <w:r>
              <w:rPr>
                <w:rFonts w:ascii="Arial" w:cs="Arial" w:eastAsia="Arial" w:hAnsi="Arial"/>
                <w:sz w:val="12"/>
                <w:szCs w:val="12"/>
                <w:color w:val="0075C9"/>
                <w:w w:val="99"/>
              </w:rPr>
              <w:t>BE VOTED ON DURING</w:t>
            </w:r>
          </w:p>
        </w:tc>
        <w:tc>
          <w:tcPr>
            <w:tcW w:w="740" w:type="dxa"/>
            <w:vAlign w:val="bottom"/>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36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tcPr>
          <w:p>
            <w:pPr>
              <w:spacing w:after="0"/>
              <w:rPr>
                <w:sz w:val="12"/>
                <w:szCs w:val="12"/>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tcPr>
          <w:p>
            <w:pPr>
              <w:spacing w:after="0"/>
              <w:rPr>
                <w:sz w:val="12"/>
                <w:szCs w:val="12"/>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ind w:left="80"/>
              <w:spacing w:after="0"/>
              <w:rPr>
                <w:sz w:val="20"/>
                <w:szCs w:val="20"/>
                <w:color w:val="auto"/>
              </w:rPr>
            </w:pPr>
            <w:r>
              <w:rPr>
                <w:rFonts w:ascii="Arial" w:cs="Arial" w:eastAsia="Arial" w:hAnsi="Arial"/>
                <w:sz w:val="12"/>
                <w:szCs w:val="12"/>
                <w:color w:val="0075C9"/>
              </w:rPr>
              <w:t>THE MEETING</w:t>
            </w:r>
          </w:p>
        </w:tc>
        <w:tc>
          <w:tcPr>
            <w:tcW w:w="740" w:type="dxa"/>
            <w:vAlign w:val="bottom"/>
          </w:tcPr>
          <w:p>
            <w:pPr>
              <w:spacing w:after="0"/>
              <w:rPr>
                <w:sz w:val="12"/>
                <w:szCs w:val="12"/>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4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1100" w:right="3379" w:firstLine="2"/>
        <w:spacing w:after="0" w:line="277" w:lineRule="auto"/>
        <w:tabs>
          <w:tab w:leader="none" w:pos="1580" w:val="left"/>
        </w:tabs>
        <w:numPr>
          <w:ilvl w:val="0"/>
          <w:numId w:val="96"/>
        </w:numPr>
        <w:rPr>
          <w:rFonts w:ascii="Arial" w:cs="Arial" w:eastAsia="Arial" w:hAnsi="Arial"/>
          <w:sz w:val="43"/>
          <w:szCs w:val="43"/>
          <w:b w:val="1"/>
          <w:bCs w:val="1"/>
          <w:color w:val="auto"/>
        </w:rPr>
      </w:pPr>
      <w:r>
        <w:rPr>
          <w:rFonts w:ascii="Arial" w:cs="Arial" w:eastAsia="Arial" w:hAnsi="Arial"/>
          <w:sz w:val="43"/>
          <w:szCs w:val="43"/>
          <w:b w:val="1"/>
          <w:bCs w:val="1"/>
          <w:color w:val="auto"/>
        </w:rPr>
        <w:t>Proposals to be Voted on During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92075</wp:posOffset>
            </wp:positionV>
            <wp:extent cx="573976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213"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Management Proposals</w:t>
      </w:r>
    </w:p>
    <w:p>
      <w:pPr>
        <w:spacing w:after="0" w:line="187" w:lineRule="exact"/>
        <w:rPr>
          <w:sz w:val="20"/>
          <w:szCs w:val="20"/>
          <w:color w:val="auto"/>
        </w:rPr>
      </w:pPr>
    </w:p>
    <w:p>
      <w:pPr>
        <w:ind w:left="3800"/>
        <w:spacing w:after="0"/>
        <w:rPr>
          <w:sz w:val="20"/>
          <w:szCs w:val="20"/>
          <w:color w:val="auto"/>
        </w:rPr>
      </w:pPr>
      <w:r>
        <w:rPr>
          <w:rFonts w:ascii="Arial" w:cs="Arial" w:eastAsia="Arial" w:hAnsi="Arial"/>
          <w:sz w:val="21"/>
          <w:szCs w:val="21"/>
          <w:b w:val="1"/>
          <w:bCs w:val="1"/>
          <w:color w:val="auto"/>
        </w:rPr>
        <w:t>Management Proposal 1: Election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-635</wp:posOffset>
            </wp:positionV>
            <wp:extent cx="5690870" cy="1151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690870" cy="1151255"/>
                    </a:xfrm>
                    <a:prstGeom prst="rect">
                      <a:avLst/>
                    </a:prstGeom>
                    <a:noFill/>
                  </pic:spPr>
                </pic:pic>
              </a:graphicData>
            </a:graphic>
          </wp:anchor>
        </w:drawing>
      </w:r>
    </w:p>
    <w:p>
      <w:pPr>
        <w:ind w:left="5060"/>
        <w:spacing w:after="0"/>
        <w:rPr>
          <w:sz w:val="20"/>
          <w:szCs w:val="20"/>
          <w:color w:val="auto"/>
        </w:rPr>
      </w:pPr>
      <w:r>
        <w:rPr>
          <w:rFonts w:ascii="Arial" w:cs="Arial" w:eastAsia="Arial" w:hAnsi="Arial"/>
          <w:sz w:val="21"/>
          <w:szCs w:val="21"/>
          <w:b w:val="1"/>
          <w:bCs w:val="1"/>
          <w:color w:val="auto"/>
        </w:rPr>
        <w:t>Directors</w:t>
      </w:r>
    </w:p>
    <w:p>
      <w:pPr>
        <w:spacing w:after="0" w:line="129" w:lineRule="exact"/>
        <w:rPr>
          <w:sz w:val="20"/>
          <w:szCs w:val="20"/>
          <w:color w:val="auto"/>
        </w:rPr>
      </w:pPr>
    </w:p>
    <w:p>
      <w:pPr>
        <w:ind w:left="1300" w:right="79"/>
        <w:spacing w:after="0" w:line="237" w:lineRule="auto"/>
        <w:rPr>
          <w:sz w:val="20"/>
          <w:szCs w:val="20"/>
          <w:color w:val="auto"/>
        </w:rPr>
      </w:pPr>
      <w:r>
        <w:rPr>
          <w:rFonts w:ascii="Arial" w:cs="Arial" w:eastAsia="Arial" w:hAnsi="Arial"/>
          <w:sz w:val="16"/>
          <w:szCs w:val="16"/>
          <w:color w:val="auto"/>
        </w:rPr>
        <w:t>The Board of Directors has nominated 12 directors for election during the 2021 annual shareholders meeting (“Annual Meeting”) to hold office until the 2022 annual shareholders meeting. The Board has nominated Carlos Rodriguez for election as director. If elected, his term will begin on November 30, 2021. The Board has approved an increase in its size from 11 members to 12 members effective as of November 30, 2021. The Governance and Nominating Committee evaluated and recommended the nominees in accordance with its charter and our Corporate Governance Guidelines.</w:t>
      </w:r>
    </w:p>
    <w:p>
      <w:pPr>
        <w:spacing w:after="0" w:line="11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To be elected, a director must receive a vote of the majority of the votes cast.</w:t>
      </w:r>
    </w:p>
    <w:p>
      <w:pPr>
        <w:spacing w:after="0" w:line="200" w:lineRule="exact"/>
        <w:rPr>
          <w:sz w:val="20"/>
          <w:szCs w:val="20"/>
          <w:color w:val="auto"/>
        </w:rPr>
      </w:pPr>
    </w:p>
    <w:p>
      <w:pPr>
        <w:spacing w:after="0" w:line="202" w:lineRule="exact"/>
        <w:rPr>
          <w:sz w:val="20"/>
          <w:szCs w:val="20"/>
          <w:color w:val="auto"/>
        </w:rPr>
      </w:pPr>
    </w:p>
    <w:p>
      <w:pPr>
        <w:ind w:left="1100" w:right="419"/>
        <w:spacing w:after="0" w:line="278" w:lineRule="auto"/>
        <w:rPr>
          <w:sz w:val="20"/>
          <w:szCs w:val="20"/>
          <w:color w:val="auto"/>
        </w:rPr>
      </w:pPr>
      <w:r>
        <w:rPr>
          <w:rFonts w:ascii="Arial" w:cs="Arial" w:eastAsia="Arial" w:hAnsi="Arial"/>
          <w:sz w:val="17"/>
          <w:szCs w:val="17"/>
          <w:b w:val="1"/>
          <w:bCs w:val="1"/>
          <w:i w:val="1"/>
          <w:iCs w:val="1"/>
          <w:color w:val="0075C9"/>
        </w:rPr>
        <w:t>Our Board of Directors recommends a vote FOR the election to the Board for each of the nominees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46355</wp:posOffset>
            </wp:positionV>
            <wp:extent cx="764540" cy="7645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64540" cy="764540"/>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46355</wp:posOffset>
            </wp:positionV>
            <wp:extent cx="764540" cy="7645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64540" cy="764540"/>
                    </a:xfrm>
                    <a:prstGeom prst="rect">
                      <a:avLst/>
                    </a:prstGeom>
                    <a:noFill/>
                  </pic:spPr>
                </pic:pic>
              </a:graphicData>
            </a:graphic>
          </wp:anchor>
        </w:drawing>
        <w:drawing>
          <wp:anchor simplePos="0" relativeHeight="251657728" behindDoc="1" locked="0" layoutInCell="0" allowOverlap="1">
            <wp:simplePos x="0" y="0"/>
            <wp:positionH relativeFrom="column">
              <wp:posOffset>3752215</wp:posOffset>
            </wp:positionH>
            <wp:positionV relativeFrom="paragraph">
              <wp:posOffset>46355</wp:posOffset>
            </wp:positionV>
            <wp:extent cx="764540" cy="77279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64540" cy="772795"/>
                    </a:xfrm>
                    <a:prstGeom prst="rect">
                      <a:avLst/>
                    </a:prstGeom>
                    <a:noFill/>
                  </pic:spPr>
                </pic:pic>
              </a:graphicData>
            </a:graphic>
          </wp:anchor>
        </w:drawing>
        <w:drawing>
          <wp:anchor simplePos="0" relativeHeight="251657728" behindDoc="1" locked="0" layoutInCell="0" allowOverlap="1">
            <wp:simplePos x="0" y="0"/>
            <wp:positionH relativeFrom="column">
              <wp:posOffset>5298440</wp:posOffset>
            </wp:positionH>
            <wp:positionV relativeFrom="paragraph">
              <wp:posOffset>46355</wp:posOffset>
            </wp:positionV>
            <wp:extent cx="764540" cy="7645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64540" cy="764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960" w:type="dxa"/>
        <w:tblCellMar>
          <w:top w:w="0" w:type="dxa"/>
          <w:left w:w="0" w:type="dxa"/>
          <w:bottom w:w="0" w:type="dxa"/>
          <w:right w:w="0" w:type="dxa"/>
        </w:tblCellMar>
      </w:tblPr>
      <w:tr>
        <w:trPr>
          <w:trHeight w:val="191"/>
        </w:trPr>
        <w:tc>
          <w:tcPr>
            <w:tcW w:w="2040" w:type="dxa"/>
            <w:vAlign w:val="bottom"/>
          </w:tcPr>
          <w:p>
            <w:pPr>
              <w:ind w:left="140"/>
              <w:spacing w:after="0"/>
              <w:rPr>
                <w:sz w:val="20"/>
                <w:szCs w:val="20"/>
                <w:color w:val="auto"/>
              </w:rPr>
            </w:pPr>
            <w:r>
              <w:rPr>
                <w:rFonts w:ascii="Arial" w:cs="Arial" w:eastAsia="Arial" w:hAnsi="Arial"/>
                <w:sz w:val="16"/>
                <w:szCs w:val="16"/>
                <w:b w:val="1"/>
                <w:bCs w:val="1"/>
                <w:color w:val="auto"/>
              </w:rPr>
              <w:t>Reid G. Hoffman</w:t>
            </w:r>
          </w:p>
        </w:tc>
        <w:tc>
          <w:tcPr>
            <w:tcW w:w="2560" w:type="dxa"/>
            <w:vAlign w:val="bottom"/>
          </w:tcPr>
          <w:p>
            <w:pPr>
              <w:ind w:left="380"/>
              <w:spacing w:after="0"/>
              <w:rPr>
                <w:sz w:val="20"/>
                <w:szCs w:val="20"/>
                <w:color w:val="auto"/>
              </w:rPr>
            </w:pPr>
            <w:r>
              <w:rPr>
                <w:rFonts w:ascii="Arial" w:cs="Arial" w:eastAsia="Arial" w:hAnsi="Arial"/>
                <w:sz w:val="16"/>
                <w:szCs w:val="16"/>
                <w:b w:val="1"/>
                <w:bCs w:val="1"/>
                <w:color w:val="auto"/>
              </w:rPr>
              <w:t>Hugh F. Johnston</w:t>
            </w:r>
          </w:p>
        </w:tc>
        <w:tc>
          <w:tcPr>
            <w:tcW w:w="2460" w:type="dxa"/>
            <w:vAlign w:val="bottom"/>
          </w:tcPr>
          <w:p>
            <w:pPr>
              <w:ind w:left="340"/>
              <w:spacing w:after="0"/>
              <w:rPr>
                <w:sz w:val="20"/>
                <w:szCs w:val="20"/>
                <w:color w:val="auto"/>
              </w:rPr>
            </w:pPr>
            <w:r>
              <w:rPr>
                <w:rFonts w:ascii="Arial" w:cs="Arial" w:eastAsia="Arial" w:hAnsi="Arial"/>
                <w:sz w:val="16"/>
                <w:szCs w:val="16"/>
                <w:b w:val="1"/>
                <w:bCs w:val="1"/>
                <w:color w:val="auto"/>
              </w:rPr>
              <w:t>Teri L. List</w:t>
            </w:r>
          </w:p>
        </w:tc>
        <w:tc>
          <w:tcPr>
            <w:tcW w:w="2000" w:type="dxa"/>
            <w:vAlign w:val="bottom"/>
          </w:tcPr>
          <w:p>
            <w:pPr>
              <w:ind w:left="320"/>
              <w:spacing w:after="0"/>
              <w:rPr>
                <w:sz w:val="20"/>
                <w:szCs w:val="20"/>
                <w:color w:val="auto"/>
              </w:rPr>
            </w:pPr>
            <w:r>
              <w:rPr>
                <w:rFonts w:ascii="Arial" w:cs="Arial" w:eastAsia="Arial" w:hAnsi="Arial"/>
                <w:sz w:val="16"/>
                <w:szCs w:val="16"/>
                <w:b w:val="1"/>
                <w:bCs w:val="1"/>
                <w:color w:val="auto"/>
              </w:rPr>
              <w:t xml:space="preserve">Satya Nadella </w:t>
            </w:r>
            <w:r>
              <w:rPr>
                <w:rFonts w:ascii="Arial" w:cs="Arial" w:eastAsia="Arial" w:hAnsi="Arial"/>
                <w:sz w:val="13"/>
                <w:szCs w:val="13"/>
                <w:color w:val="auto"/>
              </w:rPr>
              <w:t>(Board</w:t>
            </w:r>
          </w:p>
        </w:tc>
        <w:tc>
          <w:tcPr>
            <w:tcW w:w="0" w:type="dxa"/>
            <w:vAlign w:val="bottom"/>
          </w:tcPr>
          <w:p>
            <w:pPr>
              <w:spacing w:after="0"/>
              <w:rPr>
                <w:sz w:val="1"/>
                <w:szCs w:val="1"/>
                <w:color w:val="auto"/>
              </w:rPr>
            </w:pPr>
          </w:p>
        </w:tc>
      </w:tr>
      <w:tr>
        <w:trPr>
          <w:trHeight w:val="172"/>
        </w:trPr>
        <w:tc>
          <w:tcPr>
            <w:tcW w:w="2040" w:type="dxa"/>
            <w:vAlign w:val="bottom"/>
          </w:tcPr>
          <w:p>
            <w:pPr>
              <w:ind w:left="140"/>
              <w:spacing w:after="0" w:line="171" w:lineRule="exact"/>
              <w:rPr>
                <w:sz w:val="20"/>
                <w:szCs w:val="20"/>
                <w:color w:val="auto"/>
              </w:rPr>
            </w:pPr>
            <w:r>
              <w:rPr>
                <w:rFonts w:ascii="Arial" w:cs="Arial" w:eastAsia="Arial" w:hAnsi="Arial"/>
                <w:sz w:val="16"/>
                <w:szCs w:val="16"/>
                <w:b w:val="1"/>
                <w:bCs w:val="1"/>
                <w:color w:val="0075C9"/>
              </w:rPr>
              <w:t xml:space="preserve">Age: </w:t>
            </w:r>
            <w:r>
              <w:rPr>
                <w:rFonts w:ascii="Arial" w:cs="Arial" w:eastAsia="Arial" w:hAnsi="Arial"/>
                <w:sz w:val="16"/>
                <w:szCs w:val="16"/>
                <w:color w:val="000000"/>
              </w:rPr>
              <w:t>54</w:t>
            </w:r>
          </w:p>
        </w:tc>
        <w:tc>
          <w:tcPr>
            <w:tcW w:w="2560" w:type="dxa"/>
            <w:vAlign w:val="bottom"/>
          </w:tcPr>
          <w:p>
            <w:pPr>
              <w:ind w:left="380"/>
              <w:spacing w:after="0" w:line="171" w:lineRule="exact"/>
              <w:rPr>
                <w:sz w:val="20"/>
                <w:szCs w:val="20"/>
                <w:color w:val="auto"/>
              </w:rPr>
            </w:pPr>
            <w:r>
              <w:rPr>
                <w:rFonts w:ascii="Arial" w:cs="Arial" w:eastAsia="Arial" w:hAnsi="Arial"/>
                <w:sz w:val="16"/>
                <w:szCs w:val="16"/>
                <w:b w:val="1"/>
                <w:bCs w:val="1"/>
                <w:color w:val="0075C9"/>
              </w:rPr>
              <w:t xml:space="preserve">Age: </w:t>
            </w:r>
            <w:r>
              <w:rPr>
                <w:rFonts w:ascii="Arial" w:cs="Arial" w:eastAsia="Arial" w:hAnsi="Arial"/>
                <w:sz w:val="16"/>
                <w:szCs w:val="16"/>
                <w:color w:val="000000"/>
              </w:rPr>
              <w:t>60</w:t>
            </w:r>
          </w:p>
        </w:tc>
        <w:tc>
          <w:tcPr>
            <w:tcW w:w="2460" w:type="dxa"/>
            <w:vAlign w:val="bottom"/>
          </w:tcPr>
          <w:p>
            <w:pPr>
              <w:ind w:left="340"/>
              <w:spacing w:after="0" w:line="171" w:lineRule="exact"/>
              <w:rPr>
                <w:sz w:val="20"/>
                <w:szCs w:val="20"/>
                <w:color w:val="auto"/>
              </w:rPr>
            </w:pPr>
            <w:r>
              <w:rPr>
                <w:rFonts w:ascii="Arial" w:cs="Arial" w:eastAsia="Arial" w:hAnsi="Arial"/>
                <w:sz w:val="16"/>
                <w:szCs w:val="16"/>
                <w:b w:val="1"/>
                <w:bCs w:val="1"/>
                <w:color w:val="0075C9"/>
              </w:rPr>
              <w:t xml:space="preserve">Age: </w:t>
            </w:r>
            <w:r>
              <w:rPr>
                <w:rFonts w:ascii="Arial" w:cs="Arial" w:eastAsia="Arial" w:hAnsi="Arial"/>
                <w:sz w:val="16"/>
                <w:szCs w:val="16"/>
                <w:color w:val="000000"/>
              </w:rPr>
              <w:t>58</w:t>
            </w:r>
          </w:p>
        </w:tc>
        <w:tc>
          <w:tcPr>
            <w:tcW w:w="2000" w:type="dxa"/>
            <w:vAlign w:val="bottom"/>
          </w:tcPr>
          <w:p>
            <w:pPr>
              <w:ind w:left="320"/>
              <w:spacing w:after="0"/>
              <w:rPr>
                <w:sz w:val="20"/>
                <w:szCs w:val="20"/>
                <w:color w:val="auto"/>
              </w:rPr>
            </w:pPr>
            <w:r>
              <w:rPr>
                <w:rFonts w:ascii="Arial" w:cs="Arial" w:eastAsia="Arial" w:hAnsi="Arial"/>
                <w:sz w:val="14"/>
                <w:szCs w:val="14"/>
                <w:color w:val="auto"/>
              </w:rPr>
              <w:t>Chair)</w:t>
            </w:r>
          </w:p>
        </w:tc>
        <w:tc>
          <w:tcPr>
            <w:tcW w:w="0" w:type="dxa"/>
            <w:vAlign w:val="bottom"/>
          </w:tcPr>
          <w:p>
            <w:pPr>
              <w:spacing w:after="0"/>
              <w:rPr>
                <w:sz w:val="1"/>
                <w:szCs w:val="1"/>
                <w:color w:val="auto"/>
              </w:rPr>
            </w:pPr>
          </w:p>
        </w:tc>
      </w:tr>
      <w:tr>
        <w:trPr>
          <w:trHeight w:val="181"/>
        </w:trPr>
        <w:tc>
          <w:tcPr>
            <w:tcW w:w="2040" w:type="dxa"/>
            <w:vAlign w:val="bottom"/>
          </w:tcPr>
          <w:p>
            <w:pPr>
              <w:ind w:left="140"/>
              <w:spacing w:after="0" w:line="181" w:lineRule="exact"/>
              <w:rPr>
                <w:sz w:val="20"/>
                <w:szCs w:val="20"/>
                <w:color w:val="auto"/>
              </w:rPr>
            </w:pPr>
            <w:r>
              <w:rPr>
                <w:rFonts w:ascii="Arial" w:cs="Arial" w:eastAsia="Arial" w:hAnsi="Arial"/>
                <w:sz w:val="16"/>
                <w:szCs w:val="16"/>
                <w:b w:val="1"/>
                <w:bCs w:val="1"/>
                <w:color w:val="0075C9"/>
              </w:rPr>
              <w:t xml:space="preserve">Director Since: </w:t>
            </w:r>
            <w:r>
              <w:rPr>
                <w:rFonts w:ascii="Arial" w:cs="Arial" w:eastAsia="Arial" w:hAnsi="Arial"/>
                <w:sz w:val="16"/>
                <w:szCs w:val="16"/>
                <w:color w:val="000000"/>
              </w:rPr>
              <w:t>2017</w:t>
            </w:r>
          </w:p>
        </w:tc>
        <w:tc>
          <w:tcPr>
            <w:tcW w:w="2560" w:type="dxa"/>
            <w:vAlign w:val="bottom"/>
          </w:tcPr>
          <w:p>
            <w:pPr>
              <w:ind w:left="380"/>
              <w:spacing w:after="0" w:line="181" w:lineRule="exact"/>
              <w:rPr>
                <w:sz w:val="20"/>
                <w:szCs w:val="20"/>
                <w:color w:val="auto"/>
              </w:rPr>
            </w:pPr>
            <w:r>
              <w:rPr>
                <w:rFonts w:ascii="Arial" w:cs="Arial" w:eastAsia="Arial" w:hAnsi="Arial"/>
                <w:sz w:val="16"/>
                <w:szCs w:val="16"/>
                <w:b w:val="1"/>
                <w:bCs w:val="1"/>
                <w:color w:val="0075C9"/>
              </w:rPr>
              <w:t xml:space="preserve">Director Since: </w:t>
            </w:r>
            <w:r>
              <w:rPr>
                <w:rFonts w:ascii="Arial" w:cs="Arial" w:eastAsia="Arial" w:hAnsi="Arial"/>
                <w:sz w:val="16"/>
                <w:szCs w:val="16"/>
                <w:color w:val="000000"/>
              </w:rPr>
              <w:t>2017</w:t>
            </w:r>
          </w:p>
        </w:tc>
        <w:tc>
          <w:tcPr>
            <w:tcW w:w="2460" w:type="dxa"/>
            <w:vAlign w:val="bottom"/>
          </w:tcPr>
          <w:p>
            <w:pPr>
              <w:ind w:left="340"/>
              <w:spacing w:after="0" w:line="181" w:lineRule="exact"/>
              <w:rPr>
                <w:sz w:val="20"/>
                <w:szCs w:val="20"/>
                <w:color w:val="auto"/>
              </w:rPr>
            </w:pPr>
            <w:r>
              <w:rPr>
                <w:rFonts w:ascii="Arial" w:cs="Arial" w:eastAsia="Arial" w:hAnsi="Arial"/>
                <w:sz w:val="16"/>
                <w:szCs w:val="16"/>
                <w:b w:val="1"/>
                <w:bCs w:val="1"/>
                <w:color w:val="0075C9"/>
              </w:rPr>
              <w:t xml:space="preserve">Director Since: </w:t>
            </w:r>
            <w:r>
              <w:rPr>
                <w:rFonts w:ascii="Arial" w:cs="Arial" w:eastAsia="Arial" w:hAnsi="Arial"/>
                <w:sz w:val="16"/>
                <w:szCs w:val="16"/>
                <w:color w:val="000000"/>
              </w:rPr>
              <w:t>2014</w:t>
            </w:r>
          </w:p>
        </w:tc>
        <w:tc>
          <w:tcPr>
            <w:tcW w:w="2000" w:type="dxa"/>
            <w:vAlign w:val="bottom"/>
          </w:tcPr>
          <w:p>
            <w:pPr>
              <w:ind w:left="320"/>
              <w:spacing w:after="0" w:line="181" w:lineRule="exact"/>
              <w:rPr>
                <w:sz w:val="20"/>
                <w:szCs w:val="20"/>
                <w:color w:val="auto"/>
              </w:rPr>
            </w:pPr>
            <w:r>
              <w:rPr>
                <w:rFonts w:ascii="Arial" w:cs="Arial" w:eastAsia="Arial" w:hAnsi="Arial"/>
                <w:sz w:val="16"/>
                <w:szCs w:val="16"/>
                <w:b w:val="1"/>
                <w:bCs w:val="1"/>
                <w:color w:val="0075C9"/>
              </w:rPr>
              <w:t xml:space="preserve">Age: </w:t>
            </w:r>
            <w:r>
              <w:rPr>
                <w:rFonts w:ascii="Arial" w:cs="Arial" w:eastAsia="Arial" w:hAnsi="Arial"/>
                <w:sz w:val="16"/>
                <w:szCs w:val="16"/>
                <w:color w:val="000000"/>
              </w:rPr>
              <w:t>54</w:t>
            </w:r>
          </w:p>
        </w:tc>
        <w:tc>
          <w:tcPr>
            <w:tcW w:w="0" w:type="dxa"/>
            <w:vAlign w:val="bottom"/>
          </w:tcPr>
          <w:p>
            <w:pPr>
              <w:spacing w:after="0"/>
              <w:rPr>
                <w:sz w:val="1"/>
                <w:szCs w:val="1"/>
                <w:color w:val="auto"/>
              </w:rPr>
            </w:pPr>
          </w:p>
        </w:tc>
      </w:tr>
      <w:tr>
        <w:trPr>
          <w:trHeight w:val="181"/>
        </w:trPr>
        <w:tc>
          <w:tcPr>
            <w:tcW w:w="2040" w:type="dxa"/>
            <w:vAlign w:val="bottom"/>
          </w:tcPr>
          <w:p>
            <w:pPr>
              <w:ind w:left="140"/>
              <w:spacing w:after="0" w:line="181" w:lineRule="exact"/>
              <w:rPr>
                <w:sz w:val="20"/>
                <w:szCs w:val="20"/>
                <w:color w:val="auto"/>
              </w:rPr>
            </w:pPr>
            <w:r>
              <w:rPr>
                <w:rFonts w:ascii="Arial" w:cs="Arial" w:eastAsia="Arial" w:hAnsi="Arial"/>
                <w:sz w:val="16"/>
                <w:szCs w:val="16"/>
                <w:b w:val="1"/>
                <w:bCs w:val="1"/>
                <w:color w:val="0075C9"/>
              </w:rPr>
              <w:t xml:space="preserve">Occupation: </w:t>
            </w:r>
            <w:r>
              <w:rPr>
                <w:rFonts w:ascii="Arial" w:cs="Arial" w:eastAsia="Arial" w:hAnsi="Arial"/>
                <w:sz w:val="16"/>
                <w:szCs w:val="16"/>
                <w:color w:val="000000"/>
              </w:rPr>
              <w:t>General</w:t>
            </w:r>
          </w:p>
        </w:tc>
        <w:tc>
          <w:tcPr>
            <w:tcW w:w="2560" w:type="dxa"/>
            <w:vAlign w:val="bottom"/>
          </w:tcPr>
          <w:p>
            <w:pPr>
              <w:ind w:left="380"/>
              <w:spacing w:after="0" w:line="181" w:lineRule="exact"/>
              <w:rPr>
                <w:sz w:val="20"/>
                <w:szCs w:val="20"/>
                <w:color w:val="auto"/>
              </w:rPr>
            </w:pPr>
            <w:r>
              <w:rPr>
                <w:rFonts w:ascii="Arial" w:cs="Arial" w:eastAsia="Arial" w:hAnsi="Arial"/>
                <w:sz w:val="16"/>
                <w:szCs w:val="16"/>
                <w:b w:val="1"/>
                <w:bCs w:val="1"/>
                <w:color w:val="0075C9"/>
              </w:rPr>
              <w:t xml:space="preserve">Occupation: </w:t>
            </w:r>
            <w:r>
              <w:rPr>
                <w:rFonts w:ascii="Arial" w:cs="Arial" w:eastAsia="Arial" w:hAnsi="Arial"/>
                <w:sz w:val="16"/>
                <w:szCs w:val="16"/>
                <w:color w:val="000000"/>
              </w:rPr>
              <w:t>Vice</w:t>
            </w:r>
          </w:p>
        </w:tc>
        <w:tc>
          <w:tcPr>
            <w:tcW w:w="2460" w:type="dxa"/>
            <w:vAlign w:val="bottom"/>
          </w:tcPr>
          <w:p>
            <w:pPr>
              <w:ind w:left="340"/>
              <w:spacing w:after="0" w:line="181" w:lineRule="exact"/>
              <w:rPr>
                <w:sz w:val="20"/>
                <w:szCs w:val="20"/>
                <w:color w:val="auto"/>
              </w:rPr>
            </w:pPr>
            <w:r>
              <w:rPr>
                <w:rFonts w:ascii="Arial" w:cs="Arial" w:eastAsia="Arial" w:hAnsi="Arial"/>
                <w:sz w:val="16"/>
                <w:szCs w:val="16"/>
                <w:b w:val="1"/>
                <w:bCs w:val="1"/>
                <w:color w:val="0075C9"/>
              </w:rPr>
              <w:t xml:space="preserve">Occupation: </w:t>
            </w:r>
            <w:r>
              <w:rPr>
                <w:rFonts w:ascii="Arial" w:cs="Arial" w:eastAsia="Arial" w:hAnsi="Arial"/>
                <w:sz w:val="16"/>
                <w:szCs w:val="16"/>
                <w:color w:val="000000"/>
              </w:rPr>
              <w:t>Former</w:t>
            </w:r>
          </w:p>
        </w:tc>
        <w:tc>
          <w:tcPr>
            <w:tcW w:w="2000" w:type="dxa"/>
            <w:vAlign w:val="bottom"/>
          </w:tcPr>
          <w:p>
            <w:pPr>
              <w:ind w:left="320"/>
              <w:spacing w:after="0" w:line="181" w:lineRule="exact"/>
              <w:rPr>
                <w:sz w:val="20"/>
                <w:szCs w:val="20"/>
                <w:color w:val="auto"/>
              </w:rPr>
            </w:pPr>
            <w:r>
              <w:rPr>
                <w:rFonts w:ascii="Arial" w:cs="Arial" w:eastAsia="Arial" w:hAnsi="Arial"/>
                <w:sz w:val="16"/>
                <w:szCs w:val="16"/>
                <w:b w:val="1"/>
                <w:bCs w:val="1"/>
                <w:color w:val="0075C9"/>
              </w:rPr>
              <w:t xml:space="preserve">Director Since: </w:t>
            </w:r>
            <w:r>
              <w:rPr>
                <w:rFonts w:ascii="Arial" w:cs="Arial" w:eastAsia="Arial" w:hAnsi="Arial"/>
                <w:sz w:val="16"/>
                <w:szCs w:val="16"/>
                <w:color w:val="000000"/>
              </w:rPr>
              <w:t>2014</w:t>
            </w:r>
          </w:p>
        </w:tc>
        <w:tc>
          <w:tcPr>
            <w:tcW w:w="0" w:type="dxa"/>
            <w:vAlign w:val="bottom"/>
          </w:tcPr>
          <w:p>
            <w:pPr>
              <w:spacing w:after="0"/>
              <w:rPr>
                <w:sz w:val="1"/>
                <w:szCs w:val="1"/>
                <w:color w:val="auto"/>
              </w:rPr>
            </w:pPr>
          </w:p>
        </w:tc>
      </w:tr>
      <w:tr>
        <w:trPr>
          <w:trHeight w:val="183"/>
        </w:trPr>
        <w:tc>
          <w:tcPr>
            <w:tcW w:w="2040" w:type="dxa"/>
            <w:vAlign w:val="bottom"/>
          </w:tcPr>
          <w:p>
            <w:pPr>
              <w:ind w:left="140"/>
              <w:spacing w:after="0"/>
              <w:rPr>
                <w:sz w:val="20"/>
                <w:szCs w:val="20"/>
                <w:color w:val="auto"/>
              </w:rPr>
            </w:pPr>
            <w:r>
              <w:rPr>
                <w:rFonts w:ascii="Arial" w:cs="Arial" w:eastAsia="Arial" w:hAnsi="Arial"/>
                <w:sz w:val="16"/>
                <w:szCs w:val="16"/>
                <w:color w:val="auto"/>
              </w:rPr>
              <w:t>Partner, Greylock</w:t>
            </w:r>
          </w:p>
        </w:tc>
        <w:tc>
          <w:tcPr>
            <w:tcW w:w="2560" w:type="dxa"/>
            <w:vAlign w:val="bottom"/>
          </w:tcPr>
          <w:p>
            <w:pPr>
              <w:ind w:left="380"/>
              <w:spacing w:after="0"/>
              <w:rPr>
                <w:sz w:val="20"/>
                <w:szCs w:val="20"/>
                <w:color w:val="auto"/>
              </w:rPr>
            </w:pPr>
            <w:r>
              <w:rPr>
                <w:rFonts w:ascii="Arial" w:cs="Arial" w:eastAsia="Arial" w:hAnsi="Arial"/>
                <w:sz w:val="16"/>
                <w:szCs w:val="16"/>
                <w:color w:val="auto"/>
              </w:rPr>
              <w:t>Chairman, Executive Vice</w:t>
            </w:r>
          </w:p>
        </w:tc>
        <w:tc>
          <w:tcPr>
            <w:tcW w:w="2460" w:type="dxa"/>
            <w:vAlign w:val="bottom"/>
          </w:tcPr>
          <w:p>
            <w:pPr>
              <w:ind w:left="340"/>
              <w:spacing w:after="0"/>
              <w:rPr>
                <w:sz w:val="20"/>
                <w:szCs w:val="20"/>
                <w:color w:val="auto"/>
              </w:rPr>
            </w:pPr>
            <w:r>
              <w:rPr>
                <w:rFonts w:ascii="Arial" w:cs="Arial" w:eastAsia="Arial" w:hAnsi="Arial"/>
                <w:sz w:val="16"/>
                <w:szCs w:val="16"/>
                <w:color w:val="auto"/>
              </w:rPr>
              <w:t>Executive Vice President</w:t>
            </w:r>
          </w:p>
        </w:tc>
        <w:tc>
          <w:tcPr>
            <w:tcW w:w="2000" w:type="dxa"/>
            <w:vAlign w:val="bottom"/>
          </w:tcPr>
          <w:p>
            <w:pPr>
              <w:ind w:left="320"/>
              <w:spacing w:after="0"/>
              <w:rPr>
                <w:sz w:val="20"/>
                <w:szCs w:val="20"/>
                <w:color w:val="auto"/>
              </w:rPr>
            </w:pPr>
            <w:r>
              <w:rPr>
                <w:rFonts w:ascii="Arial" w:cs="Arial" w:eastAsia="Arial" w:hAnsi="Arial"/>
                <w:sz w:val="16"/>
                <w:szCs w:val="16"/>
                <w:b w:val="1"/>
                <w:bCs w:val="1"/>
                <w:color w:val="0075C9"/>
                <w:w w:val="99"/>
              </w:rPr>
              <w:t xml:space="preserve">Occupation: </w:t>
            </w:r>
            <w:r>
              <w:rPr>
                <w:rFonts w:ascii="Arial" w:cs="Arial" w:eastAsia="Arial" w:hAnsi="Arial"/>
                <w:sz w:val="16"/>
                <w:szCs w:val="16"/>
                <w:color w:val="000000"/>
                <w:w w:val="99"/>
              </w:rPr>
              <w:t>Chairman</w:t>
            </w:r>
          </w:p>
        </w:tc>
        <w:tc>
          <w:tcPr>
            <w:tcW w:w="0" w:type="dxa"/>
            <w:vAlign w:val="bottom"/>
          </w:tcPr>
          <w:p>
            <w:pPr>
              <w:spacing w:after="0"/>
              <w:rPr>
                <w:sz w:val="1"/>
                <w:szCs w:val="1"/>
                <w:color w:val="auto"/>
              </w:rPr>
            </w:pPr>
          </w:p>
        </w:tc>
      </w:tr>
      <w:tr>
        <w:trPr>
          <w:trHeight w:val="181"/>
        </w:trPr>
        <w:tc>
          <w:tcPr>
            <w:tcW w:w="2040" w:type="dxa"/>
            <w:vAlign w:val="bottom"/>
          </w:tcPr>
          <w:p>
            <w:pPr>
              <w:ind w:left="140"/>
              <w:spacing w:after="0" w:line="181" w:lineRule="exact"/>
              <w:rPr>
                <w:sz w:val="20"/>
                <w:szCs w:val="20"/>
                <w:color w:val="auto"/>
              </w:rPr>
            </w:pPr>
            <w:r>
              <w:rPr>
                <w:rFonts w:ascii="Arial" w:cs="Arial" w:eastAsia="Arial" w:hAnsi="Arial"/>
                <w:sz w:val="16"/>
                <w:szCs w:val="16"/>
                <w:color w:val="auto"/>
              </w:rPr>
              <w:t>Partners</w:t>
            </w:r>
          </w:p>
        </w:tc>
        <w:tc>
          <w:tcPr>
            <w:tcW w:w="2560" w:type="dxa"/>
            <w:vAlign w:val="bottom"/>
          </w:tcPr>
          <w:p>
            <w:pPr>
              <w:ind w:left="380"/>
              <w:spacing w:after="0" w:line="181" w:lineRule="exact"/>
              <w:rPr>
                <w:sz w:val="20"/>
                <w:szCs w:val="20"/>
                <w:color w:val="auto"/>
              </w:rPr>
            </w:pPr>
            <w:r>
              <w:rPr>
                <w:rFonts w:ascii="Arial" w:cs="Arial" w:eastAsia="Arial" w:hAnsi="Arial"/>
                <w:sz w:val="16"/>
                <w:szCs w:val="16"/>
                <w:color w:val="auto"/>
              </w:rPr>
              <w:t>President, and CFO,</w:t>
            </w:r>
          </w:p>
        </w:tc>
        <w:tc>
          <w:tcPr>
            <w:tcW w:w="2460" w:type="dxa"/>
            <w:vAlign w:val="bottom"/>
          </w:tcPr>
          <w:p>
            <w:pPr>
              <w:ind w:left="340"/>
              <w:spacing w:after="0" w:line="181" w:lineRule="exact"/>
              <w:rPr>
                <w:sz w:val="20"/>
                <w:szCs w:val="20"/>
                <w:color w:val="auto"/>
              </w:rPr>
            </w:pPr>
            <w:r>
              <w:rPr>
                <w:rFonts w:ascii="Arial" w:cs="Arial" w:eastAsia="Arial" w:hAnsi="Arial"/>
                <w:sz w:val="16"/>
                <w:szCs w:val="16"/>
                <w:color w:val="auto"/>
              </w:rPr>
              <w:t>and CFO, The Gap, Inc.</w:t>
            </w:r>
          </w:p>
        </w:tc>
        <w:tc>
          <w:tcPr>
            <w:tcW w:w="2000" w:type="dxa"/>
            <w:vAlign w:val="bottom"/>
          </w:tcPr>
          <w:p>
            <w:pPr>
              <w:ind w:left="320"/>
              <w:spacing w:after="0" w:line="181" w:lineRule="exact"/>
              <w:rPr>
                <w:sz w:val="20"/>
                <w:szCs w:val="20"/>
                <w:color w:val="auto"/>
              </w:rPr>
            </w:pPr>
            <w:r>
              <w:rPr>
                <w:rFonts w:ascii="Arial" w:cs="Arial" w:eastAsia="Arial" w:hAnsi="Arial"/>
                <w:sz w:val="16"/>
                <w:szCs w:val="16"/>
                <w:color w:val="auto"/>
              </w:rPr>
              <w:t>and CEO, Microsoft</w:t>
            </w:r>
          </w:p>
        </w:tc>
        <w:tc>
          <w:tcPr>
            <w:tcW w:w="0" w:type="dxa"/>
            <w:vAlign w:val="bottom"/>
          </w:tcPr>
          <w:p>
            <w:pPr>
              <w:spacing w:after="0"/>
              <w:rPr>
                <w:sz w:val="1"/>
                <w:szCs w:val="1"/>
                <w:color w:val="auto"/>
              </w:rPr>
            </w:pPr>
          </w:p>
        </w:tc>
      </w:tr>
      <w:tr>
        <w:trPr>
          <w:trHeight w:val="213"/>
        </w:trPr>
        <w:tc>
          <w:tcPr>
            <w:tcW w:w="2040" w:type="dxa"/>
            <w:vAlign w:val="bottom"/>
          </w:tcPr>
          <w:p>
            <w:pPr>
              <w:spacing w:after="0"/>
              <w:rPr>
                <w:sz w:val="18"/>
                <w:szCs w:val="18"/>
                <w:color w:val="auto"/>
              </w:rPr>
            </w:pPr>
          </w:p>
        </w:tc>
        <w:tc>
          <w:tcPr>
            <w:tcW w:w="2560" w:type="dxa"/>
            <w:vAlign w:val="bottom"/>
          </w:tcPr>
          <w:p>
            <w:pPr>
              <w:ind w:left="380"/>
              <w:spacing w:after="0"/>
              <w:rPr>
                <w:sz w:val="20"/>
                <w:szCs w:val="20"/>
                <w:color w:val="auto"/>
              </w:rPr>
            </w:pPr>
            <w:r>
              <w:rPr>
                <w:rFonts w:ascii="Arial" w:cs="Arial" w:eastAsia="Arial" w:hAnsi="Arial"/>
                <w:sz w:val="16"/>
                <w:szCs w:val="16"/>
                <w:color w:val="auto"/>
              </w:rPr>
              <w:t>PepsiCo, Inc.</w:t>
            </w:r>
          </w:p>
        </w:tc>
        <w:tc>
          <w:tcPr>
            <w:tcW w:w="2460" w:type="dxa"/>
            <w:vAlign w:val="bottom"/>
          </w:tcPr>
          <w:p>
            <w:pPr>
              <w:spacing w:after="0"/>
              <w:rPr>
                <w:sz w:val="18"/>
                <w:szCs w:val="18"/>
                <w:color w:val="auto"/>
              </w:rPr>
            </w:pPr>
          </w:p>
        </w:tc>
        <w:tc>
          <w:tcPr>
            <w:tcW w:w="2000" w:type="dxa"/>
            <w:vAlign w:val="bottom"/>
          </w:tcPr>
          <w:p>
            <w:pPr>
              <w:ind w:left="320"/>
              <w:spacing w:after="0"/>
              <w:rPr>
                <w:sz w:val="20"/>
                <w:szCs w:val="20"/>
                <w:color w:val="auto"/>
              </w:rPr>
            </w:pPr>
            <w:r>
              <w:rPr>
                <w:rFonts w:ascii="Arial" w:cs="Arial" w:eastAsia="Arial" w:hAnsi="Arial"/>
                <w:sz w:val="16"/>
                <w:szCs w:val="16"/>
                <w:color w:val="auto"/>
              </w:rPr>
              <w:t>Corporation</w:t>
            </w:r>
          </w:p>
        </w:tc>
        <w:tc>
          <w:tcPr>
            <w:tcW w:w="0" w:type="dxa"/>
            <w:vAlign w:val="bottom"/>
          </w:tcPr>
          <w:p>
            <w:pPr>
              <w:spacing w:after="0"/>
              <w:rPr>
                <w:sz w:val="1"/>
                <w:szCs w:val="1"/>
                <w:color w:val="auto"/>
              </w:rPr>
            </w:pPr>
          </w:p>
        </w:tc>
      </w:tr>
      <w:tr>
        <w:trPr>
          <w:trHeight w:val="1478"/>
        </w:trPr>
        <w:tc>
          <w:tcPr>
            <w:tcW w:w="204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Sandra E. Peterson</w:t>
            </w:r>
          </w:p>
        </w:tc>
        <w:tc>
          <w:tcPr>
            <w:tcW w:w="2560" w:type="dxa"/>
            <w:vAlign w:val="bottom"/>
            <w:vMerge w:val="restart"/>
          </w:tcPr>
          <w:p>
            <w:pPr>
              <w:ind w:left="380"/>
              <w:spacing w:after="0"/>
              <w:rPr>
                <w:sz w:val="20"/>
                <w:szCs w:val="20"/>
                <w:color w:val="auto"/>
              </w:rPr>
            </w:pPr>
            <w:r>
              <w:rPr>
                <w:rFonts w:ascii="Arial" w:cs="Arial" w:eastAsia="Arial" w:hAnsi="Arial"/>
                <w:sz w:val="16"/>
                <w:szCs w:val="16"/>
                <w:b w:val="1"/>
                <w:bCs w:val="1"/>
                <w:color w:val="auto"/>
              </w:rPr>
              <w:t>Penny S. Pritzker</w:t>
            </w:r>
          </w:p>
        </w:tc>
        <w:tc>
          <w:tcPr>
            <w:tcW w:w="2460" w:type="dxa"/>
            <w:vAlign w:val="bottom"/>
            <w:vMerge w:val="restart"/>
          </w:tcPr>
          <w:p>
            <w:pPr>
              <w:ind w:left="340"/>
              <w:spacing w:after="0"/>
              <w:rPr>
                <w:sz w:val="20"/>
                <w:szCs w:val="20"/>
                <w:color w:val="auto"/>
              </w:rPr>
            </w:pPr>
            <w:r>
              <w:rPr>
                <w:rFonts w:ascii="Arial" w:cs="Arial" w:eastAsia="Arial" w:hAnsi="Arial"/>
                <w:sz w:val="16"/>
                <w:szCs w:val="16"/>
                <w:b w:val="1"/>
                <w:bCs w:val="1"/>
                <w:color w:val="auto"/>
              </w:rPr>
              <w:t>Carlos A. Rodriguez</w:t>
            </w:r>
          </w:p>
        </w:tc>
        <w:tc>
          <w:tcPr>
            <w:tcW w:w="2000" w:type="dxa"/>
            <w:vAlign w:val="bottom"/>
          </w:tcPr>
          <w:p>
            <w:pPr>
              <w:ind w:lef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2"/>
        </w:trPr>
        <w:tc>
          <w:tcPr>
            <w:tcW w:w="2040" w:type="dxa"/>
            <w:vAlign w:val="bottom"/>
            <w:vMerge w:val="continue"/>
          </w:tcPr>
          <w:p>
            <w:pPr>
              <w:spacing w:after="0"/>
              <w:rPr>
                <w:sz w:val="14"/>
                <w:szCs w:val="14"/>
                <w:color w:val="auto"/>
              </w:rPr>
            </w:pPr>
          </w:p>
        </w:tc>
        <w:tc>
          <w:tcPr>
            <w:tcW w:w="2560" w:type="dxa"/>
            <w:vAlign w:val="bottom"/>
            <w:vMerge w:val="continue"/>
          </w:tcPr>
          <w:p>
            <w:pPr>
              <w:spacing w:after="0"/>
              <w:rPr>
                <w:sz w:val="14"/>
                <w:szCs w:val="14"/>
                <w:color w:val="auto"/>
              </w:rPr>
            </w:pPr>
          </w:p>
        </w:tc>
        <w:tc>
          <w:tcPr>
            <w:tcW w:w="2460" w:type="dxa"/>
            <w:vAlign w:val="bottom"/>
            <w:vMerge w:val="continue"/>
          </w:tcPr>
          <w:p>
            <w:pPr>
              <w:spacing w:after="0"/>
              <w:rPr>
                <w:sz w:val="14"/>
                <w:szCs w:val="14"/>
                <w:color w:val="auto"/>
              </w:rPr>
            </w:pPr>
          </w:p>
        </w:tc>
        <w:tc>
          <w:tcPr>
            <w:tcW w:w="2000" w:type="dxa"/>
            <w:vAlign w:val="bottom"/>
          </w:tcPr>
          <w:p>
            <w:pPr>
              <w:ind w:left="320"/>
              <w:spacing w:after="0" w:line="172" w:lineRule="exact"/>
              <w:rPr>
                <w:sz w:val="20"/>
                <w:szCs w:val="20"/>
                <w:color w:val="auto"/>
              </w:rPr>
            </w:pPr>
            <w:r>
              <w:rPr>
                <w:rFonts w:ascii="Arial" w:cs="Arial" w:eastAsia="Arial" w:hAnsi="Arial"/>
                <w:sz w:val="16"/>
                <w:szCs w:val="16"/>
                <w:b w:val="1"/>
                <w:bCs w:val="1"/>
                <w:color w:val="auto"/>
              </w:rPr>
              <w:t>Charles W. Scharf</w:t>
            </w:r>
          </w:p>
        </w:tc>
        <w:tc>
          <w:tcPr>
            <w:tcW w:w="0" w:type="dxa"/>
            <w:vAlign w:val="bottom"/>
          </w:tcPr>
          <w:p>
            <w:pPr>
              <w:spacing w:after="0"/>
              <w:rPr>
                <w:sz w:val="1"/>
                <w:szCs w:val="1"/>
                <w:color w:val="auto"/>
              </w:rPr>
            </w:pPr>
          </w:p>
        </w:tc>
      </w:tr>
      <w:tr>
        <w:trPr>
          <w:trHeight w:val="181"/>
        </w:trPr>
        <w:tc>
          <w:tcPr>
            <w:tcW w:w="2040" w:type="dxa"/>
            <w:vAlign w:val="bottom"/>
          </w:tcPr>
          <w:p>
            <w:pPr>
              <w:ind w:left="140"/>
              <w:spacing w:after="0" w:line="181" w:lineRule="exact"/>
              <w:rPr>
                <w:sz w:val="20"/>
                <w:szCs w:val="20"/>
                <w:color w:val="auto"/>
              </w:rPr>
            </w:pPr>
            <w:r>
              <w:rPr>
                <w:rFonts w:ascii="Arial" w:cs="Arial" w:eastAsia="Arial" w:hAnsi="Arial"/>
                <w:sz w:val="16"/>
                <w:szCs w:val="16"/>
                <w:b w:val="1"/>
                <w:bCs w:val="1"/>
                <w:color w:val="0075C9"/>
              </w:rPr>
              <w:t xml:space="preserve">Age: </w:t>
            </w:r>
            <w:r>
              <w:rPr>
                <w:rFonts w:ascii="Arial" w:cs="Arial" w:eastAsia="Arial" w:hAnsi="Arial"/>
                <w:sz w:val="16"/>
                <w:szCs w:val="16"/>
                <w:color w:val="000000"/>
              </w:rPr>
              <w:t>62</w:t>
            </w:r>
          </w:p>
        </w:tc>
        <w:tc>
          <w:tcPr>
            <w:tcW w:w="2560" w:type="dxa"/>
            <w:vAlign w:val="bottom"/>
          </w:tcPr>
          <w:p>
            <w:pPr>
              <w:ind w:left="380"/>
              <w:spacing w:after="0" w:line="181" w:lineRule="exact"/>
              <w:rPr>
                <w:sz w:val="20"/>
                <w:szCs w:val="20"/>
                <w:color w:val="auto"/>
              </w:rPr>
            </w:pPr>
            <w:r>
              <w:rPr>
                <w:rFonts w:ascii="Arial" w:cs="Arial" w:eastAsia="Arial" w:hAnsi="Arial"/>
                <w:sz w:val="16"/>
                <w:szCs w:val="16"/>
                <w:b w:val="1"/>
                <w:bCs w:val="1"/>
                <w:color w:val="0075C9"/>
              </w:rPr>
              <w:t xml:space="preserve">Age: </w:t>
            </w:r>
            <w:r>
              <w:rPr>
                <w:rFonts w:ascii="Arial" w:cs="Arial" w:eastAsia="Arial" w:hAnsi="Arial"/>
                <w:sz w:val="16"/>
                <w:szCs w:val="16"/>
                <w:color w:val="000000"/>
              </w:rPr>
              <w:t>62</w:t>
            </w:r>
          </w:p>
        </w:tc>
        <w:tc>
          <w:tcPr>
            <w:tcW w:w="2460" w:type="dxa"/>
            <w:vAlign w:val="bottom"/>
          </w:tcPr>
          <w:p>
            <w:pPr>
              <w:ind w:left="340"/>
              <w:spacing w:after="0" w:line="181" w:lineRule="exact"/>
              <w:rPr>
                <w:sz w:val="20"/>
                <w:szCs w:val="20"/>
                <w:color w:val="auto"/>
              </w:rPr>
            </w:pPr>
            <w:r>
              <w:rPr>
                <w:rFonts w:ascii="Arial" w:cs="Arial" w:eastAsia="Arial" w:hAnsi="Arial"/>
                <w:sz w:val="16"/>
                <w:szCs w:val="16"/>
                <w:b w:val="1"/>
                <w:bCs w:val="1"/>
                <w:color w:val="0075C9"/>
              </w:rPr>
              <w:t xml:space="preserve">Age: </w:t>
            </w:r>
            <w:r>
              <w:rPr>
                <w:rFonts w:ascii="Arial" w:cs="Arial" w:eastAsia="Arial" w:hAnsi="Arial"/>
                <w:sz w:val="16"/>
                <w:szCs w:val="16"/>
                <w:color w:val="000000"/>
              </w:rPr>
              <w:t>57</w:t>
            </w:r>
          </w:p>
        </w:tc>
        <w:tc>
          <w:tcPr>
            <w:tcW w:w="2000" w:type="dxa"/>
            <w:vAlign w:val="bottom"/>
          </w:tcPr>
          <w:p>
            <w:pPr>
              <w:ind w:left="320"/>
              <w:spacing w:after="0" w:line="181" w:lineRule="exact"/>
              <w:rPr>
                <w:sz w:val="20"/>
                <w:szCs w:val="20"/>
                <w:color w:val="auto"/>
              </w:rPr>
            </w:pPr>
            <w:r>
              <w:rPr>
                <w:rFonts w:ascii="Arial" w:cs="Arial" w:eastAsia="Arial" w:hAnsi="Arial"/>
                <w:sz w:val="16"/>
                <w:szCs w:val="16"/>
                <w:b w:val="1"/>
                <w:bCs w:val="1"/>
                <w:color w:val="0075C9"/>
              </w:rPr>
              <w:t xml:space="preserve">Age: </w:t>
            </w:r>
            <w:r>
              <w:rPr>
                <w:rFonts w:ascii="Arial" w:cs="Arial" w:eastAsia="Arial" w:hAnsi="Arial"/>
                <w:sz w:val="16"/>
                <w:szCs w:val="16"/>
                <w:color w:val="000000"/>
              </w:rPr>
              <w:t>56</w:t>
            </w:r>
          </w:p>
        </w:tc>
        <w:tc>
          <w:tcPr>
            <w:tcW w:w="0" w:type="dxa"/>
            <w:vAlign w:val="bottom"/>
          </w:tcPr>
          <w:p>
            <w:pPr>
              <w:spacing w:after="0"/>
              <w:rPr>
                <w:sz w:val="1"/>
                <w:szCs w:val="1"/>
                <w:color w:val="auto"/>
              </w:rPr>
            </w:pPr>
          </w:p>
        </w:tc>
      </w:tr>
      <w:tr>
        <w:trPr>
          <w:trHeight w:val="181"/>
        </w:trPr>
        <w:tc>
          <w:tcPr>
            <w:tcW w:w="2040" w:type="dxa"/>
            <w:vAlign w:val="bottom"/>
          </w:tcPr>
          <w:p>
            <w:pPr>
              <w:ind w:left="140"/>
              <w:spacing w:after="0" w:line="181" w:lineRule="exact"/>
              <w:rPr>
                <w:sz w:val="20"/>
                <w:szCs w:val="20"/>
                <w:color w:val="auto"/>
              </w:rPr>
            </w:pPr>
            <w:r>
              <w:rPr>
                <w:rFonts w:ascii="Arial" w:cs="Arial" w:eastAsia="Arial" w:hAnsi="Arial"/>
                <w:sz w:val="16"/>
                <w:szCs w:val="16"/>
                <w:b w:val="1"/>
                <w:bCs w:val="1"/>
                <w:color w:val="0075C9"/>
              </w:rPr>
              <w:t xml:space="preserve">Director Since: </w:t>
            </w:r>
            <w:r>
              <w:rPr>
                <w:rFonts w:ascii="Arial" w:cs="Arial" w:eastAsia="Arial" w:hAnsi="Arial"/>
                <w:sz w:val="16"/>
                <w:szCs w:val="16"/>
                <w:color w:val="000000"/>
              </w:rPr>
              <w:t>2015</w:t>
            </w:r>
          </w:p>
        </w:tc>
        <w:tc>
          <w:tcPr>
            <w:tcW w:w="2560" w:type="dxa"/>
            <w:vAlign w:val="bottom"/>
          </w:tcPr>
          <w:p>
            <w:pPr>
              <w:ind w:left="380"/>
              <w:spacing w:after="0" w:line="181" w:lineRule="exact"/>
              <w:rPr>
                <w:sz w:val="20"/>
                <w:szCs w:val="20"/>
                <w:color w:val="auto"/>
              </w:rPr>
            </w:pPr>
            <w:r>
              <w:rPr>
                <w:rFonts w:ascii="Arial" w:cs="Arial" w:eastAsia="Arial" w:hAnsi="Arial"/>
                <w:sz w:val="16"/>
                <w:szCs w:val="16"/>
                <w:b w:val="1"/>
                <w:bCs w:val="1"/>
                <w:color w:val="0075C9"/>
              </w:rPr>
              <w:t xml:space="preserve">Director Since: </w:t>
            </w:r>
            <w:r>
              <w:rPr>
                <w:rFonts w:ascii="Arial" w:cs="Arial" w:eastAsia="Arial" w:hAnsi="Arial"/>
                <w:sz w:val="16"/>
                <w:szCs w:val="16"/>
                <w:color w:val="000000"/>
              </w:rPr>
              <w:t>2017</w:t>
            </w:r>
          </w:p>
        </w:tc>
        <w:tc>
          <w:tcPr>
            <w:tcW w:w="2460" w:type="dxa"/>
            <w:vAlign w:val="bottom"/>
          </w:tcPr>
          <w:p>
            <w:pPr>
              <w:ind w:left="340"/>
              <w:spacing w:after="0" w:line="181" w:lineRule="exact"/>
              <w:rPr>
                <w:sz w:val="20"/>
                <w:szCs w:val="20"/>
                <w:color w:val="auto"/>
              </w:rPr>
            </w:pPr>
            <w:r>
              <w:rPr>
                <w:rFonts w:ascii="Arial" w:cs="Arial" w:eastAsia="Arial" w:hAnsi="Arial"/>
                <w:sz w:val="16"/>
                <w:szCs w:val="16"/>
                <w:b w:val="1"/>
                <w:bCs w:val="1"/>
                <w:color w:val="0075C9"/>
              </w:rPr>
              <w:t xml:space="preserve">Director Since: </w:t>
            </w:r>
            <w:r>
              <w:rPr>
                <w:rFonts w:ascii="Arial" w:cs="Arial" w:eastAsia="Arial" w:hAnsi="Arial"/>
                <w:sz w:val="16"/>
                <w:szCs w:val="16"/>
                <w:color w:val="000000"/>
              </w:rPr>
              <w:t>Nominee</w:t>
            </w:r>
          </w:p>
        </w:tc>
        <w:tc>
          <w:tcPr>
            <w:tcW w:w="2000" w:type="dxa"/>
            <w:vAlign w:val="bottom"/>
          </w:tcPr>
          <w:p>
            <w:pPr>
              <w:ind w:left="320"/>
              <w:spacing w:after="0" w:line="181" w:lineRule="exact"/>
              <w:rPr>
                <w:sz w:val="20"/>
                <w:szCs w:val="20"/>
                <w:color w:val="auto"/>
              </w:rPr>
            </w:pPr>
            <w:r>
              <w:rPr>
                <w:rFonts w:ascii="Arial" w:cs="Arial" w:eastAsia="Arial" w:hAnsi="Arial"/>
                <w:sz w:val="16"/>
                <w:szCs w:val="16"/>
                <w:b w:val="1"/>
                <w:bCs w:val="1"/>
                <w:color w:val="0075C9"/>
              </w:rPr>
              <w:t xml:space="preserve">Director Since: </w:t>
            </w:r>
            <w:r>
              <w:rPr>
                <w:rFonts w:ascii="Arial" w:cs="Arial" w:eastAsia="Arial" w:hAnsi="Arial"/>
                <w:sz w:val="16"/>
                <w:szCs w:val="16"/>
                <w:color w:val="000000"/>
              </w:rPr>
              <w:t>2014</w:t>
            </w:r>
          </w:p>
        </w:tc>
        <w:tc>
          <w:tcPr>
            <w:tcW w:w="0" w:type="dxa"/>
            <w:vAlign w:val="bottom"/>
          </w:tcPr>
          <w:p>
            <w:pPr>
              <w:spacing w:after="0"/>
              <w:rPr>
                <w:sz w:val="1"/>
                <w:szCs w:val="1"/>
                <w:color w:val="auto"/>
              </w:rPr>
            </w:pPr>
          </w:p>
        </w:tc>
      </w:tr>
      <w:tr>
        <w:trPr>
          <w:trHeight w:val="181"/>
        </w:trPr>
        <w:tc>
          <w:tcPr>
            <w:tcW w:w="2040" w:type="dxa"/>
            <w:vAlign w:val="bottom"/>
          </w:tcPr>
          <w:p>
            <w:pPr>
              <w:ind w:left="140"/>
              <w:spacing w:after="0" w:line="181" w:lineRule="exact"/>
              <w:rPr>
                <w:sz w:val="20"/>
                <w:szCs w:val="20"/>
                <w:color w:val="auto"/>
              </w:rPr>
            </w:pPr>
            <w:r>
              <w:rPr>
                <w:rFonts w:ascii="Arial" w:cs="Arial" w:eastAsia="Arial" w:hAnsi="Arial"/>
                <w:sz w:val="16"/>
                <w:szCs w:val="16"/>
                <w:b w:val="1"/>
                <w:bCs w:val="1"/>
                <w:color w:val="0075C9"/>
              </w:rPr>
              <w:t>Occupation:</w:t>
            </w:r>
          </w:p>
        </w:tc>
        <w:tc>
          <w:tcPr>
            <w:tcW w:w="2560" w:type="dxa"/>
            <w:vAlign w:val="bottom"/>
          </w:tcPr>
          <w:p>
            <w:pPr>
              <w:ind w:left="380"/>
              <w:spacing w:after="0" w:line="181" w:lineRule="exact"/>
              <w:rPr>
                <w:sz w:val="20"/>
                <w:szCs w:val="20"/>
                <w:color w:val="auto"/>
              </w:rPr>
            </w:pPr>
            <w:r>
              <w:rPr>
                <w:rFonts w:ascii="Arial" w:cs="Arial" w:eastAsia="Arial" w:hAnsi="Arial"/>
                <w:sz w:val="16"/>
                <w:szCs w:val="16"/>
                <w:b w:val="1"/>
                <w:bCs w:val="1"/>
                <w:color w:val="0075C9"/>
              </w:rPr>
              <w:t xml:space="preserve">Occupation: </w:t>
            </w:r>
            <w:r>
              <w:rPr>
                <w:rFonts w:ascii="Arial" w:cs="Arial" w:eastAsia="Arial" w:hAnsi="Arial"/>
                <w:sz w:val="16"/>
                <w:szCs w:val="16"/>
                <w:color w:val="000000"/>
              </w:rPr>
              <w:t>Founder and</w:t>
            </w:r>
          </w:p>
        </w:tc>
        <w:tc>
          <w:tcPr>
            <w:tcW w:w="2460" w:type="dxa"/>
            <w:vAlign w:val="bottom"/>
          </w:tcPr>
          <w:p>
            <w:pPr>
              <w:ind w:left="340"/>
              <w:spacing w:after="0" w:line="181" w:lineRule="exact"/>
              <w:rPr>
                <w:sz w:val="20"/>
                <w:szCs w:val="20"/>
                <w:color w:val="auto"/>
              </w:rPr>
            </w:pPr>
            <w:r>
              <w:rPr>
                <w:rFonts w:ascii="Arial" w:cs="Arial" w:eastAsia="Arial" w:hAnsi="Arial"/>
                <w:sz w:val="16"/>
                <w:szCs w:val="16"/>
                <w:b w:val="1"/>
                <w:bCs w:val="1"/>
                <w:color w:val="0075C9"/>
              </w:rPr>
              <w:t xml:space="preserve">Occupation: </w:t>
            </w:r>
            <w:r>
              <w:rPr>
                <w:rFonts w:ascii="Arial" w:cs="Arial" w:eastAsia="Arial" w:hAnsi="Arial"/>
                <w:sz w:val="16"/>
                <w:szCs w:val="16"/>
                <w:color w:val="000000"/>
              </w:rPr>
              <w:t>President,</w:t>
            </w:r>
          </w:p>
        </w:tc>
        <w:tc>
          <w:tcPr>
            <w:tcW w:w="2000" w:type="dxa"/>
            <w:vAlign w:val="bottom"/>
          </w:tcPr>
          <w:p>
            <w:pPr>
              <w:ind w:left="320"/>
              <w:spacing w:after="0" w:line="181" w:lineRule="exact"/>
              <w:rPr>
                <w:sz w:val="20"/>
                <w:szCs w:val="20"/>
                <w:color w:val="auto"/>
              </w:rPr>
            </w:pPr>
            <w:r>
              <w:rPr>
                <w:rFonts w:ascii="Arial" w:cs="Arial" w:eastAsia="Arial" w:hAnsi="Arial"/>
                <w:sz w:val="16"/>
                <w:szCs w:val="16"/>
                <w:b w:val="1"/>
                <w:bCs w:val="1"/>
                <w:color w:val="0075C9"/>
              </w:rPr>
              <w:t xml:space="preserve">Occupation: </w:t>
            </w:r>
            <w:r>
              <w:rPr>
                <w:rFonts w:ascii="Arial" w:cs="Arial" w:eastAsia="Arial" w:hAnsi="Arial"/>
                <w:sz w:val="16"/>
                <w:szCs w:val="16"/>
                <w:color w:val="000000"/>
              </w:rPr>
              <w:t>CEO,</w:t>
            </w:r>
          </w:p>
        </w:tc>
        <w:tc>
          <w:tcPr>
            <w:tcW w:w="0" w:type="dxa"/>
            <w:vAlign w:val="bottom"/>
          </w:tcPr>
          <w:p>
            <w:pPr>
              <w:spacing w:after="0"/>
              <w:rPr>
                <w:sz w:val="1"/>
                <w:szCs w:val="1"/>
                <w:color w:val="auto"/>
              </w:rPr>
            </w:pPr>
          </w:p>
        </w:tc>
      </w:tr>
      <w:tr>
        <w:trPr>
          <w:trHeight w:val="181"/>
        </w:trPr>
        <w:tc>
          <w:tcPr>
            <w:tcW w:w="2040" w:type="dxa"/>
            <w:vAlign w:val="bottom"/>
          </w:tcPr>
          <w:p>
            <w:pPr>
              <w:ind w:left="140"/>
              <w:spacing w:after="0" w:line="181" w:lineRule="exact"/>
              <w:rPr>
                <w:sz w:val="20"/>
                <w:szCs w:val="20"/>
                <w:color w:val="auto"/>
              </w:rPr>
            </w:pPr>
            <w:r>
              <w:rPr>
                <w:rFonts w:ascii="Arial" w:cs="Arial" w:eastAsia="Arial" w:hAnsi="Arial"/>
                <w:sz w:val="16"/>
                <w:szCs w:val="16"/>
                <w:color w:val="auto"/>
              </w:rPr>
              <w:t>Operating Partner,</w:t>
            </w:r>
          </w:p>
        </w:tc>
        <w:tc>
          <w:tcPr>
            <w:tcW w:w="2560" w:type="dxa"/>
            <w:vAlign w:val="bottom"/>
          </w:tcPr>
          <w:p>
            <w:pPr>
              <w:ind w:left="380"/>
              <w:spacing w:after="0" w:line="181" w:lineRule="exact"/>
              <w:rPr>
                <w:sz w:val="20"/>
                <w:szCs w:val="20"/>
                <w:color w:val="auto"/>
              </w:rPr>
            </w:pPr>
            <w:r>
              <w:rPr>
                <w:rFonts w:ascii="Arial" w:cs="Arial" w:eastAsia="Arial" w:hAnsi="Arial"/>
                <w:sz w:val="16"/>
                <w:szCs w:val="16"/>
                <w:color w:val="auto"/>
              </w:rPr>
              <w:t>Chairman, PSP Partners,</w:t>
            </w:r>
          </w:p>
        </w:tc>
        <w:tc>
          <w:tcPr>
            <w:tcW w:w="2460" w:type="dxa"/>
            <w:vAlign w:val="bottom"/>
          </w:tcPr>
          <w:p>
            <w:pPr>
              <w:ind w:left="340"/>
              <w:spacing w:after="0" w:line="181" w:lineRule="exact"/>
              <w:rPr>
                <w:sz w:val="20"/>
                <w:szCs w:val="20"/>
                <w:color w:val="auto"/>
              </w:rPr>
            </w:pPr>
            <w:r>
              <w:rPr>
                <w:rFonts w:ascii="Arial" w:cs="Arial" w:eastAsia="Arial" w:hAnsi="Arial"/>
                <w:sz w:val="16"/>
                <w:szCs w:val="16"/>
                <w:color w:val="auto"/>
              </w:rPr>
              <w:t>CEO, and Director,</w:t>
            </w:r>
          </w:p>
        </w:tc>
        <w:tc>
          <w:tcPr>
            <w:tcW w:w="2000" w:type="dxa"/>
            <w:vAlign w:val="bottom"/>
          </w:tcPr>
          <w:p>
            <w:pPr>
              <w:ind w:left="320"/>
              <w:spacing w:after="0" w:line="181" w:lineRule="exact"/>
              <w:rPr>
                <w:sz w:val="20"/>
                <w:szCs w:val="20"/>
                <w:color w:val="auto"/>
              </w:rPr>
            </w:pPr>
            <w:r>
              <w:rPr>
                <w:rFonts w:ascii="Arial" w:cs="Arial" w:eastAsia="Arial" w:hAnsi="Arial"/>
                <w:sz w:val="16"/>
                <w:szCs w:val="16"/>
                <w:color w:val="auto"/>
                <w:w w:val="98"/>
              </w:rPr>
              <w:t>President, and Director,</w:t>
            </w:r>
          </w:p>
        </w:tc>
        <w:tc>
          <w:tcPr>
            <w:tcW w:w="0" w:type="dxa"/>
            <w:vAlign w:val="bottom"/>
          </w:tcPr>
          <w:p>
            <w:pPr>
              <w:spacing w:after="0"/>
              <w:rPr>
                <w:sz w:val="1"/>
                <w:szCs w:val="1"/>
                <w:color w:val="auto"/>
              </w:rPr>
            </w:pPr>
          </w:p>
        </w:tc>
      </w:tr>
      <w:tr>
        <w:trPr>
          <w:trHeight w:val="181"/>
        </w:trPr>
        <w:tc>
          <w:tcPr>
            <w:tcW w:w="2040" w:type="dxa"/>
            <w:vAlign w:val="bottom"/>
          </w:tcPr>
          <w:p>
            <w:pPr>
              <w:ind w:left="140"/>
              <w:spacing w:after="0" w:line="181" w:lineRule="exact"/>
              <w:rPr>
                <w:sz w:val="20"/>
                <w:szCs w:val="20"/>
                <w:color w:val="auto"/>
              </w:rPr>
            </w:pPr>
            <w:r>
              <w:rPr>
                <w:rFonts w:ascii="Arial" w:cs="Arial" w:eastAsia="Arial" w:hAnsi="Arial"/>
                <w:sz w:val="16"/>
                <w:szCs w:val="16"/>
                <w:color w:val="auto"/>
              </w:rPr>
              <w:t>Clayton, Dubilier &amp;</w:t>
            </w:r>
          </w:p>
        </w:tc>
        <w:tc>
          <w:tcPr>
            <w:tcW w:w="2560" w:type="dxa"/>
            <w:vAlign w:val="bottom"/>
          </w:tcPr>
          <w:p>
            <w:pPr>
              <w:ind w:left="380"/>
              <w:spacing w:after="0" w:line="181" w:lineRule="exact"/>
              <w:rPr>
                <w:sz w:val="20"/>
                <w:szCs w:val="20"/>
                <w:color w:val="auto"/>
              </w:rPr>
            </w:pPr>
            <w:r>
              <w:rPr>
                <w:rFonts w:ascii="Arial" w:cs="Arial" w:eastAsia="Arial" w:hAnsi="Arial"/>
                <w:sz w:val="16"/>
                <w:szCs w:val="16"/>
                <w:color w:val="auto"/>
              </w:rPr>
              <w:t>LLC</w:t>
            </w:r>
          </w:p>
        </w:tc>
        <w:tc>
          <w:tcPr>
            <w:tcW w:w="2460" w:type="dxa"/>
            <w:vAlign w:val="bottom"/>
          </w:tcPr>
          <w:p>
            <w:pPr>
              <w:ind w:left="340"/>
              <w:spacing w:after="0" w:line="181" w:lineRule="exact"/>
              <w:rPr>
                <w:sz w:val="20"/>
                <w:szCs w:val="20"/>
                <w:color w:val="auto"/>
              </w:rPr>
            </w:pPr>
            <w:r>
              <w:rPr>
                <w:rFonts w:ascii="Arial" w:cs="Arial" w:eastAsia="Arial" w:hAnsi="Arial"/>
                <w:sz w:val="16"/>
                <w:szCs w:val="16"/>
                <w:color w:val="auto"/>
              </w:rPr>
              <w:t>Automatic Data</w:t>
            </w:r>
          </w:p>
        </w:tc>
        <w:tc>
          <w:tcPr>
            <w:tcW w:w="2000" w:type="dxa"/>
            <w:vAlign w:val="bottom"/>
          </w:tcPr>
          <w:p>
            <w:pPr>
              <w:ind w:left="320"/>
              <w:spacing w:after="0" w:line="181" w:lineRule="exact"/>
              <w:rPr>
                <w:sz w:val="20"/>
                <w:szCs w:val="20"/>
                <w:color w:val="auto"/>
              </w:rPr>
            </w:pPr>
            <w:r>
              <w:rPr>
                <w:rFonts w:ascii="Arial" w:cs="Arial" w:eastAsia="Arial" w:hAnsi="Arial"/>
                <w:sz w:val="16"/>
                <w:szCs w:val="16"/>
                <w:color w:val="auto"/>
                <w:w w:val="95"/>
              </w:rPr>
              <w:t>Wells Fargo &amp; Company</w:t>
            </w:r>
          </w:p>
        </w:tc>
        <w:tc>
          <w:tcPr>
            <w:tcW w:w="0" w:type="dxa"/>
            <w:vAlign w:val="bottom"/>
          </w:tcPr>
          <w:p>
            <w:pPr>
              <w:spacing w:after="0"/>
              <w:rPr>
                <w:sz w:val="1"/>
                <w:szCs w:val="1"/>
                <w:color w:val="auto"/>
              </w:rPr>
            </w:pPr>
          </w:p>
        </w:tc>
      </w:tr>
      <w:tr>
        <w:trPr>
          <w:trHeight w:val="188"/>
        </w:trPr>
        <w:tc>
          <w:tcPr>
            <w:tcW w:w="2040" w:type="dxa"/>
            <w:vAlign w:val="bottom"/>
          </w:tcPr>
          <w:p>
            <w:pPr>
              <w:ind w:left="140"/>
              <w:spacing w:after="0"/>
              <w:rPr>
                <w:sz w:val="20"/>
                <w:szCs w:val="20"/>
                <w:color w:val="auto"/>
              </w:rPr>
            </w:pPr>
            <w:r>
              <w:rPr>
                <w:rFonts w:ascii="Arial" w:cs="Arial" w:eastAsia="Arial" w:hAnsi="Arial"/>
                <w:sz w:val="16"/>
                <w:szCs w:val="16"/>
                <w:color w:val="auto"/>
              </w:rPr>
              <w:t>Rice, LLC</w:t>
            </w:r>
          </w:p>
        </w:tc>
        <w:tc>
          <w:tcPr>
            <w:tcW w:w="2560" w:type="dxa"/>
            <w:vAlign w:val="bottom"/>
          </w:tcPr>
          <w:p>
            <w:pPr>
              <w:spacing w:after="0"/>
              <w:rPr>
                <w:sz w:val="16"/>
                <w:szCs w:val="16"/>
                <w:color w:val="auto"/>
              </w:rPr>
            </w:pPr>
          </w:p>
        </w:tc>
        <w:tc>
          <w:tcPr>
            <w:tcW w:w="2460" w:type="dxa"/>
            <w:vAlign w:val="bottom"/>
          </w:tcPr>
          <w:p>
            <w:pPr>
              <w:ind w:left="340"/>
              <w:spacing w:after="0"/>
              <w:rPr>
                <w:sz w:val="20"/>
                <w:szCs w:val="20"/>
                <w:color w:val="auto"/>
              </w:rPr>
            </w:pPr>
            <w:r>
              <w:rPr>
                <w:rFonts w:ascii="Arial" w:cs="Arial" w:eastAsia="Arial" w:hAnsi="Arial"/>
                <w:sz w:val="16"/>
                <w:szCs w:val="16"/>
                <w:color w:val="auto"/>
              </w:rPr>
              <w:t>Processing, Inc.</w:t>
            </w: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1"/>
        </w:trPr>
        <w:tc>
          <w:tcPr>
            <w:tcW w:w="2040" w:type="dxa"/>
            <w:vAlign w:val="bottom"/>
          </w:tcPr>
          <w:p>
            <w:pPr>
              <w:ind w:left="140"/>
              <w:spacing w:after="0"/>
              <w:rPr>
                <w:sz w:val="20"/>
                <w:szCs w:val="20"/>
                <w:color w:val="auto"/>
              </w:rPr>
            </w:pPr>
            <w:r>
              <w:rPr>
                <w:rFonts w:ascii="Arial" w:cs="Arial" w:eastAsia="Arial" w:hAnsi="Arial"/>
                <w:sz w:val="16"/>
                <w:szCs w:val="16"/>
                <w:b w:val="1"/>
                <w:bCs w:val="1"/>
                <w:color w:val="auto"/>
              </w:rPr>
              <w:t>John W. Stanton</w:t>
            </w:r>
          </w:p>
        </w:tc>
        <w:tc>
          <w:tcPr>
            <w:tcW w:w="2560" w:type="dxa"/>
            <w:vAlign w:val="bottom"/>
          </w:tcPr>
          <w:p>
            <w:pPr>
              <w:ind w:left="380"/>
              <w:spacing w:after="0"/>
              <w:rPr>
                <w:sz w:val="20"/>
                <w:szCs w:val="20"/>
                <w:color w:val="auto"/>
              </w:rPr>
            </w:pPr>
            <w:r>
              <w:rPr>
                <w:rFonts w:ascii="Arial" w:cs="Arial" w:eastAsia="Arial" w:hAnsi="Arial"/>
                <w:sz w:val="16"/>
                <w:szCs w:val="16"/>
                <w:b w:val="1"/>
                <w:bCs w:val="1"/>
                <w:color w:val="auto"/>
              </w:rPr>
              <w:t>John W. Thompson</w:t>
            </w:r>
          </w:p>
        </w:tc>
        <w:tc>
          <w:tcPr>
            <w:tcW w:w="2460" w:type="dxa"/>
            <w:vAlign w:val="bottom"/>
          </w:tcPr>
          <w:p>
            <w:pPr>
              <w:ind w:left="340"/>
              <w:spacing w:after="0"/>
              <w:rPr>
                <w:sz w:val="20"/>
                <w:szCs w:val="20"/>
                <w:color w:val="auto"/>
              </w:rPr>
            </w:pPr>
            <w:r>
              <w:rPr>
                <w:rFonts w:ascii="Arial" w:cs="Arial" w:eastAsia="Arial" w:hAnsi="Arial"/>
                <w:sz w:val="16"/>
                <w:szCs w:val="16"/>
                <w:b w:val="1"/>
                <w:bCs w:val="1"/>
                <w:color w:val="auto"/>
              </w:rPr>
              <w:t>Emma N. Walmsley</w:t>
            </w:r>
          </w:p>
        </w:tc>
        <w:tc>
          <w:tcPr>
            <w:tcW w:w="2000" w:type="dxa"/>
            <w:vAlign w:val="bottom"/>
          </w:tcPr>
          <w:p>
            <w:pPr>
              <w:ind w:left="320"/>
              <w:spacing w:after="0"/>
              <w:rPr>
                <w:sz w:val="20"/>
                <w:szCs w:val="20"/>
                <w:color w:val="auto"/>
              </w:rPr>
            </w:pPr>
            <w:r>
              <w:rPr>
                <w:rFonts w:ascii="Arial" w:cs="Arial" w:eastAsia="Arial" w:hAnsi="Arial"/>
                <w:sz w:val="16"/>
                <w:szCs w:val="16"/>
                <w:b w:val="1"/>
                <w:bCs w:val="1"/>
                <w:color w:val="auto"/>
              </w:rPr>
              <w:t>Padmasree Warrior</w:t>
            </w:r>
          </w:p>
        </w:tc>
        <w:tc>
          <w:tcPr>
            <w:tcW w:w="0" w:type="dxa"/>
            <w:vAlign w:val="bottom"/>
          </w:tcPr>
          <w:p>
            <w:pPr>
              <w:spacing w:after="0"/>
              <w:rPr>
                <w:sz w:val="1"/>
                <w:szCs w:val="1"/>
                <w:color w:val="auto"/>
              </w:rPr>
            </w:pPr>
          </w:p>
        </w:tc>
      </w:tr>
      <w:tr>
        <w:trPr>
          <w:trHeight w:val="181"/>
        </w:trPr>
        <w:tc>
          <w:tcPr>
            <w:tcW w:w="2040" w:type="dxa"/>
            <w:vAlign w:val="bottom"/>
          </w:tcPr>
          <w:p>
            <w:pPr>
              <w:ind w:left="140"/>
              <w:spacing w:after="0" w:line="181" w:lineRule="exact"/>
              <w:rPr>
                <w:sz w:val="20"/>
                <w:szCs w:val="20"/>
                <w:color w:val="auto"/>
              </w:rPr>
            </w:pPr>
            <w:r>
              <w:rPr>
                <w:rFonts w:ascii="Arial" w:cs="Arial" w:eastAsia="Arial" w:hAnsi="Arial"/>
                <w:sz w:val="16"/>
                <w:szCs w:val="16"/>
                <w:b w:val="1"/>
                <w:bCs w:val="1"/>
                <w:color w:val="0075C9"/>
              </w:rPr>
              <w:t xml:space="preserve">Age: </w:t>
            </w:r>
            <w:r>
              <w:rPr>
                <w:rFonts w:ascii="Arial" w:cs="Arial" w:eastAsia="Arial" w:hAnsi="Arial"/>
                <w:sz w:val="16"/>
                <w:szCs w:val="16"/>
                <w:color w:val="000000"/>
              </w:rPr>
              <w:t>66</w:t>
            </w:r>
          </w:p>
        </w:tc>
        <w:tc>
          <w:tcPr>
            <w:tcW w:w="2560" w:type="dxa"/>
            <w:vAlign w:val="bottom"/>
          </w:tcPr>
          <w:p>
            <w:pPr>
              <w:ind w:left="380"/>
              <w:spacing w:after="0" w:line="181" w:lineRule="exact"/>
              <w:rPr>
                <w:sz w:val="20"/>
                <w:szCs w:val="20"/>
                <w:color w:val="auto"/>
              </w:rPr>
            </w:pPr>
            <w:r>
              <w:rPr>
                <w:rFonts w:ascii="Arial" w:cs="Arial" w:eastAsia="Arial" w:hAnsi="Arial"/>
                <w:sz w:val="16"/>
                <w:szCs w:val="16"/>
                <w:b w:val="1"/>
                <w:bCs w:val="1"/>
                <w:color w:val="0075C9"/>
              </w:rPr>
              <w:t xml:space="preserve">Age: </w:t>
            </w:r>
            <w:r>
              <w:rPr>
                <w:rFonts w:ascii="Arial" w:cs="Arial" w:eastAsia="Arial" w:hAnsi="Arial"/>
                <w:sz w:val="16"/>
                <w:szCs w:val="16"/>
                <w:color w:val="000000"/>
              </w:rPr>
              <w:t>72</w:t>
            </w:r>
          </w:p>
        </w:tc>
        <w:tc>
          <w:tcPr>
            <w:tcW w:w="2460" w:type="dxa"/>
            <w:vAlign w:val="bottom"/>
          </w:tcPr>
          <w:p>
            <w:pPr>
              <w:ind w:left="340"/>
              <w:spacing w:after="0" w:line="181" w:lineRule="exact"/>
              <w:rPr>
                <w:sz w:val="20"/>
                <w:szCs w:val="20"/>
                <w:color w:val="auto"/>
              </w:rPr>
            </w:pPr>
            <w:r>
              <w:rPr>
                <w:rFonts w:ascii="Arial" w:cs="Arial" w:eastAsia="Arial" w:hAnsi="Arial"/>
                <w:sz w:val="16"/>
                <w:szCs w:val="16"/>
                <w:b w:val="1"/>
                <w:bCs w:val="1"/>
                <w:color w:val="0075C9"/>
              </w:rPr>
              <w:t xml:space="preserve">Age: </w:t>
            </w:r>
            <w:r>
              <w:rPr>
                <w:rFonts w:ascii="Arial" w:cs="Arial" w:eastAsia="Arial" w:hAnsi="Arial"/>
                <w:sz w:val="16"/>
                <w:szCs w:val="16"/>
                <w:color w:val="000000"/>
              </w:rPr>
              <w:t>52</w:t>
            </w:r>
          </w:p>
        </w:tc>
        <w:tc>
          <w:tcPr>
            <w:tcW w:w="2000" w:type="dxa"/>
            <w:vAlign w:val="bottom"/>
          </w:tcPr>
          <w:p>
            <w:pPr>
              <w:ind w:left="320"/>
              <w:spacing w:after="0" w:line="181" w:lineRule="exact"/>
              <w:rPr>
                <w:sz w:val="20"/>
                <w:szCs w:val="20"/>
                <w:color w:val="auto"/>
              </w:rPr>
            </w:pPr>
            <w:r>
              <w:rPr>
                <w:rFonts w:ascii="Arial" w:cs="Arial" w:eastAsia="Arial" w:hAnsi="Arial"/>
                <w:sz w:val="16"/>
                <w:szCs w:val="16"/>
                <w:b w:val="1"/>
                <w:bCs w:val="1"/>
                <w:color w:val="0075C9"/>
              </w:rPr>
              <w:t xml:space="preserve">Age: </w:t>
            </w:r>
            <w:r>
              <w:rPr>
                <w:rFonts w:ascii="Arial" w:cs="Arial" w:eastAsia="Arial" w:hAnsi="Arial"/>
                <w:sz w:val="16"/>
                <w:szCs w:val="16"/>
                <w:color w:val="000000"/>
              </w:rPr>
              <w:t>60</w:t>
            </w:r>
          </w:p>
        </w:tc>
        <w:tc>
          <w:tcPr>
            <w:tcW w:w="0" w:type="dxa"/>
            <w:vAlign w:val="bottom"/>
          </w:tcPr>
          <w:p>
            <w:pPr>
              <w:spacing w:after="0"/>
              <w:rPr>
                <w:sz w:val="1"/>
                <w:szCs w:val="1"/>
                <w:color w:val="auto"/>
              </w:rPr>
            </w:pPr>
          </w:p>
        </w:tc>
      </w:tr>
      <w:tr>
        <w:trPr>
          <w:trHeight w:val="181"/>
        </w:trPr>
        <w:tc>
          <w:tcPr>
            <w:tcW w:w="2040" w:type="dxa"/>
            <w:vAlign w:val="bottom"/>
          </w:tcPr>
          <w:p>
            <w:pPr>
              <w:ind w:left="140"/>
              <w:spacing w:after="0" w:line="181" w:lineRule="exact"/>
              <w:rPr>
                <w:sz w:val="20"/>
                <w:szCs w:val="20"/>
                <w:color w:val="auto"/>
              </w:rPr>
            </w:pPr>
            <w:r>
              <w:rPr>
                <w:rFonts w:ascii="Arial" w:cs="Arial" w:eastAsia="Arial" w:hAnsi="Arial"/>
                <w:sz w:val="16"/>
                <w:szCs w:val="16"/>
                <w:b w:val="1"/>
                <w:bCs w:val="1"/>
                <w:color w:val="0075C9"/>
              </w:rPr>
              <w:t xml:space="preserve">Director Since: </w:t>
            </w:r>
            <w:r>
              <w:rPr>
                <w:rFonts w:ascii="Arial" w:cs="Arial" w:eastAsia="Arial" w:hAnsi="Arial"/>
                <w:sz w:val="16"/>
                <w:szCs w:val="16"/>
                <w:color w:val="000000"/>
              </w:rPr>
              <w:t>2014</w:t>
            </w:r>
          </w:p>
        </w:tc>
        <w:tc>
          <w:tcPr>
            <w:tcW w:w="2560" w:type="dxa"/>
            <w:vAlign w:val="bottom"/>
          </w:tcPr>
          <w:p>
            <w:pPr>
              <w:ind w:left="380"/>
              <w:spacing w:after="0" w:line="181" w:lineRule="exact"/>
              <w:rPr>
                <w:sz w:val="20"/>
                <w:szCs w:val="20"/>
                <w:color w:val="auto"/>
              </w:rPr>
            </w:pPr>
            <w:r>
              <w:rPr>
                <w:rFonts w:ascii="Arial" w:cs="Arial" w:eastAsia="Arial" w:hAnsi="Arial"/>
                <w:sz w:val="16"/>
                <w:szCs w:val="16"/>
                <w:b w:val="1"/>
                <w:bCs w:val="1"/>
                <w:color w:val="0075C9"/>
              </w:rPr>
              <w:t xml:space="preserve">Director Since: </w:t>
            </w:r>
            <w:r>
              <w:rPr>
                <w:rFonts w:ascii="Arial" w:cs="Arial" w:eastAsia="Arial" w:hAnsi="Arial"/>
                <w:sz w:val="16"/>
                <w:szCs w:val="16"/>
                <w:color w:val="000000"/>
              </w:rPr>
              <w:t>2012</w:t>
            </w:r>
          </w:p>
        </w:tc>
        <w:tc>
          <w:tcPr>
            <w:tcW w:w="2460" w:type="dxa"/>
            <w:vAlign w:val="bottom"/>
          </w:tcPr>
          <w:p>
            <w:pPr>
              <w:ind w:left="340"/>
              <w:spacing w:after="0" w:line="181" w:lineRule="exact"/>
              <w:rPr>
                <w:sz w:val="20"/>
                <w:szCs w:val="20"/>
                <w:color w:val="auto"/>
              </w:rPr>
            </w:pPr>
            <w:r>
              <w:rPr>
                <w:rFonts w:ascii="Arial" w:cs="Arial" w:eastAsia="Arial" w:hAnsi="Arial"/>
                <w:sz w:val="16"/>
                <w:szCs w:val="16"/>
                <w:b w:val="1"/>
                <w:bCs w:val="1"/>
                <w:color w:val="0075C9"/>
              </w:rPr>
              <w:t xml:space="preserve">Director Since: </w:t>
            </w:r>
            <w:r>
              <w:rPr>
                <w:rFonts w:ascii="Arial" w:cs="Arial" w:eastAsia="Arial" w:hAnsi="Arial"/>
                <w:sz w:val="16"/>
                <w:szCs w:val="16"/>
                <w:color w:val="000000"/>
              </w:rPr>
              <w:t>2019</w:t>
            </w:r>
          </w:p>
        </w:tc>
        <w:tc>
          <w:tcPr>
            <w:tcW w:w="2000" w:type="dxa"/>
            <w:vAlign w:val="bottom"/>
          </w:tcPr>
          <w:p>
            <w:pPr>
              <w:ind w:left="320"/>
              <w:spacing w:after="0" w:line="181" w:lineRule="exact"/>
              <w:rPr>
                <w:sz w:val="20"/>
                <w:szCs w:val="20"/>
                <w:color w:val="auto"/>
              </w:rPr>
            </w:pPr>
            <w:r>
              <w:rPr>
                <w:rFonts w:ascii="Arial" w:cs="Arial" w:eastAsia="Arial" w:hAnsi="Arial"/>
                <w:sz w:val="16"/>
                <w:szCs w:val="16"/>
                <w:b w:val="1"/>
                <w:bCs w:val="1"/>
                <w:color w:val="0075C9"/>
              </w:rPr>
              <w:t xml:space="preserve">Director Since: </w:t>
            </w:r>
            <w:r>
              <w:rPr>
                <w:rFonts w:ascii="Arial" w:cs="Arial" w:eastAsia="Arial" w:hAnsi="Arial"/>
                <w:sz w:val="16"/>
                <w:szCs w:val="16"/>
                <w:color w:val="000000"/>
              </w:rPr>
              <w:t>2015</w:t>
            </w:r>
          </w:p>
        </w:tc>
        <w:tc>
          <w:tcPr>
            <w:tcW w:w="0" w:type="dxa"/>
            <w:vAlign w:val="bottom"/>
          </w:tcPr>
          <w:p>
            <w:pPr>
              <w:spacing w:after="0"/>
              <w:rPr>
                <w:sz w:val="1"/>
                <w:szCs w:val="1"/>
                <w:color w:val="auto"/>
              </w:rPr>
            </w:pPr>
          </w:p>
        </w:tc>
      </w:tr>
      <w:tr>
        <w:trPr>
          <w:trHeight w:val="199"/>
        </w:trPr>
        <w:tc>
          <w:tcPr>
            <w:tcW w:w="2040" w:type="dxa"/>
            <w:vAlign w:val="bottom"/>
          </w:tcPr>
          <w:p>
            <w:pPr>
              <w:ind w:left="140"/>
              <w:spacing w:after="0"/>
              <w:rPr>
                <w:sz w:val="20"/>
                <w:szCs w:val="20"/>
                <w:color w:val="auto"/>
              </w:rPr>
            </w:pPr>
            <w:r>
              <w:rPr>
                <w:rFonts w:ascii="Arial" w:cs="Arial" w:eastAsia="Arial" w:hAnsi="Arial"/>
                <w:sz w:val="16"/>
                <w:szCs w:val="16"/>
                <w:b w:val="1"/>
                <w:bCs w:val="1"/>
                <w:color w:val="0075C9"/>
              </w:rPr>
              <w:t xml:space="preserve">Occupation: </w:t>
            </w:r>
            <w:r>
              <w:rPr>
                <w:rFonts w:ascii="Arial" w:cs="Arial" w:eastAsia="Arial" w:hAnsi="Arial"/>
                <w:sz w:val="16"/>
                <w:szCs w:val="16"/>
                <w:color w:val="000000"/>
              </w:rPr>
              <w:t>Founder</w:t>
            </w:r>
          </w:p>
        </w:tc>
        <w:tc>
          <w:tcPr>
            <w:tcW w:w="2560" w:type="dxa"/>
            <w:vAlign w:val="bottom"/>
          </w:tcPr>
          <w:p>
            <w:pPr>
              <w:ind w:left="380"/>
              <w:spacing w:after="0"/>
              <w:rPr>
                <w:sz w:val="20"/>
                <w:szCs w:val="20"/>
                <w:color w:val="auto"/>
              </w:rPr>
            </w:pPr>
            <w:r>
              <w:rPr>
                <w:rFonts w:ascii="Arial" w:cs="Arial" w:eastAsia="Arial" w:hAnsi="Arial"/>
                <w:sz w:val="16"/>
                <w:szCs w:val="16"/>
                <w:b w:val="1"/>
                <w:bCs w:val="1"/>
                <w:color w:val="0075C9"/>
              </w:rPr>
              <w:t xml:space="preserve">Occupation: </w:t>
            </w:r>
            <w:r>
              <w:rPr>
                <w:rFonts w:ascii="Arial" w:cs="Arial" w:eastAsia="Arial" w:hAnsi="Arial"/>
                <w:sz w:val="16"/>
                <w:szCs w:val="16"/>
                <w:color w:val="000000"/>
              </w:rPr>
              <w:t>Lead</w:t>
            </w:r>
          </w:p>
        </w:tc>
        <w:tc>
          <w:tcPr>
            <w:tcW w:w="2460" w:type="dxa"/>
            <w:vAlign w:val="bottom"/>
          </w:tcPr>
          <w:p>
            <w:pPr>
              <w:ind w:left="340"/>
              <w:spacing w:after="0"/>
              <w:rPr>
                <w:sz w:val="20"/>
                <w:szCs w:val="20"/>
                <w:color w:val="auto"/>
              </w:rPr>
            </w:pPr>
            <w:r>
              <w:rPr>
                <w:rFonts w:ascii="Arial" w:cs="Arial" w:eastAsia="Arial" w:hAnsi="Arial"/>
                <w:sz w:val="16"/>
                <w:szCs w:val="16"/>
                <w:b w:val="1"/>
                <w:bCs w:val="1"/>
                <w:color w:val="0075C9"/>
              </w:rPr>
              <w:t xml:space="preserve">Occupation: </w:t>
            </w:r>
            <w:r>
              <w:rPr>
                <w:rFonts w:ascii="Arial" w:cs="Arial" w:eastAsia="Arial" w:hAnsi="Arial"/>
                <w:sz w:val="16"/>
                <w:szCs w:val="16"/>
                <w:color w:val="000000"/>
              </w:rPr>
              <w:t>CEO and</w:t>
            </w:r>
          </w:p>
        </w:tc>
        <w:tc>
          <w:tcPr>
            <w:tcW w:w="2000" w:type="dxa"/>
            <w:vAlign w:val="bottom"/>
          </w:tcPr>
          <w:p>
            <w:pPr>
              <w:ind w:left="320"/>
              <w:spacing w:after="0"/>
              <w:rPr>
                <w:sz w:val="20"/>
                <w:szCs w:val="20"/>
                <w:color w:val="auto"/>
              </w:rPr>
            </w:pPr>
            <w:r>
              <w:rPr>
                <w:rFonts w:ascii="Arial" w:cs="Arial" w:eastAsia="Arial" w:hAnsi="Arial"/>
                <w:sz w:val="16"/>
                <w:szCs w:val="16"/>
                <w:b w:val="1"/>
                <w:bCs w:val="1"/>
                <w:color w:val="0075C9"/>
              </w:rPr>
              <w:t xml:space="preserve">Occupation: </w:t>
            </w:r>
            <w:r>
              <w:rPr>
                <w:rFonts w:ascii="Arial" w:cs="Arial" w:eastAsia="Arial" w:hAnsi="Arial"/>
                <w:sz w:val="16"/>
                <w:szCs w:val="16"/>
                <w:color w:val="000000"/>
              </w:rPr>
              <w:t>Founder,</w:t>
            </w:r>
          </w:p>
        </w:tc>
        <w:tc>
          <w:tcPr>
            <w:tcW w:w="0" w:type="dxa"/>
            <w:vAlign w:val="bottom"/>
          </w:tcPr>
          <w:p>
            <w:pPr>
              <w:spacing w:after="0"/>
              <w:rPr>
                <w:sz w:val="1"/>
                <w:szCs w:val="1"/>
                <w:color w:val="auto"/>
              </w:rPr>
            </w:pPr>
          </w:p>
        </w:tc>
      </w:tr>
      <w:tr>
        <w:trPr>
          <w:trHeight w:val="181"/>
        </w:trPr>
        <w:tc>
          <w:tcPr>
            <w:tcW w:w="2040" w:type="dxa"/>
            <w:vAlign w:val="bottom"/>
          </w:tcPr>
          <w:p>
            <w:pPr>
              <w:ind w:left="140"/>
              <w:spacing w:after="0" w:line="181" w:lineRule="exact"/>
              <w:rPr>
                <w:sz w:val="20"/>
                <w:szCs w:val="20"/>
                <w:color w:val="auto"/>
              </w:rPr>
            </w:pPr>
            <w:r>
              <w:rPr>
                <w:rFonts w:ascii="Arial" w:cs="Arial" w:eastAsia="Arial" w:hAnsi="Arial"/>
                <w:sz w:val="16"/>
                <w:szCs w:val="16"/>
                <w:color w:val="auto"/>
              </w:rPr>
              <w:t>and Chairman, Trilogy</w:t>
            </w:r>
          </w:p>
        </w:tc>
        <w:tc>
          <w:tcPr>
            <w:tcW w:w="2560" w:type="dxa"/>
            <w:vAlign w:val="bottom"/>
          </w:tcPr>
          <w:p>
            <w:pPr>
              <w:ind w:left="380"/>
              <w:spacing w:after="0" w:line="181" w:lineRule="exact"/>
              <w:rPr>
                <w:sz w:val="20"/>
                <w:szCs w:val="20"/>
                <w:color w:val="auto"/>
              </w:rPr>
            </w:pPr>
            <w:r>
              <w:rPr>
                <w:rFonts w:ascii="Arial" w:cs="Arial" w:eastAsia="Arial" w:hAnsi="Arial"/>
                <w:sz w:val="16"/>
                <w:szCs w:val="16"/>
                <w:color w:val="auto"/>
              </w:rPr>
              <w:t>Independent Director,</w:t>
            </w:r>
          </w:p>
        </w:tc>
        <w:tc>
          <w:tcPr>
            <w:tcW w:w="2460" w:type="dxa"/>
            <w:vAlign w:val="bottom"/>
          </w:tcPr>
          <w:p>
            <w:pPr>
              <w:ind w:left="340"/>
              <w:spacing w:after="0" w:line="181" w:lineRule="exact"/>
              <w:rPr>
                <w:sz w:val="20"/>
                <w:szCs w:val="20"/>
                <w:color w:val="auto"/>
              </w:rPr>
            </w:pPr>
            <w:r>
              <w:rPr>
                <w:rFonts w:ascii="Arial" w:cs="Arial" w:eastAsia="Arial" w:hAnsi="Arial"/>
                <w:sz w:val="16"/>
                <w:szCs w:val="16"/>
                <w:color w:val="auto"/>
              </w:rPr>
              <w:t>Director, GlaxoSmithKline</w:t>
            </w:r>
          </w:p>
        </w:tc>
        <w:tc>
          <w:tcPr>
            <w:tcW w:w="2000" w:type="dxa"/>
            <w:vAlign w:val="bottom"/>
          </w:tcPr>
          <w:p>
            <w:pPr>
              <w:ind w:left="320"/>
              <w:spacing w:after="0" w:line="181" w:lineRule="exact"/>
              <w:rPr>
                <w:sz w:val="20"/>
                <w:szCs w:val="20"/>
                <w:color w:val="auto"/>
              </w:rPr>
            </w:pPr>
            <w:r>
              <w:rPr>
                <w:rFonts w:ascii="Arial" w:cs="Arial" w:eastAsia="Arial" w:hAnsi="Arial"/>
                <w:sz w:val="16"/>
                <w:szCs w:val="16"/>
                <w:color w:val="auto"/>
              </w:rPr>
              <w:t>President, and CEO,</w:t>
            </w:r>
          </w:p>
        </w:tc>
        <w:tc>
          <w:tcPr>
            <w:tcW w:w="0" w:type="dxa"/>
            <w:vAlign w:val="bottom"/>
          </w:tcPr>
          <w:p>
            <w:pPr>
              <w:spacing w:after="0"/>
              <w:rPr>
                <w:sz w:val="1"/>
                <w:szCs w:val="1"/>
                <w:color w:val="auto"/>
              </w:rPr>
            </w:pPr>
          </w:p>
        </w:tc>
      </w:tr>
      <w:tr>
        <w:trPr>
          <w:trHeight w:val="194"/>
        </w:trPr>
        <w:tc>
          <w:tcPr>
            <w:tcW w:w="2040" w:type="dxa"/>
            <w:vAlign w:val="bottom"/>
          </w:tcPr>
          <w:p>
            <w:pPr>
              <w:ind w:left="140"/>
              <w:spacing w:after="0"/>
              <w:rPr>
                <w:sz w:val="20"/>
                <w:szCs w:val="20"/>
                <w:color w:val="auto"/>
              </w:rPr>
            </w:pPr>
            <w:r>
              <w:rPr>
                <w:rFonts w:ascii="Arial" w:cs="Arial" w:eastAsia="Arial" w:hAnsi="Arial"/>
                <w:sz w:val="16"/>
                <w:szCs w:val="16"/>
                <w:color w:val="auto"/>
              </w:rPr>
              <w:t>Partnerships</w:t>
            </w:r>
          </w:p>
        </w:tc>
        <w:tc>
          <w:tcPr>
            <w:tcW w:w="2560" w:type="dxa"/>
            <w:vAlign w:val="bottom"/>
          </w:tcPr>
          <w:p>
            <w:pPr>
              <w:ind w:left="380"/>
              <w:spacing w:after="0"/>
              <w:rPr>
                <w:sz w:val="20"/>
                <w:szCs w:val="20"/>
                <w:color w:val="auto"/>
              </w:rPr>
            </w:pPr>
            <w:r>
              <w:rPr>
                <w:rFonts w:ascii="Arial" w:cs="Arial" w:eastAsia="Arial" w:hAnsi="Arial"/>
                <w:sz w:val="16"/>
                <w:szCs w:val="16"/>
                <w:color w:val="auto"/>
              </w:rPr>
              <w:t>Microsoft Corporation;</w:t>
            </w:r>
          </w:p>
        </w:tc>
        <w:tc>
          <w:tcPr>
            <w:tcW w:w="2460" w:type="dxa"/>
            <w:vAlign w:val="bottom"/>
          </w:tcPr>
          <w:p>
            <w:pPr>
              <w:ind w:left="340"/>
              <w:spacing w:after="0"/>
              <w:rPr>
                <w:sz w:val="20"/>
                <w:szCs w:val="20"/>
                <w:color w:val="auto"/>
              </w:rPr>
            </w:pPr>
            <w:r>
              <w:rPr>
                <w:rFonts w:ascii="Arial" w:cs="Arial" w:eastAsia="Arial" w:hAnsi="Arial"/>
                <w:sz w:val="16"/>
                <w:szCs w:val="16"/>
                <w:color w:val="auto"/>
              </w:rPr>
              <w:t>plc</w:t>
            </w:r>
          </w:p>
        </w:tc>
        <w:tc>
          <w:tcPr>
            <w:tcW w:w="2000" w:type="dxa"/>
            <w:vAlign w:val="bottom"/>
          </w:tcPr>
          <w:p>
            <w:pPr>
              <w:ind w:left="320"/>
              <w:spacing w:after="0"/>
              <w:rPr>
                <w:sz w:val="20"/>
                <w:szCs w:val="20"/>
                <w:color w:val="auto"/>
              </w:rPr>
            </w:pPr>
            <w:r>
              <w:rPr>
                <w:rFonts w:ascii="Arial" w:cs="Arial" w:eastAsia="Arial" w:hAnsi="Arial"/>
                <w:sz w:val="16"/>
                <w:szCs w:val="16"/>
                <w:color w:val="auto"/>
              </w:rPr>
              <w:t>Fable Group, Inc.</w:t>
            </w:r>
          </w:p>
        </w:tc>
        <w:tc>
          <w:tcPr>
            <w:tcW w:w="0" w:type="dxa"/>
            <w:vAlign w:val="bottom"/>
          </w:tcPr>
          <w:p>
            <w:pPr>
              <w:spacing w:after="0"/>
              <w:rPr>
                <w:sz w:val="1"/>
                <w:szCs w:val="1"/>
                <w:color w:val="auto"/>
              </w:rPr>
            </w:pPr>
          </w:p>
        </w:tc>
      </w:tr>
      <w:tr>
        <w:trPr>
          <w:trHeight w:val="181"/>
        </w:trPr>
        <w:tc>
          <w:tcPr>
            <w:tcW w:w="2040" w:type="dxa"/>
            <w:vAlign w:val="bottom"/>
          </w:tcPr>
          <w:p>
            <w:pPr>
              <w:spacing w:after="0"/>
              <w:rPr>
                <w:sz w:val="15"/>
                <w:szCs w:val="15"/>
                <w:color w:val="auto"/>
              </w:rPr>
            </w:pPr>
          </w:p>
        </w:tc>
        <w:tc>
          <w:tcPr>
            <w:tcW w:w="2560" w:type="dxa"/>
            <w:vAlign w:val="bottom"/>
          </w:tcPr>
          <w:p>
            <w:pPr>
              <w:ind w:left="380"/>
              <w:spacing w:after="0" w:line="181" w:lineRule="exact"/>
              <w:rPr>
                <w:sz w:val="20"/>
                <w:szCs w:val="20"/>
                <w:color w:val="auto"/>
              </w:rPr>
            </w:pPr>
            <w:r>
              <w:rPr>
                <w:rFonts w:ascii="Arial" w:cs="Arial" w:eastAsia="Arial" w:hAnsi="Arial"/>
                <w:sz w:val="16"/>
                <w:szCs w:val="16"/>
                <w:color w:val="auto"/>
              </w:rPr>
              <w:t>Former CEO and Director,</w:t>
            </w:r>
          </w:p>
        </w:tc>
        <w:tc>
          <w:tcPr>
            <w:tcW w:w="24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40" w:type="dxa"/>
            <w:vAlign w:val="bottom"/>
          </w:tcPr>
          <w:p>
            <w:pPr>
              <w:spacing w:after="0"/>
              <w:rPr>
                <w:sz w:val="15"/>
                <w:szCs w:val="15"/>
                <w:color w:val="auto"/>
              </w:rPr>
            </w:pPr>
          </w:p>
        </w:tc>
        <w:tc>
          <w:tcPr>
            <w:tcW w:w="2560" w:type="dxa"/>
            <w:vAlign w:val="bottom"/>
          </w:tcPr>
          <w:p>
            <w:pPr>
              <w:ind w:left="380"/>
              <w:spacing w:after="0" w:line="181" w:lineRule="exact"/>
              <w:rPr>
                <w:sz w:val="20"/>
                <w:szCs w:val="20"/>
                <w:color w:val="auto"/>
              </w:rPr>
            </w:pPr>
            <w:r>
              <w:rPr>
                <w:rFonts w:ascii="Arial" w:cs="Arial" w:eastAsia="Arial" w:hAnsi="Arial"/>
                <w:sz w:val="16"/>
                <w:szCs w:val="16"/>
                <w:color w:val="auto"/>
              </w:rPr>
              <w:t>Virtual Instruments</w:t>
            </w:r>
          </w:p>
        </w:tc>
        <w:tc>
          <w:tcPr>
            <w:tcW w:w="24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40" w:type="dxa"/>
            <w:vAlign w:val="bottom"/>
          </w:tcPr>
          <w:p>
            <w:pPr>
              <w:spacing w:after="0"/>
              <w:rPr>
                <w:sz w:val="16"/>
                <w:szCs w:val="16"/>
                <w:color w:val="auto"/>
              </w:rPr>
            </w:pPr>
          </w:p>
        </w:tc>
        <w:tc>
          <w:tcPr>
            <w:tcW w:w="2560" w:type="dxa"/>
            <w:vAlign w:val="bottom"/>
          </w:tcPr>
          <w:p>
            <w:pPr>
              <w:ind w:left="380"/>
              <w:spacing w:after="0"/>
              <w:rPr>
                <w:sz w:val="20"/>
                <w:szCs w:val="20"/>
                <w:color w:val="auto"/>
              </w:rPr>
            </w:pPr>
            <w:r>
              <w:rPr>
                <w:rFonts w:ascii="Arial" w:cs="Arial" w:eastAsia="Arial" w:hAnsi="Arial"/>
                <w:sz w:val="16"/>
                <w:szCs w:val="16"/>
                <w:color w:val="auto"/>
              </w:rPr>
              <w:t>Corporation</w:t>
            </w:r>
          </w:p>
        </w:tc>
        <w:tc>
          <w:tcPr>
            <w:tcW w:w="24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93"/>
        </w:trPr>
        <w:tc>
          <w:tcPr>
            <w:tcW w:w="2040" w:type="dxa"/>
            <w:vAlign w:val="bottom"/>
          </w:tcPr>
          <w:p>
            <w:pPr>
              <w:spacing w:after="0"/>
              <w:rPr>
                <w:sz w:val="20"/>
                <w:szCs w:val="20"/>
                <w:color w:val="auto"/>
              </w:rPr>
            </w:pPr>
            <w:r>
              <w:rPr>
                <w:rFonts w:ascii="Arial" w:cs="Arial" w:eastAsia="Arial" w:hAnsi="Arial"/>
                <w:sz w:val="14"/>
                <w:szCs w:val="14"/>
                <w:b w:val="1"/>
                <w:bCs w:val="1"/>
                <w:color w:val="0075C9"/>
              </w:rPr>
              <w:t>66</w:t>
            </w:r>
          </w:p>
        </w:tc>
        <w:tc>
          <w:tcPr>
            <w:tcW w:w="25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-4021455</wp:posOffset>
            </wp:positionV>
            <wp:extent cx="764540" cy="7645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64540" cy="764540"/>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-4021455</wp:posOffset>
            </wp:positionV>
            <wp:extent cx="764540" cy="7645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64540" cy="764540"/>
                    </a:xfrm>
                    <a:prstGeom prst="rect">
                      <a:avLst/>
                    </a:prstGeom>
                    <a:noFill/>
                  </pic:spPr>
                </pic:pic>
              </a:graphicData>
            </a:graphic>
          </wp:anchor>
        </w:drawing>
        <w:drawing>
          <wp:anchor simplePos="0" relativeHeight="251657728" behindDoc="1" locked="0" layoutInCell="0" allowOverlap="1">
            <wp:simplePos x="0" y="0"/>
            <wp:positionH relativeFrom="column">
              <wp:posOffset>3752215</wp:posOffset>
            </wp:positionH>
            <wp:positionV relativeFrom="paragraph">
              <wp:posOffset>-4021455</wp:posOffset>
            </wp:positionV>
            <wp:extent cx="764540" cy="77279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64540" cy="772795"/>
                    </a:xfrm>
                    <a:prstGeom prst="rect">
                      <a:avLst/>
                    </a:prstGeom>
                    <a:noFill/>
                  </pic:spPr>
                </pic:pic>
              </a:graphicData>
            </a:graphic>
          </wp:anchor>
        </w:drawing>
        <w:drawing>
          <wp:anchor simplePos="0" relativeHeight="251657728" behindDoc="1" locked="0" layoutInCell="0" allowOverlap="1">
            <wp:simplePos x="0" y="0"/>
            <wp:positionH relativeFrom="column">
              <wp:posOffset>5355590</wp:posOffset>
            </wp:positionH>
            <wp:positionV relativeFrom="paragraph">
              <wp:posOffset>-4021455</wp:posOffset>
            </wp:positionV>
            <wp:extent cx="764540" cy="77279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64540" cy="772795"/>
                    </a:xfrm>
                    <a:prstGeom prst="rect">
                      <a:avLst/>
                    </a:prstGeom>
                    <a:noFill/>
                  </pic:spPr>
                </pic:pic>
              </a:graphicData>
            </a:graphic>
          </wp:anchor>
        </w:drawing>
        <w:drawing>
          <wp:anchor simplePos="0" relativeHeight="251657728" behindDoc="1" locked="0" layoutInCell="0" allowOverlap="1">
            <wp:simplePos x="0" y="0"/>
            <wp:positionH relativeFrom="column">
              <wp:posOffset>701040</wp:posOffset>
            </wp:positionH>
            <wp:positionV relativeFrom="paragraph">
              <wp:posOffset>-2277745</wp:posOffset>
            </wp:positionV>
            <wp:extent cx="764540" cy="7645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64540" cy="764540"/>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-2277745</wp:posOffset>
            </wp:positionV>
            <wp:extent cx="764540" cy="77279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64540" cy="772795"/>
                    </a:xfrm>
                    <a:prstGeom prst="rect">
                      <a:avLst/>
                    </a:prstGeom>
                    <a:noFill/>
                  </pic:spPr>
                </pic:pic>
              </a:graphicData>
            </a:graphic>
          </wp:anchor>
        </w:drawing>
        <w:drawing>
          <wp:anchor simplePos="0" relativeHeight="251657728" behindDoc="1" locked="0" layoutInCell="0" allowOverlap="1">
            <wp:simplePos x="0" y="0"/>
            <wp:positionH relativeFrom="column">
              <wp:posOffset>3752215</wp:posOffset>
            </wp:positionH>
            <wp:positionV relativeFrom="paragraph">
              <wp:posOffset>-2277745</wp:posOffset>
            </wp:positionV>
            <wp:extent cx="764540" cy="7645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64540" cy="764540"/>
                    </a:xfrm>
                    <a:prstGeom prst="rect">
                      <a:avLst/>
                    </a:prstGeom>
                    <a:noFill/>
                  </pic:spPr>
                </pic:pic>
              </a:graphicData>
            </a:graphic>
          </wp:anchor>
        </w:drawing>
        <w:drawing>
          <wp:anchor simplePos="0" relativeHeight="251657728" behindDoc="1" locked="0" layoutInCell="0" allowOverlap="1">
            <wp:simplePos x="0" y="0"/>
            <wp:positionH relativeFrom="column">
              <wp:posOffset>5298440</wp:posOffset>
            </wp:positionH>
            <wp:positionV relativeFrom="paragraph">
              <wp:posOffset>-2277745</wp:posOffset>
            </wp:positionV>
            <wp:extent cx="764540" cy="77279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64540" cy="772795"/>
                    </a:xfrm>
                    <a:prstGeom prst="rect">
                      <a:avLst/>
                    </a:prstGeom>
                    <a:noFill/>
                  </pic:spPr>
                </pic:pic>
              </a:graphicData>
            </a:graphic>
          </wp:anchor>
        </w:drawing>
        <w:drawing>
          <wp:anchor simplePos="0" relativeHeight="251657728" behindDoc="1" locked="0" layoutInCell="0" allowOverlap="1">
            <wp:simplePos x="0" y="0"/>
            <wp:positionH relativeFrom="column">
              <wp:posOffset>783590</wp:posOffset>
            </wp:positionH>
            <wp:positionV relativeFrom="paragraph">
              <wp:posOffset>-106680</wp:posOffset>
            </wp:positionV>
            <wp:extent cx="485140" cy="9842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39"/>
          </w:cols>
          <w:pgMar w:left="320" w:top="445" w:right="1440" w:bottom="709" w:gutter="0" w:footer="0" w:header="0"/>
        </w:sectPr>
      </w:pPr>
    </w:p>
    <w:bookmarkStart w:id="74" w:name="page75"/>
    <w:bookmarkEnd w:id="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auto"/>
                <w:w w:val="89"/>
              </w:rPr>
              <w:t>1</w:t>
            </w:r>
          </w:p>
        </w:tc>
        <w:tc>
          <w:tcPr>
            <w:tcW w:w="1360" w:type="dxa"/>
            <w:vAlign w:val="bottom"/>
            <w:vMerge w:val="restart"/>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tcPr>
          <w:p>
            <w:pPr>
              <w:jc w:val="right"/>
              <w:spacing w:after="0"/>
              <w:rPr>
                <w:sz w:val="20"/>
                <w:szCs w:val="20"/>
                <w:color w:val="auto"/>
              </w:rPr>
            </w:pPr>
            <w:r>
              <w:rPr>
                <w:rFonts w:ascii="Arial" w:cs="Arial" w:eastAsia="Arial" w:hAnsi="Arial"/>
                <w:sz w:val="36"/>
                <w:szCs w:val="36"/>
                <w:color w:val="auto"/>
              </w:rPr>
              <w:t>2</w:t>
            </w:r>
          </w:p>
        </w:tc>
        <w:tc>
          <w:tcPr>
            <w:tcW w:w="1540" w:type="dxa"/>
            <w:vAlign w:val="bottom"/>
            <w:vMerge w:val="restart"/>
          </w:tcPr>
          <w:p>
            <w:pPr>
              <w:ind w:left="80"/>
              <w:spacing w:after="0"/>
              <w:rPr>
                <w:sz w:val="20"/>
                <w:szCs w:val="20"/>
                <w:color w:val="auto"/>
              </w:rPr>
            </w:pPr>
            <w:r>
              <w:rPr>
                <w:rFonts w:ascii="Arial" w:cs="Arial" w:eastAsia="Arial" w:hAnsi="Arial"/>
                <w:sz w:val="12"/>
                <w:szCs w:val="12"/>
                <w:color w:val="auto"/>
              </w:rPr>
              <w:t>NAMED</w:t>
            </w:r>
          </w:p>
        </w:tc>
        <w:tc>
          <w:tcPr>
            <w:tcW w:w="500" w:type="dxa"/>
            <w:vAlign w:val="bottom"/>
          </w:tcPr>
          <w:p>
            <w:pPr>
              <w:jc w:val="right"/>
              <w:spacing w:after="0"/>
              <w:rPr>
                <w:sz w:val="20"/>
                <w:szCs w:val="20"/>
                <w:color w:val="auto"/>
              </w:rPr>
            </w:pPr>
            <w:r>
              <w:rPr>
                <w:rFonts w:ascii="Arial" w:cs="Arial" w:eastAsia="Arial" w:hAnsi="Arial"/>
                <w:sz w:val="36"/>
                <w:szCs w:val="36"/>
                <w:color w:val="auto"/>
              </w:rPr>
              <w:t>3</w:t>
            </w:r>
          </w:p>
        </w:tc>
        <w:tc>
          <w:tcPr>
            <w:tcW w:w="980" w:type="dxa"/>
            <w:vAlign w:val="bottom"/>
            <w:vMerge w:val="restart"/>
          </w:tcPr>
          <w:p>
            <w:pPr>
              <w:ind w:left="80"/>
              <w:spacing w:after="0"/>
              <w:rPr>
                <w:sz w:val="20"/>
                <w:szCs w:val="20"/>
                <w:color w:val="auto"/>
              </w:rPr>
            </w:pPr>
            <w:r>
              <w:rPr>
                <w:rFonts w:ascii="Arial" w:cs="Arial" w:eastAsia="Arial" w:hAnsi="Arial"/>
                <w:sz w:val="12"/>
                <w:szCs w:val="12"/>
                <w:color w:val="auto"/>
              </w:rPr>
              <w:t>AUDIT</w:t>
            </w:r>
          </w:p>
        </w:tc>
        <w:tc>
          <w:tcPr>
            <w:tcW w:w="460" w:type="dxa"/>
            <w:vAlign w:val="bottom"/>
            <w:gridSpan w:val="2"/>
          </w:tcPr>
          <w:p>
            <w:pPr>
              <w:jc w:val="right"/>
              <w:ind w:right="80"/>
              <w:spacing w:after="0"/>
              <w:rPr>
                <w:sz w:val="20"/>
                <w:szCs w:val="20"/>
                <w:color w:val="auto"/>
              </w:rPr>
            </w:pPr>
            <w:r>
              <w:rPr>
                <w:rFonts w:ascii="Arial" w:cs="Arial" w:eastAsia="Arial" w:hAnsi="Arial"/>
                <w:sz w:val="36"/>
                <w:szCs w:val="36"/>
                <w:color w:val="0075C9"/>
              </w:rPr>
              <w:t>4</w:t>
            </w:r>
          </w:p>
        </w:tc>
        <w:tc>
          <w:tcPr>
            <w:tcW w:w="1420" w:type="dxa"/>
            <w:vAlign w:val="bottom"/>
            <w:vMerge w:val="restart"/>
          </w:tcPr>
          <w:p>
            <w:pPr>
              <w:ind w:left="80"/>
              <w:spacing w:after="0"/>
              <w:rPr>
                <w:sz w:val="20"/>
                <w:szCs w:val="20"/>
                <w:color w:val="auto"/>
              </w:rPr>
            </w:pPr>
            <w:r>
              <w:rPr>
                <w:rFonts w:ascii="Arial" w:cs="Arial" w:eastAsia="Arial" w:hAnsi="Arial"/>
                <w:sz w:val="12"/>
                <w:szCs w:val="12"/>
                <w:color w:val="0075C9"/>
              </w:rPr>
              <w:t>PROPOSALS TO</w:t>
            </w:r>
          </w:p>
        </w:tc>
        <w:tc>
          <w:tcPr>
            <w:tcW w:w="740" w:type="dxa"/>
            <w:vAlign w:val="bottom"/>
          </w:tcPr>
          <w:p>
            <w:pPr>
              <w:jc w:val="right"/>
              <w:spacing w:after="0"/>
              <w:rPr>
                <w:sz w:val="20"/>
                <w:szCs w:val="20"/>
                <w:color w:val="auto"/>
              </w:rPr>
            </w:pPr>
            <w:r>
              <w:rPr>
                <w:rFonts w:ascii="Arial" w:cs="Arial" w:eastAsia="Arial" w:hAnsi="Arial"/>
                <w:sz w:val="36"/>
                <w:szCs w:val="36"/>
                <w:color w:val="auto"/>
              </w:rPr>
              <w:t>5</w:t>
            </w:r>
          </w:p>
        </w:tc>
        <w:tc>
          <w:tcPr>
            <w:tcW w:w="900" w:type="dxa"/>
            <w:vAlign w:val="bottom"/>
            <w:vMerge w:val="restart"/>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36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tcPr>
          <w:p>
            <w:pPr>
              <w:ind w:left="80"/>
              <w:spacing w:after="0" w:line="130" w:lineRule="exact"/>
              <w:rPr>
                <w:sz w:val="20"/>
                <w:szCs w:val="20"/>
                <w:color w:val="auto"/>
              </w:rPr>
            </w:pPr>
            <w:r>
              <w:rPr>
                <w:rFonts w:ascii="Arial" w:cs="Arial" w:eastAsia="Arial" w:hAnsi="Arial"/>
                <w:sz w:val="12"/>
                <w:szCs w:val="12"/>
                <w:color w:val="0075C9"/>
                <w:w w:val="99"/>
              </w:rPr>
              <w:t>BE VOTED ON DURING</w:t>
            </w:r>
          </w:p>
        </w:tc>
        <w:tc>
          <w:tcPr>
            <w:tcW w:w="740" w:type="dxa"/>
            <w:vAlign w:val="bottom"/>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36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tcPr>
          <w:p>
            <w:pPr>
              <w:spacing w:after="0"/>
              <w:rPr>
                <w:sz w:val="12"/>
                <w:szCs w:val="12"/>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tcPr>
          <w:p>
            <w:pPr>
              <w:spacing w:after="0"/>
              <w:rPr>
                <w:sz w:val="12"/>
                <w:szCs w:val="12"/>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ind w:left="80"/>
              <w:spacing w:after="0"/>
              <w:rPr>
                <w:sz w:val="20"/>
                <w:szCs w:val="20"/>
                <w:color w:val="auto"/>
              </w:rPr>
            </w:pPr>
            <w:r>
              <w:rPr>
                <w:rFonts w:ascii="Arial" w:cs="Arial" w:eastAsia="Arial" w:hAnsi="Arial"/>
                <w:sz w:val="12"/>
                <w:szCs w:val="12"/>
                <w:color w:val="0075C9"/>
              </w:rPr>
              <w:t>THE MEETING</w:t>
            </w:r>
          </w:p>
        </w:tc>
        <w:tc>
          <w:tcPr>
            <w:tcW w:w="740" w:type="dxa"/>
            <w:vAlign w:val="bottom"/>
          </w:tcPr>
          <w:p>
            <w:pPr>
              <w:spacing w:after="0"/>
              <w:rPr>
                <w:sz w:val="12"/>
                <w:szCs w:val="12"/>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4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left="4500"/>
        <w:spacing w:after="0"/>
        <w:rPr>
          <w:sz w:val="20"/>
          <w:szCs w:val="20"/>
          <w:color w:val="auto"/>
        </w:rPr>
      </w:pPr>
      <w:r>
        <w:rPr>
          <w:rFonts w:ascii="Arial" w:cs="Arial" w:eastAsia="Arial" w:hAnsi="Arial"/>
          <w:sz w:val="21"/>
          <w:szCs w:val="21"/>
          <w:b w:val="1"/>
          <w:bCs w:val="1"/>
          <w:color w:val="auto"/>
        </w:rPr>
        <w:t>Management Proposal 2:</w:t>
      </w:r>
    </w:p>
    <w:p>
      <w:pPr>
        <w:spacing w:after="0" w:line="9" w:lineRule="exact"/>
        <w:rPr>
          <w:sz w:val="20"/>
          <w:szCs w:val="20"/>
          <w:color w:val="auto"/>
        </w:rPr>
      </w:pPr>
    </w:p>
    <w:p>
      <w:pPr>
        <w:ind w:left="4260"/>
        <w:spacing w:after="0"/>
        <w:rPr>
          <w:sz w:val="20"/>
          <w:szCs w:val="20"/>
          <w:color w:val="auto"/>
        </w:rPr>
      </w:pPr>
      <w:r>
        <w:rPr>
          <w:rFonts w:ascii="Arial" w:cs="Arial" w:eastAsia="Arial" w:hAnsi="Arial"/>
          <w:sz w:val="21"/>
          <w:szCs w:val="21"/>
          <w:b w:val="1"/>
          <w:bCs w:val="1"/>
          <w:color w:val="auto"/>
        </w:rPr>
        <w:t>Advisory Vote to Approve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-85725</wp:posOffset>
            </wp:positionV>
            <wp:extent cx="5690870" cy="133223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690870" cy="1332230"/>
                    </a:xfrm>
                    <a:prstGeom prst="rect">
                      <a:avLst/>
                    </a:prstGeom>
                    <a:noFill/>
                  </pic:spPr>
                </pic:pic>
              </a:graphicData>
            </a:graphic>
          </wp:anchor>
        </w:drawing>
      </w:r>
    </w:p>
    <w:p>
      <w:pPr>
        <w:ind w:left="3660"/>
        <w:spacing w:after="0"/>
        <w:rPr>
          <w:sz w:val="20"/>
          <w:szCs w:val="20"/>
          <w:color w:val="auto"/>
        </w:rPr>
      </w:pPr>
      <w:r>
        <w:rPr>
          <w:rFonts w:ascii="Arial" w:cs="Arial" w:eastAsia="Arial" w:hAnsi="Arial"/>
          <w:sz w:val="21"/>
          <w:szCs w:val="21"/>
          <w:b w:val="1"/>
          <w:bCs w:val="1"/>
          <w:color w:val="auto"/>
        </w:rPr>
        <w:t>Named Executive Officer Compensation</w:t>
      </w:r>
    </w:p>
    <w:p>
      <w:pPr>
        <w:spacing w:after="0" w:line="194" w:lineRule="exact"/>
        <w:rPr>
          <w:sz w:val="20"/>
          <w:szCs w:val="20"/>
          <w:color w:val="auto"/>
        </w:rPr>
      </w:pPr>
    </w:p>
    <w:p>
      <w:pPr>
        <w:ind w:left="1480" w:right="1060"/>
        <w:spacing w:after="0" w:line="239" w:lineRule="auto"/>
        <w:rPr>
          <w:sz w:val="20"/>
          <w:szCs w:val="20"/>
          <w:color w:val="auto"/>
        </w:rPr>
      </w:pPr>
      <w:r>
        <w:rPr>
          <w:rFonts w:ascii="Arial" w:cs="Arial" w:eastAsia="Arial" w:hAnsi="Arial"/>
          <w:sz w:val="16"/>
          <w:szCs w:val="16"/>
          <w:color w:val="auto"/>
        </w:rPr>
        <w:t>As required by Securities and Exchange Commission rules, we are asking for your advisory vote on the following resolution (“say-on-pay vote” resolution):</w:t>
      </w:r>
    </w:p>
    <w:p>
      <w:pPr>
        <w:spacing w:after="0" w:line="113" w:lineRule="exact"/>
        <w:rPr>
          <w:sz w:val="20"/>
          <w:szCs w:val="20"/>
          <w:color w:val="auto"/>
        </w:rPr>
      </w:pPr>
    </w:p>
    <w:p>
      <w:pPr>
        <w:ind w:left="1480" w:right="1080"/>
        <w:spacing w:after="0" w:line="239" w:lineRule="auto"/>
        <w:rPr>
          <w:sz w:val="20"/>
          <w:szCs w:val="20"/>
          <w:color w:val="auto"/>
        </w:rPr>
      </w:pPr>
      <w:r>
        <w:rPr>
          <w:rFonts w:ascii="Arial" w:cs="Arial" w:eastAsia="Arial" w:hAnsi="Arial"/>
          <w:sz w:val="16"/>
          <w:szCs w:val="16"/>
          <w:color w:val="auto"/>
        </w:rPr>
        <w:t>Resolved, that the shareholders approve, in a nonbinding vote, the compensation paid to the Company’s Named Executive Officers, as disclosed in Part 2 – Named Executive Officer Compensation.</w:t>
      </w:r>
    </w:p>
    <w:p>
      <w:pPr>
        <w:spacing w:after="0" w:line="113"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Receipt of a majority of the votes cast is required to approve this proposal. We hold our say-on-pay vote every year.</w:t>
      </w:r>
    </w:p>
    <w:p>
      <w:pPr>
        <w:spacing w:after="0" w:line="200" w:lineRule="exact"/>
        <w:rPr>
          <w:sz w:val="20"/>
          <w:szCs w:val="20"/>
          <w:color w:val="auto"/>
        </w:rPr>
      </w:pPr>
    </w:p>
    <w:p>
      <w:pPr>
        <w:spacing w:after="0" w:line="370" w:lineRule="exact"/>
        <w:rPr>
          <w:sz w:val="20"/>
          <w:szCs w:val="20"/>
          <w:color w:val="auto"/>
        </w:rPr>
      </w:pPr>
    </w:p>
    <w:p>
      <w:pPr>
        <w:ind w:left="1100" w:right="1100"/>
        <w:spacing w:after="0" w:line="278" w:lineRule="auto"/>
        <w:rPr>
          <w:sz w:val="20"/>
          <w:szCs w:val="20"/>
          <w:color w:val="auto"/>
        </w:rPr>
      </w:pPr>
      <w:r>
        <w:rPr>
          <w:rFonts w:ascii="Arial" w:cs="Arial" w:eastAsia="Arial" w:hAnsi="Arial"/>
          <w:sz w:val="17"/>
          <w:szCs w:val="17"/>
          <w:b w:val="1"/>
          <w:bCs w:val="1"/>
          <w:i w:val="1"/>
          <w:iCs w:val="1"/>
          <w:color w:val="0075C9"/>
        </w:rPr>
        <w:t>Our Board of Directors recommends a vote FOR approval, on a non-binding, advisory basis, of the compensation paid to our Named Executive Officers.</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Statement in Support</w:t>
      </w:r>
    </w:p>
    <w:p>
      <w:pPr>
        <w:spacing w:after="0" w:line="111"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0075C9"/>
        </w:rPr>
        <w:t>Pay for Performance</w:t>
      </w:r>
    </w:p>
    <w:p>
      <w:pPr>
        <w:spacing w:after="0" w:line="119" w:lineRule="exact"/>
        <w:rPr>
          <w:sz w:val="20"/>
          <w:szCs w:val="20"/>
          <w:color w:val="auto"/>
        </w:rPr>
      </w:pPr>
    </w:p>
    <w:p>
      <w:pPr>
        <w:ind w:left="1100" w:right="160"/>
        <w:spacing w:after="0" w:line="238" w:lineRule="auto"/>
        <w:rPr>
          <w:sz w:val="20"/>
          <w:szCs w:val="20"/>
          <w:color w:val="auto"/>
        </w:rPr>
      </w:pPr>
      <w:r>
        <w:rPr>
          <w:rFonts w:ascii="Arial" w:cs="Arial" w:eastAsia="Arial" w:hAnsi="Arial"/>
          <w:sz w:val="16"/>
          <w:szCs w:val="16"/>
          <w:color w:val="auto"/>
        </w:rPr>
        <w:t>Through our ongoing shareholder engagement, we receive consistent feedback that our investors favor incentive compensation arrangements tied to specific performance measures that drive long-term performance and value creation. We have responded to investor feedback, and our program design has evolved so that it incorporates performance elements directly linked to achievement of our long-term strategic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3858895</wp:posOffset>
            </wp:positionH>
            <wp:positionV relativeFrom="paragraph">
              <wp:posOffset>69850</wp:posOffset>
            </wp:positionV>
            <wp:extent cx="2590165" cy="27298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590165" cy="2729865"/>
                    </a:xfrm>
                    <a:prstGeom prst="rect">
                      <a:avLst/>
                    </a:prstGeom>
                    <a:noFill/>
                  </pic:spPr>
                </pic:pic>
              </a:graphicData>
            </a:graphic>
          </wp:anchor>
        </w:drawing>
      </w:r>
    </w:p>
    <w:p>
      <w:pPr>
        <w:sectPr>
          <w:pgSz w:w="11900" w:h="16838" w:orient="portrait"/>
          <w:cols w:equalWidth="0" w:num="1">
            <w:col w:w="10280"/>
          </w:cols>
          <w:pgMar w:left="320" w:top="445" w:right="1299" w:bottom="1440" w:gutter="0" w:footer="0" w:header="0"/>
        </w:sectPr>
      </w:pPr>
    </w:p>
    <w:p>
      <w:pPr>
        <w:spacing w:after="0" w:line="125" w:lineRule="exact"/>
        <w:rPr>
          <w:sz w:val="20"/>
          <w:szCs w:val="20"/>
          <w:color w:val="auto"/>
        </w:rPr>
      </w:pPr>
    </w:p>
    <w:p>
      <w:pPr>
        <w:ind w:left="1100" w:right="500"/>
        <w:spacing w:after="0" w:line="239" w:lineRule="auto"/>
        <w:rPr>
          <w:sz w:val="20"/>
          <w:szCs w:val="20"/>
          <w:color w:val="auto"/>
        </w:rPr>
      </w:pPr>
      <w:r>
        <w:rPr>
          <w:rFonts w:ascii="Arial" w:cs="Arial" w:eastAsia="Arial" w:hAnsi="Arial"/>
          <w:sz w:val="16"/>
          <w:szCs w:val="16"/>
          <w:color w:val="auto"/>
        </w:rPr>
        <w:t>Key features of our fiscal year 2021 executive compensation program were:</w:t>
      </w:r>
    </w:p>
    <w:p>
      <w:pPr>
        <w:spacing w:after="0" w:line="113" w:lineRule="exact"/>
        <w:rPr>
          <w:sz w:val="20"/>
          <w:szCs w:val="20"/>
          <w:color w:val="auto"/>
        </w:rPr>
      </w:pPr>
    </w:p>
    <w:p>
      <w:pPr>
        <w:jc w:val="both"/>
        <w:ind w:left="1260" w:right="440" w:hanging="156"/>
        <w:spacing w:after="0" w:line="238" w:lineRule="auto"/>
        <w:tabs>
          <w:tab w:leader="none" w:pos="1245" w:val="left"/>
        </w:tabs>
        <w:numPr>
          <w:ilvl w:val="0"/>
          <w:numId w:val="97"/>
        </w:numPr>
        <w:rPr>
          <w:rFonts w:ascii="Arial" w:cs="Arial" w:eastAsia="Arial" w:hAnsi="Arial"/>
          <w:sz w:val="16"/>
          <w:szCs w:val="16"/>
          <w:color w:val="auto"/>
        </w:rPr>
      </w:pPr>
      <w:r>
        <w:rPr>
          <w:rFonts w:ascii="Arial" w:cs="Arial" w:eastAsia="Arial" w:hAnsi="Arial"/>
          <w:sz w:val="16"/>
          <w:szCs w:val="16"/>
          <w:color w:val="auto"/>
        </w:rPr>
        <w:t>Over60% of the annual target compensation opportunity for our Named Executive Officers was performance-based, on average</w:t>
      </w:r>
    </w:p>
    <w:p>
      <w:pPr>
        <w:spacing w:after="0" w:line="113" w:lineRule="exact"/>
        <w:rPr>
          <w:rFonts w:ascii="Arial" w:cs="Arial" w:eastAsia="Arial" w:hAnsi="Arial"/>
          <w:sz w:val="16"/>
          <w:szCs w:val="16"/>
          <w:color w:val="auto"/>
        </w:rPr>
      </w:pPr>
    </w:p>
    <w:p>
      <w:pPr>
        <w:ind w:left="1260" w:right="340" w:hanging="156"/>
        <w:spacing w:after="0" w:line="239" w:lineRule="auto"/>
        <w:tabs>
          <w:tab w:leader="none" w:pos="1245" w:val="left"/>
        </w:tabs>
        <w:numPr>
          <w:ilvl w:val="0"/>
          <w:numId w:val="97"/>
        </w:numPr>
        <w:rPr>
          <w:rFonts w:ascii="Arial" w:cs="Arial" w:eastAsia="Arial" w:hAnsi="Arial"/>
          <w:sz w:val="16"/>
          <w:szCs w:val="16"/>
          <w:color w:val="auto"/>
        </w:rPr>
      </w:pPr>
      <w:r>
        <w:rPr>
          <w:rFonts w:ascii="Arial" w:cs="Arial" w:eastAsia="Arial" w:hAnsi="Arial"/>
          <w:sz w:val="16"/>
          <w:szCs w:val="16"/>
          <w:color w:val="auto"/>
        </w:rPr>
        <w:t>50%(70% for our CEO) of the annual cash incentive was tied to achieving pre-established financial targets</w:t>
      </w:r>
    </w:p>
    <w:p>
      <w:pPr>
        <w:spacing w:after="0" w:line="112" w:lineRule="exact"/>
        <w:rPr>
          <w:rFonts w:ascii="Arial" w:cs="Arial" w:eastAsia="Arial" w:hAnsi="Arial"/>
          <w:sz w:val="16"/>
          <w:szCs w:val="16"/>
          <w:color w:val="auto"/>
        </w:rPr>
      </w:pPr>
    </w:p>
    <w:p>
      <w:pPr>
        <w:ind w:left="1260" w:right="260" w:hanging="156"/>
        <w:spacing w:after="0" w:line="283" w:lineRule="auto"/>
        <w:tabs>
          <w:tab w:leader="none" w:pos="1245" w:val="left"/>
        </w:tabs>
        <w:numPr>
          <w:ilvl w:val="0"/>
          <w:numId w:val="97"/>
        </w:numPr>
        <w:rPr>
          <w:rFonts w:ascii="Arial" w:cs="Arial" w:eastAsia="Arial" w:hAnsi="Arial"/>
          <w:sz w:val="14"/>
          <w:szCs w:val="14"/>
          <w:color w:val="auto"/>
        </w:rPr>
      </w:pPr>
      <w:r>
        <w:rPr>
          <w:rFonts w:ascii="Arial" w:cs="Arial" w:eastAsia="Arial" w:hAnsi="Arial"/>
          <w:sz w:val="14"/>
          <w:szCs w:val="14"/>
          <w:color w:val="auto"/>
        </w:rPr>
        <w:t>50%(70% for our CEO) of the annual target equity opportunity for our Named Executive Officers was delivered in the form of performance-based stock awards with payouts based on achievement against pre-established strategic objectives</w:t>
      </w:r>
    </w:p>
    <w:p>
      <w:pPr>
        <w:spacing w:after="0" w:line="82" w:lineRule="exact"/>
        <w:rPr>
          <w:rFonts w:ascii="Arial" w:cs="Arial" w:eastAsia="Arial" w:hAnsi="Arial"/>
          <w:sz w:val="14"/>
          <w:szCs w:val="14"/>
          <w:color w:val="auto"/>
        </w:rPr>
      </w:pPr>
    </w:p>
    <w:p>
      <w:pPr>
        <w:ind w:left="1260" w:right="580" w:hanging="156"/>
        <w:spacing w:after="0" w:line="239" w:lineRule="auto"/>
        <w:tabs>
          <w:tab w:leader="none" w:pos="1245" w:val="left"/>
        </w:tabs>
        <w:numPr>
          <w:ilvl w:val="0"/>
          <w:numId w:val="97"/>
        </w:numPr>
        <w:rPr>
          <w:rFonts w:ascii="Arial" w:cs="Arial" w:eastAsia="Arial" w:hAnsi="Arial"/>
          <w:sz w:val="16"/>
          <w:szCs w:val="16"/>
          <w:color w:val="auto"/>
        </w:rPr>
      </w:pPr>
      <w:r>
        <w:rPr>
          <w:rFonts w:ascii="Arial" w:cs="Arial" w:eastAsia="Arial" w:hAnsi="Arial"/>
          <w:sz w:val="16"/>
          <w:szCs w:val="16"/>
          <w:color w:val="auto"/>
        </w:rPr>
        <w:t>Metricsunder our performance stock awards are strategic measures that drive long-term growth</w:t>
      </w:r>
    </w:p>
    <w:p>
      <w:pPr>
        <w:spacing w:after="0" w:line="112" w:lineRule="exact"/>
        <w:rPr>
          <w:rFonts w:ascii="Arial" w:cs="Arial" w:eastAsia="Arial" w:hAnsi="Arial"/>
          <w:sz w:val="16"/>
          <w:szCs w:val="16"/>
          <w:color w:val="auto"/>
        </w:rPr>
      </w:pPr>
    </w:p>
    <w:p>
      <w:pPr>
        <w:ind w:left="1260" w:right="420" w:hanging="156"/>
        <w:spacing w:after="0" w:line="237" w:lineRule="auto"/>
        <w:tabs>
          <w:tab w:leader="none" w:pos="1245" w:val="left"/>
        </w:tabs>
        <w:numPr>
          <w:ilvl w:val="0"/>
          <w:numId w:val="97"/>
        </w:numPr>
        <w:rPr>
          <w:rFonts w:ascii="Arial" w:cs="Arial" w:eastAsia="Arial" w:hAnsi="Arial"/>
          <w:sz w:val="16"/>
          <w:szCs w:val="16"/>
          <w:color w:val="auto"/>
        </w:rPr>
      </w:pPr>
      <w:r>
        <w:rPr>
          <w:rFonts w:ascii="Arial" w:cs="Arial" w:eastAsia="Arial" w:hAnsi="Arial"/>
          <w:sz w:val="16"/>
          <w:szCs w:val="16"/>
          <w:color w:val="auto"/>
        </w:rPr>
        <w:t>Ourperformance stock awards include a relative total shareholder return modifier to reward significant positive outperformance and reduce rewards for underperformance, thereby strengthening the alignment of the interests of our executive officers with the interests of our long-term shareholders</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jc w:val="center"/>
        <w:ind w:right="480"/>
        <w:spacing w:after="0"/>
        <w:rPr>
          <w:sz w:val="20"/>
          <w:szCs w:val="20"/>
          <w:color w:val="auto"/>
        </w:rPr>
      </w:pPr>
      <w:r>
        <w:rPr>
          <w:rFonts w:ascii="Arial" w:cs="Arial" w:eastAsia="Arial" w:hAnsi="Arial"/>
          <w:sz w:val="48"/>
          <w:szCs w:val="48"/>
          <w:color w:val="auto"/>
        </w:rPr>
        <w:t>50%</w:t>
      </w:r>
    </w:p>
    <w:p>
      <w:pPr>
        <w:spacing w:after="0" w:line="122" w:lineRule="exact"/>
        <w:rPr>
          <w:sz w:val="20"/>
          <w:szCs w:val="20"/>
          <w:color w:val="auto"/>
        </w:rPr>
      </w:pPr>
    </w:p>
    <w:p>
      <w:pPr>
        <w:jc w:val="center"/>
        <w:ind w:right="480"/>
        <w:spacing w:after="0"/>
        <w:rPr>
          <w:sz w:val="20"/>
          <w:szCs w:val="20"/>
          <w:color w:val="auto"/>
        </w:rPr>
      </w:pPr>
      <w:r>
        <w:rPr>
          <w:rFonts w:ascii="Arial" w:cs="Arial" w:eastAsia="Arial" w:hAnsi="Arial"/>
          <w:sz w:val="24"/>
          <w:szCs w:val="24"/>
          <w:color w:val="auto"/>
        </w:rPr>
        <w:t>annual cash incentive</w:t>
      </w:r>
    </w:p>
    <w:p>
      <w:pPr>
        <w:spacing w:after="0" w:line="126"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determined formulaically, based on achievement</w:t>
      </w:r>
    </w:p>
    <w:p>
      <w:pPr>
        <w:spacing w:after="0" w:line="20"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against pre-established financial targets.</w:t>
      </w:r>
    </w:p>
    <w:p>
      <w:pPr>
        <w:spacing w:after="0" w:line="85" w:lineRule="exact"/>
        <w:rPr>
          <w:sz w:val="20"/>
          <w:szCs w:val="20"/>
          <w:color w:val="auto"/>
        </w:rPr>
      </w:pPr>
    </w:p>
    <w:p>
      <w:pPr>
        <w:ind w:left="1060"/>
        <w:spacing w:after="0"/>
        <w:rPr>
          <w:sz w:val="20"/>
          <w:szCs w:val="20"/>
          <w:color w:val="auto"/>
        </w:rPr>
      </w:pPr>
      <w:r>
        <w:rPr>
          <w:rFonts w:ascii="Arial" w:cs="Arial" w:eastAsia="Arial" w:hAnsi="Arial"/>
          <w:sz w:val="19"/>
          <w:szCs w:val="19"/>
          <w:b w:val="1"/>
          <w:bCs w:val="1"/>
          <w:color w:val="auto"/>
        </w:rPr>
        <w:t>(70% for CEO)</w:t>
      </w:r>
    </w:p>
    <w:p>
      <w:pPr>
        <w:spacing w:after="0" w:line="250" w:lineRule="exact"/>
        <w:rPr>
          <w:sz w:val="20"/>
          <w:szCs w:val="20"/>
          <w:color w:val="auto"/>
        </w:rPr>
      </w:pPr>
    </w:p>
    <w:p>
      <w:pPr>
        <w:jc w:val="center"/>
        <w:ind w:right="480"/>
        <w:spacing w:after="0"/>
        <w:rPr>
          <w:sz w:val="20"/>
          <w:szCs w:val="20"/>
          <w:color w:val="auto"/>
        </w:rPr>
      </w:pPr>
      <w:r>
        <w:rPr>
          <w:rFonts w:ascii="Arial" w:cs="Arial" w:eastAsia="Arial" w:hAnsi="Arial"/>
          <w:sz w:val="48"/>
          <w:szCs w:val="48"/>
          <w:color w:val="auto"/>
        </w:rPr>
        <w:t>50%</w:t>
      </w:r>
    </w:p>
    <w:p>
      <w:pPr>
        <w:spacing w:after="0" w:line="122" w:lineRule="exact"/>
        <w:rPr>
          <w:sz w:val="20"/>
          <w:szCs w:val="20"/>
          <w:color w:val="auto"/>
        </w:rPr>
      </w:pPr>
    </w:p>
    <w:p>
      <w:pPr>
        <w:jc w:val="center"/>
        <w:ind w:right="480"/>
        <w:spacing w:after="0"/>
        <w:rPr>
          <w:sz w:val="20"/>
          <w:szCs w:val="20"/>
          <w:color w:val="auto"/>
        </w:rPr>
      </w:pPr>
      <w:r>
        <w:rPr>
          <w:rFonts w:ascii="Arial" w:cs="Arial" w:eastAsia="Arial" w:hAnsi="Arial"/>
          <w:sz w:val="24"/>
          <w:szCs w:val="24"/>
          <w:color w:val="auto"/>
        </w:rPr>
        <w:t>target equity awards</w:t>
      </w:r>
    </w:p>
    <w:p>
      <w:pPr>
        <w:spacing w:after="0" w:line="101" w:lineRule="exact"/>
        <w:rPr>
          <w:sz w:val="20"/>
          <w:szCs w:val="20"/>
          <w:color w:val="auto"/>
        </w:rPr>
      </w:pPr>
    </w:p>
    <w:p>
      <w:pPr>
        <w:jc w:val="center"/>
        <w:ind w:right="480"/>
        <w:spacing w:after="0"/>
        <w:rPr>
          <w:sz w:val="20"/>
          <w:szCs w:val="20"/>
          <w:color w:val="auto"/>
        </w:rPr>
      </w:pPr>
      <w:r>
        <w:rPr>
          <w:rFonts w:ascii="Arial" w:cs="Arial" w:eastAsia="Arial" w:hAnsi="Arial"/>
          <w:sz w:val="17"/>
          <w:szCs w:val="17"/>
          <w:b w:val="1"/>
          <w:bCs w:val="1"/>
          <w:color w:val="auto"/>
        </w:rPr>
        <w:t>were performance stock awards</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with strategic metrics.</w:t>
      </w:r>
    </w:p>
    <w:p>
      <w:pPr>
        <w:spacing w:after="0" w:line="85" w:lineRule="exact"/>
        <w:rPr>
          <w:sz w:val="20"/>
          <w:szCs w:val="20"/>
          <w:color w:val="auto"/>
        </w:rPr>
      </w:pPr>
    </w:p>
    <w:p>
      <w:pPr>
        <w:ind w:left="1060"/>
        <w:spacing w:after="0"/>
        <w:rPr>
          <w:sz w:val="20"/>
          <w:szCs w:val="20"/>
          <w:color w:val="auto"/>
        </w:rPr>
      </w:pPr>
      <w:r>
        <w:rPr>
          <w:rFonts w:ascii="Arial" w:cs="Arial" w:eastAsia="Arial" w:hAnsi="Arial"/>
          <w:sz w:val="19"/>
          <w:szCs w:val="19"/>
          <w:b w:val="1"/>
          <w:bCs w:val="1"/>
          <w:color w:val="auto"/>
        </w:rPr>
        <w:t>(70% for CEO)</w:t>
      </w:r>
    </w:p>
    <w:p>
      <w:pPr>
        <w:spacing w:after="0" w:line="233" w:lineRule="exact"/>
        <w:rPr>
          <w:sz w:val="20"/>
          <w:szCs w:val="20"/>
          <w:color w:val="auto"/>
        </w:rPr>
      </w:pPr>
    </w:p>
    <w:p>
      <w:pPr>
        <w:sectPr>
          <w:pgSz w:w="11900" w:h="16838" w:orient="portrait"/>
          <w:cols w:equalWidth="0" w:num="2">
            <w:col w:w="5760" w:space="720"/>
            <w:col w:w="3800"/>
          </w:cols>
          <w:pgMar w:left="320" w:top="445" w:right="1299" w:bottom="144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8240"/>
        <w:spacing w:after="0"/>
        <w:tabs>
          <w:tab w:leader="none" w:pos="10120" w:val="left"/>
        </w:tabs>
        <w:rPr>
          <w:sz w:val="20"/>
          <w:szCs w:val="20"/>
          <w:color w:val="auto"/>
        </w:rPr>
      </w:pPr>
      <w:r>
        <w:rPr>
          <w:rFonts w:ascii="Arial" w:cs="Arial" w:eastAsia="Arial" w:hAnsi="Arial"/>
          <w:sz w:val="14"/>
          <w:szCs w:val="14"/>
          <w:color w:val="auto"/>
        </w:rPr>
        <w:t>2021 PROXY STATEMENT</w:t>
      </w:r>
      <w:r>
        <w:rPr>
          <w:sz w:val="20"/>
          <w:szCs w:val="20"/>
          <w:color w:val="auto"/>
        </w:rPr>
        <w:tab/>
      </w:r>
      <w:r>
        <w:rPr>
          <w:rFonts w:ascii="Arial" w:cs="Arial" w:eastAsia="Arial" w:hAnsi="Arial"/>
          <w:sz w:val="12"/>
          <w:szCs w:val="12"/>
          <w:b w:val="1"/>
          <w:bCs w:val="1"/>
          <w:color w:val="0075C9"/>
        </w:rPr>
        <w:t>67</w:t>
      </w:r>
    </w:p>
    <w:p>
      <w:pPr>
        <w:sectPr>
          <w:pgSz w:w="11900" w:h="16838" w:orient="portrait"/>
          <w:cols w:equalWidth="0" w:num="1">
            <w:col w:w="10280"/>
          </w:cols>
          <w:pgMar w:left="320" w:top="445" w:right="1299" w:bottom="1440" w:gutter="0" w:footer="0" w:header="0"/>
          <w:type w:val="continuous"/>
        </w:sectPr>
      </w:pPr>
    </w:p>
    <w:bookmarkStart w:id="75" w:name="page76"/>
    <w:bookmarkEnd w:id="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auto"/>
                <w:w w:val="89"/>
              </w:rPr>
              <w:t>1</w:t>
            </w:r>
          </w:p>
        </w:tc>
        <w:tc>
          <w:tcPr>
            <w:tcW w:w="1360" w:type="dxa"/>
            <w:vAlign w:val="bottom"/>
            <w:vMerge w:val="restart"/>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tcPr>
          <w:p>
            <w:pPr>
              <w:jc w:val="right"/>
              <w:spacing w:after="0"/>
              <w:rPr>
                <w:sz w:val="20"/>
                <w:szCs w:val="20"/>
                <w:color w:val="auto"/>
              </w:rPr>
            </w:pPr>
            <w:r>
              <w:rPr>
                <w:rFonts w:ascii="Arial" w:cs="Arial" w:eastAsia="Arial" w:hAnsi="Arial"/>
                <w:sz w:val="36"/>
                <w:szCs w:val="36"/>
                <w:color w:val="auto"/>
              </w:rPr>
              <w:t>2</w:t>
            </w:r>
          </w:p>
        </w:tc>
        <w:tc>
          <w:tcPr>
            <w:tcW w:w="1540" w:type="dxa"/>
            <w:vAlign w:val="bottom"/>
            <w:vMerge w:val="restart"/>
          </w:tcPr>
          <w:p>
            <w:pPr>
              <w:ind w:left="80"/>
              <w:spacing w:after="0"/>
              <w:rPr>
                <w:sz w:val="20"/>
                <w:szCs w:val="20"/>
                <w:color w:val="auto"/>
              </w:rPr>
            </w:pPr>
            <w:r>
              <w:rPr>
                <w:rFonts w:ascii="Arial" w:cs="Arial" w:eastAsia="Arial" w:hAnsi="Arial"/>
                <w:sz w:val="12"/>
                <w:szCs w:val="12"/>
                <w:color w:val="auto"/>
              </w:rPr>
              <w:t>NAMED</w:t>
            </w:r>
          </w:p>
        </w:tc>
        <w:tc>
          <w:tcPr>
            <w:tcW w:w="500" w:type="dxa"/>
            <w:vAlign w:val="bottom"/>
          </w:tcPr>
          <w:p>
            <w:pPr>
              <w:jc w:val="right"/>
              <w:spacing w:after="0"/>
              <w:rPr>
                <w:sz w:val="20"/>
                <w:szCs w:val="20"/>
                <w:color w:val="auto"/>
              </w:rPr>
            </w:pPr>
            <w:r>
              <w:rPr>
                <w:rFonts w:ascii="Arial" w:cs="Arial" w:eastAsia="Arial" w:hAnsi="Arial"/>
                <w:sz w:val="36"/>
                <w:szCs w:val="36"/>
                <w:color w:val="auto"/>
              </w:rPr>
              <w:t>3</w:t>
            </w:r>
          </w:p>
        </w:tc>
        <w:tc>
          <w:tcPr>
            <w:tcW w:w="980" w:type="dxa"/>
            <w:vAlign w:val="bottom"/>
            <w:vMerge w:val="restart"/>
          </w:tcPr>
          <w:p>
            <w:pPr>
              <w:ind w:left="80"/>
              <w:spacing w:after="0"/>
              <w:rPr>
                <w:sz w:val="20"/>
                <w:szCs w:val="20"/>
                <w:color w:val="auto"/>
              </w:rPr>
            </w:pPr>
            <w:r>
              <w:rPr>
                <w:rFonts w:ascii="Arial" w:cs="Arial" w:eastAsia="Arial" w:hAnsi="Arial"/>
                <w:sz w:val="12"/>
                <w:szCs w:val="12"/>
                <w:color w:val="auto"/>
              </w:rPr>
              <w:t>AUDIT</w:t>
            </w:r>
          </w:p>
        </w:tc>
        <w:tc>
          <w:tcPr>
            <w:tcW w:w="460" w:type="dxa"/>
            <w:vAlign w:val="bottom"/>
            <w:gridSpan w:val="2"/>
          </w:tcPr>
          <w:p>
            <w:pPr>
              <w:jc w:val="right"/>
              <w:ind w:right="80"/>
              <w:spacing w:after="0"/>
              <w:rPr>
                <w:sz w:val="20"/>
                <w:szCs w:val="20"/>
                <w:color w:val="auto"/>
              </w:rPr>
            </w:pPr>
            <w:r>
              <w:rPr>
                <w:rFonts w:ascii="Arial" w:cs="Arial" w:eastAsia="Arial" w:hAnsi="Arial"/>
                <w:sz w:val="36"/>
                <w:szCs w:val="36"/>
                <w:color w:val="0075C9"/>
              </w:rPr>
              <w:t>4</w:t>
            </w:r>
          </w:p>
        </w:tc>
        <w:tc>
          <w:tcPr>
            <w:tcW w:w="1420" w:type="dxa"/>
            <w:vAlign w:val="bottom"/>
            <w:vMerge w:val="restart"/>
          </w:tcPr>
          <w:p>
            <w:pPr>
              <w:ind w:left="80"/>
              <w:spacing w:after="0"/>
              <w:rPr>
                <w:sz w:val="20"/>
                <w:szCs w:val="20"/>
                <w:color w:val="auto"/>
              </w:rPr>
            </w:pPr>
            <w:r>
              <w:rPr>
                <w:rFonts w:ascii="Arial" w:cs="Arial" w:eastAsia="Arial" w:hAnsi="Arial"/>
                <w:sz w:val="12"/>
                <w:szCs w:val="12"/>
                <w:color w:val="0075C9"/>
              </w:rPr>
              <w:t>PROPOSALS TO</w:t>
            </w:r>
          </w:p>
        </w:tc>
        <w:tc>
          <w:tcPr>
            <w:tcW w:w="740" w:type="dxa"/>
            <w:vAlign w:val="bottom"/>
          </w:tcPr>
          <w:p>
            <w:pPr>
              <w:jc w:val="right"/>
              <w:spacing w:after="0"/>
              <w:rPr>
                <w:sz w:val="20"/>
                <w:szCs w:val="20"/>
                <w:color w:val="auto"/>
              </w:rPr>
            </w:pPr>
            <w:r>
              <w:rPr>
                <w:rFonts w:ascii="Arial" w:cs="Arial" w:eastAsia="Arial" w:hAnsi="Arial"/>
                <w:sz w:val="36"/>
                <w:szCs w:val="36"/>
                <w:color w:val="auto"/>
              </w:rPr>
              <w:t>5</w:t>
            </w:r>
          </w:p>
        </w:tc>
        <w:tc>
          <w:tcPr>
            <w:tcW w:w="900" w:type="dxa"/>
            <w:vAlign w:val="bottom"/>
            <w:vMerge w:val="restart"/>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36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tcPr>
          <w:p>
            <w:pPr>
              <w:ind w:left="80"/>
              <w:spacing w:after="0" w:line="130" w:lineRule="exact"/>
              <w:rPr>
                <w:sz w:val="20"/>
                <w:szCs w:val="20"/>
                <w:color w:val="auto"/>
              </w:rPr>
            </w:pPr>
            <w:r>
              <w:rPr>
                <w:rFonts w:ascii="Arial" w:cs="Arial" w:eastAsia="Arial" w:hAnsi="Arial"/>
                <w:sz w:val="12"/>
                <w:szCs w:val="12"/>
                <w:color w:val="0075C9"/>
                <w:w w:val="99"/>
              </w:rPr>
              <w:t>BE VOTED ON DURING</w:t>
            </w:r>
          </w:p>
        </w:tc>
        <w:tc>
          <w:tcPr>
            <w:tcW w:w="740" w:type="dxa"/>
            <w:vAlign w:val="bottom"/>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36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tcPr>
          <w:p>
            <w:pPr>
              <w:spacing w:after="0"/>
              <w:rPr>
                <w:sz w:val="12"/>
                <w:szCs w:val="12"/>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tcPr>
          <w:p>
            <w:pPr>
              <w:spacing w:after="0"/>
              <w:rPr>
                <w:sz w:val="12"/>
                <w:szCs w:val="12"/>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ind w:left="80"/>
              <w:spacing w:after="0"/>
              <w:rPr>
                <w:sz w:val="20"/>
                <w:szCs w:val="20"/>
                <w:color w:val="auto"/>
              </w:rPr>
            </w:pPr>
            <w:r>
              <w:rPr>
                <w:rFonts w:ascii="Arial" w:cs="Arial" w:eastAsia="Arial" w:hAnsi="Arial"/>
                <w:sz w:val="12"/>
                <w:szCs w:val="12"/>
                <w:color w:val="0075C9"/>
              </w:rPr>
              <w:t>THE MEETING</w:t>
            </w:r>
          </w:p>
        </w:tc>
        <w:tc>
          <w:tcPr>
            <w:tcW w:w="740" w:type="dxa"/>
            <w:vAlign w:val="bottom"/>
          </w:tcPr>
          <w:p>
            <w:pPr>
              <w:spacing w:after="0"/>
              <w:rPr>
                <w:sz w:val="12"/>
                <w:szCs w:val="12"/>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4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0075C9"/>
        </w:rPr>
        <w:t>Sound Program Design</w:t>
      </w:r>
    </w:p>
    <w:p>
      <w:pPr>
        <w:spacing w:after="0" w:line="127" w:lineRule="exact"/>
        <w:rPr>
          <w:sz w:val="20"/>
          <w:szCs w:val="20"/>
          <w:color w:val="auto"/>
        </w:rPr>
      </w:pPr>
    </w:p>
    <w:p>
      <w:pPr>
        <w:ind w:left="1100" w:right="260"/>
        <w:spacing w:after="0" w:line="289" w:lineRule="auto"/>
        <w:rPr>
          <w:sz w:val="20"/>
          <w:szCs w:val="20"/>
          <w:color w:val="auto"/>
        </w:rPr>
      </w:pPr>
      <w:r>
        <w:rPr>
          <w:rFonts w:ascii="Arial" w:cs="Arial" w:eastAsia="Arial" w:hAnsi="Arial"/>
          <w:sz w:val="14"/>
          <w:szCs w:val="14"/>
          <w:color w:val="auto"/>
        </w:rPr>
        <w:t>We design our executive compensation program to attract, motivate, and retain the key executives who drive our success and industry leadership. Pay that reflects performance and alignment of that pay with the interests of long-term shareholders are key principles that underlie our compensation program. We achieve these objectives through compensation that:</w:t>
      </w:r>
    </w:p>
    <w:p>
      <w:pPr>
        <w:sectPr>
          <w:pgSz w:w="11900" w:h="16838" w:orient="portrait"/>
          <w:cols w:equalWidth="0" w:num="1">
            <w:col w:w="10140"/>
          </w:cols>
          <w:pgMar w:left="320" w:top="445" w:right="1439" w:bottom="1440" w:gutter="0" w:footer="0" w:header="0"/>
        </w:sectPr>
      </w:pPr>
    </w:p>
    <w:p>
      <w:pPr>
        <w:spacing w:after="0" w:line="195" w:lineRule="exact"/>
        <w:rPr>
          <w:sz w:val="20"/>
          <w:szCs w:val="20"/>
          <w:color w:val="auto"/>
        </w:rPr>
      </w:pPr>
    </w:p>
    <w:p>
      <w:pPr>
        <w:ind w:left="1240" w:hanging="136"/>
        <w:spacing w:after="0"/>
        <w:tabs>
          <w:tab w:leader="none" w:pos="12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Provides a competitive total target pay opportunity</w:t>
      </w:r>
    </w:p>
    <w:p>
      <w:pPr>
        <w:spacing w:after="0" w:line="113" w:lineRule="exact"/>
        <w:rPr>
          <w:rFonts w:ascii="Arial" w:cs="Arial" w:eastAsia="Arial" w:hAnsi="Arial"/>
          <w:sz w:val="16"/>
          <w:szCs w:val="16"/>
          <w:color w:val="auto"/>
        </w:rPr>
      </w:pPr>
    </w:p>
    <w:p>
      <w:pPr>
        <w:ind w:left="1260" w:right="20" w:hanging="156"/>
        <w:spacing w:after="0" w:line="238" w:lineRule="auto"/>
        <w:tabs>
          <w:tab w:leader="none" w:pos="1245" w:val="left"/>
        </w:tabs>
        <w:numPr>
          <w:ilvl w:val="0"/>
          <w:numId w:val="98"/>
        </w:numPr>
        <w:rPr>
          <w:rFonts w:ascii="Arial" w:cs="Arial" w:eastAsia="Arial" w:hAnsi="Arial"/>
          <w:sz w:val="16"/>
          <w:szCs w:val="16"/>
          <w:color w:val="auto"/>
        </w:rPr>
      </w:pPr>
      <w:r>
        <w:rPr>
          <w:rFonts w:ascii="Arial" w:cs="Arial" w:eastAsia="Arial" w:hAnsi="Arial"/>
          <w:sz w:val="16"/>
          <w:szCs w:val="16"/>
          <w:color w:val="auto"/>
        </w:rPr>
        <w:t>Consists primarily of equity compensation, which encourages our executives to act as owners with a significant stake in Microsoft</w:t>
      </w:r>
    </w:p>
    <w:p>
      <w:pPr>
        <w:spacing w:after="0" w:line="113" w:lineRule="exact"/>
        <w:rPr>
          <w:rFonts w:ascii="Arial" w:cs="Arial" w:eastAsia="Arial" w:hAnsi="Arial"/>
          <w:sz w:val="16"/>
          <w:szCs w:val="16"/>
          <w:color w:val="auto"/>
        </w:rPr>
      </w:pPr>
    </w:p>
    <w:p>
      <w:pPr>
        <w:ind w:left="1240" w:hanging="136"/>
        <w:spacing w:after="0"/>
        <w:tabs>
          <w:tab w:leader="none" w:pos="12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Delivers a majority of pay based on performance</w:t>
      </w:r>
    </w:p>
    <w:p>
      <w:pPr>
        <w:spacing w:after="0" w:line="193"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0075C9"/>
        </w:rPr>
        <w:t>Best Practices in Executive Compensation</w:t>
      </w:r>
    </w:p>
    <w:p>
      <w:pPr>
        <w:spacing w:after="0" w:line="127"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Our executive compensation program follows best practices.</w:t>
      </w:r>
    </w:p>
    <w:p>
      <w:pPr>
        <w:spacing w:after="0" w:line="161"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0075C9"/>
        </w:rPr>
        <w:t>What We Do</w:t>
      </w:r>
    </w:p>
    <w:p>
      <w:pPr>
        <w:spacing w:after="0" w:line="132" w:lineRule="exact"/>
        <w:rPr>
          <w:sz w:val="20"/>
          <w:szCs w:val="20"/>
          <w:color w:val="auto"/>
        </w:rPr>
      </w:pPr>
    </w:p>
    <w:p>
      <w:pPr>
        <w:ind w:left="1260" w:right="180" w:hanging="158"/>
        <w:spacing w:after="0" w:line="289" w:lineRule="auto"/>
        <w:tabs>
          <w:tab w:leader="none" w:pos="1268" w:val="left"/>
        </w:tabs>
        <w:numPr>
          <w:ilvl w:val="0"/>
          <w:numId w:val="99"/>
        </w:numPr>
        <w:rPr>
          <w:rFonts w:ascii="Arial" w:cs="Arial" w:eastAsia="Arial" w:hAnsi="Arial"/>
          <w:sz w:val="14"/>
          <w:szCs w:val="14"/>
          <w:color w:val="auto"/>
        </w:rPr>
      </w:pPr>
      <w:r>
        <w:rPr>
          <w:rFonts w:ascii="Arial" w:cs="Arial" w:eastAsia="Arial" w:hAnsi="Arial"/>
          <w:sz w:val="14"/>
          <w:szCs w:val="14"/>
          <w:color w:val="auto"/>
        </w:rPr>
        <w:t>Maintain a stock ownership policy that reinforces the alignment of executive officer and shareholder interests (including stock ownership of 15x base salary for the CEO)</w:t>
      </w:r>
    </w:p>
    <w:p>
      <w:pPr>
        <w:spacing w:after="0" w:line="78" w:lineRule="exact"/>
        <w:rPr>
          <w:rFonts w:ascii="Arial" w:cs="Arial" w:eastAsia="Arial" w:hAnsi="Arial"/>
          <w:sz w:val="14"/>
          <w:szCs w:val="14"/>
          <w:color w:val="auto"/>
        </w:rPr>
      </w:pPr>
    </w:p>
    <w:p>
      <w:pPr>
        <w:ind w:left="1260" w:hanging="158"/>
        <w:spacing w:after="0" w:line="239" w:lineRule="auto"/>
        <w:tabs>
          <w:tab w:leader="none" w:pos="1268" w:val="left"/>
        </w:tabs>
        <w:numPr>
          <w:ilvl w:val="0"/>
          <w:numId w:val="99"/>
        </w:numPr>
        <w:rPr>
          <w:rFonts w:ascii="Arial" w:cs="Arial" w:eastAsia="Arial" w:hAnsi="Arial"/>
          <w:sz w:val="16"/>
          <w:szCs w:val="16"/>
          <w:color w:val="auto"/>
        </w:rPr>
      </w:pPr>
      <w:r>
        <w:rPr>
          <w:rFonts w:ascii="Arial" w:cs="Arial" w:eastAsia="Arial" w:hAnsi="Arial"/>
          <w:sz w:val="16"/>
          <w:szCs w:val="16"/>
          <w:color w:val="auto"/>
        </w:rPr>
        <w:t>Have a strong executive compensation recovery (“clawback”) policy to ensure accountability</w:t>
      </w:r>
    </w:p>
    <w:p>
      <w:pPr>
        <w:spacing w:after="0" w:line="112" w:lineRule="exact"/>
        <w:rPr>
          <w:rFonts w:ascii="Arial" w:cs="Arial" w:eastAsia="Arial" w:hAnsi="Arial"/>
          <w:sz w:val="16"/>
          <w:szCs w:val="16"/>
          <w:color w:val="auto"/>
        </w:rPr>
      </w:pPr>
    </w:p>
    <w:p>
      <w:pPr>
        <w:ind w:left="1260" w:right="380" w:hanging="158"/>
        <w:spacing w:after="0" w:line="239" w:lineRule="auto"/>
        <w:tabs>
          <w:tab w:leader="none" w:pos="1268" w:val="left"/>
        </w:tabs>
        <w:numPr>
          <w:ilvl w:val="0"/>
          <w:numId w:val="99"/>
        </w:numPr>
        <w:rPr>
          <w:rFonts w:ascii="Arial" w:cs="Arial" w:eastAsia="Arial" w:hAnsi="Arial"/>
          <w:sz w:val="16"/>
          <w:szCs w:val="16"/>
          <w:color w:val="auto"/>
        </w:rPr>
      </w:pPr>
      <w:r>
        <w:rPr>
          <w:rFonts w:ascii="Arial" w:cs="Arial" w:eastAsia="Arial" w:hAnsi="Arial"/>
          <w:sz w:val="16"/>
          <w:szCs w:val="16"/>
          <w:color w:val="auto"/>
        </w:rPr>
        <w:t>Promote long-term focus through multi-year vesting and performance requirements</w:t>
      </w:r>
    </w:p>
    <w:p>
      <w:pPr>
        <w:spacing w:after="0" w:line="112" w:lineRule="exact"/>
        <w:rPr>
          <w:rFonts w:ascii="Arial" w:cs="Arial" w:eastAsia="Arial" w:hAnsi="Arial"/>
          <w:sz w:val="16"/>
          <w:szCs w:val="16"/>
          <w:color w:val="auto"/>
        </w:rPr>
      </w:pPr>
    </w:p>
    <w:p>
      <w:pPr>
        <w:ind w:left="1260" w:right="440" w:hanging="158"/>
        <w:spacing w:after="0" w:line="239" w:lineRule="auto"/>
        <w:tabs>
          <w:tab w:leader="none" w:pos="1268" w:val="left"/>
        </w:tabs>
        <w:numPr>
          <w:ilvl w:val="0"/>
          <w:numId w:val="99"/>
        </w:numPr>
        <w:rPr>
          <w:rFonts w:ascii="Arial" w:cs="Arial" w:eastAsia="Arial" w:hAnsi="Arial"/>
          <w:sz w:val="16"/>
          <w:szCs w:val="16"/>
          <w:color w:val="auto"/>
        </w:rPr>
      </w:pPr>
      <w:r>
        <w:rPr>
          <w:rFonts w:ascii="Arial" w:cs="Arial" w:eastAsia="Arial" w:hAnsi="Arial"/>
          <w:sz w:val="16"/>
          <w:szCs w:val="16"/>
          <w:color w:val="auto"/>
        </w:rPr>
        <w:t>Prohibit pledging, hedging, and trading in derivatives of Microsoft securities</w:t>
      </w:r>
    </w:p>
    <w:p>
      <w:pPr>
        <w:spacing w:after="0" w:line="112" w:lineRule="exact"/>
        <w:rPr>
          <w:rFonts w:ascii="Arial" w:cs="Arial" w:eastAsia="Arial" w:hAnsi="Arial"/>
          <w:sz w:val="16"/>
          <w:szCs w:val="16"/>
          <w:color w:val="auto"/>
        </w:rPr>
      </w:pPr>
    </w:p>
    <w:p>
      <w:pPr>
        <w:ind w:left="1260" w:hanging="158"/>
        <w:spacing w:after="0"/>
        <w:tabs>
          <w:tab w:leader="none" w:pos="12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Retain an independent compensation consultant</w:t>
      </w:r>
    </w:p>
    <w:p>
      <w:pPr>
        <w:spacing w:after="0" w:line="113" w:lineRule="exact"/>
        <w:rPr>
          <w:rFonts w:ascii="Arial" w:cs="Arial" w:eastAsia="Arial" w:hAnsi="Arial"/>
          <w:sz w:val="16"/>
          <w:szCs w:val="16"/>
          <w:color w:val="auto"/>
        </w:rPr>
      </w:pPr>
    </w:p>
    <w:p>
      <w:pPr>
        <w:ind w:left="1260" w:right="120" w:hanging="158"/>
        <w:spacing w:after="0" w:line="238" w:lineRule="auto"/>
        <w:tabs>
          <w:tab w:leader="none" w:pos="1268" w:val="left"/>
        </w:tabs>
        <w:numPr>
          <w:ilvl w:val="0"/>
          <w:numId w:val="99"/>
        </w:numPr>
        <w:rPr>
          <w:rFonts w:ascii="Arial" w:cs="Arial" w:eastAsia="Arial" w:hAnsi="Arial"/>
          <w:sz w:val="16"/>
          <w:szCs w:val="16"/>
          <w:color w:val="auto"/>
        </w:rPr>
      </w:pPr>
      <w:r>
        <w:rPr>
          <w:rFonts w:ascii="Arial" w:cs="Arial" w:eastAsia="Arial" w:hAnsi="Arial"/>
          <w:sz w:val="16"/>
          <w:szCs w:val="16"/>
          <w:color w:val="auto"/>
        </w:rPr>
        <w:t>Solicit investor feedback on our compensation program and potential enhancements through an extensive shareholder engagement program</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jc w:val="both"/>
        <w:ind w:left="155" w:right="540" w:hanging="155"/>
        <w:spacing w:after="0" w:line="238" w:lineRule="auto"/>
        <w:tabs>
          <w:tab w:leader="none" w:pos="1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Enhances long-term focus by subjecting a significant percentage of total target compensation to multi-year performance requirements or vesting</w:t>
      </w:r>
    </w:p>
    <w:p>
      <w:pPr>
        <w:spacing w:after="0" w:line="113" w:lineRule="exact"/>
        <w:rPr>
          <w:rFonts w:ascii="Arial" w:cs="Arial" w:eastAsia="Arial" w:hAnsi="Arial"/>
          <w:sz w:val="16"/>
          <w:szCs w:val="16"/>
          <w:color w:val="auto"/>
        </w:rPr>
      </w:pPr>
    </w:p>
    <w:p>
      <w:pPr>
        <w:ind w:left="135" w:hanging="135"/>
        <w:spacing w:after="0"/>
        <w:tabs>
          <w:tab w:leader="none" w:pos="135" w:val="left"/>
        </w:tabs>
        <w:numPr>
          <w:ilvl w:val="0"/>
          <w:numId w:val="100"/>
        </w:numPr>
        <w:rPr>
          <w:rFonts w:ascii="Arial" w:cs="Arial" w:eastAsia="Arial" w:hAnsi="Arial"/>
          <w:sz w:val="14"/>
          <w:szCs w:val="14"/>
          <w:color w:val="auto"/>
        </w:rPr>
      </w:pPr>
      <w:r>
        <w:rPr>
          <w:rFonts w:ascii="Arial" w:cs="Arial" w:eastAsia="Arial" w:hAnsi="Arial"/>
          <w:sz w:val="14"/>
          <w:szCs w:val="14"/>
          <w:color w:val="auto"/>
        </w:rPr>
        <w:t>Does not encourage unnecessary and excessive risk taking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
        <w:spacing w:after="0"/>
        <w:rPr>
          <w:sz w:val="20"/>
          <w:szCs w:val="20"/>
          <w:color w:val="auto"/>
        </w:rPr>
      </w:pPr>
      <w:r>
        <w:rPr>
          <w:rFonts w:ascii="Arial" w:cs="Arial" w:eastAsia="Arial" w:hAnsi="Arial"/>
          <w:sz w:val="16"/>
          <w:szCs w:val="16"/>
          <w:b w:val="1"/>
          <w:bCs w:val="1"/>
          <w:color w:val="0075C9"/>
        </w:rPr>
        <w:t>What We Don’t Do</w:t>
      </w:r>
    </w:p>
    <w:p>
      <w:pPr>
        <w:spacing w:after="0" w:line="132" w:lineRule="exact"/>
        <w:rPr>
          <w:sz w:val="20"/>
          <w:szCs w:val="20"/>
          <w:color w:val="auto"/>
        </w:rPr>
      </w:pPr>
    </w:p>
    <w:p>
      <w:pPr>
        <w:jc w:val="both"/>
        <w:ind w:left="175" w:right="440" w:hanging="164"/>
        <w:spacing w:after="0" w:line="308" w:lineRule="auto"/>
        <w:tabs>
          <w:tab w:leader="none" w:pos="183" w:val="left"/>
        </w:tabs>
        <w:numPr>
          <w:ilvl w:val="0"/>
          <w:numId w:val="101"/>
        </w:numPr>
        <w:rPr>
          <w:rFonts w:ascii="Arial" w:cs="Arial" w:eastAsia="Arial" w:hAnsi="Arial"/>
          <w:sz w:val="14"/>
          <w:szCs w:val="14"/>
          <w:color w:val="auto"/>
        </w:rPr>
      </w:pPr>
      <w:r>
        <w:rPr>
          <w:rFonts w:ascii="Arial" w:cs="Arial" w:eastAsia="Arial" w:hAnsi="Arial"/>
          <w:sz w:val="14"/>
          <w:szCs w:val="14"/>
          <w:color w:val="auto"/>
        </w:rPr>
        <w:t>No excessive perquisites (e.g., no executive-only club memberships, medical benefits), and no tax gross-ups</w:t>
      </w:r>
    </w:p>
    <w:p>
      <w:pPr>
        <w:spacing w:after="0" w:line="65" w:lineRule="exact"/>
        <w:rPr>
          <w:rFonts w:ascii="Arial" w:cs="Arial" w:eastAsia="Arial" w:hAnsi="Arial"/>
          <w:sz w:val="14"/>
          <w:szCs w:val="14"/>
          <w:color w:val="auto"/>
        </w:rPr>
      </w:pPr>
    </w:p>
    <w:p>
      <w:pPr>
        <w:ind w:left="175" w:hanging="164"/>
        <w:spacing w:after="0"/>
        <w:tabs>
          <w:tab w:leader="none" w:pos="175" w:val="left"/>
        </w:tabs>
        <w:numPr>
          <w:ilvl w:val="0"/>
          <w:numId w:val="101"/>
        </w:numPr>
        <w:rPr>
          <w:rFonts w:ascii="Arial" w:cs="Arial" w:eastAsia="Arial" w:hAnsi="Arial"/>
          <w:sz w:val="16"/>
          <w:szCs w:val="16"/>
          <w:color w:val="auto"/>
        </w:rPr>
      </w:pPr>
      <w:r>
        <w:rPr>
          <w:rFonts w:ascii="Arial" w:cs="Arial" w:eastAsia="Arial" w:hAnsi="Arial"/>
          <w:sz w:val="16"/>
          <w:szCs w:val="16"/>
          <w:color w:val="auto"/>
        </w:rPr>
        <w:t>No employment agreements</w:t>
      </w:r>
    </w:p>
    <w:p>
      <w:pPr>
        <w:spacing w:after="0" w:line="113" w:lineRule="exact"/>
        <w:rPr>
          <w:rFonts w:ascii="Arial" w:cs="Arial" w:eastAsia="Arial" w:hAnsi="Arial"/>
          <w:sz w:val="16"/>
          <w:szCs w:val="16"/>
          <w:color w:val="auto"/>
        </w:rPr>
      </w:pPr>
    </w:p>
    <w:p>
      <w:pPr>
        <w:ind w:left="175" w:hanging="164"/>
        <w:spacing w:after="0"/>
        <w:tabs>
          <w:tab w:leader="none" w:pos="175" w:val="left"/>
        </w:tabs>
        <w:numPr>
          <w:ilvl w:val="0"/>
          <w:numId w:val="101"/>
        </w:numPr>
        <w:rPr>
          <w:rFonts w:ascii="Arial" w:cs="Arial" w:eastAsia="Arial" w:hAnsi="Arial"/>
          <w:sz w:val="16"/>
          <w:szCs w:val="16"/>
          <w:color w:val="auto"/>
        </w:rPr>
      </w:pPr>
      <w:r>
        <w:rPr>
          <w:rFonts w:ascii="Arial" w:cs="Arial" w:eastAsia="Arial" w:hAnsi="Arial"/>
          <w:sz w:val="16"/>
          <w:szCs w:val="16"/>
          <w:color w:val="auto"/>
        </w:rPr>
        <w:t>No change in control benefits</w:t>
      </w:r>
    </w:p>
    <w:p>
      <w:pPr>
        <w:spacing w:after="0" w:line="113" w:lineRule="exact"/>
        <w:rPr>
          <w:rFonts w:ascii="Arial" w:cs="Arial" w:eastAsia="Arial" w:hAnsi="Arial"/>
          <w:sz w:val="16"/>
          <w:szCs w:val="16"/>
          <w:color w:val="auto"/>
        </w:rPr>
      </w:pPr>
    </w:p>
    <w:p>
      <w:pPr>
        <w:ind w:left="175" w:hanging="164"/>
        <w:spacing w:after="0"/>
        <w:tabs>
          <w:tab w:leader="none" w:pos="175" w:val="left"/>
        </w:tabs>
        <w:numPr>
          <w:ilvl w:val="0"/>
          <w:numId w:val="101"/>
        </w:numPr>
        <w:rPr>
          <w:rFonts w:ascii="Arial" w:cs="Arial" w:eastAsia="Arial" w:hAnsi="Arial"/>
          <w:sz w:val="16"/>
          <w:szCs w:val="16"/>
          <w:color w:val="auto"/>
        </w:rPr>
      </w:pPr>
      <w:r>
        <w:rPr>
          <w:rFonts w:ascii="Arial" w:cs="Arial" w:eastAsia="Arial" w:hAnsi="Arial"/>
          <w:sz w:val="16"/>
          <w:szCs w:val="16"/>
          <w:color w:val="auto"/>
        </w:rPr>
        <w:t>No executive-only retirement programs</w:t>
      </w:r>
    </w:p>
    <w:p>
      <w:pPr>
        <w:spacing w:after="0" w:line="113" w:lineRule="exact"/>
        <w:rPr>
          <w:rFonts w:ascii="Arial" w:cs="Arial" w:eastAsia="Arial" w:hAnsi="Arial"/>
          <w:sz w:val="16"/>
          <w:szCs w:val="16"/>
          <w:color w:val="auto"/>
        </w:rPr>
      </w:pPr>
    </w:p>
    <w:p>
      <w:pPr>
        <w:ind w:left="175" w:hanging="164"/>
        <w:spacing w:after="0"/>
        <w:tabs>
          <w:tab w:leader="none" w:pos="175" w:val="left"/>
        </w:tabs>
        <w:numPr>
          <w:ilvl w:val="0"/>
          <w:numId w:val="101"/>
        </w:numPr>
        <w:rPr>
          <w:rFonts w:ascii="Arial" w:cs="Arial" w:eastAsia="Arial" w:hAnsi="Arial"/>
          <w:sz w:val="16"/>
          <w:szCs w:val="16"/>
          <w:color w:val="auto"/>
        </w:rPr>
      </w:pPr>
      <w:r>
        <w:rPr>
          <w:rFonts w:ascii="Arial" w:cs="Arial" w:eastAsia="Arial" w:hAnsi="Arial"/>
          <w:sz w:val="16"/>
          <w:szCs w:val="16"/>
          <w:color w:val="auto"/>
        </w:rPr>
        <w:t>No guaranteed bonuses</w:t>
      </w:r>
    </w:p>
    <w:p>
      <w:pPr>
        <w:spacing w:after="0" w:line="113" w:lineRule="exact"/>
        <w:rPr>
          <w:rFonts w:ascii="Arial" w:cs="Arial" w:eastAsia="Arial" w:hAnsi="Arial"/>
          <w:sz w:val="16"/>
          <w:szCs w:val="16"/>
          <w:color w:val="auto"/>
        </w:rPr>
      </w:pPr>
    </w:p>
    <w:p>
      <w:pPr>
        <w:ind w:left="175" w:hanging="164"/>
        <w:spacing w:after="0"/>
        <w:tabs>
          <w:tab w:leader="none" w:pos="175" w:val="left"/>
        </w:tabs>
        <w:numPr>
          <w:ilvl w:val="0"/>
          <w:numId w:val="101"/>
        </w:numPr>
        <w:rPr>
          <w:rFonts w:ascii="Arial" w:cs="Arial" w:eastAsia="Arial" w:hAnsi="Arial"/>
          <w:sz w:val="16"/>
          <w:szCs w:val="16"/>
          <w:color w:val="auto"/>
        </w:rPr>
      </w:pPr>
      <w:r>
        <w:rPr>
          <w:rFonts w:ascii="Arial" w:cs="Arial" w:eastAsia="Arial" w:hAnsi="Arial"/>
          <w:sz w:val="16"/>
          <w:szCs w:val="16"/>
          <w:color w:val="auto"/>
        </w:rPr>
        <w:t>No dividends paid on unvested stock awards</w:t>
      </w:r>
    </w:p>
    <w:p>
      <w:pPr>
        <w:spacing w:after="0" w:line="113" w:lineRule="exact"/>
        <w:rPr>
          <w:rFonts w:ascii="Arial" w:cs="Arial" w:eastAsia="Arial" w:hAnsi="Arial"/>
          <w:sz w:val="16"/>
          <w:szCs w:val="16"/>
          <w:color w:val="auto"/>
        </w:rPr>
      </w:pPr>
    </w:p>
    <w:p>
      <w:pPr>
        <w:ind w:left="175" w:right="420" w:hanging="164"/>
        <w:spacing w:after="0" w:line="239" w:lineRule="auto"/>
        <w:tabs>
          <w:tab w:leader="none" w:pos="183" w:val="left"/>
        </w:tabs>
        <w:numPr>
          <w:ilvl w:val="0"/>
          <w:numId w:val="101"/>
        </w:numPr>
        <w:rPr>
          <w:rFonts w:ascii="Arial" w:cs="Arial" w:eastAsia="Arial" w:hAnsi="Arial"/>
          <w:sz w:val="16"/>
          <w:szCs w:val="16"/>
          <w:color w:val="auto"/>
        </w:rPr>
      </w:pPr>
      <w:r>
        <w:rPr>
          <w:rFonts w:ascii="Arial" w:cs="Arial" w:eastAsia="Arial" w:hAnsi="Arial"/>
          <w:sz w:val="16"/>
          <w:szCs w:val="16"/>
          <w:color w:val="auto"/>
        </w:rPr>
        <w:t>No encouragement of unnecessary and excessive risk taking</w:t>
      </w:r>
    </w:p>
    <w:p>
      <w:pPr>
        <w:spacing w:after="0" w:line="808" w:lineRule="exact"/>
        <w:rPr>
          <w:sz w:val="20"/>
          <w:szCs w:val="20"/>
          <w:color w:val="auto"/>
        </w:rPr>
      </w:pPr>
    </w:p>
    <w:p>
      <w:pPr>
        <w:sectPr>
          <w:pgSz w:w="11900" w:h="16838" w:orient="portrait"/>
          <w:cols w:equalWidth="0" w:num="2">
            <w:col w:w="5480" w:space="325"/>
            <w:col w:w="4335"/>
          </w:cols>
          <w:pgMar w:left="320" w:top="445" w:right="1439" w:bottom="1440" w:gutter="0" w:footer="0" w:header="0"/>
          <w:type w:val="continuous"/>
        </w:sectPr>
      </w:pPr>
    </w:p>
    <w:p>
      <w:pPr>
        <w:spacing w:after="0" w:line="146" w:lineRule="exact"/>
        <w:rPr>
          <w:sz w:val="20"/>
          <w:szCs w:val="20"/>
          <w:color w:val="auto"/>
        </w:rPr>
      </w:pPr>
    </w:p>
    <w:p>
      <w:pPr>
        <w:ind w:left="1100" w:right="900"/>
        <w:spacing w:after="0" w:line="239" w:lineRule="auto"/>
        <w:rPr>
          <w:sz w:val="20"/>
          <w:szCs w:val="20"/>
          <w:color w:val="auto"/>
        </w:rPr>
      </w:pPr>
      <w:r>
        <w:rPr>
          <w:rFonts w:ascii="Arial" w:cs="Arial" w:eastAsia="Arial" w:hAnsi="Arial"/>
          <w:sz w:val="16"/>
          <w:szCs w:val="16"/>
          <w:color w:val="auto"/>
        </w:rPr>
        <w:t>Our Board and Compensation Committee reviewed the prior year’s voting results and, through our regular shareholder engagement, sought to understand the factors that influenced voting decisions.</w:t>
      </w:r>
    </w:p>
    <w:p>
      <w:pPr>
        <w:spacing w:after="0" w:line="100"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As a result of our engagement with shareholders, for fiscal year 2021 we have taken responsive action:</w:t>
      </w:r>
    </w:p>
    <w:p>
      <w:pPr>
        <w:sectPr>
          <w:pgSz w:w="11900" w:h="16838" w:orient="portrait"/>
          <w:cols w:equalWidth="0" w:num="1">
            <w:col w:w="10140"/>
          </w:cols>
          <w:pgMar w:left="320" w:top="445" w:right="1439" w:bottom="1440" w:gutter="0" w:footer="0" w:header="0"/>
          <w:type w:val="continuous"/>
        </w:sectPr>
      </w:pPr>
    </w:p>
    <w:p>
      <w:pPr>
        <w:spacing w:after="0" w:line="212"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0075C9"/>
        </w:rPr>
        <w:t>Feedback Themes</w:t>
      </w:r>
    </w:p>
    <w:p>
      <w:pPr>
        <w:spacing w:after="0" w:line="132" w:lineRule="exact"/>
        <w:rPr>
          <w:sz w:val="20"/>
          <w:szCs w:val="20"/>
          <w:color w:val="auto"/>
        </w:rPr>
      </w:pPr>
    </w:p>
    <w:p>
      <w:pPr>
        <w:ind w:left="1260" w:hanging="156"/>
        <w:spacing w:after="0" w:line="283" w:lineRule="auto"/>
        <w:tabs>
          <w:tab w:leader="none" w:pos="1237" w:val="left"/>
        </w:tabs>
        <w:numPr>
          <w:ilvl w:val="0"/>
          <w:numId w:val="102"/>
        </w:numPr>
        <w:rPr>
          <w:rFonts w:ascii="Arial" w:cs="Arial" w:eastAsia="Arial" w:hAnsi="Arial"/>
          <w:sz w:val="14"/>
          <w:szCs w:val="14"/>
          <w:color w:val="auto"/>
        </w:rPr>
      </w:pPr>
      <w:r>
        <w:rPr>
          <w:rFonts w:ascii="Arial" w:cs="Arial" w:eastAsia="Arial" w:hAnsi="Arial"/>
          <w:sz w:val="14"/>
          <w:szCs w:val="14"/>
          <w:color w:val="auto"/>
        </w:rPr>
        <w:t>Increase the performance-based component of the annual cash incentive – to further strengthen our CEO’s accountability to achieving results on the objective financial metrics that most closely align with our business strategy</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75C9"/>
        </w:rPr>
        <w:t>Actions Taken</w:t>
      </w:r>
    </w:p>
    <w:p>
      <w:pPr>
        <w:spacing w:after="0" w:line="132" w:lineRule="exact"/>
        <w:rPr>
          <w:sz w:val="20"/>
          <w:szCs w:val="20"/>
          <w:color w:val="auto"/>
        </w:rPr>
      </w:pPr>
    </w:p>
    <w:p>
      <w:pPr>
        <w:ind w:left="164" w:right="60" w:hanging="164"/>
        <w:spacing w:after="0" w:line="237" w:lineRule="auto"/>
        <w:tabs>
          <w:tab w:leader="none" w:pos="141"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Increased the weighting of the financial performance portion of the CEO’s annual cash incentive from 50% to 70% for fiscal year 2021, split evenly between Incentive Plan Revenue (35%) and Incentive Plan Operating Income (35%)</w:t>
      </w:r>
    </w:p>
    <w:p>
      <w:pPr>
        <w:spacing w:after="0" w:line="128" w:lineRule="exact"/>
        <w:rPr>
          <w:sz w:val="20"/>
          <w:szCs w:val="20"/>
          <w:color w:val="auto"/>
        </w:rPr>
      </w:pPr>
    </w:p>
    <w:p>
      <w:pPr>
        <w:sectPr>
          <w:pgSz w:w="11900" w:h="16838" w:orient="portrait"/>
          <w:cols w:equalWidth="0" w:num="2">
            <w:col w:w="5320" w:space="576"/>
            <w:col w:w="4244"/>
          </w:cols>
          <w:pgMar w:left="320" w:top="445" w:right="1439" w:bottom="1440" w:gutter="0" w:footer="0" w:header="0"/>
          <w:type w:val="continuous"/>
        </w:sectPr>
      </w:pPr>
    </w:p>
    <w:p>
      <w:pPr>
        <w:ind w:left="1260" w:right="340" w:hanging="156"/>
        <w:spacing w:after="0" w:line="239" w:lineRule="auto"/>
        <w:tabs>
          <w:tab w:leader="none" w:pos="1237" w:val="left"/>
        </w:tabs>
        <w:numPr>
          <w:ilvl w:val="0"/>
          <w:numId w:val="104"/>
        </w:numPr>
        <w:rPr>
          <w:rFonts w:ascii="Arial" w:cs="Arial" w:eastAsia="Arial" w:hAnsi="Arial"/>
          <w:sz w:val="16"/>
          <w:szCs w:val="16"/>
          <w:color w:val="auto"/>
        </w:rPr>
      </w:pPr>
      <w:r>
        <w:rPr>
          <w:rFonts w:ascii="Arial" w:cs="Arial" w:eastAsia="Arial" w:hAnsi="Arial"/>
          <w:sz w:val="16"/>
          <w:szCs w:val="16"/>
          <w:color w:val="auto"/>
        </w:rPr>
        <w:t>Shift the mix of our CEO’s equity award to be majority performance-based</w:t>
      </w:r>
    </w:p>
    <w:p>
      <w:pPr>
        <w:spacing w:after="0" w:line="125" w:lineRule="exact"/>
        <w:rPr>
          <w:rFonts w:ascii="Arial" w:cs="Arial" w:eastAsia="Arial" w:hAnsi="Arial"/>
          <w:sz w:val="16"/>
          <w:szCs w:val="16"/>
          <w:color w:val="auto"/>
        </w:rPr>
      </w:pPr>
    </w:p>
    <w:p>
      <w:pPr>
        <w:ind w:left="1260" w:hanging="156"/>
        <w:spacing w:after="0" w:line="238" w:lineRule="auto"/>
        <w:tabs>
          <w:tab w:leader="none" w:pos="1237" w:val="left"/>
        </w:tabs>
        <w:numPr>
          <w:ilvl w:val="0"/>
          <w:numId w:val="104"/>
        </w:numPr>
        <w:rPr>
          <w:rFonts w:ascii="Arial" w:cs="Arial" w:eastAsia="Arial" w:hAnsi="Arial"/>
          <w:sz w:val="16"/>
          <w:szCs w:val="16"/>
          <w:color w:val="auto"/>
        </w:rPr>
      </w:pPr>
      <w:r>
        <w:rPr>
          <w:rFonts w:ascii="Arial" w:cs="Arial" w:eastAsia="Arial" w:hAnsi="Arial"/>
          <w:sz w:val="16"/>
          <w:szCs w:val="16"/>
          <w:color w:val="auto"/>
        </w:rPr>
        <w:t>Include a downside adjustment on the PSA payout, so that the TSR modifier provides both upside and downside exposure for executives</w:t>
      </w:r>
    </w:p>
    <w:p>
      <w:pPr>
        <w:spacing w:after="0" w:line="20" w:lineRule="exact"/>
        <w:rPr>
          <w:sz w:val="20"/>
          <w:szCs w:val="20"/>
          <w:color w:val="auto"/>
        </w:rPr>
      </w:pPr>
      <w:r>
        <w:rPr>
          <w:sz w:val="20"/>
          <w:szCs w:val="20"/>
          <w:color w:val="auto"/>
        </w:rPr>
        <w:br w:type="column"/>
      </w:r>
    </w:p>
    <w:p>
      <w:pPr>
        <w:ind w:left="164" w:right="340" w:hanging="164"/>
        <w:spacing w:after="0" w:line="308" w:lineRule="auto"/>
        <w:tabs>
          <w:tab w:leader="none" w:pos="141" w:val="left"/>
        </w:tabs>
        <w:numPr>
          <w:ilvl w:val="0"/>
          <w:numId w:val="105"/>
        </w:numPr>
        <w:rPr>
          <w:rFonts w:ascii="Arial" w:cs="Arial" w:eastAsia="Arial" w:hAnsi="Arial"/>
          <w:sz w:val="14"/>
          <w:szCs w:val="14"/>
          <w:color w:val="auto"/>
        </w:rPr>
      </w:pPr>
      <w:r>
        <w:rPr>
          <w:rFonts w:ascii="Arial" w:cs="Arial" w:eastAsia="Arial" w:hAnsi="Arial"/>
          <w:sz w:val="14"/>
          <w:szCs w:val="14"/>
          <w:color w:val="auto"/>
        </w:rPr>
        <w:t>Increased the performance-based portion of our CEO’s equity awards from 50% to 70% for fiscal year 2021</w:t>
      </w:r>
    </w:p>
    <w:p>
      <w:pPr>
        <w:spacing w:after="0" w:line="78" w:lineRule="exact"/>
        <w:rPr>
          <w:rFonts w:ascii="Arial" w:cs="Arial" w:eastAsia="Arial" w:hAnsi="Arial"/>
          <w:sz w:val="14"/>
          <w:szCs w:val="14"/>
          <w:color w:val="auto"/>
        </w:rPr>
      </w:pPr>
    </w:p>
    <w:p>
      <w:pPr>
        <w:ind w:left="164" w:hanging="164"/>
        <w:spacing w:after="0" w:line="289" w:lineRule="auto"/>
        <w:tabs>
          <w:tab w:leader="none" w:pos="141" w:val="left"/>
        </w:tabs>
        <w:numPr>
          <w:ilvl w:val="0"/>
          <w:numId w:val="105"/>
        </w:numPr>
        <w:rPr>
          <w:rFonts w:ascii="Arial" w:cs="Arial" w:eastAsia="Arial" w:hAnsi="Arial"/>
          <w:sz w:val="14"/>
          <w:szCs w:val="14"/>
          <w:color w:val="auto"/>
        </w:rPr>
      </w:pPr>
      <w:r>
        <w:rPr>
          <w:rFonts w:ascii="Arial" w:cs="Arial" w:eastAsia="Arial" w:hAnsi="Arial"/>
          <w:sz w:val="14"/>
          <w:szCs w:val="14"/>
          <w:color w:val="auto"/>
        </w:rPr>
        <w:t>Revised the relative TSR modifier for fiscal year 2021 PSAs to include a downside adjustment on PSA payouts if relative TSR falls below the 40th percentile of the S&amp;P 500</w:t>
      </w:r>
    </w:p>
    <w:p>
      <w:pPr>
        <w:spacing w:after="0" w:line="79" w:lineRule="exact"/>
        <w:rPr>
          <w:sz w:val="20"/>
          <w:szCs w:val="20"/>
          <w:color w:val="auto"/>
        </w:rPr>
      </w:pPr>
    </w:p>
    <w:p>
      <w:pPr>
        <w:sectPr>
          <w:pgSz w:w="11900" w:h="16838" w:orient="portrait"/>
          <w:cols w:equalWidth="0" w:num="2">
            <w:col w:w="5260" w:space="636"/>
            <w:col w:w="4244"/>
          </w:cols>
          <w:pgMar w:left="320" w:top="445" w:right="1439" w:bottom="1440" w:gutter="0" w:footer="0" w:header="0"/>
          <w:type w:val="continuous"/>
        </w:sectPr>
      </w:pPr>
    </w:p>
    <w:p>
      <w:pPr>
        <w:ind w:left="1100" w:right="300"/>
        <w:spacing w:after="0" w:line="239" w:lineRule="auto"/>
        <w:rPr>
          <w:sz w:val="20"/>
          <w:szCs w:val="20"/>
          <w:color w:val="auto"/>
        </w:rPr>
      </w:pPr>
      <w:r>
        <w:rPr>
          <w:rFonts w:ascii="Arial" w:cs="Arial" w:eastAsia="Arial" w:hAnsi="Arial"/>
          <w:sz w:val="16"/>
          <w:szCs w:val="16"/>
          <w:color w:val="auto"/>
        </w:rPr>
        <w:t>The Board and the Compensation Committee will continue to consider feedback obtained through our shareholder engagement process in making future decisions about our executive compensation program.</w:t>
      </w:r>
    </w:p>
    <w:p>
      <w:pPr>
        <w:spacing w:after="0" w:line="200" w:lineRule="exact"/>
        <w:rPr>
          <w:sz w:val="20"/>
          <w:szCs w:val="20"/>
          <w:color w:val="auto"/>
        </w:rPr>
      </w:pPr>
    </w:p>
    <w:p>
      <w:pPr>
        <w:spacing w:after="0" w:line="301"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-94615</wp:posOffset>
            </wp:positionV>
            <wp:extent cx="485140" cy="9842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45" w:right="1439" w:bottom="1440" w:gutter="0" w:footer="0" w:header="0"/>
          <w:type w:val="continuous"/>
        </w:sectPr>
      </w:pPr>
    </w:p>
    <w:bookmarkStart w:id="76" w:name="page77"/>
    <w:bookmarkEnd w:id="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auto"/>
                <w:w w:val="89"/>
              </w:rPr>
              <w:t>1</w:t>
            </w:r>
          </w:p>
        </w:tc>
        <w:tc>
          <w:tcPr>
            <w:tcW w:w="1360" w:type="dxa"/>
            <w:vAlign w:val="bottom"/>
            <w:vMerge w:val="restart"/>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tcPr>
          <w:p>
            <w:pPr>
              <w:jc w:val="right"/>
              <w:spacing w:after="0"/>
              <w:rPr>
                <w:sz w:val="20"/>
                <w:szCs w:val="20"/>
                <w:color w:val="auto"/>
              </w:rPr>
            </w:pPr>
            <w:r>
              <w:rPr>
                <w:rFonts w:ascii="Arial" w:cs="Arial" w:eastAsia="Arial" w:hAnsi="Arial"/>
                <w:sz w:val="36"/>
                <w:szCs w:val="36"/>
                <w:color w:val="auto"/>
              </w:rPr>
              <w:t>2</w:t>
            </w:r>
          </w:p>
        </w:tc>
        <w:tc>
          <w:tcPr>
            <w:tcW w:w="1540" w:type="dxa"/>
            <w:vAlign w:val="bottom"/>
            <w:vMerge w:val="restart"/>
          </w:tcPr>
          <w:p>
            <w:pPr>
              <w:ind w:left="80"/>
              <w:spacing w:after="0"/>
              <w:rPr>
                <w:sz w:val="20"/>
                <w:szCs w:val="20"/>
                <w:color w:val="auto"/>
              </w:rPr>
            </w:pPr>
            <w:r>
              <w:rPr>
                <w:rFonts w:ascii="Arial" w:cs="Arial" w:eastAsia="Arial" w:hAnsi="Arial"/>
                <w:sz w:val="12"/>
                <w:szCs w:val="12"/>
                <w:color w:val="auto"/>
              </w:rPr>
              <w:t>NAMED</w:t>
            </w:r>
          </w:p>
        </w:tc>
        <w:tc>
          <w:tcPr>
            <w:tcW w:w="500" w:type="dxa"/>
            <w:vAlign w:val="bottom"/>
          </w:tcPr>
          <w:p>
            <w:pPr>
              <w:jc w:val="right"/>
              <w:spacing w:after="0"/>
              <w:rPr>
                <w:sz w:val="20"/>
                <w:szCs w:val="20"/>
                <w:color w:val="auto"/>
              </w:rPr>
            </w:pPr>
            <w:r>
              <w:rPr>
                <w:rFonts w:ascii="Arial" w:cs="Arial" w:eastAsia="Arial" w:hAnsi="Arial"/>
                <w:sz w:val="36"/>
                <w:szCs w:val="36"/>
                <w:color w:val="auto"/>
              </w:rPr>
              <w:t>3</w:t>
            </w:r>
          </w:p>
        </w:tc>
        <w:tc>
          <w:tcPr>
            <w:tcW w:w="980" w:type="dxa"/>
            <w:vAlign w:val="bottom"/>
            <w:vMerge w:val="restart"/>
          </w:tcPr>
          <w:p>
            <w:pPr>
              <w:ind w:left="80"/>
              <w:spacing w:after="0"/>
              <w:rPr>
                <w:sz w:val="20"/>
                <w:szCs w:val="20"/>
                <w:color w:val="auto"/>
              </w:rPr>
            </w:pPr>
            <w:r>
              <w:rPr>
                <w:rFonts w:ascii="Arial" w:cs="Arial" w:eastAsia="Arial" w:hAnsi="Arial"/>
                <w:sz w:val="12"/>
                <w:szCs w:val="12"/>
                <w:color w:val="auto"/>
              </w:rPr>
              <w:t>AUDIT</w:t>
            </w:r>
          </w:p>
        </w:tc>
        <w:tc>
          <w:tcPr>
            <w:tcW w:w="460" w:type="dxa"/>
            <w:vAlign w:val="bottom"/>
            <w:gridSpan w:val="2"/>
          </w:tcPr>
          <w:p>
            <w:pPr>
              <w:jc w:val="right"/>
              <w:ind w:right="80"/>
              <w:spacing w:after="0"/>
              <w:rPr>
                <w:sz w:val="20"/>
                <w:szCs w:val="20"/>
                <w:color w:val="auto"/>
              </w:rPr>
            </w:pPr>
            <w:r>
              <w:rPr>
                <w:rFonts w:ascii="Arial" w:cs="Arial" w:eastAsia="Arial" w:hAnsi="Arial"/>
                <w:sz w:val="36"/>
                <w:szCs w:val="36"/>
                <w:color w:val="0075C9"/>
              </w:rPr>
              <w:t>4</w:t>
            </w:r>
          </w:p>
        </w:tc>
        <w:tc>
          <w:tcPr>
            <w:tcW w:w="1420" w:type="dxa"/>
            <w:vAlign w:val="bottom"/>
            <w:vMerge w:val="restart"/>
          </w:tcPr>
          <w:p>
            <w:pPr>
              <w:ind w:left="80"/>
              <w:spacing w:after="0"/>
              <w:rPr>
                <w:sz w:val="20"/>
                <w:szCs w:val="20"/>
                <w:color w:val="auto"/>
              </w:rPr>
            </w:pPr>
            <w:r>
              <w:rPr>
                <w:rFonts w:ascii="Arial" w:cs="Arial" w:eastAsia="Arial" w:hAnsi="Arial"/>
                <w:sz w:val="12"/>
                <w:szCs w:val="12"/>
                <w:color w:val="0075C9"/>
              </w:rPr>
              <w:t>PROPOSALS TO</w:t>
            </w:r>
          </w:p>
        </w:tc>
        <w:tc>
          <w:tcPr>
            <w:tcW w:w="740" w:type="dxa"/>
            <w:vAlign w:val="bottom"/>
          </w:tcPr>
          <w:p>
            <w:pPr>
              <w:jc w:val="right"/>
              <w:spacing w:after="0"/>
              <w:rPr>
                <w:sz w:val="20"/>
                <w:szCs w:val="20"/>
                <w:color w:val="auto"/>
              </w:rPr>
            </w:pPr>
            <w:r>
              <w:rPr>
                <w:rFonts w:ascii="Arial" w:cs="Arial" w:eastAsia="Arial" w:hAnsi="Arial"/>
                <w:sz w:val="36"/>
                <w:szCs w:val="36"/>
                <w:color w:val="auto"/>
              </w:rPr>
              <w:t>5</w:t>
            </w:r>
          </w:p>
        </w:tc>
        <w:tc>
          <w:tcPr>
            <w:tcW w:w="900" w:type="dxa"/>
            <w:vAlign w:val="bottom"/>
            <w:vMerge w:val="restart"/>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36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tcPr>
          <w:p>
            <w:pPr>
              <w:ind w:left="80"/>
              <w:spacing w:after="0" w:line="130" w:lineRule="exact"/>
              <w:rPr>
                <w:sz w:val="20"/>
                <w:szCs w:val="20"/>
                <w:color w:val="auto"/>
              </w:rPr>
            </w:pPr>
            <w:r>
              <w:rPr>
                <w:rFonts w:ascii="Arial" w:cs="Arial" w:eastAsia="Arial" w:hAnsi="Arial"/>
                <w:sz w:val="12"/>
                <w:szCs w:val="12"/>
                <w:color w:val="0075C9"/>
                <w:w w:val="99"/>
              </w:rPr>
              <w:t>BE VOTED ON DURING</w:t>
            </w:r>
          </w:p>
        </w:tc>
        <w:tc>
          <w:tcPr>
            <w:tcW w:w="740" w:type="dxa"/>
            <w:vAlign w:val="bottom"/>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36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tcPr>
          <w:p>
            <w:pPr>
              <w:spacing w:after="0"/>
              <w:rPr>
                <w:sz w:val="12"/>
                <w:szCs w:val="12"/>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tcPr>
          <w:p>
            <w:pPr>
              <w:spacing w:after="0"/>
              <w:rPr>
                <w:sz w:val="12"/>
                <w:szCs w:val="12"/>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ind w:left="80"/>
              <w:spacing w:after="0"/>
              <w:rPr>
                <w:sz w:val="20"/>
                <w:szCs w:val="20"/>
                <w:color w:val="auto"/>
              </w:rPr>
            </w:pPr>
            <w:r>
              <w:rPr>
                <w:rFonts w:ascii="Arial" w:cs="Arial" w:eastAsia="Arial" w:hAnsi="Arial"/>
                <w:sz w:val="12"/>
                <w:szCs w:val="12"/>
                <w:color w:val="0075C9"/>
              </w:rPr>
              <w:t>THE MEETING</w:t>
            </w:r>
          </w:p>
        </w:tc>
        <w:tc>
          <w:tcPr>
            <w:tcW w:w="740" w:type="dxa"/>
            <w:vAlign w:val="bottom"/>
          </w:tcPr>
          <w:p>
            <w:pPr>
              <w:spacing w:after="0"/>
              <w:rPr>
                <w:sz w:val="12"/>
                <w:szCs w:val="12"/>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4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979"/>
        <w:spacing w:after="0"/>
        <w:rPr>
          <w:sz w:val="20"/>
          <w:szCs w:val="20"/>
          <w:color w:val="auto"/>
        </w:rPr>
      </w:pPr>
      <w:r>
        <w:rPr>
          <w:rFonts w:ascii="Arial" w:cs="Arial" w:eastAsia="Arial" w:hAnsi="Arial"/>
          <w:sz w:val="21"/>
          <w:szCs w:val="21"/>
          <w:b w:val="1"/>
          <w:bCs w:val="1"/>
          <w:color w:val="auto"/>
        </w:rPr>
        <w:t>Management Proposal 3: Approve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-83185</wp:posOffset>
            </wp:positionV>
            <wp:extent cx="5690870" cy="81407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690870" cy="814070"/>
                    </a:xfrm>
                    <a:prstGeom prst="rect">
                      <a:avLst/>
                    </a:prstGeom>
                    <a:noFill/>
                  </pic:spPr>
                </pic:pic>
              </a:graphicData>
            </a:graphic>
          </wp:anchor>
        </w:drawing>
      </w:r>
    </w:p>
    <w:p>
      <w:pPr>
        <w:jc w:val="center"/>
        <w:ind w:right="-979"/>
        <w:spacing w:after="0"/>
        <w:rPr>
          <w:sz w:val="20"/>
          <w:szCs w:val="20"/>
          <w:color w:val="auto"/>
        </w:rPr>
      </w:pPr>
      <w:r>
        <w:rPr>
          <w:rFonts w:ascii="Arial" w:cs="Arial" w:eastAsia="Arial" w:hAnsi="Arial"/>
          <w:sz w:val="21"/>
          <w:szCs w:val="21"/>
          <w:b w:val="1"/>
          <w:bCs w:val="1"/>
          <w:color w:val="auto"/>
        </w:rPr>
        <w:t>Employee Stock Purchase Plan</w:t>
      </w:r>
    </w:p>
    <w:p>
      <w:pPr>
        <w:spacing w:after="0" w:line="90" w:lineRule="exact"/>
        <w:rPr>
          <w:sz w:val="20"/>
          <w:szCs w:val="20"/>
          <w:color w:val="auto"/>
        </w:rPr>
      </w:pPr>
    </w:p>
    <w:p>
      <w:pPr>
        <w:ind w:left="1300" w:right="420"/>
        <w:spacing w:after="0" w:line="289" w:lineRule="auto"/>
        <w:rPr>
          <w:sz w:val="20"/>
          <w:szCs w:val="20"/>
          <w:color w:val="auto"/>
        </w:rPr>
      </w:pPr>
      <w:r>
        <w:rPr>
          <w:rFonts w:ascii="Arial" w:cs="Arial" w:eastAsia="Arial" w:hAnsi="Arial"/>
          <w:sz w:val="14"/>
          <w:szCs w:val="14"/>
          <w:color w:val="auto"/>
        </w:rPr>
        <w:t>We are requesting that shareholders approve the Employee Stock Purchase Plan (the “ESPP”), to replace the Microsoft Employee Stock Purchase Plan approved by shareholders in November 2012 (the “Prior ESPP”). If approved, the ESPP will become effective on January 1, 2022, and the Prior ESPP will terminate after the final purchase date on December 31, 2021.</w:t>
      </w:r>
    </w:p>
    <w:p>
      <w:pPr>
        <w:spacing w:after="0" w:line="200" w:lineRule="exact"/>
        <w:rPr>
          <w:sz w:val="20"/>
          <w:szCs w:val="20"/>
          <w:color w:val="auto"/>
        </w:rPr>
      </w:pPr>
    </w:p>
    <w:p>
      <w:pPr>
        <w:spacing w:after="0" w:line="206" w:lineRule="exact"/>
        <w:rPr>
          <w:sz w:val="20"/>
          <w:szCs w:val="20"/>
          <w:color w:val="auto"/>
        </w:rPr>
      </w:pPr>
    </w:p>
    <w:p>
      <w:pPr>
        <w:ind w:left="1100"/>
        <w:spacing w:after="0"/>
        <w:rPr>
          <w:sz w:val="20"/>
          <w:szCs w:val="20"/>
          <w:color w:val="auto"/>
        </w:rPr>
      </w:pPr>
      <w:r>
        <w:rPr>
          <w:rFonts w:ascii="Arial" w:cs="Arial" w:eastAsia="Arial" w:hAnsi="Arial"/>
          <w:sz w:val="17"/>
          <w:szCs w:val="17"/>
          <w:b w:val="1"/>
          <w:bCs w:val="1"/>
          <w:i w:val="1"/>
          <w:iCs w:val="1"/>
          <w:color w:val="0075C9"/>
        </w:rPr>
        <w:t>Our Board of Directors recommends a vote FOR the Employee Stock Purchase Plan.</w:t>
      </w:r>
    </w:p>
    <w:p>
      <w:pPr>
        <w:spacing w:after="0" w:line="91"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Reasons to Approve the ESPP</w:t>
      </w:r>
    </w:p>
    <w:p>
      <w:pPr>
        <w:spacing w:after="0" w:line="129" w:lineRule="exact"/>
        <w:rPr>
          <w:sz w:val="20"/>
          <w:szCs w:val="20"/>
          <w:color w:val="auto"/>
        </w:rPr>
      </w:pPr>
    </w:p>
    <w:p>
      <w:pPr>
        <w:ind w:left="1100" w:right="220"/>
        <w:spacing w:after="0" w:line="237" w:lineRule="auto"/>
        <w:rPr>
          <w:sz w:val="20"/>
          <w:szCs w:val="20"/>
          <w:color w:val="auto"/>
        </w:rPr>
      </w:pPr>
      <w:r>
        <w:rPr>
          <w:rFonts w:ascii="Arial" w:cs="Arial" w:eastAsia="Arial" w:hAnsi="Arial"/>
          <w:sz w:val="16"/>
          <w:szCs w:val="16"/>
          <w:color w:val="auto"/>
        </w:rPr>
        <w:t>If the shareholders do not approve the ESPP, the Prior ESPP will expire on December 31, 2022. No options have been or will be granted under the ESPP unless shareholders approve the ESPP. The Board believes that shareholders should approve the ESPP because it is an important component of the overall compensation package we offer to our employees. The ESPP provides eligible employees with an opportunity to purchase shares of our common stock at a 10% discount from market value and to benefit from stock price appreciation, thus enhancing the alignment of employee and shareholder interests.</w:t>
      </w:r>
    </w:p>
    <w:p>
      <w:pPr>
        <w:spacing w:after="0" w:line="102" w:lineRule="exact"/>
        <w:rPr>
          <w:sz w:val="20"/>
          <w:szCs w:val="20"/>
          <w:color w:val="auto"/>
        </w:rPr>
      </w:pPr>
    </w:p>
    <w:p>
      <w:pPr>
        <w:ind w:left="1100" w:right="180"/>
        <w:spacing w:after="0" w:line="239" w:lineRule="auto"/>
        <w:rPr>
          <w:sz w:val="20"/>
          <w:szCs w:val="20"/>
          <w:color w:val="auto"/>
        </w:rPr>
      </w:pPr>
      <w:r>
        <w:rPr>
          <w:rFonts w:ascii="Arial" w:cs="Arial" w:eastAsia="Arial" w:hAnsi="Arial"/>
          <w:sz w:val="16"/>
          <w:szCs w:val="16"/>
          <w:color w:val="auto"/>
        </w:rPr>
        <w:t>The material terms of the ESPP are summarized below. This description is qualified in its entirety by the complete text of the ESPP, which is attached to this Proxy as Annex A.</w:t>
      </w:r>
    </w:p>
    <w:p>
      <w:pPr>
        <w:spacing w:after="0" w:line="169"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ESPP Components</w:t>
      </w:r>
    </w:p>
    <w:p>
      <w:pPr>
        <w:spacing w:after="0" w:line="129" w:lineRule="exact"/>
        <w:rPr>
          <w:sz w:val="20"/>
          <w:szCs w:val="20"/>
          <w:color w:val="auto"/>
        </w:rPr>
      </w:pPr>
    </w:p>
    <w:p>
      <w:pPr>
        <w:jc w:val="both"/>
        <w:ind w:left="1100" w:right="400"/>
        <w:spacing w:after="0" w:line="238" w:lineRule="auto"/>
        <w:rPr>
          <w:sz w:val="20"/>
          <w:szCs w:val="20"/>
          <w:color w:val="auto"/>
        </w:rPr>
      </w:pPr>
      <w:r>
        <w:rPr>
          <w:rFonts w:ascii="Arial" w:cs="Arial" w:eastAsia="Arial" w:hAnsi="Arial"/>
          <w:sz w:val="16"/>
          <w:szCs w:val="16"/>
          <w:color w:val="auto"/>
        </w:rPr>
        <w:t>The ESPP includes a component (the “Statutory Plan”) designed to permit offerings of option grants to employees of designated subsidiaries to participate in the ESPP where such offerings are intended to satisfy the requirements of Section 423 of the Code and also a separate component (the “Non-Statutory Plan”), which permits offerings of option grants to employees of designated subsidiaries that are not intended to satisfy the requirements of Section 423 of the Code.</w:t>
      </w:r>
    </w:p>
    <w:p>
      <w:pPr>
        <w:spacing w:after="0" w:line="169"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Shares Available for Issuance</w:t>
      </w:r>
    </w:p>
    <w:p>
      <w:pPr>
        <w:spacing w:after="0" w:line="129" w:lineRule="exact"/>
        <w:rPr>
          <w:sz w:val="20"/>
          <w:szCs w:val="20"/>
          <w:color w:val="auto"/>
        </w:rPr>
      </w:pPr>
    </w:p>
    <w:p>
      <w:pPr>
        <w:ind w:left="1100" w:right="200"/>
        <w:spacing w:after="0" w:line="237" w:lineRule="auto"/>
        <w:rPr>
          <w:sz w:val="20"/>
          <w:szCs w:val="20"/>
          <w:color w:val="auto"/>
        </w:rPr>
      </w:pPr>
      <w:r>
        <w:rPr>
          <w:rFonts w:ascii="Arial" w:cs="Arial" w:eastAsia="Arial" w:hAnsi="Arial"/>
          <w:sz w:val="16"/>
          <w:szCs w:val="16"/>
          <w:color w:val="auto"/>
        </w:rPr>
        <w:t>The maximum number of shares that will be offered under the ESPP will be equal to the number of shares that were available but not used under the Prior ESPP as of January 1, 2022, the effective date of the ESPP, subject to capitalization adjustments. As of September 1, 2021, 111,860,580 shares had been purchased under the Prior ESPP and 88,139,420 shares remained available for purchases. If the total number of shares for which options are to be granted on any date exceeds the number of shares then available under the ESPP (after deduction of all shares for which options have been exercised under the ESPP or are then outstanding), Microsoft will make a pro rata allocation of the shares remaining available in as nearly a uniform manner as it determines is practicable and equitable. In such event, the payroll deductions will be reduced accordingly, and Microsoft will give written notice of the reduction to each employee affected.</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Administration</w:t>
      </w:r>
    </w:p>
    <w:p>
      <w:pPr>
        <w:spacing w:after="0" w:line="129" w:lineRule="exact"/>
        <w:rPr>
          <w:sz w:val="20"/>
          <w:szCs w:val="20"/>
          <w:color w:val="auto"/>
        </w:rPr>
      </w:pPr>
    </w:p>
    <w:p>
      <w:pPr>
        <w:ind w:left="1100" w:right="140"/>
        <w:spacing w:after="0" w:line="270" w:lineRule="auto"/>
        <w:rPr>
          <w:sz w:val="20"/>
          <w:szCs w:val="20"/>
          <w:color w:val="auto"/>
        </w:rPr>
      </w:pPr>
      <w:r>
        <w:rPr>
          <w:rFonts w:ascii="Arial" w:cs="Arial" w:eastAsia="Arial" w:hAnsi="Arial"/>
          <w:sz w:val="14"/>
          <w:szCs w:val="14"/>
          <w:color w:val="auto"/>
        </w:rPr>
        <w:t>The Board has delegated its full authority under the ESPP to the Compensation Committee, and the Compensation Committee may further delegate any or all of its authority under the ESPP to such senior officers of Microsoft to the extent permitted under applicable law. Notwithstanding this delegation of authority, the Board in its discretion may take any action under the ESPP at any time. To the extent permitted under applicable law, the authority that may be delegated by the Compensation Committee includes, without limitation, the authority to (i) establish offerings under the Non-Statutory Plan and determine the terms of such offerings,</w:t>
      </w:r>
    </w:p>
    <w:p>
      <w:pPr>
        <w:spacing w:after="0" w:line="1" w:lineRule="exact"/>
        <w:rPr>
          <w:sz w:val="20"/>
          <w:szCs w:val="20"/>
          <w:color w:val="auto"/>
        </w:rPr>
      </w:pPr>
    </w:p>
    <w:p>
      <w:pPr>
        <w:jc w:val="both"/>
        <w:ind w:left="1100" w:right="360" w:firstLine="2"/>
        <w:spacing w:after="0" w:line="270" w:lineRule="auto"/>
        <w:tabs>
          <w:tab w:leader="none" w:pos="1316" w:val="left"/>
        </w:tabs>
        <w:numPr>
          <w:ilvl w:val="0"/>
          <w:numId w:val="106"/>
        </w:numPr>
        <w:rPr>
          <w:rFonts w:ascii="Arial" w:cs="Arial" w:eastAsia="Arial" w:hAnsi="Arial"/>
          <w:sz w:val="14"/>
          <w:szCs w:val="14"/>
          <w:color w:val="auto"/>
        </w:rPr>
      </w:pPr>
      <w:r>
        <w:rPr>
          <w:rFonts w:ascii="Arial" w:cs="Arial" w:eastAsia="Arial" w:hAnsi="Arial"/>
          <w:sz w:val="14"/>
          <w:szCs w:val="14"/>
          <w:color w:val="auto"/>
        </w:rPr>
        <w:t>designate from time to time which subsidiaries will participate in the Statutory Plan, and which subsidiaries will participate in a particular offering under the Non-Statutory Plan, (iii) determine procedures for eligible employees to enroll in or withdraw from an offering, setting or changing payroll deduction percentages, and the methods for obtaining necessary tax withholdings, and</w:t>
      </w:r>
    </w:p>
    <w:p>
      <w:pPr>
        <w:ind w:left="1100" w:right="180" w:firstLine="2"/>
        <w:spacing w:after="0" w:line="237" w:lineRule="auto"/>
        <w:tabs>
          <w:tab w:leader="none" w:pos="1359"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adopt amendments to the ESPP including, without limitation, amendments related to changes in capitalization, provided that any increases in the maximum number of shares available for issuance under the ESPP that are not related to changes in capitalization require Board and shareholder approval. The Compensation Committee has delegated its administrative authority to the senior corporate officer in charge of Microsoft’s Human Resources department, who has used the delegated authority to ensure that the ESPP complies with laws outside the United States.</w:t>
      </w:r>
    </w:p>
    <w:p>
      <w:pPr>
        <w:spacing w:after="0" w:line="102" w:lineRule="exact"/>
        <w:rPr>
          <w:sz w:val="20"/>
          <w:szCs w:val="20"/>
          <w:color w:val="auto"/>
        </w:rPr>
      </w:pPr>
    </w:p>
    <w:p>
      <w:pPr>
        <w:ind w:left="1100" w:right="220"/>
        <w:spacing w:after="0" w:line="238" w:lineRule="auto"/>
        <w:rPr>
          <w:sz w:val="20"/>
          <w:szCs w:val="20"/>
          <w:color w:val="auto"/>
        </w:rPr>
      </w:pPr>
      <w:r>
        <w:rPr>
          <w:rFonts w:ascii="Arial" w:cs="Arial" w:eastAsia="Arial" w:hAnsi="Arial"/>
          <w:sz w:val="16"/>
          <w:szCs w:val="16"/>
          <w:color w:val="auto"/>
        </w:rPr>
        <w:t>Subject to the provisions of the ESPP, the administrator of the ESPP (the “ESPP Administrator”) has full authority and discretion to construe the terms of the ESPP, to make factual determinations under the ESPP, and to adopt, administer, and interpret such rules and regulations as it deems necessary to administer the ESPP, and its decisions are final, conclusive and binding upon all participants.</w:t>
      </w:r>
    </w:p>
    <w:p>
      <w:pPr>
        <w:sectPr>
          <w:pgSz w:w="11900" w:h="16838" w:orient="portrait"/>
          <w:cols w:equalWidth="0" w:num="1">
            <w:col w:w="10280"/>
          </w:cols>
          <w:pgMar w:left="320" w:top="445" w:right="129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ind w:left="8240"/>
        <w:spacing w:after="0"/>
        <w:tabs>
          <w:tab w:leader="none" w:pos="10120" w:val="left"/>
        </w:tabs>
        <w:rPr>
          <w:sz w:val="20"/>
          <w:szCs w:val="20"/>
          <w:color w:val="auto"/>
        </w:rPr>
      </w:pPr>
      <w:r>
        <w:rPr>
          <w:rFonts w:ascii="Arial" w:cs="Arial" w:eastAsia="Arial" w:hAnsi="Arial"/>
          <w:sz w:val="14"/>
          <w:szCs w:val="14"/>
          <w:color w:val="auto"/>
        </w:rPr>
        <w:t>2021 PROXY STATEMENT</w:t>
      </w:r>
      <w:r>
        <w:rPr>
          <w:sz w:val="20"/>
          <w:szCs w:val="20"/>
          <w:color w:val="auto"/>
        </w:rPr>
        <w:tab/>
      </w:r>
      <w:r>
        <w:rPr>
          <w:rFonts w:ascii="Arial" w:cs="Arial" w:eastAsia="Arial" w:hAnsi="Arial"/>
          <w:sz w:val="12"/>
          <w:szCs w:val="12"/>
          <w:b w:val="1"/>
          <w:bCs w:val="1"/>
          <w:color w:val="0075C9"/>
        </w:rPr>
        <w:t>69</w:t>
      </w:r>
    </w:p>
    <w:p>
      <w:pPr>
        <w:sectPr>
          <w:pgSz w:w="11900" w:h="16838" w:orient="portrait"/>
          <w:cols w:equalWidth="0" w:num="1">
            <w:col w:w="10280"/>
          </w:cols>
          <w:pgMar w:left="320" w:top="445" w:right="1299" w:bottom="1440" w:gutter="0" w:footer="0" w:header="0"/>
          <w:type w:val="continuous"/>
        </w:sectPr>
      </w:pPr>
    </w:p>
    <w:bookmarkStart w:id="77" w:name="page78"/>
    <w:bookmarkEnd w:id="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auto"/>
                <w:w w:val="89"/>
              </w:rPr>
              <w:t>1</w:t>
            </w:r>
          </w:p>
        </w:tc>
        <w:tc>
          <w:tcPr>
            <w:tcW w:w="1360" w:type="dxa"/>
            <w:vAlign w:val="bottom"/>
            <w:vMerge w:val="restart"/>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tcPr>
          <w:p>
            <w:pPr>
              <w:jc w:val="right"/>
              <w:spacing w:after="0"/>
              <w:rPr>
                <w:sz w:val="20"/>
                <w:szCs w:val="20"/>
                <w:color w:val="auto"/>
              </w:rPr>
            </w:pPr>
            <w:r>
              <w:rPr>
                <w:rFonts w:ascii="Arial" w:cs="Arial" w:eastAsia="Arial" w:hAnsi="Arial"/>
                <w:sz w:val="36"/>
                <w:szCs w:val="36"/>
                <w:color w:val="auto"/>
              </w:rPr>
              <w:t>2</w:t>
            </w:r>
          </w:p>
        </w:tc>
        <w:tc>
          <w:tcPr>
            <w:tcW w:w="1540" w:type="dxa"/>
            <w:vAlign w:val="bottom"/>
            <w:vMerge w:val="restart"/>
          </w:tcPr>
          <w:p>
            <w:pPr>
              <w:ind w:left="80"/>
              <w:spacing w:after="0"/>
              <w:rPr>
                <w:sz w:val="20"/>
                <w:szCs w:val="20"/>
                <w:color w:val="auto"/>
              </w:rPr>
            </w:pPr>
            <w:r>
              <w:rPr>
                <w:rFonts w:ascii="Arial" w:cs="Arial" w:eastAsia="Arial" w:hAnsi="Arial"/>
                <w:sz w:val="12"/>
                <w:szCs w:val="12"/>
                <w:color w:val="auto"/>
              </w:rPr>
              <w:t>NAMED</w:t>
            </w:r>
          </w:p>
        </w:tc>
        <w:tc>
          <w:tcPr>
            <w:tcW w:w="500" w:type="dxa"/>
            <w:vAlign w:val="bottom"/>
          </w:tcPr>
          <w:p>
            <w:pPr>
              <w:jc w:val="right"/>
              <w:spacing w:after="0"/>
              <w:rPr>
                <w:sz w:val="20"/>
                <w:szCs w:val="20"/>
                <w:color w:val="auto"/>
              </w:rPr>
            </w:pPr>
            <w:r>
              <w:rPr>
                <w:rFonts w:ascii="Arial" w:cs="Arial" w:eastAsia="Arial" w:hAnsi="Arial"/>
                <w:sz w:val="36"/>
                <w:szCs w:val="36"/>
                <w:color w:val="auto"/>
              </w:rPr>
              <w:t>3</w:t>
            </w:r>
          </w:p>
        </w:tc>
        <w:tc>
          <w:tcPr>
            <w:tcW w:w="980" w:type="dxa"/>
            <w:vAlign w:val="bottom"/>
            <w:vMerge w:val="restart"/>
          </w:tcPr>
          <w:p>
            <w:pPr>
              <w:ind w:left="80"/>
              <w:spacing w:after="0"/>
              <w:rPr>
                <w:sz w:val="20"/>
                <w:szCs w:val="20"/>
                <w:color w:val="auto"/>
              </w:rPr>
            </w:pPr>
            <w:r>
              <w:rPr>
                <w:rFonts w:ascii="Arial" w:cs="Arial" w:eastAsia="Arial" w:hAnsi="Arial"/>
                <w:sz w:val="12"/>
                <w:szCs w:val="12"/>
                <w:color w:val="auto"/>
              </w:rPr>
              <w:t>AUDIT</w:t>
            </w:r>
          </w:p>
        </w:tc>
        <w:tc>
          <w:tcPr>
            <w:tcW w:w="460" w:type="dxa"/>
            <w:vAlign w:val="bottom"/>
            <w:gridSpan w:val="2"/>
          </w:tcPr>
          <w:p>
            <w:pPr>
              <w:jc w:val="right"/>
              <w:ind w:right="80"/>
              <w:spacing w:after="0"/>
              <w:rPr>
                <w:sz w:val="20"/>
                <w:szCs w:val="20"/>
                <w:color w:val="auto"/>
              </w:rPr>
            </w:pPr>
            <w:r>
              <w:rPr>
                <w:rFonts w:ascii="Arial" w:cs="Arial" w:eastAsia="Arial" w:hAnsi="Arial"/>
                <w:sz w:val="36"/>
                <w:szCs w:val="36"/>
                <w:color w:val="0075C9"/>
              </w:rPr>
              <w:t>4</w:t>
            </w:r>
          </w:p>
        </w:tc>
        <w:tc>
          <w:tcPr>
            <w:tcW w:w="1420" w:type="dxa"/>
            <w:vAlign w:val="bottom"/>
            <w:vMerge w:val="restart"/>
          </w:tcPr>
          <w:p>
            <w:pPr>
              <w:ind w:left="80"/>
              <w:spacing w:after="0"/>
              <w:rPr>
                <w:sz w:val="20"/>
                <w:szCs w:val="20"/>
                <w:color w:val="auto"/>
              </w:rPr>
            </w:pPr>
            <w:r>
              <w:rPr>
                <w:rFonts w:ascii="Arial" w:cs="Arial" w:eastAsia="Arial" w:hAnsi="Arial"/>
                <w:sz w:val="12"/>
                <w:szCs w:val="12"/>
                <w:color w:val="0075C9"/>
              </w:rPr>
              <w:t>PROPOSALS TO</w:t>
            </w:r>
          </w:p>
        </w:tc>
        <w:tc>
          <w:tcPr>
            <w:tcW w:w="740" w:type="dxa"/>
            <w:vAlign w:val="bottom"/>
          </w:tcPr>
          <w:p>
            <w:pPr>
              <w:jc w:val="right"/>
              <w:spacing w:after="0"/>
              <w:rPr>
                <w:sz w:val="20"/>
                <w:szCs w:val="20"/>
                <w:color w:val="auto"/>
              </w:rPr>
            </w:pPr>
            <w:r>
              <w:rPr>
                <w:rFonts w:ascii="Arial" w:cs="Arial" w:eastAsia="Arial" w:hAnsi="Arial"/>
                <w:sz w:val="36"/>
                <w:szCs w:val="36"/>
                <w:color w:val="auto"/>
              </w:rPr>
              <w:t>5</w:t>
            </w:r>
          </w:p>
        </w:tc>
        <w:tc>
          <w:tcPr>
            <w:tcW w:w="900" w:type="dxa"/>
            <w:vAlign w:val="bottom"/>
            <w:vMerge w:val="restart"/>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36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tcPr>
          <w:p>
            <w:pPr>
              <w:ind w:left="80"/>
              <w:spacing w:after="0" w:line="130" w:lineRule="exact"/>
              <w:rPr>
                <w:sz w:val="20"/>
                <w:szCs w:val="20"/>
                <w:color w:val="auto"/>
              </w:rPr>
            </w:pPr>
            <w:r>
              <w:rPr>
                <w:rFonts w:ascii="Arial" w:cs="Arial" w:eastAsia="Arial" w:hAnsi="Arial"/>
                <w:sz w:val="12"/>
                <w:szCs w:val="12"/>
                <w:color w:val="0075C9"/>
                <w:w w:val="99"/>
              </w:rPr>
              <w:t>BE VOTED ON DURING</w:t>
            </w:r>
          </w:p>
        </w:tc>
        <w:tc>
          <w:tcPr>
            <w:tcW w:w="740" w:type="dxa"/>
            <w:vAlign w:val="bottom"/>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36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tcPr>
          <w:p>
            <w:pPr>
              <w:spacing w:after="0"/>
              <w:rPr>
                <w:sz w:val="12"/>
                <w:szCs w:val="12"/>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tcPr>
          <w:p>
            <w:pPr>
              <w:spacing w:after="0"/>
              <w:rPr>
                <w:sz w:val="12"/>
                <w:szCs w:val="12"/>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ind w:left="80"/>
              <w:spacing w:after="0"/>
              <w:rPr>
                <w:sz w:val="20"/>
                <w:szCs w:val="20"/>
                <w:color w:val="auto"/>
              </w:rPr>
            </w:pPr>
            <w:r>
              <w:rPr>
                <w:rFonts w:ascii="Arial" w:cs="Arial" w:eastAsia="Arial" w:hAnsi="Arial"/>
                <w:sz w:val="12"/>
                <w:szCs w:val="12"/>
                <w:color w:val="0075C9"/>
              </w:rPr>
              <w:t>THE MEETING</w:t>
            </w:r>
          </w:p>
        </w:tc>
        <w:tc>
          <w:tcPr>
            <w:tcW w:w="740" w:type="dxa"/>
            <w:vAlign w:val="bottom"/>
          </w:tcPr>
          <w:p>
            <w:pPr>
              <w:spacing w:after="0"/>
              <w:rPr>
                <w:sz w:val="12"/>
                <w:szCs w:val="12"/>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4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Eligibility and Participation</w:t>
      </w:r>
    </w:p>
    <w:p>
      <w:pPr>
        <w:spacing w:after="0" w:line="129" w:lineRule="exact"/>
        <w:rPr>
          <w:sz w:val="20"/>
          <w:szCs w:val="20"/>
          <w:color w:val="auto"/>
        </w:rPr>
      </w:pPr>
    </w:p>
    <w:p>
      <w:pPr>
        <w:ind w:left="1100"/>
        <w:spacing w:after="0" w:line="237" w:lineRule="auto"/>
        <w:rPr>
          <w:sz w:val="20"/>
          <w:szCs w:val="20"/>
          <w:color w:val="auto"/>
        </w:rPr>
      </w:pPr>
      <w:r>
        <w:rPr>
          <w:rFonts w:ascii="Arial" w:cs="Arial" w:eastAsia="Arial" w:hAnsi="Arial"/>
          <w:sz w:val="16"/>
          <w:szCs w:val="16"/>
          <w:color w:val="auto"/>
        </w:rPr>
        <w:t>The ESPP allows any individual employed by Microsoft or one of its designated subsidiaries on the last business day preceding an offering date to participate in such offering, except for employees whose customary employment is for not more than five months a year. ESPP participants may authorize payroll deductions from 1% to 15% of their compensation to be applied toward the purchase of Microsoft’s common stock. A participant may change his or her payroll deduction percentage election, including changing the payroll deduction percentage to zero, effective as of any offering date by filing a revised authorization, provided the revised authorization is filed prior to such offering date. At the termination of each offering, each participating employee who continues to be eligible to participate in the ESPP will be automatically re-enrolled in the next offering, unless the employee has advised Microsoft otherwise.</w:t>
      </w:r>
    </w:p>
    <w:p>
      <w:pPr>
        <w:spacing w:after="0" w:line="101" w:lineRule="exact"/>
        <w:rPr>
          <w:sz w:val="20"/>
          <w:szCs w:val="20"/>
          <w:color w:val="auto"/>
        </w:rPr>
      </w:pPr>
    </w:p>
    <w:p>
      <w:pPr>
        <w:ind w:left="1100" w:right="20"/>
        <w:spacing w:after="0" w:line="279" w:lineRule="auto"/>
        <w:rPr>
          <w:sz w:val="20"/>
          <w:szCs w:val="20"/>
          <w:color w:val="auto"/>
        </w:rPr>
      </w:pPr>
      <w:r>
        <w:rPr>
          <w:rFonts w:ascii="Arial" w:cs="Arial" w:eastAsia="Arial" w:hAnsi="Arial"/>
          <w:sz w:val="14"/>
          <w:szCs w:val="14"/>
          <w:color w:val="auto"/>
        </w:rPr>
        <w:t>“Compensation” refers to a participant’s total cash performance-based pay, and includes salary, wages, performance bonuses, commissions, incentive compensation and overtime but excludes relocation, equalization, patent and sign-on bonuses, expense reimbursements, meal allowances, commuting or automobile allowances, any payments with respect to which salary reductions are not permitted by the laws of the applicable jurisdiction, and income realized as a result of participation in any stock plan, including without limitation any stock option, stock award, stock purchase, or similar plan, of Microsoft or any subsidiary.</w:t>
      </w:r>
    </w:p>
    <w:p>
      <w:pPr>
        <w:spacing w:after="0" w:line="74" w:lineRule="exact"/>
        <w:rPr>
          <w:sz w:val="20"/>
          <w:szCs w:val="20"/>
          <w:color w:val="auto"/>
        </w:rPr>
      </w:pPr>
    </w:p>
    <w:p>
      <w:pPr>
        <w:jc w:val="both"/>
        <w:ind w:left="1100" w:right="60"/>
        <w:spacing w:after="0" w:line="238" w:lineRule="auto"/>
        <w:rPr>
          <w:sz w:val="20"/>
          <w:szCs w:val="20"/>
          <w:color w:val="auto"/>
        </w:rPr>
      </w:pPr>
      <w:r>
        <w:rPr>
          <w:rFonts w:ascii="Arial" w:cs="Arial" w:eastAsia="Arial" w:hAnsi="Arial"/>
          <w:sz w:val="16"/>
          <w:szCs w:val="16"/>
          <w:color w:val="auto"/>
        </w:rPr>
        <w:t>As of September 1, 2021, if all our subsidiaries are designated to participate in the ESPP, approximately 188,272 employees would be eligible to participate in the ESPP on a world-wide basis, which includes 88,331 employees of Microsoft and 99,941 employees of subsidiaries of Microsoft.</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Offerings</w:t>
      </w:r>
    </w:p>
    <w:p>
      <w:pPr>
        <w:spacing w:after="0" w:line="129" w:lineRule="exact"/>
        <w:rPr>
          <w:sz w:val="20"/>
          <w:szCs w:val="20"/>
          <w:color w:val="auto"/>
        </w:rPr>
      </w:pPr>
    </w:p>
    <w:p>
      <w:pPr>
        <w:ind w:left="1100" w:right="360"/>
        <w:spacing w:after="0" w:line="239" w:lineRule="auto"/>
        <w:rPr>
          <w:sz w:val="20"/>
          <w:szCs w:val="20"/>
          <w:color w:val="auto"/>
        </w:rPr>
      </w:pPr>
      <w:r>
        <w:rPr>
          <w:rFonts w:ascii="Arial" w:cs="Arial" w:eastAsia="Arial" w:hAnsi="Arial"/>
          <w:sz w:val="16"/>
          <w:szCs w:val="16"/>
          <w:color w:val="auto"/>
        </w:rPr>
        <w:t>The ESPP provides for separate three-month offerings, commencing on January 1, April 1, July 1, and October 1 of each year, provided Microsoft may in its discretion change the commencement date or term of any offering.</w:t>
      </w:r>
    </w:p>
    <w:p>
      <w:pPr>
        <w:spacing w:after="0" w:line="169"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Payroll Deductions, Purchase Price, and Shares Purchased</w:t>
      </w:r>
    </w:p>
    <w:p>
      <w:pPr>
        <w:spacing w:after="0" w:line="129" w:lineRule="exact"/>
        <w:rPr>
          <w:sz w:val="20"/>
          <w:szCs w:val="20"/>
          <w:color w:val="auto"/>
        </w:rPr>
      </w:pPr>
    </w:p>
    <w:p>
      <w:pPr>
        <w:jc w:val="both"/>
        <w:ind w:left="1100" w:right="100"/>
        <w:spacing w:after="0" w:line="238" w:lineRule="auto"/>
        <w:rPr>
          <w:sz w:val="20"/>
          <w:szCs w:val="20"/>
          <w:color w:val="auto"/>
        </w:rPr>
      </w:pPr>
      <w:r>
        <w:rPr>
          <w:rFonts w:ascii="Arial" w:cs="Arial" w:eastAsia="Arial" w:hAnsi="Arial"/>
          <w:sz w:val="16"/>
          <w:szCs w:val="16"/>
          <w:color w:val="auto"/>
        </w:rPr>
        <w:t>An employee must authorize a payroll deduction before the start of an offering in order to participate in that offering. However, with respect to the first offering that commences under the ESPP, all employee payroll deduction elections made under the Prior ESPP will be carried forward and be effective, unless the participants in the Prior ESPP elect otherwise.</w:t>
      </w:r>
    </w:p>
    <w:p>
      <w:pPr>
        <w:spacing w:after="0" w:line="100" w:lineRule="exact"/>
        <w:rPr>
          <w:sz w:val="20"/>
          <w:szCs w:val="20"/>
          <w:color w:val="auto"/>
        </w:rPr>
      </w:pPr>
    </w:p>
    <w:p>
      <w:pPr>
        <w:ind w:left="1100"/>
        <w:spacing w:after="0" w:line="238" w:lineRule="auto"/>
        <w:rPr>
          <w:sz w:val="20"/>
          <w:szCs w:val="20"/>
          <w:color w:val="auto"/>
        </w:rPr>
      </w:pPr>
      <w:r>
        <w:rPr>
          <w:rFonts w:ascii="Arial" w:cs="Arial" w:eastAsia="Arial" w:hAnsi="Arial"/>
          <w:sz w:val="16"/>
          <w:szCs w:val="16"/>
          <w:color w:val="auto"/>
        </w:rPr>
        <w:t>On the last business day of the offering, the employee will be deemed to have exercised the option to purchase as many shares as the employee’s payroll deduction will allow at the option price, up to 2,000 shares in any single offering. The purchase price is equal to 90% of the fair market value of a share of our common stock on the last Nasdaq trading day of the offering period. The closing price of Microsoft’s common stock as reported on the Nasdaq Stock Market on September 1, 2021 was $301.83.</w:t>
      </w:r>
    </w:p>
    <w:p>
      <w:pPr>
        <w:spacing w:after="0" w:line="99" w:lineRule="exact"/>
        <w:rPr>
          <w:sz w:val="20"/>
          <w:szCs w:val="20"/>
          <w:color w:val="auto"/>
        </w:rPr>
      </w:pPr>
    </w:p>
    <w:p>
      <w:pPr>
        <w:ind w:left="1100"/>
        <w:spacing w:after="0" w:line="237" w:lineRule="auto"/>
        <w:rPr>
          <w:sz w:val="20"/>
          <w:szCs w:val="20"/>
          <w:color w:val="auto"/>
        </w:rPr>
      </w:pPr>
      <w:r>
        <w:rPr>
          <w:rFonts w:ascii="Arial" w:cs="Arial" w:eastAsia="Arial" w:hAnsi="Arial"/>
          <w:sz w:val="16"/>
          <w:szCs w:val="16"/>
          <w:color w:val="auto"/>
        </w:rPr>
        <w:t>No employee will be permitted to purchase any shares under the ESPP (i) if such employee, immediately after such purchase, owns shares possessing 5% or more of the total combined voting power or value of all classes of stock of Microsoft or its parent or subsidiary corporations or (ii) to the extent that his or her rights to purchase stock under all of the employee stock purchase plans of Microsoft or its parent or subsidiary corporations accrues at a rate which exceeds $25,000 worth of stock (determined at the fair market value of the shares at the time such purchase right is granted) for each calendar year in which the purchase right is outstanding. Lower limitations may be imposed with respect to participants in the Non-Statutory Plan or participants in the Statutory Plan who are subject to laws of another jurisdiction where lower limitations are required.</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Withdrawal and Termination of Employment</w:t>
      </w:r>
    </w:p>
    <w:p>
      <w:pPr>
        <w:spacing w:after="0" w:line="129" w:lineRule="exact"/>
        <w:rPr>
          <w:sz w:val="20"/>
          <w:szCs w:val="20"/>
          <w:color w:val="auto"/>
        </w:rPr>
      </w:pPr>
    </w:p>
    <w:p>
      <w:pPr>
        <w:jc w:val="both"/>
        <w:ind w:left="1100" w:right="20"/>
        <w:spacing w:after="0" w:line="237" w:lineRule="auto"/>
        <w:rPr>
          <w:sz w:val="20"/>
          <w:szCs w:val="20"/>
          <w:color w:val="auto"/>
        </w:rPr>
      </w:pPr>
      <w:r>
        <w:rPr>
          <w:rFonts w:ascii="Arial" w:cs="Arial" w:eastAsia="Arial" w:hAnsi="Arial"/>
          <w:sz w:val="16"/>
          <w:szCs w:val="16"/>
          <w:color w:val="auto"/>
        </w:rPr>
        <w:t>An employee may withdraw from an offering or suspend participation by reducing his or her payroll deduction percentage to 0%, at any time before the first day of the last calendar month of the offering. Upon withdrawal, the amount in the employee’s account will be refunded. An employee who has withdrawn from or suspended participation in an offering may not participate again in that same offering. In order to participate in a subsequent offering, such employee must re-enroll in the ESPP in accordance with the ESPP’s enrollment procedures.</w:t>
      </w:r>
    </w:p>
    <w:p>
      <w:pPr>
        <w:spacing w:after="0" w:line="102" w:lineRule="exact"/>
        <w:rPr>
          <w:sz w:val="20"/>
          <w:szCs w:val="20"/>
          <w:color w:val="auto"/>
        </w:rPr>
      </w:pPr>
    </w:p>
    <w:p>
      <w:pPr>
        <w:ind w:left="1100" w:right="120"/>
        <w:spacing w:after="0" w:line="237" w:lineRule="auto"/>
        <w:rPr>
          <w:sz w:val="20"/>
          <w:szCs w:val="20"/>
          <w:color w:val="auto"/>
        </w:rPr>
      </w:pPr>
      <w:r>
        <w:rPr>
          <w:rFonts w:ascii="Arial" w:cs="Arial" w:eastAsia="Arial" w:hAnsi="Arial"/>
          <w:sz w:val="16"/>
          <w:szCs w:val="16"/>
          <w:color w:val="auto"/>
        </w:rPr>
        <w:t>Upon termination of employment for any reason whatsoever, including but not limited to death or retirement, the employee is considered automatically withdrawn from the ESPP and the balance in the account of a participating employee will be paid to the employee or his or her estate. Whether and when employment is deemed terminated for purposes of the ESPP will be determined by the ESPP administrator in its sole discretion and may be determined without regard to statutory notice periods or other periods following termination of active employment.</w:t>
      </w:r>
    </w:p>
    <w:p>
      <w:pPr>
        <w:spacing w:after="0" w:line="200" w:lineRule="exact"/>
        <w:rPr>
          <w:sz w:val="20"/>
          <w:szCs w:val="20"/>
          <w:color w:val="auto"/>
        </w:rPr>
      </w:pPr>
    </w:p>
    <w:p>
      <w:pPr>
        <w:spacing w:after="0" w:line="303"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-94615</wp:posOffset>
            </wp:positionV>
            <wp:extent cx="485140" cy="9842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45" w:right="1439" w:bottom="1440" w:gutter="0" w:footer="0" w:header="0"/>
        </w:sectPr>
      </w:pPr>
    </w:p>
    <w:bookmarkStart w:id="78" w:name="page79"/>
    <w:bookmarkEnd w:id="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auto"/>
                <w:w w:val="89"/>
              </w:rPr>
              <w:t>1</w:t>
            </w:r>
          </w:p>
        </w:tc>
        <w:tc>
          <w:tcPr>
            <w:tcW w:w="1360" w:type="dxa"/>
            <w:vAlign w:val="bottom"/>
            <w:vMerge w:val="restart"/>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tcPr>
          <w:p>
            <w:pPr>
              <w:jc w:val="right"/>
              <w:spacing w:after="0"/>
              <w:rPr>
                <w:sz w:val="20"/>
                <w:szCs w:val="20"/>
                <w:color w:val="auto"/>
              </w:rPr>
            </w:pPr>
            <w:r>
              <w:rPr>
                <w:rFonts w:ascii="Arial" w:cs="Arial" w:eastAsia="Arial" w:hAnsi="Arial"/>
                <w:sz w:val="36"/>
                <w:szCs w:val="36"/>
                <w:color w:val="auto"/>
              </w:rPr>
              <w:t>2</w:t>
            </w:r>
          </w:p>
        </w:tc>
        <w:tc>
          <w:tcPr>
            <w:tcW w:w="1540" w:type="dxa"/>
            <w:vAlign w:val="bottom"/>
            <w:vMerge w:val="restart"/>
          </w:tcPr>
          <w:p>
            <w:pPr>
              <w:ind w:left="80"/>
              <w:spacing w:after="0"/>
              <w:rPr>
                <w:sz w:val="20"/>
                <w:szCs w:val="20"/>
                <w:color w:val="auto"/>
              </w:rPr>
            </w:pPr>
            <w:r>
              <w:rPr>
                <w:rFonts w:ascii="Arial" w:cs="Arial" w:eastAsia="Arial" w:hAnsi="Arial"/>
                <w:sz w:val="12"/>
                <w:szCs w:val="12"/>
                <w:color w:val="auto"/>
              </w:rPr>
              <w:t>NAMED</w:t>
            </w:r>
          </w:p>
        </w:tc>
        <w:tc>
          <w:tcPr>
            <w:tcW w:w="500" w:type="dxa"/>
            <w:vAlign w:val="bottom"/>
          </w:tcPr>
          <w:p>
            <w:pPr>
              <w:jc w:val="right"/>
              <w:spacing w:after="0"/>
              <w:rPr>
                <w:sz w:val="20"/>
                <w:szCs w:val="20"/>
                <w:color w:val="auto"/>
              </w:rPr>
            </w:pPr>
            <w:r>
              <w:rPr>
                <w:rFonts w:ascii="Arial" w:cs="Arial" w:eastAsia="Arial" w:hAnsi="Arial"/>
                <w:sz w:val="36"/>
                <w:szCs w:val="36"/>
                <w:color w:val="auto"/>
              </w:rPr>
              <w:t>3</w:t>
            </w:r>
          </w:p>
        </w:tc>
        <w:tc>
          <w:tcPr>
            <w:tcW w:w="980" w:type="dxa"/>
            <w:vAlign w:val="bottom"/>
            <w:vMerge w:val="restart"/>
          </w:tcPr>
          <w:p>
            <w:pPr>
              <w:ind w:left="80"/>
              <w:spacing w:after="0"/>
              <w:rPr>
                <w:sz w:val="20"/>
                <w:szCs w:val="20"/>
                <w:color w:val="auto"/>
              </w:rPr>
            </w:pPr>
            <w:r>
              <w:rPr>
                <w:rFonts w:ascii="Arial" w:cs="Arial" w:eastAsia="Arial" w:hAnsi="Arial"/>
                <w:sz w:val="12"/>
                <w:szCs w:val="12"/>
                <w:color w:val="auto"/>
              </w:rPr>
              <w:t>AUDIT</w:t>
            </w:r>
          </w:p>
        </w:tc>
        <w:tc>
          <w:tcPr>
            <w:tcW w:w="460" w:type="dxa"/>
            <w:vAlign w:val="bottom"/>
            <w:gridSpan w:val="2"/>
          </w:tcPr>
          <w:p>
            <w:pPr>
              <w:jc w:val="right"/>
              <w:ind w:right="80"/>
              <w:spacing w:after="0"/>
              <w:rPr>
                <w:sz w:val="20"/>
                <w:szCs w:val="20"/>
                <w:color w:val="auto"/>
              </w:rPr>
            </w:pPr>
            <w:r>
              <w:rPr>
                <w:rFonts w:ascii="Arial" w:cs="Arial" w:eastAsia="Arial" w:hAnsi="Arial"/>
                <w:sz w:val="36"/>
                <w:szCs w:val="36"/>
                <w:color w:val="0075C9"/>
              </w:rPr>
              <w:t>4</w:t>
            </w:r>
          </w:p>
        </w:tc>
        <w:tc>
          <w:tcPr>
            <w:tcW w:w="1420" w:type="dxa"/>
            <w:vAlign w:val="bottom"/>
            <w:vMerge w:val="restart"/>
          </w:tcPr>
          <w:p>
            <w:pPr>
              <w:ind w:left="80"/>
              <w:spacing w:after="0"/>
              <w:rPr>
                <w:sz w:val="20"/>
                <w:szCs w:val="20"/>
                <w:color w:val="auto"/>
              </w:rPr>
            </w:pPr>
            <w:r>
              <w:rPr>
                <w:rFonts w:ascii="Arial" w:cs="Arial" w:eastAsia="Arial" w:hAnsi="Arial"/>
                <w:sz w:val="12"/>
                <w:szCs w:val="12"/>
                <w:color w:val="0075C9"/>
              </w:rPr>
              <w:t>PROPOSALS TO</w:t>
            </w:r>
          </w:p>
        </w:tc>
        <w:tc>
          <w:tcPr>
            <w:tcW w:w="740" w:type="dxa"/>
            <w:vAlign w:val="bottom"/>
          </w:tcPr>
          <w:p>
            <w:pPr>
              <w:jc w:val="right"/>
              <w:spacing w:after="0"/>
              <w:rPr>
                <w:sz w:val="20"/>
                <w:szCs w:val="20"/>
                <w:color w:val="auto"/>
              </w:rPr>
            </w:pPr>
            <w:r>
              <w:rPr>
                <w:rFonts w:ascii="Arial" w:cs="Arial" w:eastAsia="Arial" w:hAnsi="Arial"/>
                <w:sz w:val="36"/>
                <w:szCs w:val="36"/>
                <w:color w:val="auto"/>
              </w:rPr>
              <w:t>5</w:t>
            </w:r>
          </w:p>
        </w:tc>
        <w:tc>
          <w:tcPr>
            <w:tcW w:w="900" w:type="dxa"/>
            <w:vAlign w:val="bottom"/>
            <w:vMerge w:val="restart"/>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36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tcPr>
          <w:p>
            <w:pPr>
              <w:ind w:left="80"/>
              <w:spacing w:after="0" w:line="130" w:lineRule="exact"/>
              <w:rPr>
                <w:sz w:val="20"/>
                <w:szCs w:val="20"/>
                <w:color w:val="auto"/>
              </w:rPr>
            </w:pPr>
            <w:r>
              <w:rPr>
                <w:rFonts w:ascii="Arial" w:cs="Arial" w:eastAsia="Arial" w:hAnsi="Arial"/>
                <w:sz w:val="12"/>
                <w:szCs w:val="12"/>
                <w:color w:val="0075C9"/>
                <w:w w:val="99"/>
              </w:rPr>
              <w:t>BE VOTED ON DURING</w:t>
            </w:r>
          </w:p>
        </w:tc>
        <w:tc>
          <w:tcPr>
            <w:tcW w:w="740" w:type="dxa"/>
            <w:vAlign w:val="bottom"/>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36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tcPr>
          <w:p>
            <w:pPr>
              <w:spacing w:after="0"/>
              <w:rPr>
                <w:sz w:val="12"/>
                <w:szCs w:val="12"/>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tcPr>
          <w:p>
            <w:pPr>
              <w:spacing w:after="0"/>
              <w:rPr>
                <w:sz w:val="12"/>
                <w:szCs w:val="12"/>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ind w:left="80"/>
              <w:spacing w:after="0"/>
              <w:rPr>
                <w:sz w:val="20"/>
                <w:szCs w:val="20"/>
                <w:color w:val="auto"/>
              </w:rPr>
            </w:pPr>
            <w:r>
              <w:rPr>
                <w:rFonts w:ascii="Arial" w:cs="Arial" w:eastAsia="Arial" w:hAnsi="Arial"/>
                <w:sz w:val="12"/>
                <w:szCs w:val="12"/>
                <w:color w:val="0075C9"/>
              </w:rPr>
              <w:t>THE MEETING</w:t>
            </w:r>
          </w:p>
        </w:tc>
        <w:tc>
          <w:tcPr>
            <w:tcW w:w="740" w:type="dxa"/>
            <w:vAlign w:val="bottom"/>
          </w:tcPr>
          <w:p>
            <w:pPr>
              <w:spacing w:after="0"/>
              <w:rPr>
                <w:sz w:val="12"/>
                <w:szCs w:val="12"/>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4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Transferability</w:t>
      </w:r>
    </w:p>
    <w:p>
      <w:pPr>
        <w:spacing w:after="0" w:line="129" w:lineRule="exact"/>
        <w:rPr>
          <w:sz w:val="20"/>
          <w:szCs w:val="20"/>
          <w:color w:val="auto"/>
        </w:rPr>
      </w:pPr>
    </w:p>
    <w:p>
      <w:pPr>
        <w:ind w:left="1100" w:right="460"/>
        <w:spacing w:after="0" w:line="238" w:lineRule="auto"/>
        <w:rPr>
          <w:sz w:val="20"/>
          <w:szCs w:val="20"/>
          <w:color w:val="auto"/>
        </w:rPr>
      </w:pPr>
      <w:r>
        <w:rPr>
          <w:rFonts w:ascii="Arial" w:cs="Arial" w:eastAsia="Arial" w:hAnsi="Arial"/>
          <w:sz w:val="16"/>
          <w:szCs w:val="16"/>
          <w:color w:val="auto"/>
        </w:rPr>
        <w:t>No participant is permitted to sell, assign, transfer, pledge, or otherwise dispose of or encumber either the payroll deductions credited to his or her account or an option or any rights granted under the ESPP other than by will or the laws of descent and distribution. During the participant’s lifetime, only the participant can make decisions regarding the participation in or withdrawal from an offering under the ESPP.</w:t>
      </w:r>
    </w:p>
    <w:p>
      <w:pPr>
        <w:spacing w:after="0" w:line="169"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Adjustments Upon Changes in Capitalization</w:t>
      </w:r>
    </w:p>
    <w:p>
      <w:pPr>
        <w:spacing w:after="0" w:line="129" w:lineRule="exact"/>
        <w:rPr>
          <w:sz w:val="20"/>
          <w:szCs w:val="20"/>
          <w:color w:val="auto"/>
        </w:rPr>
      </w:pPr>
    </w:p>
    <w:p>
      <w:pPr>
        <w:ind w:left="1100" w:right="140"/>
        <w:spacing w:after="0" w:line="279" w:lineRule="auto"/>
        <w:rPr>
          <w:sz w:val="20"/>
          <w:szCs w:val="20"/>
          <w:color w:val="auto"/>
        </w:rPr>
      </w:pPr>
      <w:r>
        <w:rPr>
          <w:rFonts w:ascii="Arial" w:cs="Arial" w:eastAsia="Arial" w:hAnsi="Arial"/>
          <w:sz w:val="14"/>
          <w:szCs w:val="14"/>
          <w:color w:val="auto"/>
        </w:rPr>
        <w:t>In the event of any change in the structure of Microsoft’s common stock, such as a reorganization, recapitalization, stock split, stock dividend, combination of shares, merger, consolidation, offerings of rights, or other similar event, the ESPP administrator will make an appropriate adjustment in the number, kind, and price of shares available for purchase under the ESPP, and in the number of shares an employee is entitled to purchase including, without limitation, closing an offering early and permitting purchase on the last business day of the reduced offering period, or terminating an offering and refunding participants’ account balances.</w:t>
      </w:r>
    </w:p>
    <w:p>
      <w:pPr>
        <w:spacing w:after="0" w:line="144"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Amendment and Termination of the Purchase Plan</w:t>
      </w:r>
    </w:p>
    <w:p>
      <w:pPr>
        <w:spacing w:after="0" w:line="129" w:lineRule="exact"/>
        <w:rPr>
          <w:sz w:val="20"/>
          <w:szCs w:val="20"/>
          <w:color w:val="auto"/>
        </w:rPr>
      </w:pPr>
    </w:p>
    <w:p>
      <w:pPr>
        <w:ind w:left="1100" w:right="140"/>
        <w:spacing w:after="0" w:line="237" w:lineRule="auto"/>
        <w:rPr>
          <w:sz w:val="20"/>
          <w:szCs w:val="20"/>
          <w:color w:val="auto"/>
        </w:rPr>
      </w:pPr>
      <w:r>
        <w:rPr>
          <w:rFonts w:ascii="Arial" w:cs="Arial" w:eastAsia="Arial" w:hAnsi="Arial"/>
          <w:sz w:val="16"/>
          <w:szCs w:val="16"/>
          <w:color w:val="auto"/>
        </w:rPr>
        <w:t>The Board of Directors may at any time amend, modify or terminate the ESPP without notice, provided that an employee’s existing rights under any offering already commenced may not be adversely affected. No amendment may be made to the ESPP without prior approval of the shareholders of Microsoft if such amendment would increase the number of shares reserved thereunder or as otherwise required by applicable law or Nasdaq rules. The ESPP will terminate on December 31, 2031, or earlier at the discretion of the Board of Directors or in the event all shares reserved under the ESPP have been purchased.</w:t>
      </w:r>
    </w:p>
    <w:p>
      <w:pPr>
        <w:spacing w:after="0" w:line="102" w:lineRule="exact"/>
        <w:rPr>
          <w:sz w:val="20"/>
          <w:szCs w:val="20"/>
          <w:color w:val="auto"/>
        </w:rPr>
      </w:pPr>
    </w:p>
    <w:p>
      <w:pPr>
        <w:ind w:left="1100" w:right="220"/>
        <w:spacing w:after="0" w:line="237" w:lineRule="auto"/>
        <w:rPr>
          <w:sz w:val="20"/>
          <w:szCs w:val="20"/>
          <w:color w:val="auto"/>
        </w:rPr>
      </w:pPr>
      <w:r>
        <w:rPr>
          <w:rFonts w:ascii="Arial" w:cs="Arial" w:eastAsia="Arial" w:hAnsi="Arial"/>
          <w:sz w:val="16"/>
          <w:szCs w:val="16"/>
          <w:color w:val="auto"/>
        </w:rPr>
        <w:t>The ESPP would also terminate if Microsoft files a Statement of Intent to Dissolve or upon the effective date of a merger or consolidation (other than between or among corporations related to Microsoft) wherein Microsoft is not the surviving corporation. Prior to the occurrence of either of such events, Microsoft may permit a participating employee to exercise the option to purchase shares for as many shares as the balance of his or her account will allow at the applicable purchase price on a date determined by Microsoft. If the employee elects to purchase shares, any remaining balance of the employee’s account will be refunded to the employee after that purchase.</w:t>
      </w:r>
    </w:p>
    <w:p>
      <w:pPr>
        <w:spacing w:after="0" w:line="171"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Federal Income Tax Consequences</w:t>
      </w:r>
    </w:p>
    <w:p>
      <w:pPr>
        <w:spacing w:after="0" w:line="129" w:lineRule="exact"/>
        <w:rPr>
          <w:sz w:val="20"/>
          <w:szCs w:val="20"/>
          <w:color w:val="auto"/>
        </w:rPr>
      </w:pPr>
    </w:p>
    <w:p>
      <w:pPr>
        <w:ind w:left="1100" w:right="280"/>
        <w:spacing w:after="0" w:line="237" w:lineRule="auto"/>
        <w:rPr>
          <w:sz w:val="20"/>
          <w:szCs w:val="20"/>
          <w:color w:val="auto"/>
        </w:rPr>
      </w:pPr>
      <w:r>
        <w:rPr>
          <w:rFonts w:ascii="Arial" w:cs="Arial" w:eastAsia="Arial" w:hAnsi="Arial"/>
          <w:sz w:val="16"/>
          <w:szCs w:val="16"/>
          <w:color w:val="auto"/>
        </w:rPr>
        <w:t>The following discussion is a summary of the general U.S. federal income tax rules applicable to purchases offered by Microsoft and certain of its designated subsidiaries under the ESPP offerings that commence under the Statutory Plan that are intended to comply with Section 423 of the Code. This summary is not intended to be exhaustive and does not discuss the income tax laws of any city, state, or foreign jurisdiction in which a participant may reside, or the federal income tax consequences of ESPP offerings that commence under the Non-Statutory Plan.</w:t>
      </w:r>
    </w:p>
    <w:p>
      <w:pPr>
        <w:spacing w:after="0" w:line="102" w:lineRule="exact"/>
        <w:rPr>
          <w:sz w:val="20"/>
          <w:szCs w:val="20"/>
          <w:color w:val="auto"/>
        </w:rPr>
      </w:pPr>
    </w:p>
    <w:p>
      <w:pPr>
        <w:ind w:left="1100" w:right="200"/>
        <w:spacing w:after="0" w:line="289" w:lineRule="auto"/>
        <w:rPr>
          <w:sz w:val="20"/>
          <w:szCs w:val="20"/>
          <w:color w:val="auto"/>
        </w:rPr>
      </w:pPr>
      <w:r>
        <w:rPr>
          <w:rFonts w:ascii="Arial" w:cs="Arial" w:eastAsia="Arial" w:hAnsi="Arial"/>
          <w:sz w:val="14"/>
          <w:szCs w:val="14"/>
          <w:color w:val="auto"/>
        </w:rPr>
        <w:t>Under the provisions of Sections 421 and 423 of the Code, no income will be taxable to a participant in the Statutory Plan at the time of grant of the option or purchase of shares. However, a participant may become liable for tax upon dispositions of shares acquired under the ESPP, and the tax consequences will depend on how long a participant has held the shares prior to disposition.</w:t>
      </w:r>
    </w:p>
    <w:p>
      <w:pPr>
        <w:spacing w:after="0" w:line="66" w:lineRule="exact"/>
        <w:rPr>
          <w:sz w:val="20"/>
          <w:szCs w:val="20"/>
          <w:color w:val="auto"/>
        </w:rPr>
      </w:pPr>
    </w:p>
    <w:p>
      <w:pPr>
        <w:ind w:left="1100" w:right="260"/>
        <w:spacing w:after="0" w:line="237" w:lineRule="auto"/>
        <w:rPr>
          <w:sz w:val="20"/>
          <w:szCs w:val="20"/>
          <w:color w:val="auto"/>
        </w:rPr>
      </w:pPr>
      <w:r>
        <w:rPr>
          <w:rFonts w:ascii="Arial" w:cs="Arial" w:eastAsia="Arial" w:hAnsi="Arial"/>
          <w:sz w:val="16"/>
          <w:szCs w:val="16"/>
          <w:color w:val="auto"/>
        </w:rPr>
        <w:t>If the shares are disposed of (a) more than two years after the date of the beginning of the offering period and (b) more than one year after the stock is purchased in accordance with the ESPP (or if the employee dies while holding the shares), the following tax consequences will apply. The lesser of (a) the excess of fair market value of the shares at the time of such disposition over the purchase price of the shares (the “option price”), or (b) the excess of the fair market value of the shares at the time the option was granted over the option price (which option price will be computed as of the offering date) will be taxed as ordinary income to the participant. Any further gain upon disposition generally will be taxed at long-term capital gain rates. If the shares are sold and the sales price is less than the option price, there is no ordinary income, and the participant has a long-term capital loss equal to the difference. If an employee holds the shares for the holding periods described above, no deduction in respect of the disposition of such shares will be allowed to Microsoft.</w:t>
      </w:r>
    </w:p>
    <w:p>
      <w:pPr>
        <w:spacing w:after="0" w:line="100" w:lineRule="exact"/>
        <w:rPr>
          <w:sz w:val="20"/>
          <w:szCs w:val="20"/>
          <w:color w:val="auto"/>
        </w:rPr>
      </w:pPr>
    </w:p>
    <w:p>
      <w:pPr>
        <w:ind w:left="1100" w:right="140"/>
        <w:spacing w:after="0" w:line="276" w:lineRule="auto"/>
        <w:rPr>
          <w:sz w:val="20"/>
          <w:szCs w:val="20"/>
          <w:color w:val="auto"/>
        </w:rPr>
      </w:pPr>
      <w:r>
        <w:rPr>
          <w:rFonts w:ascii="Arial" w:cs="Arial" w:eastAsia="Arial" w:hAnsi="Arial"/>
          <w:sz w:val="14"/>
          <w:szCs w:val="14"/>
          <w:color w:val="auto"/>
        </w:rPr>
        <w:t>If the shares are sold or disposed of (including by way of gift) before the expiration of either the two year or the one year holding periods described above, the following tax consequences will apply. The amount by which the fair market value of the shares on the date the option is exercised (which is the last business day of the offering period and which is hereafter referred to as the “termination date”) exceeds the option price will be taxed as ordinary income to the participant. This excess will constitute ordinary income in the year of sale or other disposition even if no gain is realized on the sale or a gratuitous transfer of the shares is made. The balance of any gain will be taxed as capital gain and will qualify for long-term capital gain treatment if the shares have been held for more than one year following the exercise of the option. If the shares are sold for an amount that is less than their fair</w:t>
      </w:r>
    </w:p>
    <w:p>
      <w:pPr>
        <w:spacing w:after="0" w:line="200" w:lineRule="exact"/>
        <w:rPr>
          <w:sz w:val="20"/>
          <w:szCs w:val="20"/>
          <w:color w:val="auto"/>
        </w:rPr>
      </w:pPr>
    </w:p>
    <w:p>
      <w:pPr>
        <w:spacing w:after="0" w:line="278"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2021 PROXY STATEMENT</w:t>
      </w:r>
      <w:r>
        <w:rPr>
          <w:sz w:val="20"/>
          <w:szCs w:val="20"/>
          <w:color w:val="auto"/>
        </w:rPr>
        <w:tab/>
      </w:r>
      <w:r>
        <w:rPr>
          <w:rFonts w:ascii="Arial" w:cs="Arial" w:eastAsia="Arial" w:hAnsi="Arial"/>
          <w:sz w:val="12"/>
          <w:szCs w:val="12"/>
          <w:b w:val="1"/>
          <w:bCs w:val="1"/>
          <w:color w:val="0075C9"/>
        </w:rPr>
        <w:t>71</w:t>
      </w:r>
    </w:p>
    <w:p>
      <w:pPr>
        <w:sectPr>
          <w:pgSz w:w="11900" w:h="16838" w:orient="portrait"/>
          <w:cols w:equalWidth="0" w:num="1">
            <w:col w:w="10280"/>
          </w:cols>
          <w:pgMar w:left="320" w:top="445" w:right="1299" w:bottom="1440" w:gutter="0" w:footer="0" w:header="0"/>
        </w:sectPr>
      </w:pPr>
    </w:p>
    <w:bookmarkStart w:id="79" w:name="page80"/>
    <w:bookmarkEnd w:id="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auto"/>
                <w:w w:val="89"/>
              </w:rPr>
              <w:t>1</w:t>
            </w:r>
          </w:p>
        </w:tc>
        <w:tc>
          <w:tcPr>
            <w:tcW w:w="1360" w:type="dxa"/>
            <w:vAlign w:val="bottom"/>
            <w:vMerge w:val="restart"/>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tcPr>
          <w:p>
            <w:pPr>
              <w:jc w:val="right"/>
              <w:spacing w:after="0"/>
              <w:rPr>
                <w:sz w:val="20"/>
                <w:szCs w:val="20"/>
                <w:color w:val="auto"/>
              </w:rPr>
            </w:pPr>
            <w:r>
              <w:rPr>
                <w:rFonts w:ascii="Arial" w:cs="Arial" w:eastAsia="Arial" w:hAnsi="Arial"/>
                <w:sz w:val="36"/>
                <w:szCs w:val="36"/>
                <w:color w:val="auto"/>
              </w:rPr>
              <w:t>2</w:t>
            </w:r>
          </w:p>
        </w:tc>
        <w:tc>
          <w:tcPr>
            <w:tcW w:w="1540" w:type="dxa"/>
            <w:vAlign w:val="bottom"/>
            <w:vMerge w:val="restart"/>
          </w:tcPr>
          <w:p>
            <w:pPr>
              <w:ind w:left="80"/>
              <w:spacing w:after="0"/>
              <w:rPr>
                <w:sz w:val="20"/>
                <w:szCs w:val="20"/>
                <w:color w:val="auto"/>
              </w:rPr>
            </w:pPr>
            <w:r>
              <w:rPr>
                <w:rFonts w:ascii="Arial" w:cs="Arial" w:eastAsia="Arial" w:hAnsi="Arial"/>
                <w:sz w:val="12"/>
                <w:szCs w:val="12"/>
                <w:color w:val="auto"/>
              </w:rPr>
              <w:t>NAMED</w:t>
            </w:r>
          </w:p>
        </w:tc>
        <w:tc>
          <w:tcPr>
            <w:tcW w:w="500" w:type="dxa"/>
            <w:vAlign w:val="bottom"/>
          </w:tcPr>
          <w:p>
            <w:pPr>
              <w:jc w:val="right"/>
              <w:spacing w:after="0"/>
              <w:rPr>
                <w:sz w:val="20"/>
                <w:szCs w:val="20"/>
                <w:color w:val="auto"/>
              </w:rPr>
            </w:pPr>
            <w:r>
              <w:rPr>
                <w:rFonts w:ascii="Arial" w:cs="Arial" w:eastAsia="Arial" w:hAnsi="Arial"/>
                <w:sz w:val="36"/>
                <w:szCs w:val="36"/>
                <w:color w:val="auto"/>
              </w:rPr>
              <w:t>3</w:t>
            </w:r>
          </w:p>
        </w:tc>
        <w:tc>
          <w:tcPr>
            <w:tcW w:w="980" w:type="dxa"/>
            <w:vAlign w:val="bottom"/>
            <w:vMerge w:val="restart"/>
          </w:tcPr>
          <w:p>
            <w:pPr>
              <w:ind w:left="80"/>
              <w:spacing w:after="0"/>
              <w:rPr>
                <w:sz w:val="20"/>
                <w:szCs w:val="20"/>
                <w:color w:val="auto"/>
              </w:rPr>
            </w:pPr>
            <w:r>
              <w:rPr>
                <w:rFonts w:ascii="Arial" w:cs="Arial" w:eastAsia="Arial" w:hAnsi="Arial"/>
                <w:sz w:val="12"/>
                <w:szCs w:val="12"/>
                <w:color w:val="auto"/>
              </w:rPr>
              <w:t>AUDIT</w:t>
            </w:r>
          </w:p>
        </w:tc>
        <w:tc>
          <w:tcPr>
            <w:tcW w:w="460" w:type="dxa"/>
            <w:vAlign w:val="bottom"/>
            <w:gridSpan w:val="2"/>
          </w:tcPr>
          <w:p>
            <w:pPr>
              <w:jc w:val="right"/>
              <w:ind w:right="80"/>
              <w:spacing w:after="0"/>
              <w:rPr>
                <w:sz w:val="20"/>
                <w:szCs w:val="20"/>
                <w:color w:val="auto"/>
              </w:rPr>
            </w:pPr>
            <w:r>
              <w:rPr>
                <w:rFonts w:ascii="Arial" w:cs="Arial" w:eastAsia="Arial" w:hAnsi="Arial"/>
                <w:sz w:val="36"/>
                <w:szCs w:val="36"/>
                <w:color w:val="0075C9"/>
              </w:rPr>
              <w:t>4</w:t>
            </w:r>
          </w:p>
        </w:tc>
        <w:tc>
          <w:tcPr>
            <w:tcW w:w="1420" w:type="dxa"/>
            <w:vAlign w:val="bottom"/>
            <w:vMerge w:val="restart"/>
          </w:tcPr>
          <w:p>
            <w:pPr>
              <w:ind w:left="80"/>
              <w:spacing w:after="0"/>
              <w:rPr>
                <w:sz w:val="20"/>
                <w:szCs w:val="20"/>
                <w:color w:val="auto"/>
              </w:rPr>
            </w:pPr>
            <w:r>
              <w:rPr>
                <w:rFonts w:ascii="Arial" w:cs="Arial" w:eastAsia="Arial" w:hAnsi="Arial"/>
                <w:sz w:val="12"/>
                <w:szCs w:val="12"/>
                <w:color w:val="0075C9"/>
              </w:rPr>
              <w:t>PROPOSALS TO</w:t>
            </w:r>
          </w:p>
        </w:tc>
        <w:tc>
          <w:tcPr>
            <w:tcW w:w="740" w:type="dxa"/>
            <w:vAlign w:val="bottom"/>
          </w:tcPr>
          <w:p>
            <w:pPr>
              <w:jc w:val="right"/>
              <w:spacing w:after="0"/>
              <w:rPr>
                <w:sz w:val="20"/>
                <w:szCs w:val="20"/>
                <w:color w:val="auto"/>
              </w:rPr>
            </w:pPr>
            <w:r>
              <w:rPr>
                <w:rFonts w:ascii="Arial" w:cs="Arial" w:eastAsia="Arial" w:hAnsi="Arial"/>
                <w:sz w:val="36"/>
                <w:szCs w:val="36"/>
                <w:color w:val="auto"/>
              </w:rPr>
              <w:t>5</w:t>
            </w:r>
          </w:p>
        </w:tc>
        <w:tc>
          <w:tcPr>
            <w:tcW w:w="900" w:type="dxa"/>
            <w:vAlign w:val="bottom"/>
            <w:vMerge w:val="restart"/>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36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tcPr>
          <w:p>
            <w:pPr>
              <w:ind w:left="80"/>
              <w:spacing w:after="0" w:line="130" w:lineRule="exact"/>
              <w:rPr>
                <w:sz w:val="20"/>
                <w:szCs w:val="20"/>
                <w:color w:val="auto"/>
              </w:rPr>
            </w:pPr>
            <w:r>
              <w:rPr>
                <w:rFonts w:ascii="Arial" w:cs="Arial" w:eastAsia="Arial" w:hAnsi="Arial"/>
                <w:sz w:val="12"/>
                <w:szCs w:val="12"/>
                <w:color w:val="0075C9"/>
                <w:w w:val="99"/>
              </w:rPr>
              <w:t>BE VOTED ON DURING</w:t>
            </w:r>
          </w:p>
        </w:tc>
        <w:tc>
          <w:tcPr>
            <w:tcW w:w="740" w:type="dxa"/>
            <w:vAlign w:val="bottom"/>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36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tcPr>
          <w:p>
            <w:pPr>
              <w:spacing w:after="0"/>
              <w:rPr>
                <w:sz w:val="12"/>
                <w:szCs w:val="12"/>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tcPr>
          <w:p>
            <w:pPr>
              <w:spacing w:after="0"/>
              <w:rPr>
                <w:sz w:val="12"/>
                <w:szCs w:val="12"/>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ind w:left="80"/>
              <w:spacing w:after="0"/>
              <w:rPr>
                <w:sz w:val="20"/>
                <w:szCs w:val="20"/>
                <w:color w:val="auto"/>
              </w:rPr>
            </w:pPr>
            <w:r>
              <w:rPr>
                <w:rFonts w:ascii="Arial" w:cs="Arial" w:eastAsia="Arial" w:hAnsi="Arial"/>
                <w:sz w:val="12"/>
                <w:szCs w:val="12"/>
                <w:color w:val="0075C9"/>
              </w:rPr>
              <w:t>THE MEETING</w:t>
            </w:r>
          </w:p>
        </w:tc>
        <w:tc>
          <w:tcPr>
            <w:tcW w:w="740" w:type="dxa"/>
            <w:vAlign w:val="bottom"/>
          </w:tcPr>
          <w:p>
            <w:pPr>
              <w:spacing w:after="0"/>
              <w:rPr>
                <w:sz w:val="12"/>
                <w:szCs w:val="12"/>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4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00" w:lineRule="exact"/>
        <w:rPr>
          <w:sz w:val="20"/>
          <w:szCs w:val="20"/>
          <w:color w:val="auto"/>
        </w:rPr>
      </w:pPr>
    </w:p>
    <w:p>
      <w:pPr>
        <w:ind w:left="1100" w:right="80"/>
        <w:spacing w:after="0" w:line="283" w:lineRule="auto"/>
        <w:rPr>
          <w:sz w:val="20"/>
          <w:szCs w:val="20"/>
          <w:color w:val="auto"/>
        </w:rPr>
      </w:pPr>
      <w:r>
        <w:rPr>
          <w:rFonts w:ascii="Arial" w:cs="Arial" w:eastAsia="Arial" w:hAnsi="Arial"/>
          <w:sz w:val="14"/>
          <w:szCs w:val="14"/>
          <w:color w:val="auto"/>
        </w:rPr>
        <w:t>market value as of the termination date, the participant recognizes ordinary income equal to the excess of the fair market value of the shares on the termination date over the option price, and the participant may recognize a capital loss equal to the difference between the sales price and the value of such shares on the termination date. Microsoft, in the event of an early disposition, will be allowed a deduction for federal income tax purposes equal to the ordinary income realized by the disposing employee.</w:t>
      </w:r>
    </w:p>
    <w:p>
      <w:pPr>
        <w:spacing w:after="0" w:line="69" w:lineRule="exact"/>
        <w:rPr>
          <w:sz w:val="20"/>
          <w:szCs w:val="20"/>
          <w:color w:val="auto"/>
        </w:rPr>
      </w:pPr>
    </w:p>
    <w:p>
      <w:pPr>
        <w:ind w:left="1100"/>
        <w:spacing w:after="0" w:line="238" w:lineRule="auto"/>
        <w:rPr>
          <w:sz w:val="20"/>
          <w:szCs w:val="20"/>
          <w:color w:val="auto"/>
        </w:rPr>
      </w:pPr>
      <w:r>
        <w:rPr>
          <w:rFonts w:ascii="Arial" w:cs="Arial" w:eastAsia="Arial" w:hAnsi="Arial"/>
          <w:sz w:val="16"/>
          <w:szCs w:val="16"/>
          <w:color w:val="auto"/>
        </w:rPr>
        <w:t>Currently, Microsoft is not required to withhold employment or income taxes upon the exercise of options granted under the Statutory Plan. However, the Internal Revenue Service may issue guidance in the future requiring Microsoft to withhold employment and/or income taxes upon a purchase of shares under the Statutory Plan.</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New Plan Benefits</w:t>
      </w:r>
    </w:p>
    <w:p>
      <w:pPr>
        <w:spacing w:after="0" w:line="129" w:lineRule="exact"/>
        <w:rPr>
          <w:sz w:val="20"/>
          <w:szCs w:val="20"/>
          <w:color w:val="auto"/>
        </w:rPr>
      </w:pPr>
    </w:p>
    <w:p>
      <w:pPr>
        <w:ind w:left="1100" w:right="80"/>
        <w:spacing w:after="0" w:line="238" w:lineRule="auto"/>
        <w:rPr>
          <w:sz w:val="20"/>
          <w:szCs w:val="20"/>
          <w:color w:val="auto"/>
        </w:rPr>
      </w:pPr>
      <w:r>
        <w:rPr>
          <w:rFonts w:ascii="Arial" w:cs="Arial" w:eastAsia="Arial" w:hAnsi="Arial"/>
          <w:sz w:val="16"/>
          <w:szCs w:val="16"/>
          <w:color w:val="auto"/>
        </w:rPr>
        <w:t>The ESPP does not provide for set benefits or amounts of awards and we have not approved any awards that are conditioned on stockholder approval of the ESPP. The amounts of future purchases under the ESPP are not determinable because participation is voluntary, participation levels depend on each participant’s elections and the restrictions of Section 423 of the Code and the ESPP, and the per-share purchase price depends on the future value of Microsoft common stock.</w:t>
      </w:r>
    </w:p>
    <w:p>
      <w:pPr>
        <w:spacing w:after="0" w:line="169"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Vote Required and Board Recommendation</w:t>
      </w:r>
    </w:p>
    <w:p>
      <w:pPr>
        <w:spacing w:after="0" w:line="129" w:lineRule="exact"/>
        <w:rPr>
          <w:sz w:val="20"/>
          <w:szCs w:val="20"/>
          <w:color w:val="auto"/>
        </w:rPr>
      </w:pPr>
    </w:p>
    <w:p>
      <w:pPr>
        <w:ind w:left="1100" w:right="280"/>
        <w:spacing w:after="0" w:line="239" w:lineRule="auto"/>
        <w:rPr>
          <w:sz w:val="20"/>
          <w:szCs w:val="20"/>
          <w:color w:val="auto"/>
        </w:rPr>
      </w:pPr>
      <w:r>
        <w:rPr>
          <w:rFonts w:ascii="Arial" w:cs="Arial" w:eastAsia="Arial" w:hAnsi="Arial"/>
          <w:sz w:val="16"/>
          <w:szCs w:val="16"/>
          <w:color w:val="auto"/>
        </w:rPr>
        <w:t>The affirmative vote of holders of a majority of the outstanding shares of common stock cast in person or by proxy at the Annual Meeting is required for approval of the ESPP.</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540"/>
        <w:spacing w:after="0"/>
        <w:rPr>
          <w:sz w:val="20"/>
          <w:szCs w:val="20"/>
          <w:color w:val="auto"/>
        </w:rPr>
      </w:pPr>
      <w:r>
        <w:rPr>
          <w:rFonts w:ascii="Arial" w:cs="Arial" w:eastAsia="Arial" w:hAnsi="Arial"/>
          <w:sz w:val="21"/>
          <w:szCs w:val="21"/>
          <w:b w:val="1"/>
          <w:bCs w:val="1"/>
          <w:color w:val="auto"/>
        </w:rPr>
        <w:t>Management Proposal 4: Ratification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-635</wp:posOffset>
            </wp:positionV>
            <wp:extent cx="5690870" cy="16446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690870" cy="1644650"/>
                    </a:xfrm>
                    <a:prstGeom prst="rect">
                      <a:avLst/>
                    </a:prstGeom>
                    <a:noFill/>
                  </pic:spPr>
                </pic:pic>
              </a:graphicData>
            </a:graphic>
          </wp:anchor>
        </w:drawing>
      </w:r>
    </w:p>
    <w:p>
      <w:pPr>
        <w:ind w:left="3860"/>
        <w:spacing w:after="0"/>
        <w:rPr>
          <w:sz w:val="20"/>
          <w:szCs w:val="20"/>
          <w:color w:val="auto"/>
        </w:rPr>
      </w:pPr>
      <w:r>
        <w:rPr>
          <w:rFonts w:ascii="Arial" w:cs="Arial" w:eastAsia="Arial" w:hAnsi="Arial"/>
          <w:sz w:val="21"/>
          <w:szCs w:val="21"/>
          <w:b w:val="1"/>
          <w:bCs w:val="1"/>
          <w:color w:val="auto"/>
        </w:rPr>
        <w:t>Selection of Deloitte &amp; Touche LLP</w:t>
      </w:r>
    </w:p>
    <w:p>
      <w:pPr>
        <w:ind w:left="3300"/>
        <w:spacing w:after="0"/>
        <w:rPr>
          <w:sz w:val="20"/>
          <w:szCs w:val="20"/>
          <w:color w:val="auto"/>
        </w:rPr>
      </w:pPr>
      <w:r>
        <w:rPr>
          <w:rFonts w:ascii="Arial" w:cs="Arial" w:eastAsia="Arial" w:hAnsi="Arial"/>
          <w:sz w:val="21"/>
          <w:szCs w:val="21"/>
          <w:b w:val="1"/>
          <w:bCs w:val="1"/>
          <w:color w:val="auto"/>
        </w:rPr>
        <w:t>as our Independent Auditor for Fiscal Year 2022</w:t>
      </w:r>
    </w:p>
    <w:p>
      <w:pPr>
        <w:spacing w:after="0" w:line="90" w:lineRule="exact"/>
        <w:rPr>
          <w:sz w:val="20"/>
          <w:szCs w:val="20"/>
          <w:color w:val="auto"/>
        </w:rPr>
      </w:pPr>
    </w:p>
    <w:p>
      <w:pPr>
        <w:ind w:left="1300" w:right="240"/>
        <w:spacing w:after="0" w:line="237" w:lineRule="auto"/>
        <w:rPr>
          <w:sz w:val="20"/>
          <w:szCs w:val="20"/>
          <w:color w:val="auto"/>
        </w:rPr>
      </w:pPr>
      <w:r>
        <w:rPr>
          <w:rFonts w:ascii="Arial" w:cs="Arial" w:eastAsia="Arial" w:hAnsi="Arial"/>
          <w:sz w:val="16"/>
          <w:szCs w:val="16"/>
          <w:color w:val="auto"/>
        </w:rPr>
        <w:t>The Audit Committee has selected Deloitte &amp; Touche LLP as Microsoft’s independent auditor for fiscal year 2022. The Board asks shareholders to ratify that selection. Although current law, rules, and regulations, and the charter of the Audit Committee require the Audit Committee to engage, retain, and supervise Microsoft’s independent auditor, the Board considers the selection of the independent auditor to be an important matter of shareholder concern and is submitting the selection of Deloitte &amp; Touche for ratification by shareholders as a matter of good corporate practice. As described in Part 3 – Audit Committee Matters, the Board considers the selection of Deloitte &amp; Touche as Microsoft’s independent auditor for fiscal year 2022 to be in the best interests of Microsoft and its shareholders.</w:t>
      </w:r>
    </w:p>
    <w:p>
      <w:pPr>
        <w:spacing w:after="0" w:line="114" w:lineRule="exact"/>
        <w:rPr>
          <w:sz w:val="20"/>
          <w:szCs w:val="20"/>
          <w:color w:val="auto"/>
        </w:rPr>
      </w:pPr>
    </w:p>
    <w:p>
      <w:pPr>
        <w:ind w:left="1300" w:right="280"/>
        <w:spacing w:after="0" w:line="239" w:lineRule="auto"/>
        <w:rPr>
          <w:sz w:val="20"/>
          <w:szCs w:val="20"/>
          <w:color w:val="auto"/>
        </w:rPr>
      </w:pPr>
      <w:r>
        <w:rPr>
          <w:rFonts w:ascii="Arial" w:cs="Arial" w:eastAsia="Arial" w:hAnsi="Arial"/>
          <w:sz w:val="16"/>
          <w:szCs w:val="16"/>
          <w:color w:val="auto"/>
        </w:rPr>
        <w:t>Receipt of a majority of the votes cast is required to approve this proposal. If the selection of Deloitte &amp; Touche is not ratified, the Audit Committee will consider the result a recommendation to consider selection of a different firm.</w:t>
      </w:r>
    </w:p>
    <w:p>
      <w:pPr>
        <w:spacing w:after="0" w:line="200" w:lineRule="exact"/>
        <w:rPr>
          <w:sz w:val="20"/>
          <w:szCs w:val="20"/>
          <w:color w:val="auto"/>
        </w:rPr>
      </w:pPr>
    </w:p>
    <w:p>
      <w:pPr>
        <w:spacing w:after="0" w:line="240" w:lineRule="exact"/>
        <w:rPr>
          <w:sz w:val="20"/>
          <w:szCs w:val="20"/>
          <w:color w:val="auto"/>
        </w:rPr>
      </w:pPr>
    </w:p>
    <w:p>
      <w:pPr>
        <w:ind w:left="1100"/>
        <w:spacing w:after="0"/>
        <w:rPr>
          <w:sz w:val="20"/>
          <w:szCs w:val="20"/>
          <w:color w:val="auto"/>
        </w:rPr>
      </w:pPr>
      <w:r>
        <w:rPr>
          <w:rFonts w:ascii="Arial" w:cs="Arial" w:eastAsia="Arial" w:hAnsi="Arial"/>
          <w:sz w:val="17"/>
          <w:szCs w:val="17"/>
          <w:b w:val="1"/>
          <w:bCs w:val="1"/>
          <w:i w:val="1"/>
          <w:iCs w:val="1"/>
          <w:color w:val="0075C9"/>
        </w:rPr>
        <w:t>The Board of Directors recommends a vote FOR the ratification of the independent auditor.</w:t>
      </w:r>
    </w:p>
    <w:p>
      <w:pPr>
        <w:spacing w:after="0" w:line="200" w:lineRule="exact"/>
        <w:rPr>
          <w:sz w:val="20"/>
          <w:szCs w:val="20"/>
          <w:color w:val="auto"/>
        </w:rPr>
      </w:pPr>
    </w:p>
    <w:p>
      <w:pPr>
        <w:spacing w:after="0" w:line="326"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-94615</wp:posOffset>
            </wp:positionV>
            <wp:extent cx="485140" cy="9842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45" w:right="1439" w:bottom="1440" w:gutter="0" w:footer="0" w:header="0"/>
        </w:sectPr>
      </w:pPr>
    </w:p>
    <w:bookmarkStart w:id="80" w:name="page81"/>
    <w:bookmarkEnd w:id="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auto"/>
                <w:w w:val="89"/>
              </w:rPr>
              <w:t>1</w:t>
            </w:r>
          </w:p>
        </w:tc>
        <w:tc>
          <w:tcPr>
            <w:tcW w:w="1360" w:type="dxa"/>
            <w:vAlign w:val="bottom"/>
            <w:vMerge w:val="restart"/>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tcPr>
          <w:p>
            <w:pPr>
              <w:jc w:val="right"/>
              <w:spacing w:after="0"/>
              <w:rPr>
                <w:sz w:val="20"/>
                <w:szCs w:val="20"/>
                <w:color w:val="auto"/>
              </w:rPr>
            </w:pPr>
            <w:r>
              <w:rPr>
                <w:rFonts w:ascii="Arial" w:cs="Arial" w:eastAsia="Arial" w:hAnsi="Arial"/>
                <w:sz w:val="36"/>
                <w:szCs w:val="36"/>
                <w:color w:val="auto"/>
              </w:rPr>
              <w:t>2</w:t>
            </w:r>
          </w:p>
        </w:tc>
        <w:tc>
          <w:tcPr>
            <w:tcW w:w="1540" w:type="dxa"/>
            <w:vAlign w:val="bottom"/>
            <w:vMerge w:val="restart"/>
          </w:tcPr>
          <w:p>
            <w:pPr>
              <w:ind w:left="80"/>
              <w:spacing w:after="0"/>
              <w:rPr>
                <w:sz w:val="20"/>
                <w:szCs w:val="20"/>
                <w:color w:val="auto"/>
              </w:rPr>
            </w:pPr>
            <w:r>
              <w:rPr>
                <w:rFonts w:ascii="Arial" w:cs="Arial" w:eastAsia="Arial" w:hAnsi="Arial"/>
                <w:sz w:val="12"/>
                <w:szCs w:val="12"/>
                <w:color w:val="auto"/>
              </w:rPr>
              <w:t>NAMED</w:t>
            </w:r>
          </w:p>
        </w:tc>
        <w:tc>
          <w:tcPr>
            <w:tcW w:w="500" w:type="dxa"/>
            <w:vAlign w:val="bottom"/>
          </w:tcPr>
          <w:p>
            <w:pPr>
              <w:jc w:val="right"/>
              <w:spacing w:after="0"/>
              <w:rPr>
                <w:sz w:val="20"/>
                <w:szCs w:val="20"/>
                <w:color w:val="auto"/>
              </w:rPr>
            </w:pPr>
            <w:r>
              <w:rPr>
                <w:rFonts w:ascii="Arial" w:cs="Arial" w:eastAsia="Arial" w:hAnsi="Arial"/>
                <w:sz w:val="36"/>
                <w:szCs w:val="36"/>
                <w:color w:val="auto"/>
              </w:rPr>
              <w:t>3</w:t>
            </w:r>
          </w:p>
        </w:tc>
        <w:tc>
          <w:tcPr>
            <w:tcW w:w="980" w:type="dxa"/>
            <w:vAlign w:val="bottom"/>
            <w:vMerge w:val="restart"/>
          </w:tcPr>
          <w:p>
            <w:pPr>
              <w:ind w:left="80"/>
              <w:spacing w:after="0"/>
              <w:rPr>
                <w:sz w:val="20"/>
                <w:szCs w:val="20"/>
                <w:color w:val="auto"/>
              </w:rPr>
            </w:pPr>
            <w:r>
              <w:rPr>
                <w:rFonts w:ascii="Arial" w:cs="Arial" w:eastAsia="Arial" w:hAnsi="Arial"/>
                <w:sz w:val="12"/>
                <w:szCs w:val="12"/>
                <w:color w:val="auto"/>
              </w:rPr>
              <w:t>AUDIT</w:t>
            </w:r>
          </w:p>
        </w:tc>
        <w:tc>
          <w:tcPr>
            <w:tcW w:w="460" w:type="dxa"/>
            <w:vAlign w:val="bottom"/>
            <w:gridSpan w:val="2"/>
          </w:tcPr>
          <w:p>
            <w:pPr>
              <w:jc w:val="right"/>
              <w:ind w:right="80"/>
              <w:spacing w:after="0"/>
              <w:rPr>
                <w:sz w:val="20"/>
                <w:szCs w:val="20"/>
                <w:color w:val="auto"/>
              </w:rPr>
            </w:pPr>
            <w:r>
              <w:rPr>
                <w:rFonts w:ascii="Arial" w:cs="Arial" w:eastAsia="Arial" w:hAnsi="Arial"/>
                <w:sz w:val="36"/>
                <w:szCs w:val="36"/>
                <w:color w:val="0075C9"/>
              </w:rPr>
              <w:t>4</w:t>
            </w:r>
          </w:p>
        </w:tc>
        <w:tc>
          <w:tcPr>
            <w:tcW w:w="1420" w:type="dxa"/>
            <w:vAlign w:val="bottom"/>
            <w:vMerge w:val="restart"/>
          </w:tcPr>
          <w:p>
            <w:pPr>
              <w:ind w:left="80"/>
              <w:spacing w:after="0"/>
              <w:rPr>
                <w:sz w:val="20"/>
                <w:szCs w:val="20"/>
                <w:color w:val="auto"/>
              </w:rPr>
            </w:pPr>
            <w:r>
              <w:rPr>
                <w:rFonts w:ascii="Arial" w:cs="Arial" w:eastAsia="Arial" w:hAnsi="Arial"/>
                <w:sz w:val="12"/>
                <w:szCs w:val="12"/>
                <w:color w:val="0075C9"/>
              </w:rPr>
              <w:t>PROPOSALS TO</w:t>
            </w:r>
          </w:p>
        </w:tc>
        <w:tc>
          <w:tcPr>
            <w:tcW w:w="740" w:type="dxa"/>
            <w:vAlign w:val="bottom"/>
          </w:tcPr>
          <w:p>
            <w:pPr>
              <w:jc w:val="right"/>
              <w:spacing w:after="0"/>
              <w:rPr>
                <w:sz w:val="20"/>
                <w:szCs w:val="20"/>
                <w:color w:val="auto"/>
              </w:rPr>
            </w:pPr>
            <w:r>
              <w:rPr>
                <w:rFonts w:ascii="Arial" w:cs="Arial" w:eastAsia="Arial" w:hAnsi="Arial"/>
                <w:sz w:val="36"/>
                <w:szCs w:val="36"/>
                <w:color w:val="auto"/>
              </w:rPr>
              <w:t>5</w:t>
            </w:r>
          </w:p>
        </w:tc>
        <w:tc>
          <w:tcPr>
            <w:tcW w:w="1320" w:type="dxa"/>
            <w:vAlign w:val="bottom"/>
            <w:vMerge w:val="restart"/>
          </w:tcPr>
          <w:p>
            <w:pPr>
              <w:ind w:left="60"/>
              <w:spacing w:after="0"/>
              <w:rPr>
                <w:sz w:val="20"/>
                <w:szCs w:val="20"/>
                <w:color w:val="auto"/>
              </w:rPr>
            </w:pPr>
            <w:r>
              <w:rPr>
                <w:rFonts w:ascii="Arial" w:cs="Arial" w:eastAsia="Arial" w:hAnsi="Arial"/>
                <w:sz w:val="12"/>
                <w:szCs w:val="12"/>
                <w:color w:val="auto"/>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36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tcPr>
          <w:p>
            <w:pPr>
              <w:ind w:left="80"/>
              <w:spacing w:after="0" w:line="130" w:lineRule="exact"/>
              <w:rPr>
                <w:sz w:val="20"/>
                <w:szCs w:val="20"/>
                <w:color w:val="auto"/>
              </w:rPr>
            </w:pPr>
            <w:r>
              <w:rPr>
                <w:rFonts w:ascii="Arial" w:cs="Arial" w:eastAsia="Arial" w:hAnsi="Arial"/>
                <w:sz w:val="12"/>
                <w:szCs w:val="12"/>
                <w:color w:val="0075C9"/>
                <w:w w:val="99"/>
              </w:rPr>
              <w:t>BE VOTED ON DURING</w:t>
            </w:r>
          </w:p>
        </w:tc>
        <w:tc>
          <w:tcPr>
            <w:tcW w:w="740" w:type="dxa"/>
            <w:vAlign w:val="bottom"/>
          </w:tcPr>
          <w:p>
            <w:pPr>
              <w:spacing w:after="0"/>
              <w:rPr>
                <w:sz w:val="11"/>
                <w:szCs w:val="11"/>
                <w:color w:val="auto"/>
              </w:rPr>
            </w:pPr>
          </w:p>
        </w:tc>
        <w:tc>
          <w:tcPr>
            <w:tcW w:w="132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36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tcPr>
          <w:p>
            <w:pPr>
              <w:spacing w:after="0"/>
              <w:rPr>
                <w:sz w:val="12"/>
                <w:szCs w:val="12"/>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tcPr>
          <w:p>
            <w:pPr>
              <w:spacing w:after="0"/>
              <w:rPr>
                <w:sz w:val="12"/>
                <w:szCs w:val="12"/>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ind w:left="80"/>
              <w:spacing w:after="0"/>
              <w:rPr>
                <w:sz w:val="20"/>
                <w:szCs w:val="20"/>
                <w:color w:val="auto"/>
              </w:rPr>
            </w:pPr>
            <w:r>
              <w:rPr>
                <w:rFonts w:ascii="Arial" w:cs="Arial" w:eastAsia="Arial" w:hAnsi="Arial"/>
                <w:sz w:val="12"/>
                <w:szCs w:val="12"/>
                <w:color w:val="0075C9"/>
              </w:rPr>
              <w:t>THE MEETING</w:t>
            </w:r>
          </w:p>
        </w:tc>
        <w:tc>
          <w:tcPr>
            <w:tcW w:w="740" w:type="dxa"/>
            <w:vAlign w:val="bottom"/>
          </w:tcPr>
          <w:p>
            <w:pPr>
              <w:spacing w:after="0"/>
              <w:rPr>
                <w:sz w:val="12"/>
                <w:szCs w:val="12"/>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4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280" w:type="dxa"/>
            <w:vAlign w:val="bottom"/>
            <w:tcBorders>
              <w:bottom w:val="single" w:sz="8" w:color="0075C9"/>
            </w:tcBorders>
          </w:tcPr>
          <w:p>
            <w:pPr>
              <w:spacing w:after="0"/>
              <w:rPr>
                <w:sz w:val="24"/>
                <w:szCs w:val="24"/>
                <w:color w:val="auto"/>
              </w:rPr>
            </w:pPr>
          </w:p>
        </w:tc>
        <w:tc>
          <w:tcPr>
            <w:tcW w:w="1360" w:type="dxa"/>
            <w:vAlign w:val="bottom"/>
            <w:tcBorders>
              <w:bottom w:val="single" w:sz="8" w:color="0075C9"/>
            </w:tcBorders>
          </w:tcPr>
          <w:p>
            <w:pPr>
              <w:spacing w:after="0"/>
              <w:rPr>
                <w:sz w:val="24"/>
                <w:szCs w:val="24"/>
                <w:color w:val="auto"/>
              </w:rPr>
            </w:pPr>
          </w:p>
        </w:tc>
        <w:tc>
          <w:tcPr>
            <w:tcW w:w="440" w:type="dxa"/>
            <w:vAlign w:val="bottom"/>
            <w:tcBorders>
              <w:bottom w:val="single" w:sz="8" w:color="0075C9"/>
            </w:tcBorders>
          </w:tcPr>
          <w:p>
            <w:pPr>
              <w:spacing w:after="0"/>
              <w:rPr>
                <w:sz w:val="24"/>
                <w:szCs w:val="24"/>
                <w:color w:val="auto"/>
              </w:rPr>
            </w:pPr>
          </w:p>
        </w:tc>
        <w:tc>
          <w:tcPr>
            <w:tcW w:w="1540" w:type="dxa"/>
            <w:vAlign w:val="bottom"/>
            <w:tcBorders>
              <w:bottom w:val="single" w:sz="8" w:color="0075C9"/>
            </w:tcBorders>
          </w:tcPr>
          <w:p>
            <w:pPr>
              <w:spacing w:after="0"/>
              <w:rPr>
                <w:sz w:val="24"/>
                <w:szCs w:val="24"/>
                <w:color w:val="auto"/>
              </w:rPr>
            </w:pPr>
          </w:p>
        </w:tc>
        <w:tc>
          <w:tcPr>
            <w:tcW w:w="500" w:type="dxa"/>
            <w:vAlign w:val="bottom"/>
            <w:tcBorders>
              <w:bottom w:val="single" w:sz="8" w:color="0075C9"/>
            </w:tcBorders>
          </w:tcPr>
          <w:p>
            <w:pPr>
              <w:spacing w:after="0"/>
              <w:rPr>
                <w:sz w:val="24"/>
                <w:szCs w:val="24"/>
                <w:color w:val="auto"/>
              </w:rPr>
            </w:pPr>
          </w:p>
        </w:tc>
        <w:tc>
          <w:tcPr>
            <w:tcW w:w="980" w:type="dxa"/>
            <w:vAlign w:val="bottom"/>
            <w:tcBorders>
              <w:bottom w:val="single" w:sz="8" w:color="0075C9"/>
            </w:tcBorders>
          </w:tcPr>
          <w:p>
            <w:pPr>
              <w:spacing w:after="0"/>
              <w:rPr>
                <w:sz w:val="24"/>
                <w:szCs w:val="24"/>
                <w:color w:val="auto"/>
              </w:rPr>
            </w:pPr>
          </w:p>
        </w:tc>
        <w:tc>
          <w:tcPr>
            <w:tcW w:w="180" w:type="dxa"/>
            <w:vAlign w:val="bottom"/>
            <w:tcBorders>
              <w:bottom w:val="single" w:sz="8" w:color="0075C9"/>
            </w:tcBorders>
          </w:tcPr>
          <w:p>
            <w:pPr>
              <w:spacing w:after="0"/>
              <w:rPr>
                <w:sz w:val="24"/>
                <w:szCs w:val="24"/>
                <w:color w:val="auto"/>
              </w:rPr>
            </w:pPr>
          </w:p>
        </w:tc>
        <w:tc>
          <w:tcPr>
            <w:tcW w:w="280" w:type="dxa"/>
            <w:vAlign w:val="bottom"/>
            <w:tcBorders>
              <w:bottom w:val="single" w:sz="8" w:color="0075C9"/>
            </w:tcBorders>
          </w:tcPr>
          <w:p>
            <w:pPr>
              <w:spacing w:after="0"/>
              <w:rPr>
                <w:sz w:val="24"/>
                <w:szCs w:val="24"/>
                <w:color w:val="auto"/>
              </w:rPr>
            </w:pPr>
          </w:p>
        </w:tc>
        <w:tc>
          <w:tcPr>
            <w:tcW w:w="1420" w:type="dxa"/>
            <w:vAlign w:val="bottom"/>
            <w:tcBorders>
              <w:bottom w:val="single" w:sz="8" w:color="0075C9"/>
            </w:tcBorders>
          </w:tcPr>
          <w:p>
            <w:pPr>
              <w:spacing w:after="0"/>
              <w:rPr>
                <w:sz w:val="24"/>
                <w:szCs w:val="24"/>
                <w:color w:val="auto"/>
              </w:rPr>
            </w:pPr>
          </w:p>
        </w:tc>
        <w:tc>
          <w:tcPr>
            <w:tcW w:w="740" w:type="dxa"/>
            <w:vAlign w:val="bottom"/>
            <w:tcBorders>
              <w:bottom w:val="single" w:sz="8" w:color="0075C9"/>
            </w:tcBorders>
          </w:tcPr>
          <w:p>
            <w:pPr>
              <w:spacing w:after="0"/>
              <w:rPr>
                <w:sz w:val="24"/>
                <w:szCs w:val="24"/>
                <w:color w:val="auto"/>
              </w:rPr>
            </w:pPr>
          </w:p>
        </w:tc>
        <w:tc>
          <w:tcPr>
            <w:tcW w:w="1320" w:type="dxa"/>
            <w:vAlign w:val="bottom"/>
            <w:tcBorders>
              <w:bottom w:val="single" w:sz="8" w:color="0075C9"/>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Shareholder Proposals</w:t>
      </w:r>
    </w:p>
    <w:p>
      <w:pPr>
        <w:spacing w:after="0" w:line="143" w:lineRule="exact"/>
        <w:rPr>
          <w:sz w:val="20"/>
          <w:szCs w:val="20"/>
          <w:color w:val="auto"/>
        </w:rPr>
      </w:pPr>
    </w:p>
    <w:p>
      <w:pPr>
        <w:ind w:left="1100" w:right="380"/>
        <w:spacing w:after="0" w:line="238" w:lineRule="auto"/>
        <w:rPr>
          <w:sz w:val="20"/>
          <w:szCs w:val="20"/>
          <w:color w:val="auto"/>
        </w:rPr>
      </w:pPr>
      <w:r>
        <w:rPr>
          <w:rFonts w:ascii="Arial" w:cs="Arial" w:eastAsia="Arial" w:hAnsi="Arial"/>
          <w:sz w:val="16"/>
          <w:szCs w:val="16"/>
          <w:color w:val="auto"/>
        </w:rPr>
        <w:t>Receipt of a majority of the votes cast is required to approve each of the following shareholder proposals. We will furnish the address and number of shares held by the proponents of any of the following shareholder proposals upon receipt of a request to the Corporate Secretary for such information.</w:t>
      </w:r>
    </w:p>
    <w:p>
      <w:pPr>
        <w:spacing w:after="0" w:line="66" w:lineRule="exact"/>
        <w:rPr>
          <w:sz w:val="20"/>
          <w:szCs w:val="20"/>
          <w:color w:val="auto"/>
        </w:rPr>
      </w:pPr>
    </w:p>
    <w:p>
      <w:pPr>
        <w:jc w:val="center"/>
        <w:ind w:right="-979"/>
        <w:spacing w:after="0"/>
        <w:rPr>
          <w:sz w:val="20"/>
          <w:szCs w:val="20"/>
          <w:color w:val="auto"/>
        </w:rPr>
      </w:pPr>
      <w:r>
        <w:rPr>
          <w:rFonts w:ascii="Arial" w:cs="Arial" w:eastAsia="Arial" w:hAnsi="Arial"/>
          <w:sz w:val="21"/>
          <w:szCs w:val="21"/>
          <w:b w:val="1"/>
          <w:bCs w:val="1"/>
          <w:color w:val="auto"/>
        </w:rPr>
        <w:t>Shareholder 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-50165</wp:posOffset>
            </wp:positionV>
            <wp:extent cx="5690870" cy="5181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690870" cy="518160"/>
                    </a:xfrm>
                    <a:prstGeom prst="rect">
                      <a:avLst/>
                    </a:prstGeom>
                    <a:noFill/>
                  </pic:spPr>
                </pic:pic>
              </a:graphicData>
            </a:graphic>
          </wp:anchor>
        </w:drawing>
      </w:r>
    </w:p>
    <w:p>
      <w:pPr>
        <w:spacing w:after="0" w:line="96" w:lineRule="exact"/>
        <w:rPr>
          <w:sz w:val="20"/>
          <w:szCs w:val="20"/>
          <w:color w:val="auto"/>
        </w:rPr>
      </w:pPr>
    </w:p>
    <w:p>
      <w:pPr>
        <w:ind w:left="1300" w:right="420"/>
        <w:spacing w:after="0" w:line="239" w:lineRule="auto"/>
        <w:rPr>
          <w:sz w:val="20"/>
          <w:szCs w:val="20"/>
          <w:color w:val="auto"/>
        </w:rPr>
      </w:pPr>
      <w:r>
        <w:rPr>
          <w:rFonts w:ascii="Arial" w:cs="Arial" w:eastAsia="Arial" w:hAnsi="Arial"/>
          <w:sz w:val="16"/>
          <w:szCs w:val="16"/>
          <w:color w:val="auto"/>
        </w:rPr>
        <w:t>Arjuna Capital and a co-filer have advised us that they intend to submit the following proposal for consideration at the Annual Shareholders Meeting.</w:t>
      </w:r>
    </w:p>
    <w:p>
      <w:pPr>
        <w:spacing w:after="0" w:line="200" w:lineRule="exact"/>
        <w:rPr>
          <w:sz w:val="20"/>
          <w:szCs w:val="20"/>
          <w:color w:val="auto"/>
        </w:rPr>
      </w:pPr>
    </w:p>
    <w:p>
      <w:pPr>
        <w:spacing w:after="0" w:line="244"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Pay Equity</w:t>
      </w:r>
    </w:p>
    <w:p>
      <w:pPr>
        <w:spacing w:after="0" w:line="101" w:lineRule="exact"/>
        <w:rPr>
          <w:sz w:val="20"/>
          <w:szCs w:val="20"/>
          <w:color w:val="auto"/>
        </w:rPr>
      </w:pPr>
    </w:p>
    <w:p>
      <w:pPr>
        <w:ind w:left="1100" w:right="140"/>
        <w:spacing w:after="0" w:line="245"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Pay inequity persists across race and gender. Black workers’ hourly median earnings have fallen 3.6 percent since 2000,</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representing 75.6 percent of white wages. The median income for women working full time is 80 percent that of men. Intersecting race, African American women make 62 cents, Native women 60 cents, and Latina women 54 cents. At the current rate, women will not reach pay equity until 2059, African American women until 2130, and Latina women until 2224.</w:t>
      </w:r>
    </w:p>
    <w:p>
      <w:pPr>
        <w:spacing w:after="0" w:line="96" w:lineRule="exact"/>
        <w:rPr>
          <w:sz w:val="20"/>
          <w:szCs w:val="20"/>
          <w:color w:val="auto"/>
        </w:rPr>
      </w:pPr>
    </w:p>
    <w:p>
      <w:pPr>
        <w:jc w:val="both"/>
        <w:ind w:left="1100" w:right="600"/>
        <w:spacing w:after="0" w:line="289" w:lineRule="auto"/>
        <w:rPr>
          <w:sz w:val="20"/>
          <w:szCs w:val="20"/>
          <w:color w:val="auto"/>
        </w:rPr>
      </w:pPr>
      <w:r>
        <w:rPr>
          <w:rFonts w:ascii="Arial" w:cs="Arial" w:eastAsia="Arial" w:hAnsi="Arial"/>
          <w:sz w:val="14"/>
          <w:szCs w:val="14"/>
          <w:color w:val="auto"/>
        </w:rPr>
        <w:t>Citigroup estimates closing minority and gender wage gaps 20 years ago could have generated 12 trillion dollars in additional income and contributed 0.15 percent to United States GDP per year. PwC estimates closing the gender pay gap could boost Organization for Economic Cooperation and Development (OECD) countries’ economies by 2 trillion dollars annually.</w:t>
      </w:r>
    </w:p>
    <w:p>
      <w:pPr>
        <w:spacing w:after="0" w:line="66" w:lineRule="exact"/>
        <w:rPr>
          <w:sz w:val="20"/>
          <w:szCs w:val="20"/>
          <w:color w:val="auto"/>
        </w:rPr>
      </w:pPr>
    </w:p>
    <w:p>
      <w:pPr>
        <w:ind w:left="1100" w:right="200"/>
        <w:spacing w:after="0" w:line="238" w:lineRule="auto"/>
        <w:rPr>
          <w:sz w:val="20"/>
          <w:szCs w:val="20"/>
          <w:color w:val="auto"/>
        </w:rPr>
      </w:pPr>
      <w:r>
        <w:rPr>
          <w:rFonts w:ascii="Arial" w:cs="Arial" w:eastAsia="Arial" w:hAnsi="Arial"/>
          <w:sz w:val="16"/>
          <w:szCs w:val="16"/>
          <w:color w:val="auto"/>
        </w:rPr>
        <w:t>Diversity is linked to superior stock performance and return on equity. Actively managing pay equity is associated with improved representation. Underrepresented minorities account for 14 percent of Microsoft’s workforce and 9.4 percent of leadership. Women represent 28.6 percent of the workforce and 21.1 percent of leadership.</w:t>
      </w:r>
    </w:p>
    <w:p>
      <w:pPr>
        <w:spacing w:after="0" w:line="84" w:lineRule="exact"/>
        <w:rPr>
          <w:sz w:val="20"/>
          <w:szCs w:val="20"/>
          <w:color w:val="auto"/>
        </w:rPr>
      </w:pPr>
    </w:p>
    <w:p>
      <w:pPr>
        <w:jc w:val="both"/>
        <w:ind w:left="1100" w:right="160"/>
        <w:spacing w:after="0" w:line="248" w:lineRule="auto"/>
        <w:rPr>
          <w:sz w:val="20"/>
          <w:szCs w:val="20"/>
          <w:color w:val="auto"/>
        </w:rPr>
      </w:pPr>
      <w:r>
        <w:rPr>
          <w:rFonts w:ascii="Arial" w:cs="Arial" w:eastAsia="Arial" w:hAnsi="Arial"/>
          <w:sz w:val="16"/>
          <w:szCs w:val="16"/>
          <w:color w:val="auto"/>
        </w:rPr>
        <w:t xml:space="preserve">Pay gaps, </w:t>
      </w:r>
      <w:r>
        <w:rPr>
          <w:rFonts w:ascii="Arial" w:cs="Arial" w:eastAsia="Arial" w:hAnsi="Arial"/>
          <w:sz w:val="16"/>
          <w:szCs w:val="16"/>
          <w:i w:val="1"/>
          <w:iCs w:val="1"/>
          <w:color w:val="auto"/>
        </w:rPr>
        <w:t>literally</w:t>
      </w:r>
      <w:r>
        <w:rPr>
          <w:rFonts w:ascii="Arial" w:cs="Arial" w:eastAsia="Arial" w:hAnsi="Arial"/>
          <w:sz w:val="16"/>
          <w:szCs w:val="16"/>
          <w:color w:val="auto"/>
        </w:rPr>
        <w:t xml:space="preserve"> defined as the </w:t>
      </w:r>
      <w:r>
        <w:rPr>
          <w:rFonts w:ascii="Arial" w:cs="Arial" w:eastAsia="Arial" w:hAnsi="Arial"/>
          <w:sz w:val="16"/>
          <w:szCs w:val="16"/>
          <w:i w:val="1"/>
          <w:iCs w:val="1"/>
          <w:color w:val="auto"/>
        </w:rPr>
        <w:t>median</w:t>
      </w:r>
      <w:r>
        <w:rPr>
          <w:rFonts w:ascii="Arial" w:cs="Arial" w:eastAsia="Arial" w:hAnsi="Arial"/>
          <w:sz w:val="16"/>
          <w:szCs w:val="16"/>
          <w:color w:val="auto"/>
        </w:rPr>
        <w:t xml:space="preserve"> pay of minorities and women compared to the median pay of non- minorities and men, are considered </w:t>
      </w:r>
      <w:r>
        <w:rPr>
          <w:rFonts w:ascii="Arial" w:cs="Arial" w:eastAsia="Arial" w:hAnsi="Arial"/>
          <w:sz w:val="16"/>
          <w:szCs w:val="16"/>
          <w:i w:val="1"/>
          <w:iCs w:val="1"/>
          <w:color w:val="auto"/>
        </w:rPr>
        <w:t>the</w:t>
      </w:r>
      <w:r>
        <w:rPr>
          <w:rFonts w:ascii="Arial" w:cs="Arial" w:eastAsia="Arial" w:hAnsi="Arial"/>
          <w:sz w:val="16"/>
          <w:szCs w:val="16"/>
          <w:color w:val="auto"/>
        </w:rPr>
        <w:t xml:space="preserve"> valid way of measuring gender pay inequity by the United States Census Bureau, Department of Labor, OECD, and International Labor Organization.</w:t>
      </w:r>
    </w:p>
    <w:p>
      <w:pPr>
        <w:spacing w:after="0" w:line="93"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Best practice pay equity reporting consists of two parts:</w:t>
      </w:r>
    </w:p>
    <w:p>
      <w:pPr>
        <w:spacing w:after="0" w:line="98" w:lineRule="exact"/>
        <w:rPr>
          <w:sz w:val="20"/>
          <w:szCs w:val="20"/>
          <w:color w:val="auto"/>
        </w:rPr>
      </w:pPr>
    </w:p>
    <w:p>
      <w:pPr>
        <w:ind w:left="2160" w:hanging="346"/>
        <w:spacing w:after="0"/>
        <w:tabs>
          <w:tab w:leader="none" w:pos="2160" w:val="left"/>
        </w:tabs>
        <w:numPr>
          <w:ilvl w:val="0"/>
          <w:numId w:val="108"/>
        </w:numPr>
        <w:rPr>
          <w:rFonts w:ascii="Arial" w:cs="Arial" w:eastAsia="Arial" w:hAnsi="Arial"/>
          <w:sz w:val="16"/>
          <w:szCs w:val="16"/>
          <w:color w:val="auto"/>
        </w:rPr>
      </w:pPr>
      <w:r>
        <w:rPr>
          <w:rFonts w:ascii="Arial" w:cs="Arial" w:eastAsia="Arial" w:hAnsi="Arial"/>
          <w:sz w:val="16"/>
          <w:szCs w:val="16"/>
          <w:i w:val="1"/>
          <w:iCs w:val="1"/>
          <w:color w:val="auto"/>
        </w:rPr>
        <w:t xml:space="preserve">unadjusted </w:t>
      </w:r>
      <w:r>
        <w:rPr>
          <w:rFonts w:ascii="Arial" w:cs="Arial" w:eastAsia="Arial" w:hAnsi="Arial"/>
          <w:sz w:val="16"/>
          <w:szCs w:val="16"/>
          <w:color w:val="auto"/>
        </w:rPr>
        <w:t>median pay gaps, assessing equal opportunity to high paying roles,</w:t>
      </w:r>
    </w:p>
    <w:p>
      <w:pPr>
        <w:spacing w:after="0" w:line="113" w:lineRule="exact"/>
        <w:rPr>
          <w:rFonts w:ascii="Arial" w:cs="Arial" w:eastAsia="Arial" w:hAnsi="Arial"/>
          <w:sz w:val="16"/>
          <w:szCs w:val="16"/>
          <w:color w:val="auto"/>
        </w:rPr>
      </w:pPr>
    </w:p>
    <w:p>
      <w:pPr>
        <w:ind w:left="2160" w:right="560" w:hanging="346"/>
        <w:spacing w:after="0" w:line="260" w:lineRule="auto"/>
        <w:tabs>
          <w:tab w:leader="none" w:pos="21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 xml:space="preserve">statistically </w:t>
      </w:r>
      <w:r>
        <w:rPr>
          <w:rFonts w:ascii="Arial" w:cs="Arial" w:eastAsia="Arial" w:hAnsi="Arial"/>
          <w:sz w:val="16"/>
          <w:szCs w:val="16"/>
          <w:i w:val="1"/>
          <w:iCs w:val="1"/>
          <w:color w:val="auto"/>
        </w:rPr>
        <w:t>adjusted</w:t>
      </w:r>
      <w:r>
        <w:rPr>
          <w:rFonts w:ascii="Arial" w:cs="Arial" w:eastAsia="Arial" w:hAnsi="Arial"/>
          <w:sz w:val="16"/>
          <w:szCs w:val="16"/>
          <w:color w:val="auto"/>
        </w:rPr>
        <w:t xml:space="preserve"> gaps, assessing pay between minorities and non-minorities, men and women, performing similar roles.</w:t>
      </w:r>
    </w:p>
    <w:p>
      <w:pPr>
        <w:spacing w:after="0" w:line="84" w:lineRule="exact"/>
        <w:rPr>
          <w:sz w:val="20"/>
          <w:szCs w:val="20"/>
          <w:color w:val="auto"/>
        </w:rPr>
      </w:pPr>
    </w:p>
    <w:p>
      <w:pPr>
        <w:ind w:left="1100" w:right="520"/>
        <w:spacing w:after="0" w:line="238" w:lineRule="auto"/>
        <w:rPr>
          <w:sz w:val="20"/>
          <w:szCs w:val="20"/>
          <w:color w:val="auto"/>
        </w:rPr>
      </w:pPr>
      <w:r>
        <w:rPr>
          <w:rFonts w:ascii="Arial" w:cs="Arial" w:eastAsia="Arial" w:hAnsi="Arial"/>
          <w:sz w:val="16"/>
          <w:szCs w:val="16"/>
          <w:color w:val="auto"/>
        </w:rPr>
        <w:t>Microsoft reports parity for statistically adjusted gaps but ignores unadjusted median gaps, which address the structural bias women and underrepresented minorities face regarding job opportunity and pay, particularly when white men hold most higher paying jobs.</w:t>
      </w:r>
    </w:p>
    <w:p>
      <w:pPr>
        <w:spacing w:after="0" w:line="100" w:lineRule="exact"/>
        <w:rPr>
          <w:sz w:val="20"/>
          <w:szCs w:val="20"/>
          <w:color w:val="auto"/>
        </w:rPr>
      </w:pPr>
    </w:p>
    <w:p>
      <w:pPr>
        <w:ind w:left="1100" w:right="140"/>
        <w:spacing w:after="0" w:line="238" w:lineRule="auto"/>
        <w:rPr>
          <w:sz w:val="20"/>
          <w:szCs w:val="20"/>
          <w:color w:val="auto"/>
        </w:rPr>
      </w:pPr>
      <w:r>
        <w:rPr>
          <w:rFonts w:ascii="Arial" w:cs="Arial" w:eastAsia="Arial" w:hAnsi="Arial"/>
          <w:sz w:val="16"/>
          <w:szCs w:val="16"/>
          <w:color w:val="auto"/>
        </w:rPr>
        <w:t>The Equal Employment and Opportunity Commission now mandates pay data reporting, across race and gender, as workforce diversity data alone is insufficient to assess pay inequity. The United Kingdom mandates disclosure of median gender pay gaps and is considering race and ethnicity reporting. Microsoft reported a 10.3 percent median base pay gap and 37.54 percent bonus gap for U.K. employees.</w:t>
      </w:r>
    </w:p>
    <w:p>
      <w:pPr>
        <w:spacing w:after="0" w:line="81" w:lineRule="exact"/>
        <w:rPr>
          <w:sz w:val="20"/>
          <w:szCs w:val="20"/>
          <w:color w:val="auto"/>
        </w:rPr>
      </w:pPr>
    </w:p>
    <w:p>
      <w:pPr>
        <w:ind w:left="1100" w:right="460"/>
        <w:spacing w:after="0" w:line="302" w:lineRule="auto"/>
        <w:rPr>
          <w:sz w:val="20"/>
          <w:szCs w:val="20"/>
          <w:color w:val="auto"/>
        </w:rPr>
      </w:pPr>
      <w:r>
        <w:rPr>
          <w:rFonts w:ascii="Arial" w:cs="Arial" w:eastAsia="Arial" w:hAnsi="Arial"/>
          <w:sz w:val="14"/>
          <w:szCs w:val="14"/>
          <w:b w:val="1"/>
          <w:bCs w:val="1"/>
          <w:color w:val="auto"/>
        </w:rPr>
        <w:t xml:space="preserve">Resolved: </w:t>
      </w:r>
      <w:r>
        <w:rPr>
          <w:rFonts w:ascii="Arial" w:cs="Arial" w:eastAsia="Arial" w:hAnsi="Arial"/>
          <w:sz w:val="14"/>
          <w:szCs w:val="14"/>
          <w:color w:val="auto"/>
        </w:rPr>
        <w:t>Shareholders request Microsoft report on</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median</w:t>
      </w:r>
      <w:r>
        <w:rPr>
          <w:rFonts w:ascii="Arial" w:cs="Arial" w:eastAsia="Arial" w:hAnsi="Arial"/>
          <w:sz w:val="14"/>
          <w:szCs w:val="14"/>
          <w:b w:val="1"/>
          <w:bCs w:val="1"/>
          <w:color w:val="auto"/>
        </w:rPr>
        <w:t xml:space="preserve"> </w:t>
      </w:r>
      <w:r>
        <w:rPr>
          <w:rFonts w:ascii="Arial" w:cs="Arial" w:eastAsia="Arial" w:hAnsi="Arial"/>
          <w:sz w:val="14"/>
          <w:szCs w:val="14"/>
          <w:color w:val="auto"/>
        </w:rPr>
        <w:t>pay gaps across race and gender, including associated policy,</w:t>
      </w:r>
      <w:r>
        <w:rPr>
          <w:rFonts w:ascii="Arial" w:cs="Arial" w:eastAsia="Arial" w:hAnsi="Arial"/>
          <w:sz w:val="14"/>
          <w:szCs w:val="14"/>
          <w:b w:val="1"/>
          <w:bCs w:val="1"/>
          <w:color w:val="auto"/>
        </w:rPr>
        <w:t xml:space="preserve"> </w:t>
      </w:r>
      <w:r>
        <w:rPr>
          <w:rFonts w:ascii="Arial" w:cs="Arial" w:eastAsia="Arial" w:hAnsi="Arial"/>
          <w:sz w:val="14"/>
          <w:szCs w:val="14"/>
          <w:color w:val="auto"/>
        </w:rPr>
        <w:t>reputational, competitive, and operational risks, and risks related to recruiting and retaining diverse talent. The report should be prepared at reasonable cost, omitting proprietary information, litigation strategy and legal compliance information.</w:t>
      </w:r>
    </w:p>
    <w:p>
      <w:pPr>
        <w:spacing w:after="0" w:line="58" w:lineRule="exact"/>
        <w:rPr>
          <w:sz w:val="20"/>
          <w:szCs w:val="20"/>
          <w:color w:val="auto"/>
        </w:rPr>
      </w:pPr>
    </w:p>
    <w:p>
      <w:pPr>
        <w:ind w:left="1100" w:right="1760"/>
        <w:spacing w:after="0" w:line="308" w:lineRule="auto"/>
        <w:rPr>
          <w:sz w:val="20"/>
          <w:szCs w:val="20"/>
          <w:color w:val="auto"/>
        </w:rPr>
      </w:pPr>
      <w:r>
        <w:rPr>
          <w:rFonts w:ascii="Arial" w:cs="Arial" w:eastAsia="Arial" w:hAnsi="Arial"/>
          <w:sz w:val="14"/>
          <w:szCs w:val="14"/>
          <w:color w:val="auto"/>
        </w:rPr>
        <w:t xml:space="preserve">Racial/gender pay gaps are defined as the difference between non-minority and minority/male and female </w:t>
      </w:r>
      <w:r>
        <w:rPr>
          <w:rFonts w:ascii="Arial" w:cs="Arial" w:eastAsia="Arial" w:hAnsi="Arial"/>
          <w:sz w:val="14"/>
          <w:szCs w:val="14"/>
          <w:i w:val="1"/>
          <w:iCs w:val="1"/>
          <w:color w:val="auto"/>
        </w:rPr>
        <w:t xml:space="preserve">median </w:t>
      </w:r>
      <w:r>
        <w:rPr>
          <w:rFonts w:ascii="Arial" w:cs="Arial" w:eastAsia="Arial" w:hAnsi="Arial"/>
          <w:sz w:val="14"/>
          <w:szCs w:val="14"/>
          <w:color w:val="auto"/>
        </w:rPr>
        <w:t>earnings expressed as a percentage of non-minority/male earnings (Wikipedia/OECD, respectively).</w:t>
      </w:r>
    </w:p>
    <w:p>
      <w:pPr>
        <w:spacing w:after="0" w:line="35" w:lineRule="exact"/>
        <w:rPr>
          <w:sz w:val="20"/>
          <w:szCs w:val="20"/>
          <w:color w:val="auto"/>
        </w:rPr>
      </w:pPr>
    </w:p>
    <w:p>
      <w:pPr>
        <w:ind w:left="1100" w:right="500"/>
        <w:spacing w:after="0" w:line="263" w:lineRule="auto"/>
        <w:rPr>
          <w:sz w:val="20"/>
          <w:szCs w:val="20"/>
          <w:color w:val="auto"/>
        </w:rPr>
      </w:pPr>
      <w:r>
        <w:rPr>
          <w:rFonts w:ascii="Arial" w:cs="Arial" w:eastAsia="Arial" w:hAnsi="Arial"/>
          <w:sz w:val="16"/>
          <w:szCs w:val="16"/>
          <w:b w:val="1"/>
          <w:bCs w:val="1"/>
          <w:color w:val="auto"/>
        </w:rPr>
        <w:t xml:space="preserve">Supporting Statement: </w:t>
      </w:r>
      <w:r>
        <w:rPr>
          <w:rFonts w:ascii="Arial" w:cs="Arial" w:eastAsia="Arial" w:hAnsi="Arial"/>
          <w:sz w:val="16"/>
          <w:szCs w:val="16"/>
          <w:color w:val="auto"/>
        </w:rPr>
        <w:t>An annual report adequate for investors to assess performance could, with board discretion, integrate</w:t>
      </w:r>
      <w:r>
        <w:rPr>
          <w:rFonts w:ascii="Arial" w:cs="Arial" w:eastAsia="Arial" w:hAnsi="Arial"/>
          <w:sz w:val="16"/>
          <w:szCs w:val="16"/>
          <w:b w:val="1"/>
          <w:bCs w:val="1"/>
          <w:color w:val="auto"/>
        </w:rPr>
        <w:t xml:space="preserve"> </w:t>
      </w:r>
      <w:r>
        <w:rPr>
          <w:rFonts w:ascii="Arial" w:cs="Arial" w:eastAsia="Arial" w:hAnsi="Arial"/>
          <w:sz w:val="16"/>
          <w:szCs w:val="16"/>
          <w:color w:val="auto"/>
        </w:rPr>
        <w:t>base, bonus and equity compensation to calculate:</w:t>
      </w:r>
    </w:p>
    <w:p>
      <w:pPr>
        <w:spacing w:after="0" w:line="94" w:lineRule="exact"/>
        <w:rPr>
          <w:sz w:val="20"/>
          <w:szCs w:val="20"/>
          <w:color w:val="auto"/>
        </w:rPr>
      </w:pPr>
    </w:p>
    <w:p>
      <w:pPr>
        <w:ind w:left="1260" w:hanging="158"/>
        <w:spacing w:after="0"/>
        <w:tabs>
          <w:tab w:leader="none" w:pos="12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percentage median gender pay gap, globally and/or by country, where appropriate</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percentage median racial/minority/ethnicity pay gap, US and/or by country, where appropriate</w:t>
      </w:r>
    </w:p>
    <w:p>
      <w:pPr>
        <w:spacing w:after="0" w:line="200" w:lineRule="exact"/>
        <w:rPr>
          <w:sz w:val="20"/>
          <w:szCs w:val="20"/>
          <w:color w:val="auto"/>
        </w:rPr>
      </w:pPr>
    </w:p>
    <w:p>
      <w:pPr>
        <w:spacing w:after="0" w:line="302"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2021 PROXY STATEMENT</w:t>
      </w:r>
      <w:r>
        <w:rPr>
          <w:sz w:val="20"/>
          <w:szCs w:val="20"/>
          <w:color w:val="auto"/>
        </w:rPr>
        <w:tab/>
      </w:r>
      <w:r>
        <w:rPr>
          <w:rFonts w:ascii="Arial" w:cs="Arial" w:eastAsia="Arial" w:hAnsi="Arial"/>
          <w:sz w:val="12"/>
          <w:szCs w:val="12"/>
          <w:b w:val="1"/>
          <w:bCs w:val="1"/>
          <w:color w:val="0075C9"/>
        </w:rPr>
        <w:t>73</w:t>
      </w:r>
    </w:p>
    <w:p>
      <w:pPr>
        <w:sectPr>
          <w:pgSz w:w="11900" w:h="16838" w:orient="portrait"/>
          <w:cols w:equalWidth="0" w:num="1">
            <w:col w:w="10280"/>
          </w:cols>
          <w:pgMar w:left="320" w:top="445" w:right="1299" w:bottom="1440" w:gutter="0" w:footer="0" w:header="0"/>
        </w:sectPr>
      </w:pPr>
    </w:p>
    <w:bookmarkStart w:id="81" w:name="page82"/>
    <w:bookmarkEnd w:id="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auto"/>
                <w:w w:val="89"/>
              </w:rPr>
              <w:t>1</w:t>
            </w:r>
          </w:p>
        </w:tc>
        <w:tc>
          <w:tcPr>
            <w:tcW w:w="1360" w:type="dxa"/>
            <w:vAlign w:val="bottom"/>
            <w:vMerge w:val="restart"/>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tcPr>
          <w:p>
            <w:pPr>
              <w:jc w:val="right"/>
              <w:spacing w:after="0"/>
              <w:rPr>
                <w:sz w:val="20"/>
                <w:szCs w:val="20"/>
                <w:color w:val="auto"/>
              </w:rPr>
            </w:pPr>
            <w:r>
              <w:rPr>
                <w:rFonts w:ascii="Arial" w:cs="Arial" w:eastAsia="Arial" w:hAnsi="Arial"/>
                <w:sz w:val="36"/>
                <w:szCs w:val="36"/>
                <w:color w:val="auto"/>
              </w:rPr>
              <w:t>2</w:t>
            </w:r>
          </w:p>
        </w:tc>
        <w:tc>
          <w:tcPr>
            <w:tcW w:w="1540" w:type="dxa"/>
            <w:vAlign w:val="bottom"/>
            <w:vMerge w:val="restart"/>
          </w:tcPr>
          <w:p>
            <w:pPr>
              <w:ind w:left="80"/>
              <w:spacing w:after="0"/>
              <w:rPr>
                <w:sz w:val="20"/>
                <w:szCs w:val="20"/>
                <w:color w:val="auto"/>
              </w:rPr>
            </w:pPr>
            <w:r>
              <w:rPr>
                <w:rFonts w:ascii="Arial" w:cs="Arial" w:eastAsia="Arial" w:hAnsi="Arial"/>
                <w:sz w:val="12"/>
                <w:szCs w:val="12"/>
                <w:color w:val="auto"/>
              </w:rPr>
              <w:t>NAMED</w:t>
            </w:r>
          </w:p>
        </w:tc>
        <w:tc>
          <w:tcPr>
            <w:tcW w:w="500" w:type="dxa"/>
            <w:vAlign w:val="bottom"/>
          </w:tcPr>
          <w:p>
            <w:pPr>
              <w:jc w:val="right"/>
              <w:spacing w:after="0"/>
              <w:rPr>
                <w:sz w:val="20"/>
                <w:szCs w:val="20"/>
                <w:color w:val="auto"/>
              </w:rPr>
            </w:pPr>
            <w:r>
              <w:rPr>
                <w:rFonts w:ascii="Arial" w:cs="Arial" w:eastAsia="Arial" w:hAnsi="Arial"/>
                <w:sz w:val="36"/>
                <w:szCs w:val="36"/>
                <w:color w:val="auto"/>
              </w:rPr>
              <w:t>3</w:t>
            </w:r>
          </w:p>
        </w:tc>
        <w:tc>
          <w:tcPr>
            <w:tcW w:w="980" w:type="dxa"/>
            <w:vAlign w:val="bottom"/>
            <w:vMerge w:val="restart"/>
          </w:tcPr>
          <w:p>
            <w:pPr>
              <w:ind w:left="80"/>
              <w:spacing w:after="0"/>
              <w:rPr>
                <w:sz w:val="20"/>
                <w:szCs w:val="20"/>
                <w:color w:val="auto"/>
              </w:rPr>
            </w:pPr>
            <w:r>
              <w:rPr>
                <w:rFonts w:ascii="Arial" w:cs="Arial" w:eastAsia="Arial" w:hAnsi="Arial"/>
                <w:sz w:val="12"/>
                <w:szCs w:val="12"/>
                <w:color w:val="auto"/>
              </w:rPr>
              <w:t>AUDIT</w:t>
            </w:r>
          </w:p>
        </w:tc>
        <w:tc>
          <w:tcPr>
            <w:tcW w:w="460" w:type="dxa"/>
            <w:vAlign w:val="bottom"/>
            <w:gridSpan w:val="2"/>
          </w:tcPr>
          <w:p>
            <w:pPr>
              <w:jc w:val="right"/>
              <w:ind w:right="80"/>
              <w:spacing w:after="0"/>
              <w:rPr>
                <w:sz w:val="20"/>
                <w:szCs w:val="20"/>
                <w:color w:val="auto"/>
              </w:rPr>
            </w:pPr>
            <w:r>
              <w:rPr>
                <w:rFonts w:ascii="Arial" w:cs="Arial" w:eastAsia="Arial" w:hAnsi="Arial"/>
                <w:sz w:val="36"/>
                <w:szCs w:val="36"/>
                <w:color w:val="0075C9"/>
              </w:rPr>
              <w:t>4</w:t>
            </w:r>
          </w:p>
        </w:tc>
        <w:tc>
          <w:tcPr>
            <w:tcW w:w="1420" w:type="dxa"/>
            <w:vAlign w:val="bottom"/>
            <w:vMerge w:val="restart"/>
          </w:tcPr>
          <w:p>
            <w:pPr>
              <w:ind w:left="80"/>
              <w:spacing w:after="0"/>
              <w:rPr>
                <w:sz w:val="20"/>
                <w:szCs w:val="20"/>
                <w:color w:val="auto"/>
              </w:rPr>
            </w:pPr>
            <w:r>
              <w:rPr>
                <w:rFonts w:ascii="Arial" w:cs="Arial" w:eastAsia="Arial" w:hAnsi="Arial"/>
                <w:sz w:val="12"/>
                <w:szCs w:val="12"/>
                <w:color w:val="0075C9"/>
              </w:rPr>
              <w:t>PROPOSALS TO</w:t>
            </w:r>
          </w:p>
        </w:tc>
        <w:tc>
          <w:tcPr>
            <w:tcW w:w="740" w:type="dxa"/>
            <w:vAlign w:val="bottom"/>
          </w:tcPr>
          <w:p>
            <w:pPr>
              <w:jc w:val="right"/>
              <w:spacing w:after="0"/>
              <w:rPr>
                <w:sz w:val="20"/>
                <w:szCs w:val="20"/>
                <w:color w:val="auto"/>
              </w:rPr>
            </w:pPr>
            <w:r>
              <w:rPr>
                <w:rFonts w:ascii="Arial" w:cs="Arial" w:eastAsia="Arial" w:hAnsi="Arial"/>
                <w:sz w:val="36"/>
                <w:szCs w:val="36"/>
                <w:color w:val="auto"/>
              </w:rPr>
              <w:t>5</w:t>
            </w:r>
          </w:p>
        </w:tc>
        <w:tc>
          <w:tcPr>
            <w:tcW w:w="900" w:type="dxa"/>
            <w:vAlign w:val="bottom"/>
            <w:vMerge w:val="restart"/>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36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tcPr>
          <w:p>
            <w:pPr>
              <w:ind w:left="80"/>
              <w:spacing w:after="0" w:line="130" w:lineRule="exact"/>
              <w:rPr>
                <w:sz w:val="20"/>
                <w:szCs w:val="20"/>
                <w:color w:val="auto"/>
              </w:rPr>
            </w:pPr>
            <w:r>
              <w:rPr>
                <w:rFonts w:ascii="Arial" w:cs="Arial" w:eastAsia="Arial" w:hAnsi="Arial"/>
                <w:sz w:val="12"/>
                <w:szCs w:val="12"/>
                <w:color w:val="0075C9"/>
                <w:w w:val="99"/>
              </w:rPr>
              <w:t>BE VOTED ON DURING</w:t>
            </w:r>
          </w:p>
        </w:tc>
        <w:tc>
          <w:tcPr>
            <w:tcW w:w="740" w:type="dxa"/>
            <w:vAlign w:val="bottom"/>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36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tcPr>
          <w:p>
            <w:pPr>
              <w:spacing w:after="0"/>
              <w:rPr>
                <w:sz w:val="12"/>
                <w:szCs w:val="12"/>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tcPr>
          <w:p>
            <w:pPr>
              <w:spacing w:after="0"/>
              <w:rPr>
                <w:sz w:val="12"/>
                <w:szCs w:val="12"/>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ind w:left="80"/>
              <w:spacing w:after="0"/>
              <w:rPr>
                <w:sz w:val="20"/>
                <w:szCs w:val="20"/>
                <w:color w:val="auto"/>
              </w:rPr>
            </w:pPr>
            <w:r>
              <w:rPr>
                <w:rFonts w:ascii="Arial" w:cs="Arial" w:eastAsia="Arial" w:hAnsi="Arial"/>
                <w:sz w:val="12"/>
                <w:szCs w:val="12"/>
                <w:color w:val="0075C9"/>
              </w:rPr>
              <w:t>THE MEETING</w:t>
            </w:r>
          </w:p>
        </w:tc>
        <w:tc>
          <w:tcPr>
            <w:tcW w:w="740" w:type="dxa"/>
            <w:vAlign w:val="bottom"/>
          </w:tcPr>
          <w:p>
            <w:pPr>
              <w:spacing w:after="0"/>
              <w:rPr>
                <w:sz w:val="12"/>
                <w:szCs w:val="12"/>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4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0075C9"/>
        </w:rPr>
        <w:t>Board Recommendation</w:t>
      </w:r>
    </w:p>
    <w:p>
      <w:pPr>
        <w:spacing w:after="0" w:line="104" w:lineRule="exact"/>
        <w:rPr>
          <w:sz w:val="20"/>
          <w:szCs w:val="20"/>
          <w:color w:val="auto"/>
        </w:rPr>
      </w:pPr>
    </w:p>
    <w:p>
      <w:pPr>
        <w:ind w:left="1100"/>
        <w:spacing w:after="0"/>
        <w:rPr>
          <w:sz w:val="20"/>
          <w:szCs w:val="20"/>
          <w:color w:val="auto"/>
        </w:rPr>
      </w:pPr>
      <w:r>
        <w:rPr>
          <w:rFonts w:ascii="Arial" w:cs="Arial" w:eastAsia="Arial" w:hAnsi="Arial"/>
          <w:sz w:val="17"/>
          <w:szCs w:val="17"/>
          <w:b w:val="1"/>
          <w:bCs w:val="1"/>
          <w:i w:val="1"/>
          <w:iCs w:val="1"/>
          <w:color w:val="0075C9"/>
        </w:rPr>
        <w:t>The Board of Directors recommends a vote AGAINST the proposal for the following reasons:</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COMPANY STATEMENT IN OPPOSITION</w:t>
      </w:r>
    </w:p>
    <w:p>
      <w:pPr>
        <w:spacing w:after="0" w:line="119" w:lineRule="exact"/>
        <w:rPr>
          <w:sz w:val="20"/>
          <w:szCs w:val="20"/>
          <w:color w:val="auto"/>
        </w:rPr>
      </w:pPr>
    </w:p>
    <w:p>
      <w:pPr>
        <w:ind w:left="1100" w:right="200"/>
        <w:spacing w:after="0" w:line="237" w:lineRule="auto"/>
        <w:rPr>
          <w:sz w:val="20"/>
          <w:szCs w:val="20"/>
          <w:color w:val="auto"/>
        </w:rPr>
      </w:pPr>
      <w:r>
        <w:rPr>
          <w:rFonts w:ascii="Arial" w:cs="Arial" w:eastAsia="Arial" w:hAnsi="Arial"/>
          <w:sz w:val="16"/>
          <w:szCs w:val="16"/>
          <w:color w:val="auto"/>
        </w:rPr>
        <w:t>The requested report is not necessary to understand Microsoft’s commitments and performance to ensuring pay equity or to advancing the representation of women and racial minorities in higher paying roles. These issues are of critical importance to the Board of Directors and to Microsoft. As described below, the Company provides detailed disclosures on its commitment to pay equity and performance meeting that commitment. Microsoft has also made public commitments to increasing diversity in leadership roles and reports detailed representation annually.</w:t>
      </w:r>
    </w:p>
    <w:p>
      <w:pPr>
        <w:spacing w:after="0" w:line="115" w:lineRule="exact"/>
        <w:rPr>
          <w:sz w:val="20"/>
          <w:szCs w:val="20"/>
          <w:color w:val="auto"/>
        </w:rPr>
      </w:pPr>
    </w:p>
    <w:p>
      <w:pPr>
        <w:ind w:left="1420" w:right="120" w:hanging="241"/>
        <w:spacing w:after="0" w:line="239" w:lineRule="auto"/>
        <w:tabs>
          <w:tab w:leader="none" w:pos="142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 xml:space="preserve">Microsoft details its commitments and progress achieving greater diversity and inclusion and ensuring pay equity in its annual Global Diversity &amp; Inclusion Report (available at </w:t>
      </w:r>
      <w:r>
        <w:rPr>
          <w:rFonts w:ascii="Arial" w:cs="Arial" w:eastAsia="Arial" w:hAnsi="Arial"/>
          <w:sz w:val="16"/>
          <w:szCs w:val="16"/>
          <w:u w:val="single" w:color="auto"/>
          <w:color w:val="auto"/>
        </w:rPr>
        <w:t>microsoft.com/diversity</w:t>
      </w:r>
      <w:r>
        <w:rPr>
          <w:rFonts w:ascii="Arial" w:cs="Arial" w:eastAsia="Arial" w:hAnsi="Arial"/>
          <w:sz w:val="16"/>
          <w:szCs w:val="16"/>
          <w:color w:val="auto"/>
        </w:rPr>
        <w:t>).</w:t>
      </w:r>
    </w:p>
    <w:p>
      <w:pPr>
        <w:spacing w:after="0" w:line="112" w:lineRule="exact"/>
        <w:rPr>
          <w:rFonts w:ascii="Arial" w:cs="Arial" w:eastAsia="Arial" w:hAnsi="Arial"/>
          <w:sz w:val="16"/>
          <w:szCs w:val="16"/>
          <w:color w:val="auto"/>
        </w:rPr>
      </w:pPr>
    </w:p>
    <w:p>
      <w:pPr>
        <w:ind w:left="1420" w:right="100" w:hanging="241"/>
        <w:spacing w:after="0" w:line="283" w:lineRule="auto"/>
        <w:tabs>
          <w:tab w:leader="none" w:pos="142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Microsoft has reported pay equity data by gender and race annually since 2016 and the Company has expanded the scope of that data over the past several years. In its detailed annual Global Diversity &amp; Inclusion Report, Microsoft also reports representation data for race and gender across Microsoft, providing specific breakdowns, such as tech roles versus non-tech roles; manager versus individual contributor roles; and executive, leadership, and middle management roles.</w:t>
      </w:r>
    </w:p>
    <w:p>
      <w:pPr>
        <w:spacing w:after="0" w:line="82" w:lineRule="exact"/>
        <w:rPr>
          <w:rFonts w:ascii="Arial" w:cs="Arial" w:eastAsia="Arial" w:hAnsi="Arial"/>
          <w:sz w:val="14"/>
          <w:szCs w:val="14"/>
          <w:color w:val="auto"/>
        </w:rPr>
      </w:pPr>
    </w:p>
    <w:p>
      <w:pPr>
        <w:ind w:left="1420" w:right="60" w:hanging="241"/>
        <w:spacing w:after="0" w:line="237" w:lineRule="auto"/>
        <w:tabs>
          <w:tab w:leader="none" w:pos="142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Representation data and other company-reported indicators such as results of the Inclusion Index generated from anonymous employee feedback are some of the ways the Board holds Microsoft and its leaders accountable for progress in these areas. As just one measure of that importance, diversity and inclusion factors including representation and the Inclusion Index are part of the Operational Assessment the Board considers in determining the CEO and senior leadership team’s annual cash bonus. Other levels of leadership at Microsoft are also held accountable for these measures, and inclusion is included as a core priority for every employee’s performance discussions.</w:t>
      </w:r>
    </w:p>
    <w:p>
      <w:pPr>
        <w:spacing w:after="0" w:line="114" w:lineRule="exact"/>
        <w:rPr>
          <w:rFonts w:ascii="Arial" w:cs="Arial" w:eastAsia="Arial" w:hAnsi="Arial"/>
          <w:sz w:val="16"/>
          <w:szCs w:val="16"/>
          <w:color w:val="auto"/>
        </w:rPr>
      </w:pPr>
    </w:p>
    <w:p>
      <w:pPr>
        <w:ind w:left="1420" w:right="60" w:hanging="241"/>
        <w:spacing w:after="0" w:line="237" w:lineRule="auto"/>
        <w:tabs>
          <w:tab w:leader="none" w:pos="142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median pay gap disclosures requested in this proposal would make the same point evident as the detailed representation data Microsoft discloses and that Microsoft clearly states in its most recent Global Diversity &amp; Inclusion Report: “while representation is on the rise for women and racial and ethnic minorities as a whole, representation of each category was lower in mid- to senior-level roles across all categories.” Microsoft is well aware significantly more work needs to be done and does not believe pay gap disclosure would further advance our commitment or ongoing efforts.</w:t>
      </w:r>
    </w:p>
    <w:p>
      <w:pPr>
        <w:spacing w:after="0" w:line="102" w:lineRule="exact"/>
        <w:rPr>
          <w:sz w:val="20"/>
          <w:szCs w:val="20"/>
          <w:color w:val="auto"/>
        </w:rPr>
      </w:pPr>
    </w:p>
    <w:p>
      <w:pPr>
        <w:ind w:left="1100"/>
        <w:spacing w:after="0"/>
        <w:rPr>
          <w:sz w:val="20"/>
          <w:szCs w:val="20"/>
          <w:color w:val="auto"/>
        </w:rPr>
      </w:pPr>
      <w:r>
        <w:rPr>
          <w:rFonts w:ascii="Arial" w:cs="Arial" w:eastAsia="Arial" w:hAnsi="Arial"/>
          <w:sz w:val="16"/>
          <w:szCs w:val="16"/>
          <w:u w:val="single" w:color="auto"/>
          <w:color w:val="auto"/>
        </w:rPr>
        <w:t>Additional Information</w:t>
      </w:r>
    </w:p>
    <w:p>
      <w:pPr>
        <w:spacing w:after="0" w:line="98"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In our most recent Diversity &amp; Inclusion Report, Microsoft reported that as of September 2020, its racial and ethnic minority</w:t>
      </w:r>
    </w:p>
    <w:p>
      <w:pPr>
        <w:ind w:left="1100"/>
        <w:spacing w:after="0"/>
        <w:rPr>
          <w:sz w:val="20"/>
          <w:szCs w:val="20"/>
          <w:color w:val="auto"/>
        </w:rPr>
      </w:pPr>
      <w:r>
        <w:rPr>
          <w:rFonts w:ascii="Arial" w:cs="Arial" w:eastAsia="Arial" w:hAnsi="Arial"/>
          <w:sz w:val="14"/>
          <w:szCs w:val="14"/>
          <w:color w:val="auto"/>
        </w:rPr>
        <w:t>employees in the U.S. combined earn $1.006 for every $1.000 earned by their white counterparts. Breaking it down even further,</w:t>
      </w:r>
    </w:p>
    <w:p>
      <w:pPr>
        <w:spacing w:after="0" w:line="18"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Black and African American employees earn $1.003; Hispanic and Latinx employees earn $1.002; and Asian employees earn</w:t>
      </w:r>
    </w:p>
    <w:p>
      <w:pPr>
        <w:ind w:left="1100"/>
        <w:spacing w:after="0"/>
        <w:rPr>
          <w:sz w:val="20"/>
          <w:szCs w:val="20"/>
          <w:color w:val="auto"/>
        </w:rPr>
      </w:pPr>
      <w:r>
        <w:rPr>
          <w:rFonts w:ascii="Arial" w:cs="Arial" w:eastAsia="Arial" w:hAnsi="Arial"/>
          <w:sz w:val="14"/>
          <w:szCs w:val="14"/>
          <w:color w:val="auto"/>
        </w:rPr>
        <w:t>$1.008 for every $1.000 earned by white employees at the same job title and level, respectively. As of September 2020, women in</w:t>
      </w:r>
    </w:p>
    <w:p>
      <w:pPr>
        <w:spacing w:after="0" w:line="20"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 U.S. earn $1.001 for every $1.000 earned by their counterparts in the U.S. who are men.</w:t>
      </w:r>
    </w:p>
    <w:p>
      <w:pPr>
        <w:spacing w:after="0" w:line="101" w:lineRule="exact"/>
        <w:rPr>
          <w:sz w:val="20"/>
          <w:szCs w:val="20"/>
          <w:color w:val="auto"/>
        </w:rPr>
      </w:pPr>
    </w:p>
    <w:p>
      <w:pPr>
        <w:ind w:left="1100"/>
        <w:spacing w:after="0" w:line="238" w:lineRule="auto"/>
        <w:rPr>
          <w:sz w:val="20"/>
          <w:szCs w:val="20"/>
          <w:color w:val="auto"/>
        </w:rPr>
      </w:pPr>
      <w:r>
        <w:rPr>
          <w:rFonts w:ascii="Arial" w:cs="Arial" w:eastAsia="Arial" w:hAnsi="Arial"/>
          <w:sz w:val="16"/>
          <w:szCs w:val="16"/>
          <w:color w:val="auto"/>
        </w:rPr>
        <w:t>Microsoft expanded reporting of pay equity data to include our ten largest markets outside the U.S. based on employee population, which together represent 85.7% of the total Microsoft workforce. As of September 2020, women in the U.S., Australia, Canada, China, France, Germany, India, Ireland, Israel, Japan, and United Kingdom combined earn $1.000 for every $1.000 by men in these combined geographies.</w:t>
      </w:r>
    </w:p>
    <w:p>
      <w:pPr>
        <w:spacing w:after="0" w:line="9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We will provide fiscal year 2021 data for these markets in our 2021 Diversity &amp; Inclusion Report.</w:t>
      </w:r>
    </w:p>
    <w:p>
      <w:pPr>
        <w:spacing w:after="0" w:line="101" w:lineRule="exact"/>
        <w:rPr>
          <w:sz w:val="20"/>
          <w:szCs w:val="20"/>
          <w:color w:val="auto"/>
        </w:rPr>
      </w:pPr>
    </w:p>
    <w:p>
      <w:pPr>
        <w:ind w:left="1100" w:right="500"/>
        <w:spacing w:after="0" w:line="239" w:lineRule="auto"/>
        <w:rPr>
          <w:sz w:val="20"/>
          <w:szCs w:val="20"/>
          <w:color w:val="auto"/>
        </w:rPr>
      </w:pPr>
      <w:r>
        <w:rPr>
          <w:rFonts w:ascii="Arial" w:cs="Arial" w:eastAsia="Arial" w:hAnsi="Arial"/>
          <w:sz w:val="16"/>
          <w:szCs w:val="16"/>
          <w:color w:val="auto"/>
        </w:rPr>
        <w:t>Microsoft takes seriously the work it has done to ensure pay equity and recognizes the significant work still needed to further increase representation of women and racial minorities in higher paying roles.</w:t>
      </w:r>
    </w:p>
    <w:p>
      <w:pPr>
        <w:spacing w:after="0" w:line="200" w:lineRule="exact"/>
        <w:rPr>
          <w:sz w:val="20"/>
          <w:szCs w:val="20"/>
          <w:color w:val="auto"/>
        </w:rPr>
      </w:pPr>
    </w:p>
    <w:p>
      <w:pPr>
        <w:spacing w:after="0" w:line="301"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-94615</wp:posOffset>
            </wp:positionV>
            <wp:extent cx="485140" cy="9842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45" w:right="1439" w:bottom="1440" w:gutter="0" w:footer="0" w:header="0"/>
        </w:sectPr>
      </w:pPr>
    </w:p>
    <w:bookmarkStart w:id="82" w:name="page83"/>
    <w:bookmarkEnd w:id="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auto"/>
                <w:w w:val="89"/>
              </w:rPr>
              <w:t>1</w:t>
            </w:r>
          </w:p>
        </w:tc>
        <w:tc>
          <w:tcPr>
            <w:tcW w:w="1360" w:type="dxa"/>
            <w:vAlign w:val="bottom"/>
            <w:vMerge w:val="restart"/>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tcPr>
          <w:p>
            <w:pPr>
              <w:jc w:val="right"/>
              <w:spacing w:after="0"/>
              <w:rPr>
                <w:sz w:val="20"/>
                <w:szCs w:val="20"/>
                <w:color w:val="auto"/>
              </w:rPr>
            </w:pPr>
            <w:r>
              <w:rPr>
                <w:rFonts w:ascii="Arial" w:cs="Arial" w:eastAsia="Arial" w:hAnsi="Arial"/>
                <w:sz w:val="36"/>
                <w:szCs w:val="36"/>
                <w:color w:val="auto"/>
              </w:rPr>
              <w:t>2</w:t>
            </w:r>
          </w:p>
        </w:tc>
        <w:tc>
          <w:tcPr>
            <w:tcW w:w="1540" w:type="dxa"/>
            <w:vAlign w:val="bottom"/>
            <w:vMerge w:val="restart"/>
          </w:tcPr>
          <w:p>
            <w:pPr>
              <w:ind w:left="80"/>
              <w:spacing w:after="0"/>
              <w:rPr>
                <w:sz w:val="20"/>
                <w:szCs w:val="20"/>
                <w:color w:val="auto"/>
              </w:rPr>
            </w:pPr>
            <w:r>
              <w:rPr>
                <w:rFonts w:ascii="Arial" w:cs="Arial" w:eastAsia="Arial" w:hAnsi="Arial"/>
                <w:sz w:val="12"/>
                <w:szCs w:val="12"/>
                <w:color w:val="auto"/>
              </w:rPr>
              <w:t>NAMED</w:t>
            </w:r>
          </w:p>
        </w:tc>
        <w:tc>
          <w:tcPr>
            <w:tcW w:w="500" w:type="dxa"/>
            <w:vAlign w:val="bottom"/>
          </w:tcPr>
          <w:p>
            <w:pPr>
              <w:jc w:val="right"/>
              <w:spacing w:after="0"/>
              <w:rPr>
                <w:sz w:val="20"/>
                <w:szCs w:val="20"/>
                <w:color w:val="auto"/>
              </w:rPr>
            </w:pPr>
            <w:r>
              <w:rPr>
                <w:rFonts w:ascii="Arial" w:cs="Arial" w:eastAsia="Arial" w:hAnsi="Arial"/>
                <w:sz w:val="36"/>
                <w:szCs w:val="36"/>
                <w:color w:val="auto"/>
              </w:rPr>
              <w:t>3</w:t>
            </w:r>
          </w:p>
        </w:tc>
        <w:tc>
          <w:tcPr>
            <w:tcW w:w="980" w:type="dxa"/>
            <w:vAlign w:val="bottom"/>
            <w:vMerge w:val="restart"/>
          </w:tcPr>
          <w:p>
            <w:pPr>
              <w:ind w:left="80"/>
              <w:spacing w:after="0"/>
              <w:rPr>
                <w:sz w:val="20"/>
                <w:szCs w:val="20"/>
                <w:color w:val="auto"/>
              </w:rPr>
            </w:pPr>
            <w:r>
              <w:rPr>
                <w:rFonts w:ascii="Arial" w:cs="Arial" w:eastAsia="Arial" w:hAnsi="Arial"/>
                <w:sz w:val="12"/>
                <w:szCs w:val="12"/>
                <w:color w:val="auto"/>
              </w:rPr>
              <w:t>AUDIT</w:t>
            </w:r>
          </w:p>
        </w:tc>
        <w:tc>
          <w:tcPr>
            <w:tcW w:w="460" w:type="dxa"/>
            <w:vAlign w:val="bottom"/>
            <w:gridSpan w:val="2"/>
          </w:tcPr>
          <w:p>
            <w:pPr>
              <w:jc w:val="right"/>
              <w:ind w:right="80"/>
              <w:spacing w:after="0"/>
              <w:rPr>
                <w:sz w:val="20"/>
                <w:szCs w:val="20"/>
                <w:color w:val="auto"/>
              </w:rPr>
            </w:pPr>
            <w:r>
              <w:rPr>
                <w:rFonts w:ascii="Arial" w:cs="Arial" w:eastAsia="Arial" w:hAnsi="Arial"/>
                <w:sz w:val="36"/>
                <w:szCs w:val="36"/>
                <w:color w:val="0075C9"/>
              </w:rPr>
              <w:t>4</w:t>
            </w:r>
          </w:p>
        </w:tc>
        <w:tc>
          <w:tcPr>
            <w:tcW w:w="1420" w:type="dxa"/>
            <w:vAlign w:val="bottom"/>
            <w:vMerge w:val="restart"/>
          </w:tcPr>
          <w:p>
            <w:pPr>
              <w:ind w:left="80"/>
              <w:spacing w:after="0"/>
              <w:rPr>
                <w:sz w:val="20"/>
                <w:szCs w:val="20"/>
                <w:color w:val="auto"/>
              </w:rPr>
            </w:pPr>
            <w:r>
              <w:rPr>
                <w:rFonts w:ascii="Arial" w:cs="Arial" w:eastAsia="Arial" w:hAnsi="Arial"/>
                <w:sz w:val="12"/>
                <w:szCs w:val="12"/>
                <w:color w:val="0075C9"/>
              </w:rPr>
              <w:t>PROPOSALS TO</w:t>
            </w:r>
          </w:p>
        </w:tc>
        <w:tc>
          <w:tcPr>
            <w:tcW w:w="740" w:type="dxa"/>
            <w:vAlign w:val="bottom"/>
          </w:tcPr>
          <w:p>
            <w:pPr>
              <w:jc w:val="right"/>
              <w:spacing w:after="0"/>
              <w:rPr>
                <w:sz w:val="20"/>
                <w:szCs w:val="20"/>
                <w:color w:val="auto"/>
              </w:rPr>
            </w:pPr>
            <w:r>
              <w:rPr>
                <w:rFonts w:ascii="Arial" w:cs="Arial" w:eastAsia="Arial" w:hAnsi="Arial"/>
                <w:sz w:val="36"/>
                <w:szCs w:val="36"/>
                <w:color w:val="auto"/>
              </w:rPr>
              <w:t>5</w:t>
            </w:r>
          </w:p>
        </w:tc>
        <w:tc>
          <w:tcPr>
            <w:tcW w:w="900" w:type="dxa"/>
            <w:vAlign w:val="bottom"/>
            <w:vMerge w:val="restart"/>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36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tcPr>
          <w:p>
            <w:pPr>
              <w:ind w:left="80"/>
              <w:spacing w:after="0" w:line="130" w:lineRule="exact"/>
              <w:rPr>
                <w:sz w:val="20"/>
                <w:szCs w:val="20"/>
                <w:color w:val="auto"/>
              </w:rPr>
            </w:pPr>
            <w:r>
              <w:rPr>
                <w:rFonts w:ascii="Arial" w:cs="Arial" w:eastAsia="Arial" w:hAnsi="Arial"/>
                <w:sz w:val="12"/>
                <w:szCs w:val="12"/>
                <w:color w:val="0075C9"/>
                <w:w w:val="99"/>
              </w:rPr>
              <w:t>BE VOTED ON DURING</w:t>
            </w:r>
          </w:p>
        </w:tc>
        <w:tc>
          <w:tcPr>
            <w:tcW w:w="740" w:type="dxa"/>
            <w:vAlign w:val="bottom"/>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36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tcPr>
          <w:p>
            <w:pPr>
              <w:spacing w:after="0"/>
              <w:rPr>
                <w:sz w:val="12"/>
                <w:szCs w:val="12"/>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tcPr>
          <w:p>
            <w:pPr>
              <w:spacing w:after="0"/>
              <w:rPr>
                <w:sz w:val="12"/>
                <w:szCs w:val="12"/>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ind w:left="80"/>
              <w:spacing w:after="0"/>
              <w:rPr>
                <w:sz w:val="20"/>
                <w:szCs w:val="20"/>
                <w:color w:val="auto"/>
              </w:rPr>
            </w:pPr>
            <w:r>
              <w:rPr>
                <w:rFonts w:ascii="Arial" w:cs="Arial" w:eastAsia="Arial" w:hAnsi="Arial"/>
                <w:sz w:val="12"/>
                <w:szCs w:val="12"/>
                <w:color w:val="0075C9"/>
              </w:rPr>
              <w:t>THE MEETING</w:t>
            </w:r>
          </w:p>
        </w:tc>
        <w:tc>
          <w:tcPr>
            <w:tcW w:w="740" w:type="dxa"/>
            <w:vAlign w:val="bottom"/>
          </w:tcPr>
          <w:p>
            <w:pPr>
              <w:spacing w:after="0"/>
              <w:rPr>
                <w:sz w:val="12"/>
                <w:szCs w:val="12"/>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4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jc w:val="center"/>
        <w:ind w:right="-979"/>
        <w:spacing w:after="0"/>
        <w:rPr>
          <w:sz w:val="20"/>
          <w:szCs w:val="20"/>
          <w:color w:val="auto"/>
        </w:rPr>
      </w:pPr>
      <w:r>
        <w:rPr>
          <w:rFonts w:ascii="Arial" w:cs="Arial" w:eastAsia="Arial" w:hAnsi="Arial"/>
          <w:sz w:val="21"/>
          <w:szCs w:val="21"/>
          <w:b w:val="1"/>
          <w:bCs w:val="1"/>
          <w:color w:val="auto"/>
        </w:rPr>
        <w:t>Shareholder 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-50165</wp:posOffset>
            </wp:positionV>
            <wp:extent cx="5690870" cy="5181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690870" cy="518160"/>
                    </a:xfrm>
                    <a:prstGeom prst="rect">
                      <a:avLst/>
                    </a:prstGeom>
                    <a:noFill/>
                  </pic:spPr>
                </pic:pic>
              </a:graphicData>
            </a:graphic>
          </wp:anchor>
        </w:drawing>
      </w:r>
    </w:p>
    <w:p>
      <w:pPr>
        <w:spacing w:after="0" w:line="96" w:lineRule="exact"/>
        <w:rPr>
          <w:sz w:val="20"/>
          <w:szCs w:val="20"/>
          <w:color w:val="auto"/>
        </w:rPr>
      </w:pPr>
    </w:p>
    <w:p>
      <w:pPr>
        <w:ind w:left="1300" w:right="620"/>
        <w:spacing w:after="0" w:line="239" w:lineRule="auto"/>
        <w:rPr>
          <w:sz w:val="20"/>
          <w:szCs w:val="20"/>
          <w:color w:val="auto"/>
        </w:rPr>
      </w:pPr>
      <w:r>
        <w:rPr>
          <w:rFonts w:ascii="Arial" w:cs="Arial" w:eastAsia="Arial" w:hAnsi="Arial"/>
          <w:sz w:val="16"/>
          <w:szCs w:val="16"/>
          <w:color w:val="auto"/>
        </w:rPr>
        <w:t>Arjuna Capital has advised us that it intends to submit the following proposal for consideration at the Annual Shareholders Meeting.</w:t>
      </w:r>
    </w:p>
    <w:p>
      <w:pPr>
        <w:spacing w:after="0" w:line="200" w:lineRule="exact"/>
        <w:rPr>
          <w:sz w:val="20"/>
          <w:szCs w:val="20"/>
          <w:color w:val="auto"/>
        </w:rPr>
      </w:pPr>
    </w:p>
    <w:p>
      <w:pPr>
        <w:spacing w:after="0" w:line="244"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Sexual Harassment</w:t>
      </w:r>
    </w:p>
    <w:p>
      <w:pPr>
        <w:spacing w:after="0" w:line="101" w:lineRule="exact"/>
        <w:rPr>
          <w:sz w:val="20"/>
          <w:szCs w:val="20"/>
          <w:color w:val="auto"/>
        </w:rPr>
      </w:pPr>
    </w:p>
    <w:p>
      <w:pPr>
        <w:ind w:left="1100" w:right="420"/>
        <w:spacing w:after="0" w:line="243"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Microsoft is under intense public scrutiny due to numerous claims of sexual harassment and an alleged failure to</w:t>
      </w:r>
      <w:r>
        <w:rPr>
          <w:rFonts w:ascii="Arial" w:cs="Arial" w:eastAsia="Arial" w:hAnsi="Arial"/>
          <w:sz w:val="16"/>
          <w:szCs w:val="16"/>
          <w:b w:val="1"/>
          <w:bCs w:val="1"/>
          <w:color w:val="auto"/>
        </w:rPr>
        <w:t xml:space="preserve"> </w:t>
      </w:r>
      <w:r>
        <w:rPr>
          <w:rFonts w:ascii="Arial" w:cs="Arial" w:eastAsia="Arial" w:hAnsi="Arial"/>
          <w:sz w:val="16"/>
          <w:szCs w:val="16"/>
          <w:color w:val="auto"/>
        </w:rPr>
        <w:t>address them adequately and transparently. Reports of Bill Gates’ inappropriate relationships and sexual advances towards Microsoft employees have only exacerbated concerns, putting in question the culture set by top leadership, and the board’s role holding those culpable accountable. Investors are concerned Microsoft may be facing a culture of systemic sexual harassment, putting at risk the company’s ability to attract and retain talent.</w:t>
      </w:r>
    </w:p>
    <w:p>
      <w:pPr>
        <w:spacing w:after="0" w:line="97" w:lineRule="exact"/>
        <w:rPr>
          <w:sz w:val="20"/>
          <w:szCs w:val="20"/>
          <w:color w:val="auto"/>
        </w:rPr>
      </w:pPr>
    </w:p>
    <w:p>
      <w:pPr>
        <w:ind w:left="1100" w:right="180"/>
        <w:spacing w:after="0" w:line="237" w:lineRule="auto"/>
        <w:rPr>
          <w:sz w:val="20"/>
          <w:szCs w:val="20"/>
          <w:color w:val="auto"/>
        </w:rPr>
      </w:pPr>
      <w:r>
        <w:rPr>
          <w:rFonts w:ascii="Arial" w:cs="Arial" w:eastAsia="Arial" w:hAnsi="Arial"/>
          <w:sz w:val="16"/>
          <w:szCs w:val="16"/>
          <w:color w:val="auto"/>
        </w:rPr>
        <w:t>In 2012, a class-action lawsuit was brought by 238 Microsoft workers alleging gender discrimination and sexual harassment, noting Microsoft’s human resources team continuously overlooked and denied these allegations, only deeming one as founded. Claims resurfaced in April 2019 after several women activated a company-wide email chain claiming Microsoft disregarded such complaints. With mounting internal pressure, Chief Executive Satya Nadella announced Microsoft would change its human resource processes, commit to publish internal reports on data of investigations, and form a Global Employee Relations team to guide employees through investigations. As of 2020, Microsoft employees stated that internal reports had yet to be seen and that they were unaware of the newly formed team.</w:t>
      </w:r>
    </w:p>
    <w:p>
      <w:pPr>
        <w:spacing w:after="0" w:line="101" w:lineRule="exact"/>
        <w:rPr>
          <w:sz w:val="20"/>
          <w:szCs w:val="20"/>
          <w:color w:val="auto"/>
        </w:rPr>
      </w:pPr>
    </w:p>
    <w:p>
      <w:pPr>
        <w:ind w:left="1100" w:right="160"/>
        <w:spacing w:after="0" w:line="237" w:lineRule="auto"/>
        <w:rPr>
          <w:sz w:val="20"/>
          <w:szCs w:val="20"/>
          <w:color w:val="auto"/>
        </w:rPr>
      </w:pPr>
      <w:r>
        <w:rPr>
          <w:rFonts w:ascii="Arial" w:cs="Arial" w:eastAsia="Arial" w:hAnsi="Arial"/>
          <w:sz w:val="16"/>
          <w:szCs w:val="16"/>
          <w:color w:val="auto"/>
        </w:rPr>
        <w:t>We urge Microsoft to independently investigate and confront these issues transparently, as sexual harassment and gender discrimination can harm shareholder value – resulting in higher turnover, lower productivity, increased absenteeism, and higher sick leave costs. A recent academic study found companies with the highest incidences of sexual harassment underperform the US stock market by 19.9 percent the subsequent year. Companies that experienced a high number of allegations also saw a decline in Return on Equity of 10.9 percent, and labor costs rose 7 percent. A Harvard Business Review study found a single sexual harassment claim can make a company seem less equitable and more problematic than financial misconduct or fraud and would “be enough to dramatically shape public perception of a company and elicit perceptions of structural unfairness.”</w:t>
      </w:r>
    </w:p>
    <w:p>
      <w:pPr>
        <w:spacing w:after="0" w:line="101" w:lineRule="exact"/>
        <w:rPr>
          <w:sz w:val="20"/>
          <w:szCs w:val="20"/>
          <w:color w:val="auto"/>
        </w:rPr>
      </w:pPr>
    </w:p>
    <w:p>
      <w:pPr>
        <w:jc w:val="both"/>
        <w:ind w:left="1100" w:right="440"/>
        <w:spacing w:after="0" w:line="238" w:lineRule="auto"/>
        <w:rPr>
          <w:sz w:val="20"/>
          <w:szCs w:val="20"/>
          <w:color w:val="auto"/>
        </w:rPr>
      </w:pPr>
      <w:r>
        <w:rPr>
          <w:rFonts w:ascii="Arial" w:cs="Arial" w:eastAsia="Arial" w:hAnsi="Arial"/>
          <w:sz w:val="16"/>
          <w:szCs w:val="16"/>
          <w:color w:val="auto"/>
        </w:rPr>
        <w:t>While Microsoft has conducted prior internal investigations into sexual harassment and gender discrimination allegations, it has failed to report transparently on any independent investigations to employees and investors. To avoid legal and reputational risk and maintain shareholder value, Microsoft must create a culture of accountability and transparency, protecting employees from harassment and discrimination.</w:t>
      </w:r>
    </w:p>
    <w:p>
      <w:pPr>
        <w:spacing w:after="0" w:line="81" w:lineRule="exact"/>
        <w:rPr>
          <w:sz w:val="20"/>
          <w:szCs w:val="20"/>
          <w:color w:val="auto"/>
        </w:rPr>
      </w:pPr>
    </w:p>
    <w:p>
      <w:pPr>
        <w:ind w:left="1100" w:right="280"/>
        <w:spacing w:after="0" w:line="245" w:lineRule="auto"/>
        <w:rPr>
          <w:sz w:val="20"/>
          <w:szCs w:val="20"/>
          <w:color w:val="auto"/>
        </w:rPr>
      </w:pPr>
      <w:r>
        <w:rPr>
          <w:rFonts w:ascii="Arial" w:cs="Arial" w:eastAsia="Arial" w:hAnsi="Arial"/>
          <w:sz w:val="16"/>
          <w:szCs w:val="16"/>
          <w:b w:val="1"/>
          <w:bCs w:val="1"/>
          <w:color w:val="auto"/>
        </w:rPr>
        <w:t xml:space="preserve">RESOLVED: </w:t>
      </w:r>
      <w:r>
        <w:rPr>
          <w:rFonts w:ascii="Arial" w:cs="Arial" w:eastAsia="Arial" w:hAnsi="Arial"/>
          <w:sz w:val="16"/>
          <w:szCs w:val="16"/>
          <w:color w:val="auto"/>
        </w:rPr>
        <w:t>Shareholders urge the Board of Directors to release a transparency report (at reasonable expense, omitting</w:t>
      </w:r>
      <w:r>
        <w:rPr>
          <w:rFonts w:ascii="Arial" w:cs="Arial" w:eastAsia="Arial" w:hAnsi="Arial"/>
          <w:sz w:val="16"/>
          <w:szCs w:val="16"/>
          <w:b w:val="1"/>
          <w:bCs w:val="1"/>
          <w:color w:val="auto"/>
        </w:rPr>
        <w:t xml:space="preserve"> </w:t>
      </w:r>
      <w:r>
        <w:rPr>
          <w:rFonts w:ascii="Arial" w:cs="Arial" w:eastAsia="Arial" w:hAnsi="Arial"/>
          <w:sz w:val="16"/>
          <w:szCs w:val="16"/>
          <w:color w:val="auto"/>
        </w:rPr>
        <w:t>confidential or privileged information) to shareholders assessing the effectiveness of the company’s workplace sexual harassment policies, including the results of any comprehensive, independent audit/investigations, analysis of policies and practices, and commitments to create a safe, inclusive work environment.</w:t>
      </w:r>
    </w:p>
    <w:p>
      <w:pPr>
        <w:spacing w:after="0" w:line="78"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 xml:space="preserve">SUPPORTING STATEMENT: </w:t>
      </w:r>
      <w:r>
        <w:rPr>
          <w:rFonts w:ascii="Arial" w:cs="Arial" w:eastAsia="Arial" w:hAnsi="Arial"/>
          <w:sz w:val="16"/>
          <w:szCs w:val="16"/>
          <w:color w:val="auto"/>
        </w:rPr>
        <w:t>Proponents suggest the report be published annually and summarize:</w:t>
      </w:r>
    </w:p>
    <w:p>
      <w:pPr>
        <w:spacing w:after="0" w:line="132" w:lineRule="exact"/>
        <w:rPr>
          <w:sz w:val="20"/>
          <w:szCs w:val="20"/>
          <w:color w:val="auto"/>
        </w:rPr>
      </w:pPr>
    </w:p>
    <w:p>
      <w:pPr>
        <w:ind w:left="1260" w:hanging="158"/>
        <w:spacing w:after="0"/>
        <w:tabs>
          <w:tab w:leader="none" w:pos="12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Effectiveness of sexual harassment and gender discrimination policies, trainings, and measures;</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Results of any independent investigation into executive level allegations, including recent Gates’ allegations;</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Steps taken (or that could be taken) to hold employees and executives accountable;</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Number of sexual harassment cases investigated and the resolution.</w:t>
      </w:r>
    </w:p>
    <w:p>
      <w:pPr>
        <w:spacing w:after="0" w:line="200" w:lineRule="exact"/>
        <w:rPr>
          <w:sz w:val="20"/>
          <w:szCs w:val="20"/>
          <w:color w:val="auto"/>
        </w:rPr>
      </w:pPr>
    </w:p>
    <w:p>
      <w:pPr>
        <w:spacing w:after="0" w:line="302"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2021 PROXY STATEMENT</w:t>
      </w:r>
      <w:r>
        <w:rPr>
          <w:sz w:val="20"/>
          <w:szCs w:val="20"/>
          <w:color w:val="auto"/>
        </w:rPr>
        <w:tab/>
      </w:r>
      <w:r>
        <w:rPr>
          <w:rFonts w:ascii="Arial" w:cs="Arial" w:eastAsia="Arial" w:hAnsi="Arial"/>
          <w:sz w:val="12"/>
          <w:szCs w:val="12"/>
          <w:b w:val="1"/>
          <w:bCs w:val="1"/>
          <w:color w:val="0075C9"/>
        </w:rPr>
        <w:t>75</w:t>
      </w:r>
    </w:p>
    <w:p>
      <w:pPr>
        <w:sectPr>
          <w:pgSz w:w="11900" w:h="16838" w:orient="portrait"/>
          <w:cols w:equalWidth="0" w:num="1">
            <w:col w:w="10280"/>
          </w:cols>
          <w:pgMar w:left="320" w:top="445" w:right="1299" w:bottom="1440" w:gutter="0" w:footer="0" w:header="0"/>
        </w:sectPr>
      </w:pPr>
    </w:p>
    <w:bookmarkStart w:id="83" w:name="page84"/>
    <w:bookmarkEnd w:id="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auto"/>
                <w:w w:val="89"/>
              </w:rPr>
              <w:t>1</w:t>
            </w:r>
          </w:p>
        </w:tc>
        <w:tc>
          <w:tcPr>
            <w:tcW w:w="1360" w:type="dxa"/>
            <w:vAlign w:val="bottom"/>
            <w:vMerge w:val="restart"/>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tcPr>
          <w:p>
            <w:pPr>
              <w:jc w:val="right"/>
              <w:spacing w:after="0"/>
              <w:rPr>
                <w:sz w:val="20"/>
                <w:szCs w:val="20"/>
                <w:color w:val="auto"/>
              </w:rPr>
            </w:pPr>
            <w:r>
              <w:rPr>
                <w:rFonts w:ascii="Arial" w:cs="Arial" w:eastAsia="Arial" w:hAnsi="Arial"/>
                <w:sz w:val="36"/>
                <w:szCs w:val="36"/>
                <w:color w:val="auto"/>
              </w:rPr>
              <w:t>2</w:t>
            </w:r>
          </w:p>
        </w:tc>
        <w:tc>
          <w:tcPr>
            <w:tcW w:w="1540" w:type="dxa"/>
            <w:vAlign w:val="bottom"/>
            <w:vMerge w:val="restart"/>
          </w:tcPr>
          <w:p>
            <w:pPr>
              <w:ind w:left="80"/>
              <w:spacing w:after="0"/>
              <w:rPr>
                <w:sz w:val="20"/>
                <w:szCs w:val="20"/>
                <w:color w:val="auto"/>
              </w:rPr>
            </w:pPr>
            <w:r>
              <w:rPr>
                <w:rFonts w:ascii="Arial" w:cs="Arial" w:eastAsia="Arial" w:hAnsi="Arial"/>
                <w:sz w:val="12"/>
                <w:szCs w:val="12"/>
                <w:color w:val="auto"/>
              </w:rPr>
              <w:t>NAMED</w:t>
            </w:r>
          </w:p>
        </w:tc>
        <w:tc>
          <w:tcPr>
            <w:tcW w:w="500" w:type="dxa"/>
            <w:vAlign w:val="bottom"/>
          </w:tcPr>
          <w:p>
            <w:pPr>
              <w:jc w:val="right"/>
              <w:spacing w:after="0"/>
              <w:rPr>
                <w:sz w:val="20"/>
                <w:szCs w:val="20"/>
                <w:color w:val="auto"/>
              </w:rPr>
            </w:pPr>
            <w:r>
              <w:rPr>
                <w:rFonts w:ascii="Arial" w:cs="Arial" w:eastAsia="Arial" w:hAnsi="Arial"/>
                <w:sz w:val="36"/>
                <w:szCs w:val="36"/>
                <w:color w:val="auto"/>
              </w:rPr>
              <w:t>3</w:t>
            </w:r>
          </w:p>
        </w:tc>
        <w:tc>
          <w:tcPr>
            <w:tcW w:w="980" w:type="dxa"/>
            <w:vAlign w:val="bottom"/>
            <w:vMerge w:val="restart"/>
          </w:tcPr>
          <w:p>
            <w:pPr>
              <w:ind w:left="80"/>
              <w:spacing w:after="0"/>
              <w:rPr>
                <w:sz w:val="20"/>
                <w:szCs w:val="20"/>
                <w:color w:val="auto"/>
              </w:rPr>
            </w:pPr>
            <w:r>
              <w:rPr>
                <w:rFonts w:ascii="Arial" w:cs="Arial" w:eastAsia="Arial" w:hAnsi="Arial"/>
                <w:sz w:val="12"/>
                <w:szCs w:val="12"/>
                <w:color w:val="auto"/>
              </w:rPr>
              <w:t>AUDIT</w:t>
            </w:r>
          </w:p>
        </w:tc>
        <w:tc>
          <w:tcPr>
            <w:tcW w:w="460" w:type="dxa"/>
            <w:vAlign w:val="bottom"/>
            <w:gridSpan w:val="2"/>
          </w:tcPr>
          <w:p>
            <w:pPr>
              <w:jc w:val="right"/>
              <w:ind w:right="80"/>
              <w:spacing w:after="0"/>
              <w:rPr>
                <w:sz w:val="20"/>
                <w:szCs w:val="20"/>
                <w:color w:val="auto"/>
              </w:rPr>
            </w:pPr>
            <w:r>
              <w:rPr>
                <w:rFonts w:ascii="Arial" w:cs="Arial" w:eastAsia="Arial" w:hAnsi="Arial"/>
                <w:sz w:val="36"/>
                <w:szCs w:val="36"/>
                <w:color w:val="0075C9"/>
              </w:rPr>
              <w:t>4</w:t>
            </w:r>
          </w:p>
        </w:tc>
        <w:tc>
          <w:tcPr>
            <w:tcW w:w="1420" w:type="dxa"/>
            <w:vAlign w:val="bottom"/>
            <w:vMerge w:val="restart"/>
          </w:tcPr>
          <w:p>
            <w:pPr>
              <w:ind w:left="80"/>
              <w:spacing w:after="0"/>
              <w:rPr>
                <w:sz w:val="20"/>
                <w:szCs w:val="20"/>
                <w:color w:val="auto"/>
              </w:rPr>
            </w:pPr>
            <w:r>
              <w:rPr>
                <w:rFonts w:ascii="Arial" w:cs="Arial" w:eastAsia="Arial" w:hAnsi="Arial"/>
                <w:sz w:val="12"/>
                <w:szCs w:val="12"/>
                <w:color w:val="0075C9"/>
              </w:rPr>
              <w:t>PROPOSALS TO</w:t>
            </w:r>
          </w:p>
        </w:tc>
        <w:tc>
          <w:tcPr>
            <w:tcW w:w="740" w:type="dxa"/>
            <w:vAlign w:val="bottom"/>
          </w:tcPr>
          <w:p>
            <w:pPr>
              <w:jc w:val="right"/>
              <w:spacing w:after="0"/>
              <w:rPr>
                <w:sz w:val="20"/>
                <w:szCs w:val="20"/>
                <w:color w:val="auto"/>
              </w:rPr>
            </w:pPr>
            <w:r>
              <w:rPr>
                <w:rFonts w:ascii="Arial" w:cs="Arial" w:eastAsia="Arial" w:hAnsi="Arial"/>
                <w:sz w:val="36"/>
                <w:szCs w:val="36"/>
                <w:color w:val="auto"/>
              </w:rPr>
              <w:t>5</w:t>
            </w:r>
          </w:p>
        </w:tc>
        <w:tc>
          <w:tcPr>
            <w:tcW w:w="900" w:type="dxa"/>
            <w:vAlign w:val="bottom"/>
            <w:vMerge w:val="restart"/>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36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tcPr>
          <w:p>
            <w:pPr>
              <w:ind w:left="80"/>
              <w:spacing w:after="0" w:line="130" w:lineRule="exact"/>
              <w:rPr>
                <w:sz w:val="20"/>
                <w:szCs w:val="20"/>
                <w:color w:val="auto"/>
              </w:rPr>
            </w:pPr>
            <w:r>
              <w:rPr>
                <w:rFonts w:ascii="Arial" w:cs="Arial" w:eastAsia="Arial" w:hAnsi="Arial"/>
                <w:sz w:val="12"/>
                <w:szCs w:val="12"/>
                <w:color w:val="0075C9"/>
                <w:w w:val="99"/>
              </w:rPr>
              <w:t>BE VOTED ON DURING</w:t>
            </w:r>
          </w:p>
        </w:tc>
        <w:tc>
          <w:tcPr>
            <w:tcW w:w="740" w:type="dxa"/>
            <w:vAlign w:val="bottom"/>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36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tcPr>
          <w:p>
            <w:pPr>
              <w:spacing w:after="0"/>
              <w:rPr>
                <w:sz w:val="12"/>
                <w:szCs w:val="12"/>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tcPr>
          <w:p>
            <w:pPr>
              <w:spacing w:after="0"/>
              <w:rPr>
                <w:sz w:val="12"/>
                <w:szCs w:val="12"/>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ind w:left="80"/>
              <w:spacing w:after="0"/>
              <w:rPr>
                <w:sz w:val="20"/>
                <w:szCs w:val="20"/>
                <w:color w:val="auto"/>
              </w:rPr>
            </w:pPr>
            <w:r>
              <w:rPr>
                <w:rFonts w:ascii="Arial" w:cs="Arial" w:eastAsia="Arial" w:hAnsi="Arial"/>
                <w:sz w:val="12"/>
                <w:szCs w:val="12"/>
                <w:color w:val="0075C9"/>
              </w:rPr>
              <w:t>THE MEETING</w:t>
            </w:r>
          </w:p>
        </w:tc>
        <w:tc>
          <w:tcPr>
            <w:tcW w:w="740" w:type="dxa"/>
            <w:vAlign w:val="bottom"/>
          </w:tcPr>
          <w:p>
            <w:pPr>
              <w:spacing w:after="0"/>
              <w:rPr>
                <w:sz w:val="12"/>
                <w:szCs w:val="12"/>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4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0075C9"/>
        </w:rPr>
        <w:t>Board Recommendation</w:t>
      </w:r>
    </w:p>
    <w:p>
      <w:pPr>
        <w:spacing w:after="0" w:line="104" w:lineRule="exact"/>
        <w:rPr>
          <w:sz w:val="20"/>
          <w:szCs w:val="20"/>
          <w:color w:val="auto"/>
        </w:rPr>
      </w:pPr>
    </w:p>
    <w:p>
      <w:pPr>
        <w:ind w:left="1100"/>
        <w:spacing w:after="0"/>
        <w:rPr>
          <w:sz w:val="20"/>
          <w:szCs w:val="20"/>
          <w:color w:val="auto"/>
        </w:rPr>
      </w:pPr>
      <w:r>
        <w:rPr>
          <w:rFonts w:ascii="Arial" w:cs="Arial" w:eastAsia="Arial" w:hAnsi="Arial"/>
          <w:sz w:val="17"/>
          <w:szCs w:val="17"/>
          <w:b w:val="1"/>
          <w:bCs w:val="1"/>
          <w:i w:val="1"/>
          <w:iCs w:val="1"/>
          <w:color w:val="0075C9"/>
        </w:rPr>
        <w:t>The Board of Directors recommends a vote AGAINST the proposal for the following reasons:</w:t>
      </w:r>
    </w:p>
    <w:p>
      <w:pPr>
        <w:spacing w:after="0" w:line="107"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COMPANY STATEMENT IN OPPOSITION</w:t>
      </w:r>
    </w:p>
    <w:p>
      <w:pPr>
        <w:spacing w:after="0" w:line="119" w:lineRule="exact"/>
        <w:rPr>
          <w:sz w:val="20"/>
          <w:szCs w:val="20"/>
          <w:color w:val="auto"/>
        </w:rPr>
      </w:pPr>
    </w:p>
    <w:p>
      <w:pPr>
        <w:ind w:left="1100" w:right="140"/>
        <w:spacing w:after="0" w:line="237" w:lineRule="auto"/>
        <w:rPr>
          <w:sz w:val="20"/>
          <w:szCs w:val="20"/>
          <w:color w:val="auto"/>
        </w:rPr>
      </w:pPr>
      <w:r>
        <w:rPr>
          <w:rFonts w:ascii="Arial" w:cs="Arial" w:eastAsia="Arial" w:hAnsi="Arial"/>
          <w:sz w:val="16"/>
          <w:szCs w:val="16"/>
          <w:color w:val="auto"/>
        </w:rPr>
        <w:t>A vote for this proposal is unnecessary because Microsoft has adopted plans to begin annual public reporting in this fiscal year on Microsoft’s implementation of our sexual harassment and gender discrimination policies. This reporting will substantially address the key topics identified in the shareholder proposal. Microsoft does not tolerate harassment or discrimination. As detailed below, Microsoft has strong compliance programs in place to ensure employees understand its policies and expectations, strong mechanisms are in place for employees to raise concerns for prompt investigation without fear of retaliation, and leaders and all employees are accountable for maintaining a workplace free of harassment and discrimination so that everyone can work in a productive, respectful, and professional environment.</w:t>
      </w:r>
    </w:p>
    <w:p>
      <w:pPr>
        <w:spacing w:after="0" w:line="114" w:lineRule="exact"/>
        <w:rPr>
          <w:sz w:val="20"/>
          <w:szCs w:val="20"/>
          <w:color w:val="auto"/>
        </w:rPr>
      </w:pPr>
    </w:p>
    <w:p>
      <w:pPr>
        <w:ind w:left="1260" w:right="20" w:hanging="158"/>
        <w:spacing w:after="0" w:line="238" w:lineRule="auto"/>
        <w:tabs>
          <w:tab w:leader="none" w:pos="12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Microsoft is committed to providing a work environment that is consistent with the Company’s values and policies. We work hard to make Microsoft a place where all employees feel safe, valued, and respected and take seriously all allegations of behavior that does not reflect the culture of inclusion that we aspire to at Microsoft. We are determined to close any gap between what Microsoft says about its culture and values, and the lived experience for every employee.</w:t>
      </w:r>
    </w:p>
    <w:p>
      <w:pPr>
        <w:spacing w:after="0" w:line="111" w:lineRule="exact"/>
        <w:rPr>
          <w:rFonts w:ascii="Arial" w:cs="Arial" w:eastAsia="Arial" w:hAnsi="Arial"/>
          <w:sz w:val="16"/>
          <w:szCs w:val="16"/>
          <w:color w:val="auto"/>
        </w:rPr>
      </w:pPr>
    </w:p>
    <w:p>
      <w:pPr>
        <w:ind w:left="1260" w:right="140" w:hanging="158"/>
        <w:spacing w:after="0" w:line="283" w:lineRule="auto"/>
        <w:tabs>
          <w:tab w:leader="none" w:pos="126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Microsoft has further invested in its dedicated Workplace Investigations Team (“WIT”) that is part of the Compliance &amp; Ethics Team within Microsoft’s Corporate, External and Legal Affairs (“CELA”) department. WIT is structured and resourced to conduct prompt, thorough, empathetic, fair, and neutral investigations. WIT investigators have deep expertise in investigations and bring work experience spanning government agencies and private practice across a number of industries.</w:t>
      </w:r>
    </w:p>
    <w:p>
      <w:pPr>
        <w:spacing w:after="0" w:line="82" w:lineRule="exact"/>
        <w:rPr>
          <w:rFonts w:ascii="Arial" w:cs="Arial" w:eastAsia="Arial" w:hAnsi="Arial"/>
          <w:sz w:val="14"/>
          <w:szCs w:val="14"/>
          <w:color w:val="auto"/>
        </w:rPr>
      </w:pPr>
    </w:p>
    <w:p>
      <w:pPr>
        <w:ind w:left="1260" w:right="240" w:hanging="158"/>
        <w:spacing w:after="0" w:line="308" w:lineRule="auto"/>
        <w:tabs>
          <w:tab w:leader="none" w:pos="126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As part of Microsoft’s commitment to a workplace free from harassment and discrimination, the Company dedicated additional resources to investigations, more than doubling the number of investigators and adding resources outside the U.S.</w:t>
      </w:r>
    </w:p>
    <w:p>
      <w:pPr>
        <w:spacing w:after="0" w:line="65" w:lineRule="exact"/>
        <w:rPr>
          <w:rFonts w:ascii="Arial" w:cs="Arial" w:eastAsia="Arial" w:hAnsi="Arial"/>
          <w:sz w:val="14"/>
          <w:szCs w:val="14"/>
          <w:color w:val="auto"/>
        </w:rPr>
      </w:pPr>
    </w:p>
    <w:p>
      <w:pPr>
        <w:ind w:left="1260" w:right="80" w:hanging="158"/>
        <w:spacing w:after="0" w:line="237" w:lineRule="auto"/>
        <w:tabs>
          <w:tab w:leader="none" w:pos="12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Microsoft takes all employee concerns seriously. For every employee concern reported, we review, investigate, and take appropriate action. The integrity of the investigation process is not impacted by the level of the individuals involved. Even when there is not a policy violation, we work with Human Resources and the business leaders to address behaviors that are not aligned to our values and culture. We have strong anti-retaliation policies and practices in place to protect employees who report a concern and those who provide information in an investigation.</w:t>
      </w:r>
    </w:p>
    <w:p>
      <w:pPr>
        <w:spacing w:after="0" w:line="114" w:lineRule="exact"/>
        <w:rPr>
          <w:rFonts w:ascii="Arial" w:cs="Arial" w:eastAsia="Arial" w:hAnsi="Arial"/>
          <w:sz w:val="16"/>
          <w:szCs w:val="16"/>
          <w:color w:val="auto"/>
        </w:rPr>
      </w:pPr>
    </w:p>
    <w:p>
      <w:pPr>
        <w:ind w:left="1260" w:hanging="158"/>
        <w:spacing w:after="0" w:line="238" w:lineRule="auto"/>
        <w:tabs>
          <w:tab w:leader="none" w:pos="12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Over the past several years Microsoft has invested additional executive attention and resources to enhancing the responsiveness to employees and transparency of workplace investigations related to harassment and discrimination. As part of that process, in February 2020 we began internally sharing with employees annual data on the volume of concerns raised, the results of harassment investigations, and the types of discipline imposed.</w:t>
      </w:r>
    </w:p>
    <w:p>
      <w:pPr>
        <w:spacing w:after="0" w:line="111" w:lineRule="exact"/>
        <w:rPr>
          <w:rFonts w:ascii="Arial" w:cs="Arial" w:eastAsia="Arial" w:hAnsi="Arial"/>
          <w:sz w:val="16"/>
          <w:szCs w:val="16"/>
          <w:color w:val="auto"/>
        </w:rPr>
      </w:pPr>
    </w:p>
    <w:p>
      <w:pPr>
        <w:ind w:left="1260" w:right="460" w:hanging="158"/>
        <w:spacing w:after="0" w:line="239" w:lineRule="auto"/>
        <w:tabs>
          <w:tab w:leader="none" w:pos="12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Microsoft provides training on harassment and discrimination issues, including information on how to report concerns, to all employees through required Standards of Business Conduct training and other available trainings.</w:t>
      </w:r>
    </w:p>
    <w:p>
      <w:pPr>
        <w:spacing w:after="0" w:line="112" w:lineRule="exact"/>
        <w:rPr>
          <w:rFonts w:ascii="Arial" w:cs="Arial" w:eastAsia="Arial" w:hAnsi="Arial"/>
          <w:sz w:val="16"/>
          <w:szCs w:val="16"/>
          <w:color w:val="auto"/>
        </w:rPr>
      </w:pPr>
    </w:p>
    <w:p>
      <w:pPr>
        <w:ind w:left="1260" w:right="20" w:hanging="158"/>
        <w:spacing w:after="0" w:line="237" w:lineRule="auto"/>
        <w:tabs>
          <w:tab w:leader="none" w:pos="12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As noted above, given the importance of this issue to Microsoft’s leadership, employees, and shareholders, this fiscal year we will begin annual public reporting on Microsoft’s implementation of our sexual harassment and gender discrimination policies, which will substantially address the key topics identified in the shareholder proposal, including the total number of reported sexual harassment concerns, percentage of those substantiated, and types of corrective actions taken (which span coaching and training, formal warnings, compensation impacts, demotion, and termination of employment).</w:t>
      </w:r>
    </w:p>
    <w:p>
      <w:pPr>
        <w:spacing w:after="0" w:line="200" w:lineRule="exact"/>
        <w:rPr>
          <w:sz w:val="20"/>
          <w:szCs w:val="20"/>
          <w:color w:val="auto"/>
        </w:rPr>
      </w:pPr>
    </w:p>
    <w:p>
      <w:pPr>
        <w:spacing w:after="0" w:line="303"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-94615</wp:posOffset>
            </wp:positionV>
            <wp:extent cx="485140" cy="9842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45" w:right="1439" w:bottom="1440" w:gutter="0" w:footer="0" w:header="0"/>
        </w:sectPr>
      </w:pPr>
    </w:p>
    <w:bookmarkStart w:id="84" w:name="page85"/>
    <w:bookmarkEnd w:id="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auto"/>
                <w:w w:val="89"/>
              </w:rPr>
              <w:t>1</w:t>
            </w:r>
          </w:p>
        </w:tc>
        <w:tc>
          <w:tcPr>
            <w:tcW w:w="1360" w:type="dxa"/>
            <w:vAlign w:val="bottom"/>
            <w:vMerge w:val="restart"/>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tcPr>
          <w:p>
            <w:pPr>
              <w:jc w:val="right"/>
              <w:spacing w:after="0"/>
              <w:rPr>
                <w:sz w:val="20"/>
                <w:szCs w:val="20"/>
                <w:color w:val="auto"/>
              </w:rPr>
            </w:pPr>
            <w:r>
              <w:rPr>
                <w:rFonts w:ascii="Arial" w:cs="Arial" w:eastAsia="Arial" w:hAnsi="Arial"/>
                <w:sz w:val="36"/>
                <w:szCs w:val="36"/>
                <w:color w:val="auto"/>
              </w:rPr>
              <w:t>2</w:t>
            </w:r>
          </w:p>
        </w:tc>
        <w:tc>
          <w:tcPr>
            <w:tcW w:w="1540" w:type="dxa"/>
            <w:vAlign w:val="bottom"/>
            <w:vMerge w:val="restart"/>
          </w:tcPr>
          <w:p>
            <w:pPr>
              <w:ind w:left="80"/>
              <w:spacing w:after="0"/>
              <w:rPr>
                <w:sz w:val="20"/>
                <w:szCs w:val="20"/>
                <w:color w:val="auto"/>
              </w:rPr>
            </w:pPr>
            <w:r>
              <w:rPr>
                <w:rFonts w:ascii="Arial" w:cs="Arial" w:eastAsia="Arial" w:hAnsi="Arial"/>
                <w:sz w:val="12"/>
                <w:szCs w:val="12"/>
                <w:color w:val="auto"/>
              </w:rPr>
              <w:t>NAMED</w:t>
            </w:r>
          </w:p>
        </w:tc>
        <w:tc>
          <w:tcPr>
            <w:tcW w:w="500" w:type="dxa"/>
            <w:vAlign w:val="bottom"/>
          </w:tcPr>
          <w:p>
            <w:pPr>
              <w:jc w:val="right"/>
              <w:spacing w:after="0"/>
              <w:rPr>
                <w:sz w:val="20"/>
                <w:szCs w:val="20"/>
                <w:color w:val="auto"/>
              </w:rPr>
            </w:pPr>
            <w:r>
              <w:rPr>
                <w:rFonts w:ascii="Arial" w:cs="Arial" w:eastAsia="Arial" w:hAnsi="Arial"/>
                <w:sz w:val="36"/>
                <w:szCs w:val="36"/>
                <w:color w:val="auto"/>
              </w:rPr>
              <w:t>3</w:t>
            </w:r>
          </w:p>
        </w:tc>
        <w:tc>
          <w:tcPr>
            <w:tcW w:w="980" w:type="dxa"/>
            <w:vAlign w:val="bottom"/>
            <w:vMerge w:val="restart"/>
          </w:tcPr>
          <w:p>
            <w:pPr>
              <w:ind w:left="80"/>
              <w:spacing w:after="0"/>
              <w:rPr>
                <w:sz w:val="20"/>
                <w:szCs w:val="20"/>
                <w:color w:val="auto"/>
              </w:rPr>
            </w:pPr>
            <w:r>
              <w:rPr>
                <w:rFonts w:ascii="Arial" w:cs="Arial" w:eastAsia="Arial" w:hAnsi="Arial"/>
                <w:sz w:val="12"/>
                <w:szCs w:val="12"/>
                <w:color w:val="auto"/>
              </w:rPr>
              <w:t>AUDIT</w:t>
            </w:r>
          </w:p>
        </w:tc>
        <w:tc>
          <w:tcPr>
            <w:tcW w:w="460" w:type="dxa"/>
            <w:vAlign w:val="bottom"/>
            <w:gridSpan w:val="2"/>
          </w:tcPr>
          <w:p>
            <w:pPr>
              <w:jc w:val="right"/>
              <w:ind w:right="80"/>
              <w:spacing w:after="0"/>
              <w:rPr>
                <w:sz w:val="20"/>
                <w:szCs w:val="20"/>
                <w:color w:val="auto"/>
              </w:rPr>
            </w:pPr>
            <w:r>
              <w:rPr>
                <w:rFonts w:ascii="Arial" w:cs="Arial" w:eastAsia="Arial" w:hAnsi="Arial"/>
                <w:sz w:val="36"/>
                <w:szCs w:val="36"/>
                <w:color w:val="0075C9"/>
              </w:rPr>
              <w:t>4</w:t>
            </w:r>
          </w:p>
        </w:tc>
        <w:tc>
          <w:tcPr>
            <w:tcW w:w="1420" w:type="dxa"/>
            <w:vAlign w:val="bottom"/>
            <w:vMerge w:val="restart"/>
          </w:tcPr>
          <w:p>
            <w:pPr>
              <w:ind w:left="80"/>
              <w:spacing w:after="0"/>
              <w:rPr>
                <w:sz w:val="20"/>
                <w:szCs w:val="20"/>
                <w:color w:val="auto"/>
              </w:rPr>
            </w:pPr>
            <w:r>
              <w:rPr>
                <w:rFonts w:ascii="Arial" w:cs="Arial" w:eastAsia="Arial" w:hAnsi="Arial"/>
                <w:sz w:val="12"/>
                <w:szCs w:val="12"/>
                <w:color w:val="0075C9"/>
              </w:rPr>
              <w:t>PROPOSALS TO</w:t>
            </w:r>
          </w:p>
        </w:tc>
        <w:tc>
          <w:tcPr>
            <w:tcW w:w="740" w:type="dxa"/>
            <w:vAlign w:val="bottom"/>
          </w:tcPr>
          <w:p>
            <w:pPr>
              <w:jc w:val="right"/>
              <w:spacing w:after="0"/>
              <w:rPr>
                <w:sz w:val="20"/>
                <w:szCs w:val="20"/>
                <w:color w:val="auto"/>
              </w:rPr>
            </w:pPr>
            <w:r>
              <w:rPr>
                <w:rFonts w:ascii="Arial" w:cs="Arial" w:eastAsia="Arial" w:hAnsi="Arial"/>
                <w:sz w:val="36"/>
                <w:szCs w:val="36"/>
                <w:color w:val="auto"/>
              </w:rPr>
              <w:t>5</w:t>
            </w:r>
          </w:p>
        </w:tc>
        <w:tc>
          <w:tcPr>
            <w:tcW w:w="900" w:type="dxa"/>
            <w:vAlign w:val="bottom"/>
            <w:vMerge w:val="restart"/>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36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tcPr>
          <w:p>
            <w:pPr>
              <w:ind w:left="80"/>
              <w:spacing w:after="0" w:line="130" w:lineRule="exact"/>
              <w:rPr>
                <w:sz w:val="20"/>
                <w:szCs w:val="20"/>
                <w:color w:val="auto"/>
              </w:rPr>
            </w:pPr>
            <w:r>
              <w:rPr>
                <w:rFonts w:ascii="Arial" w:cs="Arial" w:eastAsia="Arial" w:hAnsi="Arial"/>
                <w:sz w:val="12"/>
                <w:szCs w:val="12"/>
                <w:color w:val="0075C9"/>
                <w:w w:val="99"/>
              </w:rPr>
              <w:t>BE VOTED ON DURING</w:t>
            </w:r>
          </w:p>
        </w:tc>
        <w:tc>
          <w:tcPr>
            <w:tcW w:w="740" w:type="dxa"/>
            <w:vAlign w:val="bottom"/>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36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tcPr>
          <w:p>
            <w:pPr>
              <w:spacing w:after="0"/>
              <w:rPr>
                <w:sz w:val="12"/>
                <w:szCs w:val="12"/>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tcPr>
          <w:p>
            <w:pPr>
              <w:spacing w:after="0"/>
              <w:rPr>
                <w:sz w:val="12"/>
                <w:szCs w:val="12"/>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ind w:left="80"/>
              <w:spacing w:after="0"/>
              <w:rPr>
                <w:sz w:val="20"/>
                <w:szCs w:val="20"/>
                <w:color w:val="auto"/>
              </w:rPr>
            </w:pPr>
            <w:r>
              <w:rPr>
                <w:rFonts w:ascii="Arial" w:cs="Arial" w:eastAsia="Arial" w:hAnsi="Arial"/>
                <w:sz w:val="12"/>
                <w:szCs w:val="12"/>
                <w:color w:val="0075C9"/>
              </w:rPr>
              <w:t>THE MEETING</w:t>
            </w:r>
          </w:p>
        </w:tc>
        <w:tc>
          <w:tcPr>
            <w:tcW w:w="740" w:type="dxa"/>
            <w:vAlign w:val="bottom"/>
          </w:tcPr>
          <w:p>
            <w:pPr>
              <w:spacing w:after="0"/>
              <w:rPr>
                <w:sz w:val="12"/>
                <w:szCs w:val="12"/>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4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jc w:val="center"/>
        <w:ind w:right="-979"/>
        <w:spacing w:after="0"/>
        <w:rPr>
          <w:sz w:val="20"/>
          <w:szCs w:val="20"/>
          <w:color w:val="auto"/>
        </w:rPr>
      </w:pPr>
      <w:r>
        <w:rPr>
          <w:rFonts w:ascii="Arial" w:cs="Arial" w:eastAsia="Arial" w:hAnsi="Arial"/>
          <w:sz w:val="21"/>
          <w:szCs w:val="21"/>
          <w:b w:val="1"/>
          <w:bCs w:val="1"/>
          <w:color w:val="auto"/>
        </w:rPr>
        <w:t>Shareholder 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-50165</wp:posOffset>
            </wp:positionV>
            <wp:extent cx="5690870" cy="51816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690870" cy="518160"/>
                    </a:xfrm>
                    <a:prstGeom prst="rect">
                      <a:avLst/>
                    </a:prstGeom>
                    <a:noFill/>
                  </pic:spPr>
                </pic:pic>
              </a:graphicData>
            </a:graphic>
          </wp:anchor>
        </w:drawing>
      </w:r>
    </w:p>
    <w:p>
      <w:pPr>
        <w:spacing w:after="0" w:line="96" w:lineRule="exact"/>
        <w:rPr>
          <w:sz w:val="20"/>
          <w:szCs w:val="20"/>
          <w:color w:val="auto"/>
        </w:rPr>
      </w:pPr>
    </w:p>
    <w:p>
      <w:pPr>
        <w:ind w:left="1300" w:right="620"/>
        <w:spacing w:after="0" w:line="239" w:lineRule="auto"/>
        <w:rPr>
          <w:sz w:val="20"/>
          <w:szCs w:val="20"/>
          <w:color w:val="auto"/>
        </w:rPr>
      </w:pPr>
      <w:r>
        <w:rPr>
          <w:rFonts w:ascii="Arial" w:cs="Arial" w:eastAsia="Arial" w:hAnsi="Arial"/>
          <w:sz w:val="16"/>
          <w:szCs w:val="16"/>
          <w:color w:val="auto"/>
        </w:rPr>
        <w:t>Harrington Investments, Inc. has advised us that it intends to submit the following proposal for consideration at the Annual Shareholders Meeting.</w:t>
      </w:r>
    </w:p>
    <w:p>
      <w:pPr>
        <w:spacing w:after="0" w:line="341"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Whereas,</w:t>
      </w:r>
    </w:p>
    <w:p>
      <w:pPr>
        <w:spacing w:after="0" w:line="15" w:lineRule="exact"/>
        <w:rPr>
          <w:sz w:val="20"/>
          <w:szCs w:val="20"/>
          <w:color w:val="auto"/>
        </w:rPr>
      </w:pPr>
    </w:p>
    <w:p>
      <w:pPr>
        <w:ind w:left="1100" w:right="640"/>
        <w:spacing w:after="0" w:line="233" w:lineRule="auto"/>
        <w:rPr>
          <w:sz w:val="20"/>
          <w:szCs w:val="20"/>
          <w:color w:val="auto"/>
        </w:rPr>
      </w:pPr>
      <w:r>
        <w:rPr>
          <w:rFonts w:ascii="Arial" w:cs="Arial" w:eastAsia="Arial" w:hAnsi="Arial"/>
          <w:sz w:val="16"/>
          <w:szCs w:val="16"/>
          <w:color w:val="auto"/>
        </w:rPr>
        <w:t>Microsoft President Brad Smith has publicly acknowledged that facial recognition technology can be racially biased, threaten individual privacy and “encroach on democratic freedoms.” In 2018, he wrote that organizations that develop and use facial recognition should be “governed by the rule of law.”</w:t>
      </w:r>
      <w:r>
        <w:rPr>
          <w:rFonts w:ascii="Arial" w:cs="Arial" w:eastAsia="Arial" w:hAnsi="Arial"/>
          <w:sz w:val="26"/>
          <w:szCs w:val="26"/>
          <w:color w:val="auto"/>
          <w:vertAlign w:val="superscript"/>
        </w:rPr>
        <w:t>1</w:t>
      </w:r>
    </w:p>
    <w:p>
      <w:pPr>
        <w:ind w:left="1100" w:right="240"/>
        <w:spacing w:after="0" w:line="216" w:lineRule="auto"/>
        <w:rPr>
          <w:sz w:val="20"/>
          <w:szCs w:val="20"/>
          <w:color w:val="auto"/>
        </w:rPr>
      </w:pPr>
      <w:r>
        <w:rPr>
          <w:rFonts w:ascii="Arial" w:cs="Arial" w:eastAsia="Arial" w:hAnsi="Arial"/>
          <w:sz w:val="15"/>
          <w:szCs w:val="15"/>
          <w:color w:val="auto"/>
        </w:rPr>
        <w:t>Since then, at least 23 U.S. jurisdictions have adopted legal bans on facial recognition technology. King County, Washington – where Microsoft is headquartered – has banned use of facial recognition by its Sheriff’s Office and other government agencies.</w:t>
      </w:r>
      <w:r>
        <w:rPr>
          <w:rFonts w:ascii="Arial" w:cs="Arial" w:eastAsia="Arial" w:hAnsi="Arial"/>
          <w:sz w:val="25"/>
          <w:szCs w:val="25"/>
          <w:color w:val="auto"/>
          <w:vertAlign w:val="superscript"/>
        </w:rPr>
        <w:t>2</w:t>
      </w:r>
      <w:r>
        <w:rPr>
          <w:rFonts w:ascii="Arial" w:cs="Arial" w:eastAsia="Arial" w:hAnsi="Arial"/>
          <w:sz w:val="15"/>
          <w:szCs w:val="15"/>
          <w:color w:val="auto"/>
        </w:rPr>
        <w:t xml:space="preserve"> In April 2021, the European Data Protection Supervisor, the European Union’s independent data protection authority, said facial recognition should be banned in Europe because of its “deep and non-democratic intrusion” into people’s private lives.</w:t>
      </w:r>
      <w:r>
        <w:rPr>
          <w:rFonts w:ascii="Arial" w:cs="Arial" w:eastAsia="Arial" w:hAnsi="Arial"/>
          <w:sz w:val="25"/>
          <w:szCs w:val="25"/>
          <w:color w:val="auto"/>
          <w:vertAlign w:val="superscript"/>
        </w:rPr>
        <w:t>3</w:t>
      </w:r>
    </w:p>
    <w:p>
      <w:pPr>
        <w:spacing w:after="0" w:line="1" w:lineRule="exact"/>
        <w:rPr>
          <w:sz w:val="20"/>
          <w:szCs w:val="20"/>
          <w:color w:val="auto"/>
        </w:rPr>
      </w:pPr>
    </w:p>
    <w:p>
      <w:pPr>
        <w:ind w:left="1100" w:right="160"/>
        <w:spacing w:after="0" w:line="233" w:lineRule="auto"/>
        <w:rPr>
          <w:sz w:val="20"/>
          <w:szCs w:val="20"/>
          <w:color w:val="auto"/>
        </w:rPr>
      </w:pPr>
      <w:r>
        <w:rPr>
          <w:rFonts w:ascii="Arial" w:cs="Arial" w:eastAsia="Arial" w:hAnsi="Arial"/>
          <w:sz w:val="16"/>
          <w:szCs w:val="16"/>
          <w:color w:val="auto"/>
        </w:rPr>
        <w:t>In June 2021, more than 175 civil society organizations, activists, technologists, and other experts from 55 countries demanded an end to the use of facial recognition and remote biometric technologies, saying such technology “often criminalizes low-income and marginalized communities, including communities of color, the same communities that have traditionally faced structural racism and discrimination.”</w:t>
      </w:r>
      <w:r>
        <w:rPr>
          <w:rFonts w:ascii="Arial" w:cs="Arial" w:eastAsia="Arial" w:hAnsi="Arial"/>
          <w:sz w:val="26"/>
          <w:szCs w:val="26"/>
          <w:color w:val="auto"/>
          <w:vertAlign w:val="superscript"/>
        </w:rPr>
        <w:t>4</w:t>
      </w:r>
    </w:p>
    <w:p>
      <w:pPr>
        <w:spacing w:after="0" w:line="3" w:lineRule="exact"/>
        <w:rPr>
          <w:sz w:val="20"/>
          <w:szCs w:val="20"/>
          <w:color w:val="auto"/>
        </w:rPr>
      </w:pPr>
    </w:p>
    <w:p>
      <w:pPr>
        <w:ind w:left="1100" w:right="260"/>
        <w:spacing w:after="0" w:line="239" w:lineRule="auto"/>
        <w:rPr>
          <w:sz w:val="20"/>
          <w:szCs w:val="20"/>
          <w:color w:val="auto"/>
        </w:rPr>
      </w:pPr>
      <w:r>
        <w:rPr>
          <w:rFonts w:ascii="Arial" w:cs="Arial" w:eastAsia="Arial" w:hAnsi="Arial"/>
          <w:sz w:val="16"/>
          <w:szCs w:val="16"/>
          <w:color w:val="auto"/>
        </w:rPr>
        <w:t>A shareholder proposal at Amazon addressing concerns associated with the use of facial recognition software by government and law enforcement has garnered increasing shareholder support over the past three years.</w:t>
      </w:r>
    </w:p>
    <w:p>
      <w:pPr>
        <w:spacing w:after="0" w:line="100" w:lineRule="exact"/>
        <w:rPr>
          <w:sz w:val="20"/>
          <w:szCs w:val="20"/>
          <w:color w:val="auto"/>
        </w:rPr>
      </w:pPr>
    </w:p>
    <w:p>
      <w:pPr>
        <w:ind w:left="1100" w:right="180"/>
        <w:spacing w:after="0" w:line="233" w:lineRule="auto"/>
        <w:rPr>
          <w:sz w:val="20"/>
          <w:szCs w:val="20"/>
          <w:color w:val="auto"/>
        </w:rPr>
      </w:pPr>
      <w:r>
        <w:rPr>
          <w:rFonts w:ascii="Arial" w:cs="Arial" w:eastAsia="Arial" w:hAnsi="Arial"/>
          <w:sz w:val="16"/>
          <w:szCs w:val="16"/>
          <w:color w:val="auto"/>
        </w:rPr>
        <w:t>Shareholders are concerned Microsoft’s facial recognition technology poses risk to civil and human rights and shareholder value. In June 2021, 50 global investors representing more than $4.5 trillion in assets called on companies involved in the development and use of facial recognition technology to proactively assess, disclose, mitigate and remediate human rights risks related to the technology.</w:t>
      </w:r>
      <w:r>
        <w:rPr>
          <w:rFonts w:ascii="Arial" w:cs="Arial" w:eastAsia="Arial" w:hAnsi="Arial"/>
          <w:sz w:val="26"/>
          <w:szCs w:val="26"/>
          <w:color w:val="auto"/>
          <w:vertAlign w:val="superscript"/>
        </w:rPr>
        <w:t>5</w:t>
      </w:r>
    </w:p>
    <w:p>
      <w:pPr>
        <w:spacing w:after="0" w:line="3" w:lineRule="exact"/>
        <w:rPr>
          <w:sz w:val="20"/>
          <w:szCs w:val="20"/>
          <w:color w:val="auto"/>
        </w:rPr>
      </w:pPr>
    </w:p>
    <w:p>
      <w:pPr>
        <w:ind w:left="1100" w:right="280"/>
        <w:spacing w:after="0" w:line="216" w:lineRule="auto"/>
        <w:rPr>
          <w:sz w:val="20"/>
          <w:szCs w:val="20"/>
          <w:color w:val="auto"/>
        </w:rPr>
      </w:pPr>
      <w:r>
        <w:rPr>
          <w:rFonts w:ascii="Arial" w:cs="Arial" w:eastAsia="Arial" w:hAnsi="Arial"/>
          <w:sz w:val="15"/>
          <w:szCs w:val="15"/>
          <w:color w:val="auto"/>
        </w:rPr>
        <w:t>Microsoft said in 2020 that it “will not sell facial recognition technology to police departments in the United States until strong regulation, grounded in human rights, has been enacted.”</w:t>
      </w:r>
      <w:r>
        <w:rPr>
          <w:rFonts w:ascii="Arial" w:cs="Arial" w:eastAsia="Arial" w:hAnsi="Arial"/>
          <w:sz w:val="25"/>
          <w:szCs w:val="25"/>
          <w:color w:val="auto"/>
          <w:vertAlign w:val="superscript"/>
        </w:rPr>
        <w:t>6</w:t>
      </w:r>
      <w:r>
        <w:rPr>
          <w:rFonts w:ascii="Arial" w:cs="Arial" w:eastAsia="Arial" w:hAnsi="Arial"/>
          <w:sz w:val="15"/>
          <w:szCs w:val="15"/>
          <w:color w:val="auto"/>
        </w:rPr>
        <w:t xml:space="preserve"> However, the company’s position does not address potential sales to local, state or federal agencies, or to governments outside the U.S., with a history of oppression and human rights abuses. On its website, Microsoft continues to market its technology, urging customers to “Get accurate facial recognition at competitive prices.”</w:t>
      </w:r>
      <w:r>
        <w:rPr>
          <w:rFonts w:ascii="Arial" w:cs="Arial" w:eastAsia="Arial" w:hAnsi="Arial"/>
          <w:sz w:val="25"/>
          <w:szCs w:val="25"/>
          <w:color w:val="auto"/>
          <w:vertAlign w:val="superscript"/>
        </w:rPr>
        <w:t>7</w:t>
      </w:r>
    </w:p>
    <w:p>
      <w:pPr>
        <w:spacing w:after="0" w:line="1" w:lineRule="exact"/>
        <w:rPr>
          <w:sz w:val="20"/>
          <w:szCs w:val="20"/>
          <w:color w:val="auto"/>
        </w:rPr>
      </w:pPr>
    </w:p>
    <w:p>
      <w:pPr>
        <w:ind w:left="1100" w:right="180"/>
        <w:spacing w:after="0" w:line="239" w:lineRule="auto"/>
        <w:rPr>
          <w:sz w:val="20"/>
          <w:szCs w:val="20"/>
          <w:color w:val="auto"/>
        </w:rPr>
      </w:pPr>
      <w:r>
        <w:rPr>
          <w:rFonts w:ascii="Arial" w:cs="Arial" w:eastAsia="Arial" w:hAnsi="Arial"/>
          <w:sz w:val="16"/>
          <w:szCs w:val="16"/>
          <w:color w:val="auto"/>
        </w:rPr>
        <w:t>In contrast, Microsoft peer IBM announced in 2020 that it would no longer offer general purpose facial recognition technology, citing concerns about “mass surveillance, racial profiling, violations of basic human rights and freedoms.”</w:t>
      </w:r>
    </w:p>
    <w:p>
      <w:pPr>
        <w:spacing w:after="0" w:line="82" w:lineRule="exact"/>
        <w:rPr>
          <w:sz w:val="20"/>
          <w:szCs w:val="20"/>
          <w:color w:val="auto"/>
        </w:rPr>
      </w:pPr>
    </w:p>
    <w:p>
      <w:pPr>
        <w:ind w:left="1100" w:right="720"/>
        <w:spacing w:after="0" w:line="263" w:lineRule="auto"/>
        <w:rPr>
          <w:sz w:val="20"/>
          <w:szCs w:val="20"/>
          <w:color w:val="auto"/>
        </w:rPr>
      </w:pPr>
      <w:r>
        <w:rPr>
          <w:rFonts w:ascii="Arial" w:cs="Arial" w:eastAsia="Arial" w:hAnsi="Arial"/>
          <w:sz w:val="16"/>
          <w:szCs w:val="16"/>
          <w:b w:val="1"/>
          <w:bCs w:val="1"/>
          <w:color w:val="auto"/>
        </w:rPr>
        <w:t xml:space="preserve">RESOLVED: </w:t>
      </w:r>
      <w:r>
        <w:rPr>
          <w:rFonts w:ascii="Arial" w:cs="Arial" w:eastAsia="Arial" w:hAnsi="Arial"/>
          <w:sz w:val="16"/>
          <w:szCs w:val="16"/>
          <w:color w:val="auto"/>
        </w:rPr>
        <w:t>Shareholders request that the Board of Directors generally prohibit sales of facial recognition technology to all</w:t>
      </w:r>
      <w:r>
        <w:rPr>
          <w:rFonts w:ascii="Arial" w:cs="Arial" w:eastAsia="Arial" w:hAnsi="Arial"/>
          <w:sz w:val="16"/>
          <w:szCs w:val="16"/>
          <w:b w:val="1"/>
          <w:bCs w:val="1"/>
          <w:color w:val="auto"/>
        </w:rPr>
        <w:t xml:space="preserve"> </w:t>
      </w:r>
      <w:r>
        <w:rPr>
          <w:rFonts w:ascii="Arial" w:cs="Arial" w:eastAsia="Arial" w:hAnsi="Arial"/>
          <w:sz w:val="16"/>
          <w:szCs w:val="16"/>
          <w:color w:val="auto"/>
        </w:rPr>
        <w:t>government entities, and to disclose any exceptions made, in the board and management’s discretion.</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Supporting Statement:</w:t>
      </w:r>
    </w:p>
    <w:p>
      <w:pPr>
        <w:spacing w:after="0" w:line="15" w:lineRule="exact"/>
        <w:rPr>
          <w:sz w:val="20"/>
          <w:szCs w:val="20"/>
          <w:color w:val="auto"/>
        </w:rPr>
      </w:pPr>
    </w:p>
    <w:p>
      <w:pPr>
        <w:ind w:left="1100" w:right="200"/>
        <w:spacing w:after="0" w:line="238" w:lineRule="auto"/>
        <w:rPr>
          <w:sz w:val="20"/>
          <w:szCs w:val="20"/>
          <w:color w:val="auto"/>
        </w:rPr>
      </w:pPr>
      <w:r>
        <w:rPr>
          <w:rFonts w:ascii="Arial" w:cs="Arial" w:eastAsia="Arial" w:hAnsi="Arial"/>
          <w:sz w:val="16"/>
          <w:szCs w:val="16"/>
          <w:color w:val="auto"/>
        </w:rPr>
        <w:t>Local bans of these technologies, building on the evidence of concern, have demonstrated that facial recognition technologies in the hands of government are an inherent threat to civil and human rights. The Company should acknowledge this by banning sales to government entities.</w:t>
      </w:r>
    </w:p>
    <w:p>
      <w:pPr>
        <w:spacing w:after="0" w:line="106" w:lineRule="exact"/>
        <w:rPr>
          <w:sz w:val="20"/>
          <w:szCs w:val="20"/>
          <w:color w:val="auto"/>
        </w:rPr>
      </w:pPr>
    </w:p>
    <w:p>
      <w:pPr>
        <w:ind w:left="1360" w:hanging="258"/>
        <w:spacing w:after="0"/>
        <w:tabs>
          <w:tab w:leader="none" w:pos="1360" w:val="left"/>
        </w:tabs>
        <w:numPr>
          <w:ilvl w:val="0"/>
          <w:numId w:val="113"/>
        </w:numPr>
        <w:rPr>
          <w:rFonts w:ascii="Arial" w:cs="Arial" w:eastAsia="Arial" w:hAnsi="Arial"/>
          <w:sz w:val="12"/>
          <w:szCs w:val="12"/>
          <w:color w:val="auto"/>
        </w:rPr>
      </w:pPr>
      <w:r>
        <w:rPr>
          <w:rFonts w:ascii="Arial" w:cs="Arial" w:eastAsia="Arial" w:hAnsi="Arial"/>
          <w:sz w:val="12"/>
          <w:szCs w:val="12"/>
          <w:color w:val="auto"/>
        </w:rPr>
        <w:t>https://blogs.microsoft.com/on-the-issues/2018/12/06/facial-recognition-its-time-for-action/</w:t>
      </w:r>
    </w:p>
    <w:p>
      <w:pPr>
        <w:spacing w:after="0" w:line="30" w:lineRule="exact"/>
        <w:rPr>
          <w:rFonts w:ascii="Arial" w:cs="Arial" w:eastAsia="Arial" w:hAnsi="Arial"/>
          <w:sz w:val="12"/>
          <w:szCs w:val="12"/>
          <w:color w:val="auto"/>
        </w:rPr>
      </w:pPr>
    </w:p>
    <w:p>
      <w:pPr>
        <w:ind w:left="1360" w:hanging="258"/>
        <w:spacing w:after="0"/>
        <w:tabs>
          <w:tab w:leader="none" w:pos="1360" w:val="left"/>
        </w:tabs>
        <w:numPr>
          <w:ilvl w:val="0"/>
          <w:numId w:val="113"/>
        </w:numPr>
        <w:rPr>
          <w:rFonts w:ascii="Arial" w:cs="Arial" w:eastAsia="Arial" w:hAnsi="Arial"/>
          <w:sz w:val="12"/>
          <w:szCs w:val="12"/>
          <w:color w:val="auto"/>
        </w:rPr>
      </w:pPr>
      <w:r>
        <w:rPr>
          <w:rFonts w:ascii="Arial" w:cs="Arial" w:eastAsia="Arial" w:hAnsi="Arial"/>
          <w:sz w:val="12"/>
          <w:szCs w:val="12"/>
          <w:color w:val="auto"/>
        </w:rPr>
        <w:t>https://www.seattletimes.com/seattle-news/politics/king-county-council-bans-use-of-facial-recognitiontechnology-by-sheriffs-office-other-agencies/</w:t>
      </w:r>
    </w:p>
    <w:p>
      <w:pPr>
        <w:spacing w:after="0" w:line="30" w:lineRule="exact"/>
        <w:rPr>
          <w:rFonts w:ascii="Arial" w:cs="Arial" w:eastAsia="Arial" w:hAnsi="Arial"/>
          <w:sz w:val="12"/>
          <w:szCs w:val="12"/>
          <w:color w:val="auto"/>
        </w:rPr>
      </w:pPr>
    </w:p>
    <w:p>
      <w:pPr>
        <w:ind w:left="1360" w:hanging="258"/>
        <w:spacing w:after="0"/>
        <w:tabs>
          <w:tab w:leader="none" w:pos="1360" w:val="left"/>
        </w:tabs>
        <w:numPr>
          <w:ilvl w:val="0"/>
          <w:numId w:val="113"/>
        </w:numPr>
        <w:rPr>
          <w:rFonts w:ascii="Arial" w:cs="Arial" w:eastAsia="Arial" w:hAnsi="Arial"/>
          <w:sz w:val="12"/>
          <w:szCs w:val="12"/>
          <w:color w:val="auto"/>
        </w:rPr>
      </w:pPr>
      <w:r>
        <w:rPr>
          <w:rFonts w:ascii="Arial" w:cs="Arial" w:eastAsia="Arial" w:hAnsi="Arial"/>
          <w:sz w:val="12"/>
          <w:szCs w:val="12"/>
          <w:color w:val="auto"/>
        </w:rPr>
        <w:t>https://www.reuters.com/technology/facial-recognition-should-be-banned-eu-privacy-watchdog-says-2021-04-23/</w:t>
      </w:r>
    </w:p>
    <w:p>
      <w:pPr>
        <w:spacing w:after="0" w:line="30" w:lineRule="exact"/>
        <w:rPr>
          <w:rFonts w:ascii="Arial" w:cs="Arial" w:eastAsia="Arial" w:hAnsi="Arial"/>
          <w:sz w:val="12"/>
          <w:szCs w:val="12"/>
          <w:color w:val="auto"/>
        </w:rPr>
      </w:pPr>
    </w:p>
    <w:p>
      <w:pPr>
        <w:ind w:left="1360" w:hanging="258"/>
        <w:spacing w:after="0"/>
        <w:tabs>
          <w:tab w:leader="none" w:pos="1360" w:val="left"/>
        </w:tabs>
        <w:numPr>
          <w:ilvl w:val="0"/>
          <w:numId w:val="113"/>
        </w:numPr>
        <w:rPr>
          <w:rFonts w:ascii="Arial" w:cs="Arial" w:eastAsia="Arial" w:hAnsi="Arial"/>
          <w:sz w:val="12"/>
          <w:szCs w:val="12"/>
          <w:color w:val="auto"/>
        </w:rPr>
      </w:pPr>
      <w:r>
        <w:rPr>
          <w:rFonts w:ascii="Arial" w:cs="Arial" w:eastAsia="Arial" w:hAnsi="Arial"/>
          <w:sz w:val="12"/>
          <w:szCs w:val="12"/>
          <w:color w:val="auto"/>
        </w:rPr>
        <w:t>https://www.accessnow.org/cms/assets/uploads/2021/06/BanBS-Statement-English.pdf</w:t>
      </w:r>
    </w:p>
    <w:p>
      <w:pPr>
        <w:spacing w:after="0" w:line="30" w:lineRule="exact"/>
        <w:rPr>
          <w:rFonts w:ascii="Arial" w:cs="Arial" w:eastAsia="Arial" w:hAnsi="Arial"/>
          <w:sz w:val="12"/>
          <w:szCs w:val="12"/>
          <w:color w:val="auto"/>
        </w:rPr>
      </w:pPr>
    </w:p>
    <w:p>
      <w:pPr>
        <w:ind w:left="1360" w:hanging="258"/>
        <w:spacing w:after="0"/>
        <w:tabs>
          <w:tab w:leader="none" w:pos="1360" w:val="left"/>
        </w:tabs>
        <w:numPr>
          <w:ilvl w:val="0"/>
          <w:numId w:val="113"/>
        </w:numPr>
        <w:rPr>
          <w:rFonts w:ascii="Arial" w:cs="Arial" w:eastAsia="Arial" w:hAnsi="Arial"/>
          <w:sz w:val="12"/>
          <w:szCs w:val="12"/>
          <w:color w:val="auto"/>
        </w:rPr>
      </w:pPr>
      <w:r>
        <w:rPr>
          <w:rFonts w:ascii="Arial" w:cs="Arial" w:eastAsia="Arial" w:hAnsi="Arial"/>
          <w:sz w:val="12"/>
          <w:szCs w:val="12"/>
          <w:color w:val="auto"/>
        </w:rPr>
        <w:t>https://www.candriam.com/49c9f2/siteassets/campagne/facial-recognition/2021_05_investor_statement_facial_recognition_candriam_en_final.pdf</w:t>
      </w:r>
    </w:p>
    <w:p>
      <w:pPr>
        <w:spacing w:after="0" w:line="30" w:lineRule="exact"/>
        <w:rPr>
          <w:rFonts w:ascii="Arial" w:cs="Arial" w:eastAsia="Arial" w:hAnsi="Arial"/>
          <w:sz w:val="12"/>
          <w:szCs w:val="12"/>
          <w:color w:val="auto"/>
        </w:rPr>
      </w:pPr>
    </w:p>
    <w:p>
      <w:pPr>
        <w:ind w:left="1360" w:hanging="258"/>
        <w:spacing w:after="0"/>
        <w:tabs>
          <w:tab w:leader="none" w:pos="1360" w:val="left"/>
        </w:tabs>
        <w:numPr>
          <w:ilvl w:val="0"/>
          <w:numId w:val="113"/>
        </w:numPr>
        <w:rPr>
          <w:rFonts w:ascii="Arial" w:cs="Arial" w:eastAsia="Arial" w:hAnsi="Arial"/>
          <w:sz w:val="12"/>
          <w:szCs w:val="12"/>
          <w:color w:val="auto"/>
        </w:rPr>
      </w:pPr>
      <w:r>
        <w:rPr>
          <w:rFonts w:ascii="Arial" w:cs="Arial" w:eastAsia="Arial" w:hAnsi="Arial"/>
          <w:sz w:val="12"/>
          <w:szCs w:val="12"/>
          <w:color w:val="auto"/>
        </w:rPr>
        <w:t>https://docs.microsoft.com/en-us/azure/cognitive-services/face/overview</w:t>
      </w:r>
    </w:p>
    <w:p>
      <w:pPr>
        <w:spacing w:after="0" w:line="30" w:lineRule="exact"/>
        <w:rPr>
          <w:rFonts w:ascii="Arial" w:cs="Arial" w:eastAsia="Arial" w:hAnsi="Arial"/>
          <w:sz w:val="12"/>
          <w:szCs w:val="12"/>
          <w:color w:val="auto"/>
        </w:rPr>
      </w:pPr>
    </w:p>
    <w:p>
      <w:pPr>
        <w:ind w:left="1360" w:hanging="258"/>
        <w:spacing w:after="0"/>
        <w:tabs>
          <w:tab w:leader="none" w:pos="1360" w:val="left"/>
        </w:tabs>
        <w:numPr>
          <w:ilvl w:val="0"/>
          <w:numId w:val="113"/>
        </w:numPr>
        <w:rPr>
          <w:rFonts w:ascii="Arial" w:cs="Arial" w:eastAsia="Arial" w:hAnsi="Arial"/>
          <w:sz w:val="12"/>
          <w:szCs w:val="12"/>
          <w:color w:val="auto"/>
        </w:rPr>
      </w:pPr>
      <w:r>
        <w:rPr>
          <w:rFonts w:ascii="Arial" w:cs="Arial" w:eastAsia="Arial" w:hAnsi="Arial"/>
          <w:sz w:val="12"/>
          <w:szCs w:val="12"/>
          <w:color w:val="auto"/>
        </w:rPr>
        <w:t>https://azure.microsoft.com/en-us/services/cognitive-services/face/#security</w:t>
      </w:r>
    </w:p>
    <w:p>
      <w:pPr>
        <w:spacing w:after="0" w:line="200" w:lineRule="exact"/>
        <w:rPr>
          <w:sz w:val="20"/>
          <w:szCs w:val="20"/>
          <w:color w:val="auto"/>
        </w:rPr>
      </w:pPr>
    </w:p>
    <w:p>
      <w:pPr>
        <w:spacing w:after="0" w:line="304"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2021 PROXY STATEMENT</w:t>
      </w:r>
      <w:r>
        <w:rPr>
          <w:sz w:val="20"/>
          <w:szCs w:val="20"/>
          <w:color w:val="auto"/>
        </w:rPr>
        <w:tab/>
      </w:r>
      <w:r>
        <w:rPr>
          <w:rFonts w:ascii="Arial" w:cs="Arial" w:eastAsia="Arial" w:hAnsi="Arial"/>
          <w:sz w:val="12"/>
          <w:szCs w:val="12"/>
          <w:b w:val="1"/>
          <w:bCs w:val="1"/>
          <w:color w:val="0075C9"/>
        </w:rPr>
        <w:t>77</w:t>
      </w:r>
    </w:p>
    <w:p>
      <w:pPr>
        <w:sectPr>
          <w:pgSz w:w="11900" w:h="16838" w:orient="portrait"/>
          <w:cols w:equalWidth="0" w:num="1">
            <w:col w:w="10280"/>
          </w:cols>
          <w:pgMar w:left="320" w:top="445" w:right="1299" w:bottom="1440" w:gutter="0" w:footer="0" w:header="0"/>
        </w:sectPr>
      </w:pPr>
    </w:p>
    <w:bookmarkStart w:id="85" w:name="page86"/>
    <w:bookmarkEnd w:id="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auto"/>
                <w:w w:val="89"/>
              </w:rPr>
              <w:t>1</w:t>
            </w:r>
          </w:p>
        </w:tc>
        <w:tc>
          <w:tcPr>
            <w:tcW w:w="1360" w:type="dxa"/>
            <w:vAlign w:val="bottom"/>
            <w:vMerge w:val="restart"/>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tcPr>
          <w:p>
            <w:pPr>
              <w:jc w:val="right"/>
              <w:spacing w:after="0"/>
              <w:rPr>
                <w:sz w:val="20"/>
                <w:szCs w:val="20"/>
                <w:color w:val="auto"/>
              </w:rPr>
            </w:pPr>
            <w:r>
              <w:rPr>
                <w:rFonts w:ascii="Arial" w:cs="Arial" w:eastAsia="Arial" w:hAnsi="Arial"/>
                <w:sz w:val="36"/>
                <w:szCs w:val="36"/>
                <w:color w:val="auto"/>
              </w:rPr>
              <w:t>2</w:t>
            </w:r>
          </w:p>
        </w:tc>
        <w:tc>
          <w:tcPr>
            <w:tcW w:w="1540" w:type="dxa"/>
            <w:vAlign w:val="bottom"/>
            <w:vMerge w:val="restart"/>
          </w:tcPr>
          <w:p>
            <w:pPr>
              <w:ind w:left="80"/>
              <w:spacing w:after="0"/>
              <w:rPr>
                <w:sz w:val="20"/>
                <w:szCs w:val="20"/>
                <w:color w:val="auto"/>
              </w:rPr>
            </w:pPr>
            <w:r>
              <w:rPr>
                <w:rFonts w:ascii="Arial" w:cs="Arial" w:eastAsia="Arial" w:hAnsi="Arial"/>
                <w:sz w:val="12"/>
                <w:szCs w:val="12"/>
                <w:color w:val="auto"/>
              </w:rPr>
              <w:t>NAMED</w:t>
            </w:r>
          </w:p>
        </w:tc>
        <w:tc>
          <w:tcPr>
            <w:tcW w:w="500" w:type="dxa"/>
            <w:vAlign w:val="bottom"/>
          </w:tcPr>
          <w:p>
            <w:pPr>
              <w:jc w:val="right"/>
              <w:spacing w:after="0"/>
              <w:rPr>
                <w:sz w:val="20"/>
                <w:szCs w:val="20"/>
                <w:color w:val="auto"/>
              </w:rPr>
            </w:pPr>
            <w:r>
              <w:rPr>
                <w:rFonts w:ascii="Arial" w:cs="Arial" w:eastAsia="Arial" w:hAnsi="Arial"/>
                <w:sz w:val="36"/>
                <w:szCs w:val="36"/>
                <w:color w:val="auto"/>
              </w:rPr>
              <w:t>3</w:t>
            </w:r>
          </w:p>
        </w:tc>
        <w:tc>
          <w:tcPr>
            <w:tcW w:w="980" w:type="dxa"/>
            <w:vAlign w:val="bottom"/>
            <w:vMerge w:val="restart"/>
          </w:tcPr>
          <w:p>
            <w:pPr>
              <w:ind w:left="80"/>
              <w:spacing w:after="0"/>
              <w:rPr>
                <w:sz w:val="20"/>
                <w:szCs w:val="20"/>
                <w:color w:val="auto"/>
              </w:rPr>
            </w:pPr>
            <w:r>
              <w:rPr>
                <w:rFonts w:ascii="Arial" w:cs="Arial" w:eastAsia="Arial" w:hAnsi="Arial"/>
                <w:sz w:val="12"/>
                <w:szCs w:val="12"/>
                <w:color w:val="auto"/>
              </w:rPr>
              <w:t>AUDIT</w:t>
            </w:r>
          </w:p>
        </w:tc>
        <w:tc>
          <w:tcPr>
            <w:tcW w:w="460" w:type="dxa"/>
            <w:vAlign w:val="bottom"/>
            <w:gridSpan w:val="2"/>
          </w:tcPr>
          <w:p>
            <w:pPr>
              <w:jc w:val="right"/>
              <w:ind w:right="80"/>
              <w:spacing w:after="0"/>
              <w:rPr>
                <w:sz w:val="20"/>
                <w:szCs w:val="20"/>
                <w:color w:val="auto"/>
              </w:rPr>
            </w:pPr>
            <w:r>
              <w:rPr>
                <w:rFonts w:ascii="Arial" w:cs="Arial" w:eastAsia="Arial" w:hAnsi="Arial"/>
                <w:sz w:val="36"/>
                <w:szCs w:val="36"/>
                <w:color w:val="0075C9"/>
              </w:rPr>
              <w:t>4</w:t>
            </w:r>
          </w:p>
        </w:tc>
        <w:tc>
          <w:tcPr>
            <w:tcW w:w="1420" w:type="dxa"/>
            <w:vAlign w:val="bottom"/>
            <w:vMerge w:val="restart"/>
          </w:tcPr>
          <w:p>
            <w:pPr>
              <w:ind w:left="80"/>
              <w:spacing w:after="0"/>
              <w:rPr>
                <w:sz w:val="20"/>
                <w:szCs w:val="20"/>
                <w:color w:val="auto"/>
              </w:rPr>
            </w:pPr>
            <w:r>
              <w:rPr>
                <w:rFonts w:ascii="Arial" w:cs="Arial" w:eastAsia="Arial" w:hAnsi="Arial"/>
                <w:sz w:val="12"/>
                <w:szCs w:val="12"/>
                <w:color w:val="0075C9"/>
              </w:rPr>
              <w:t>PROPOSALS TO</w:t>
            </w:r>
          </w:p>
        </w:tc>
        <w:tc>
          <w:tcPr>
            <w:tcW w:w="740" w:type="dxa"/>
            <w:vAlign w:val="bottom"/>
          </w:tcPr>
          <w:p>
            <w:pPr>
              <w:jc w:val="right"/>
              <w:spacing w:after="0"/>
              <w:rPr>
                <w:sz w:val="20"/>
                <w:szCs w:val="20"/>
                <w:color w:val="auto"/>
              </w:rPr>
            </w:pPr>
            <w:r>
              <w:rPr>
                <w:rFonts w:ascii="Arial" w:cs="Arial" w:eastAsia="Arial" w:hAnsi="Arial"/>
                <w:sz w:val="36"/>
                <w:szCs w:val="36"/>
                <w:color w:val="auto"/>
              </w:rPr>
              <w:t>5</w:t>
            </w:r>
          </w:p>
        </w:tc>
        <w:tc>
          <w:tcPr>
            <w:tcW w:w="900" w:type="dxa"/>
            <w:vAlign w:val="bottom"/>
            <w:vMerge w:val="restart"/>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36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tcPr>
          <w:p>
            <w:pPr>
              <w:ind w:left="80"/>
              <w:spacing w:after="0" w:line="130" w:lineRule="exact"/>
              <w:rPr>
                <w:sz w:val="20"/>
                <w:szCs w:val="20"/>
                <w:color w:val="auto"/>
              </w:rPr>
            </w:pPr>
            <w:r>
              <w:rPr>
                <w:rFonts w:ascii="Arial" w:cs="Arial" w:eastAsia="Arial" w:hAnsi="Arial"/>
                <w:sz w:val="12"/>
                <w:szCs w:val="12"/>
                <w:color w:val="0075C9"/>
                <w:w w:val="99"/>
              </w:rPr>
              <w:t>BE VOTED ON DURING</w:t>
            </w:r>
          </w:p>
        </w:tc>
        <w:tc>
          <w:tcPr>
            <w:tcW w:w="740" w:type="dxa"/>
            <w:vAlign w:val="bottom"/>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36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tcPr>
          <w:p>
            <w:pPr>
              <w:spacing w:after="0"/>
              <w:rPr>
                <w:sz w:val="12"/>
                <w:szCs w:val="12"/>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tcPr>
          <w:p>
            <w:pPr>
              <w:spacing w:after="0"/>
              <w:rPr>
                <w:sz w:val="12"/>
                <w:szCs w:val="12"/>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ind w:left="80"/>
              <w:spacing w:after="0"/>
              <w:rPr>
                <w:sz w:val="20"/>
                <w:szCs w:val="20"/>
                <w:color w:val="auto"/>
              </w:rPr>
            </w:pPr>
            <w:r>
              <w:rPr>
                <w:rFonts w:ascii="Arial" w:cs="Arial" w:eastAsia="Arial" w:hAnsi="Arial"/>
                <w:sz w:val="12"/>
                <w:szCs w:val="12"/>
                <w:color w:val="0075C9"/>
              </w:rPr>
              <w:t>THE MEETING</w:t>
            </w:r>
          </w:p>
        </w:tc>
        <w:tc>
          <w:tcPr>
            <w:tcW w:w="740" w:type="dxa"/>
            <w:vAlign w:val="bottom"/>
          </w:tcPr>
          <w:p>
            <w:pPr>
              <w:spacing w:after="0"/>
              <w:rPr>
                <w:sz w:val="12"/>
                <w:szCs w:val="12"/>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4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0075C9"/>
        </w:rPr>
        <w:t>Board Recommendation</w:t>
      </w:r>
    </w:p>
    <w:p>
      <w:pPr>
        <w:spacing w:after="0" w:line="104" w:lineRule="exact"/>
        <w:rPr>
          <w:sz w:val="20"/>
          <w:szCs w:val="20"/>
          <w:color w:val="auto"/>
        </w:rPr>
      </w:pPr>
    </w:p>
    <w:p>
      <w:pPr>
        <w:ind w:left="1100"/>
        <w:spacing w:after="0"/>
        <w:rPr>
          <w:sz w:val="20"/>
          <w:szCs w:val="20"/>
          <w:color w:val="auto"/>
        </w:rPr>
      </w:pPr>
      <w:r>
        <w:rPr>
          <w:rFonts w:ascii="Arial" w:cs="Arial" w:eastAsia="Arial" w:hAnsi="Arial"/>
          <w:sz w:val="17"/>
          <w:szCs w:val="17"/>
          <w:b w:val="1"/>
          <w:bCs w:val="1"/>
          <w:i w:val="1"/>
          <w:iCs w:val="1"/>
          <w:color w:val="0075C9"/>
        </w:rPr>
        <w:t>The Board of Directors recommends a vote AGAINST the proposal for the following reasons:</w:t>
      </w:r>
    </w:p>
    <w:p>
      <w:pPr>
        <w:spacing w:after="0" w:line="107"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COMPANY STATEMENT IN OPPOSITION</w:t>
      </w:r>
    </w:p>
    <w:p>
      <w:pPr>
        <w:spacing w:after="0" w:line="119" w:lineRule="exact"/>
        <w:rPr>
          <w:sz w:val="20"/>
          <w:szCs w:val="20"/>
          <w:color w:val="auto"/>
        </w:rPr>
      </w:pPr>
    </w:p>
    <w:p>
      <w:pPr>
        <w:ind w:left="1100" w:right="99"/>
        <w:spacing w:after="0" w:line="237" w:lineRule="auto"/>
        <w:rPr>
          <w:sz w:val="20"/>
          <w:szCs w:val="20"/>
          <w:color w:val="auto"/>
        </w:rPr>
      </w:pPr>
      <w:r>
        <w:rPr>
          <w:rFonts w:ascii="Arial" w:cs="Arial" w:eastAsia="Arial" w:hAnsi="Arial"/>
          <w:sz w:val="16"/>
          <w:szCs w:val="16"/>
          <w:color w:val="auto"/>
        </w:rPr>
        <w:t>The requested policy does not advance the interests of Microsoft, its shareholders, or other stakeholders. As detailed below, Microsoft has made extensive public commitments to restrict our sale of facial recognition technology based on human rights considerations and discloses information on our approach to meeting those commitments. This proposal does not recognize those commitments and would impose a blunt prohibition that would deny public agencies the ability to deploy facial recognition technology in societally beneficial use cases.</w:t>
      </w:r>
    </w:p>
    <w:p>
      <w:pPr>
        <w:spacing w:after="0" w:line="115" w:lineRule="exact"/>
        <w:rPr>
          <w:sz w:val="20"/>
          <w:szCs w:val="20"/>
          <w:color w:val="auto"/>
        </w:rPr>
      </w:pPr>
    </w:p>
    <w:p>
      <w:pPr>
        <w:ind w:left="1260" w:right="179" w:hanging="158"/>
        <w:spacing w:after="0" w:line="238" w:lineRule="auto"/>
        <w:tabs>
          <w:tab w:leader="none" w:pos="12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Since 2018, Microsoft has led the industry in adopting and implementing a set of Facial Recognition Principles, applied them to its sale of facial recognition technology, and repeatedly called for regulation to guard against misuse and provide people with protection under the law.</w:t>
      </w:r>
    </w:p>
    <w:p>
      <w:pPr>
        <w:spacing w:after="0" w:line="113" w:lineRule="exact"/>
        <w:rPr>
          <w:rFonts w:ascii="Arial" w:cs="Arial" w:eastAsia="Arial" w:hAnsi="Arial"/>
          <w:sz w:val="16"/>
          <w:szCs w:val="16"/>
          <w:color w:val="auto"/>
        </w:rPr>
      </w:pPr>
    </w:p>
    <w:p>
      <w:pPr>
        <w:jc w:val="both"/>
        <w:ind w:left="1260" w:right="19" w:hanging="158"/>
        <w:spacing w:after="0" w:line="238" w:lineRule="auto"/>
        <w:tabs>
          <w:tab w:leader="none" w:pos="12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This expansive program of work has been conducted in partnership with experts inside and outside the Company and has helped Microsoft understand the broad range of use cases for facial recognition technology and their implications for society. There is no ‘one-size-fits-all’ approach to facial recognition technology – different use cases have different risk profiles, and safeguards need to be calibrated accordingly.</w:t>
      </w:r>
    </w:p>
    <w:p>
      <w:pPr>
        <w:spacing w:after="0" w:line="111" w:lineRule="exact"/>
        <w:rPr>
          <w:rFonts w:ascii="Arial" w:cs="Arial" w:eastAsia="Arial" w:hAnsi="Arial"/>
          <w:sz w:val="16"/>
          <w:szCs w:val="16"/>
          <w:color w:val="auto"/>
        </w:rPr>
      </w:pPr>
    </w:p>
    <w:p>
      <w:pPr>
        <w:ind w:left="1260" w:right="59" w:hanging="158"/>
        <w:spacing w:after="0" w:line="279" w:lineRule="auto"/>
        <w:tabs>
          <w:tab w:leader="none" w:pos="126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Yet, the proponent’s proposal draws no such distinction: it calls for Microsoft to generally prohibit all sales of facial recognition technology to government customers. This blunt approach would deny government customers the ability to deploy facial recognition technology in societally beneficial use cases. For example, the proposal would restrict the ability of Microsoft to provide government customers with the Windows Hello feature, which utilizes facial recognition technology to help users to more securely sign onto their devices, at a time when governments face punishing ransomware and other cyberattacks.</w:t>
      </w:r>
    </w:p>
    <w:p>
      <w:pPr>
        <w:spacing w:after="0" w:line="87" w:lineRule="exact"/>
        <w:rPr>
          <w:rFonts w:ascii="Arial" w:cs="Arial" w:eastAsia="Arial" w:hAnsi="Arial"/>
          <w:sz w:val="14"/>
          <w:szCs w:val="14"/>
          <w:color w:val="auto"/>
        </w:rPr>
      </w:pPr>
    </w:p>
    <w:p>
      <w:pPr>
        <w:ind w:left="1260" w:right="139" w:hanging="158"/>
        <w:spacing w:after="0" w:line="279" w:lineRule="auto"/>
        <w:tabs>
          <w:tab w:leader="none" w:pos="126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Beyond basic cybersecurity, there are a number of important ways in which governments can responsibly deploy facial recognition technology. These include proven examples of investigators reuniting missing children with parents, helping control access to secure government premises, and enabling contactless “fast pass” entry at border crossings and airports. A blanket ban would prohibit Microsoft from enabling these beneficial uses. A ban would also deny government employees access to new technologies being developed for low vision communities to help them interact with colleagues and navigate their environment.</w:t>
      </w:r>
    </w:p>
    <w:p>
      <w:pPr>
        <w:spacing w:after="0" w:line="87" w:lineRule="exact"/>
        <w:rPr>
          <w:rFonts w:ascii="Arial" w:cs="Arial" w:eastAsia="Arial" w:hAnsi="Arial"/>
          <w:sz w:val="14"/>
          <w:szCs w:val="14"/>
          <w:color w:val="auto"/>
        </w:rPr>
      </w:pPr>
    </w:p>
    <w:p>
      <w:pPr>
        <w:ind w:left="1260" w:right="99" w:hanging="158"/>
        <w:spacing w:after="0" w:line="276" w:lineRule="auto"/>
        <w:tabs>
          <w:tab w:leader="none" w:pos="126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Through our responsible AI program, Microsoft has a demonstrated track record of articulating and operationalizing our AI principles in ways that address the human rights concerns cited in this proposal. Our Facial Recognition Principles include commitments to “advocate for safeguards for people’s democratic freedoms in law enforcement surveillance scenarios” and to “not deploy facial recognition technology in scenarios that we believe will put these freedoms at risk.” Microsoft has also rolled out an internal standard that includes rules specific to facial recognition technology and has an established process for vetting potentially sensitive uses of facial recognition where Microsoft is involved in building custom facial recognition solutions. There have been multiple cases where the Company has declined to provide facial recognition services due to human rights concerns.</w:t>
      </w:r>
    </w:p>
    <w:p>
      <w:pPr>
        <w:spacing w:after="0" w:line="89" w:lineRule="exact"/>
        <w:rPr>
          <w:rFonts w:ascii="Arial" w:cs="Arial" w:eastAsia="Arial" w:hAnsi="Arial"/>
          <w:sz w:val="14"/>
          <w:szCs w:val="14"/>
          <w:color w:val="auto"/>
        </w:rPr>
      </w:pPr>
    </w:p>
    <w:p>
      <w:pPr>
        <w:ind w:left="1260" w:right="219" w:hanging="158"/>
        <w:spacing w:after="0" w:line="237" w:lineRule="auto"/>
        <w:tabs>
          <w:tab w:leader="none" w:pos="12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Microsoft continues to advocate for new regulations for responsible facial recognition use that are grounded in human rights protections. Microsoft believes these regulations must address testing, transparency, and accountability requirements and supports the adoption of regulation at the national and state level in the U.S., in the European Union and across the globe. For years, Microsoft has also called for a federal privacy law in the U.S. to help provide further safeguards around the responsible use of technology.</w:t>
      </w:r>
    </w:p>
    <w:p>
      <w:pPr>
        <w:spacing w:after="0" w:line="205" w:lineRule="exact"/>
        <w:rPr>
          <w:sz w:val="20"/>
          <w:szCs w:val="20"/>
          <w:color w:val="auto"/>
        </w:rPr>
      </w:pPr>
    </w:p>
    <w:p>
      <w:pPr>
        <w:ind w:left="1100"/>
        <w:spacing w:after="0"/>
        <w:rPr>
          <w:sz w:val="20"/>
          <w:szCs w:val="20"/>
          <w:color w:val="auto"/>
        </w:rPr>
      </w:pPr>
      <w:r>
        <w:rPr>
          <w:rFonts w:ascii="Arial" w:cs="Arial" w:eastAsia="Arial" w:hAnsi="Arial"/>
          <w:sz w:val="16"/>
          <w:szCs w:val="16"/>
          <w:u w:val="single" w:color="auto"/>
          <w:color w:val="auto"/>
        </w:rPr>
        <w:t>Additional Information</w:t>
      </w:r>
    </w:p>
    <w:p>
      <w:pPr>
        <w:spacing w:after="0" w:line="101" w:lineRule="exact"/>
        <w:rPr>
          <w:sz w:val="20"/>
          <w:szCs w:val="20"/>
          <w:color w:val="auto"/>
        </w:rPr>
      </w:pPr>
    </w:p>
    <w:p>
      <w:pPr>
        <w:ind w:left="1100" w:right="139"/>
        <w:spacing w:after="0" w:line="238" w:lineRule="auto"/>
        <w:rPr>
          <w:sz w:val="20"/>
          <w:szCs w:val="20"/>
          <w:color w:val="auto"/>
        </w:rPr>
      </w:pPr>
      <w:r>
        <w:rPr>
          <w:rFonts w:ascii="Arial" w:cs="Arial" w:eastAsia="Arial" w:hAnsi="Arial"/>
          <w:sz w:val="16"/>
          <w:szCs w:val="16"/>
          <w:color w:val="auto"/>
        </w:rPr>
        <w:t xml:space="preserve">Microsoft’s work to advance the responsible use of facial recognition technology is part of a broader set of efforts to articulate, operationalize, and advocate for the responsible development and use of AI. More information on our commitments and advocacy is available at: </w:t>
      </w:r>
      <w:r>
        <w:rPr>
          <w:rFonts w:ascii="Arial" w:cs="Arial" w:eastAsia="Arial" w:hAnsi="Arial"/>
          <w:sz w:val="16"/>
          <w:szCs w:val="16"/>
          <w:u w:val="single" w:color="auto"/>
          <w:color w:val="auto"/>
        </w:rPr>
        <w:t>microsoft.com/en-us/ai/our-approach</w:t>
      </w:r>
      <w:r>
        <w:rPr>
          <w:rFonts w:ascii="Arial" w:cs="Arial" w:eastAsia="Arial" w:hAnsi="Arial"/>
          <w:sz w:val="16"/>
          <w:szCs w:val="16"/>
          <w:color w:val="auto"/>
        </w:rPr>
        <w:t>.</w:t>
      </w:r>
    </w:p>
    <w:p>
      <w:pPr>
        <w:spacing w:after="0" w:line="200" w:lineRule="exact"/>
        <w:rPr>
          <w:sz w:val="20"/>
          <w:szCs w:val="20"/>
          <w:color w:val="auto"/>
        </w:rPr>
      </w:pPr>
    </w:p>
    <w:p>
      <w:pPr>
        <w:spacing w:after="0" w:line="301"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-94615</wp:posOffset>
            </wp:positionV>
            <wp:extent cx="485140" cy="9842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39"/>
          </w:cols>
          <w:pgMar w:left="320" w:top="445" w:right="1440" w:bottom="1440" w:gutter="0" w:footer="0" w:header="0"/>
        </w:sectPr>
      </w:pPr>
    </w:p>
    <w:bookmarkStart w:id="86" w:name="page87"/>
    <w:bookmarkEnd w:id="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auto"/>
                <w:w w:val="89"/>
              </w:rPr>
              <w:t>1</w:t>
            </w:r>
          </w:p>
        </w:tc>
        <w:tc>
          <w:tcPr>
            <w:tcW w:w="1360" w:type="dxa"/>
            <w:vAlign w:val="bottom"/>
            <w:vMerge w:val="restart"/>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tcPr>
          <w:p>
            <w:pPr>
              <w:jc w:val="right"/>
              <w:spacing w:after="0"/>
              <w:rPr>
                <w:sz w:val="20"/>
                <w:szCs w:val="20"/>
                <w:color w:val="auto"/>
              </w:rPr>
            </w:pPr>
            <w:r>
              <w:rPr>
                <w:rFonts w:ascii="Arial" w:cs="Arial" w:eastAsia="Arial" w:hAnsi="Arial"/>
                <w:sz w:val="36"/>
                <w:szCs w:val="36"/>
                <w:color w:val="auto"/>
              </w:rPr>
              <w:t>2</w:t>
            </w:r>
          </w:p>
        </w:tc>
        <w:tc>
          <w:tcPr>
            <w:tcW w:w="1540" w:type="dxa"/>
            <w:vAlign w:val="bottom"/>
            <w:vMerge w:val="restart"/>
          </w:tcPr>
          <w:p>
            <w:pPr>
              <w:ind w:left="80"/>
              <w:spacing w:after="0"/>
              <w:rPr>
                <w:sz w:val="20"/>
                <w:szCs w:val="20"/>
                <w:color w:val="auto"/>
              </w:rPr>
            </w:pPr>
            <w:r>
              <w:rPr>
                <w:rFonts w:ascii="Arial" w:cs="Arial" w:eastAsia="Arial" w:hAnsi="Arial"/>
                <w:sz w:val="12"/>
                <w:szCs w:val="12"/>
                <w:color w:val="auto"/>
              </w:rPr>
              <w:t>NAMED</w:t>
            </w:r>
          </w:p>
        </w:tc>
        <w:tc>
          <w:tcPr>
            <w:tcW w:w="500" w:type="dxa"/>
            <w:vAlign w:val="bottom"/>
          </w:tcPr>
          <w:p>
            <w:pPr>
              <w:jc w:val="right"/>
              <w:spacing w:after="0"/>
              <w:rPr>
                <w:sz w:val="20"/>
                <w:szCs w:val="20"/>
                <w:color w:val="auto"/>
              </w:rPr>
            </w:pPr>
            <w:r>
              <w:rPr>
                <w:rFonts w:ascii="Arial" w:cs="Arial" w:eastAsia="Arial" w:hAnsi="Arial"/>
                <w:sz w:val="36"/>
                <w:szCs w:val="36"/>
                <w:color w:val="auto"/>
              </w:rPr>
              <w:t>3</w:t>
            </w:r>
          </w:p>
        </w:tc>
        <w:tc>
          <w:tcPr>
            <w:tcW w:w="980" w:type="dxa"/>
            <w:vAlign w:val="bottom"/>
            <w:vMerge w:val="restart"/>
          </w:tcPr>
          <w:p>
            <w:pPr>
              <w:ind w:left="80"/>
              <w:spacing w:after="0"/>
              <w:rPr>
                <w:sz w:val="20"/>
                <w:szCs w:val="20"/>
                <w:color w:val="auto"/>
              </w:rPr>
            </w:pPr>
            <w:r>
              <w:rPr>
                <w:rFonts w:ascii="Arial" w:cs="Arial" w:eastAsia="Arial" w:hAnsi="Arial"/>
                <w:sz w:val="12"/>
                <w:szCs w:val="12"/>
                <w:color w:val="auto"/>
              </w:rPr>
              <w:t>AUDIT</w:t>
            </w:r>
          </w:p>
        </w:tc>
        <w:tc>
          <w:tcPr>
            <w:tcW w:w="460" w:type="dxa"/>
            <w:vAlign w:val="bottom"/>
            <w:gridSpan w:val="2"/>
          </w:tcPr>
          <w:p>
            <w:pPr>
              <w:jc w:val="right"/>
              <w:ind w:right="80"/>
              <w:spacing w:after="0"/>
              <w:rPr>
                <w:sz w:val="20"/>
                <w:szCs w:val="20"/>
                <w:color w:val="auto"/>
              </w:rPr>
            </w:pPr>
            <w:r>
              <w:rPr>
                <w:rFonts w:ascii="Arial" w:cs="Arial" w:eastAsia="Arial" w:hAnsi="Arial"/>
                <w:sz w:val="36"/>
                <w:szCs w:val="36"/>
                <w:color w:val="0075C9"/>
              </w:rPr>
              <w:t>4</w:t>
            </w:r>
          </w:p>
        </w:tc>
        <w:tc>
          <w:tcPr>
            <w:tcW w:w="1420" w:type="dxa"/>
            <w:vAlign w:val="bottom"/>
            <w:vMerge w:val="restart"/>
          </w:tcPr>
          <w:p>
            <w:pPr>
              <w:ind w:left="80"/>
              <w:spacing w:after="0"/>
              <w:rPr>
                <w:sz w:val="20"/>
                <w:szCs w:val="20"/>
                <w:color w:val="auto"/>
              </w:rPr>
            </w:pPr>
            <w:r>
              <w:rPr>
                <w:rFonts w:ascii="Arial" w:cs="Arial" w:eastAsia="Arial" w:hAnsi="Arial"/>
                <w:sz w:val="12"/>
                <w:szCs w:val="12"/>
                <w:color w:val="0075C9"/>
              </w:rPr>
              <w:t>PROPOSALS TO</w:t>
            </w:r>
          </w:p>
        </w:tc>
        <w:tc>
          <w:tcPr>
            <w:tcW w:w="740" w:type="dxa"/>
            <w:vAlign w:val="bottom"/>
          </w:tcPr>
          <w:p>
            <w:pPr>
              <w:jc w:val="right"/>
              <w:spacing w:after="0"/>
              <w:rPr>
                <w:sz w:val="20"/>
                <w:szCs w:val="20"/>
                <w:color w:val="auto"/>
              </w:rPr>
            </w:pPr>
            <w:r>
              <w:rPr>
                <w:rFonts w:ascii="Arial" w:cs="Arial" w:eastAsia="Arial" w:hAnsi="Arial"/>
                <w:sz w:val="36"/>
                <w:szCs w:val="36"/>
                <w:color w:val="auto"/>
              </w:rPr>
              <w:t>5</w:t>
            </w:r>
          </w:p>
        </w:tc>
        <w:tc>
          <w:tcPr>
            <w:tcW w:w="900" w:type="dxa"/>
            <w:vAlign w:val="bottom"/>
            <w:vMerge w:val="restart"/>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36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tcPr>
          <w:p>
            <w:pPr>
              <w:ind w:left="80"/>
              <w:spacing w:after="0" w:line="130" w:lineRule="exact"/>
              <w:rPr>
                <w:sz w:val="20"/>
                <w:szCs w:val="20"/>
                <w:color w:val="auto"/>
              </w:rPr>
            </w:pPr>
            <w:r>
              <w:rPr>
                <w:rFonts w:ascii="Arial" w:cs="Arial" w:eastAsia="Arial" w:hAnsi="Arial"/>
                <w:sz w:val="12"/>
                <w:szCs w:val="12"/>
                <w:color w:val="0075C9"/>
                <w:w w:val="99"/>
              </w:rPr>
              <w:t>BE VOTED ON DURING</w:t>
            </w:r>
          </w:p>
        </w:tc>
        <w:tc>
          <w:tcPr>
            <w:tcW w:w="740" w:type="dxa"/>
            <w:vAlign w:val="bottom"/>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36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tcPr>
          <w:p>
            <w:pPr>
              <w:spacing w:after="0"/>
              <w:rPr>
                <w:sz w:val="12"/>
                <w:szCs w:val="12"/>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tcPr>
          <w:p>
            <w:pPr>
              <w:spacing w:after="0"/>
              <w:rPr>
                <w:sz w:val="12"/>
                <w:szCs w:val="12"/>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ind w:left="80"/>
              <w:spacing w:after="0"/>
              <w:rPr>
                <w:sz w:val="20"/>
                <w:szCs w:val="20"/>
                <w:color w:val="auto"/>
              </w:rPr>
            </w:pPr>
            <w:r>
              <w:rPr>
                <w:rFonts w:ascii="Arial" w:cs="Arial" w:eastAsia="Arial" w:hAnsi="Arial"/>
                <w:sz w:val="12"/>
                <w:szCs w:val="12"/>
                <w:color w:val="0075C9"/>
              </w:rPr>
              <w:t>THE MEETING</w:t>
            </w:r>
          </w:p>
        </w:tc>
        <w:tc>
          <w:tcPr>
            <w:tcW w:w="740" w:type="dxa"/>
            <w:vAlign w:val="bottom"/>
          </w:tcPr>
          <w:p>
            <w:pPr>
              <w:spacing w:after="0"/>
              <w:rPr>
                <w:sz w:val="12"/>
                <w:szCs w:val="12"/>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4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ind w:left="4460"/>
        <w:spacing w:after="0"/>
        <w:rPr>
          <w:sz w:val="20"/>
          <w:szCs w:val="20"/>
          <w:color w:val="auto"/>
        </w:rPr>
      </w:pPr>
      <w:r>
        <w:rPr>
          <w:rFonts w:ascii="Arial" w:cs="Arial" w:eastAsia="Arial" w:hAnsi="Arial"/>
          <w:sz w:val="21"/>
          <w:szCs w:val="21"/>
          <w:b w:val="1"/>
          <w:bCs w:val="1"/>
          <w:color w:val="auto"/>
        </w:rPr>
        <w:t>Shareholder Proposal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-50165</wp:posOffset>
            </wp:positionV>
            <wp:extent cx="5690870" cy="51816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690870" cy="518160"/>
                    </a:xfrm>
                    <a:prstGeom prst="rect">
                      <a:avLst/>
                    </a:prstGeom>
                    <a:noFill/>
                  </pic:spPr>
                </pic:pic>
              </a:graphicData>
            </a:graphic>
          </wp:anchor>
        </w:drawing>
      </w:r>
    </w:p>
    <w:p>
      <w:pPr>
        <w:spacing w:after="0" w:line="96" w:lineRule="exact"/>
        <w:rPr>
          <w:sz w:val="20"/>
          <w:szCs w:val="20"/>
          <w:color w:val="auto"/>
        </w:rPr>
      </w:pPr>
    </w:p>
    <w:p>
      <w:pPr>
        <w:ind w:left="1300" w:right="700"/>
        <w:spacing w:after="0" w:line="239" w:lineRule="auto"/>
        <w:rPr>
          <w:sz w:val="20"/>
          <w:szCs w:val="20"/>
          <w:color w:val="auto"/>
        </w:rPr>
      </w:pPr>
      <w:r>
        <w:rPr>
          <w:rFonts w:ascii="Arial" w:cs="Arial" w:eastAsia="Arial" w:hAnsi="Arial"/>
          <w:sz w:val="16"/>
          <w:szCs w:val="16"/>
          <w:color w:val="auto"/>
        </w:rPr>
        <w:t>NorthStar Asset Management, Inc. has advised us that it intends to submit the following proposal for consideration at the Annual Shareholders Meeting.</w:t>
      </w:r>
    </w:p>
    <w:p>
      <w:pPr>
        <w:spacing w:after="0" w:line="200" w:lineRule="exact"/>
        <w:rPr>
          <w:sz w:val="20"/>
          <w:szCs w:val="20"/>
          <w:color w:val="auto"/>
        </w:rPr>
      </w:pPr>
    </w:p>
    <w:p>
      <w:pPr>
        <w:spacing w:after="0" w:line="244"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Implementation of Public Commitment</w:t>
      </w:r>
    </w:p>
    <w:p>
      <w:pPr>
        <w:spacing w:after="0" w:line="101"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WHEREAS:</w:t>
      </w:r>
    </w:p>
    <w:p>
      <w:pPr>
        <w:spacing w:after="0" w:line="15" w:lineRule="exact"/>
        <w:rPr>
          <w:sz w:val="20"/>
          <w:szCs w:val="20"/>
          <w:color w:val="auto"/>
        </w:rPr>
      </w:pPr>
    </w:p>
    <w:p>
      <w:pPr>
        <w:ind w:left="1100" w:right="300"/>
        <w:spacing w:after="0" w:line="239" w:lineRule="auto"/>
        <w:rPr>
          <w:sz w:val="20"/>
          <w:szCs w:val="20"/>
          <w:color w:val="auto"/>
        </w:rPr>
      </w:pPr>
      <w:r>
        <w:rPr>
          <w:rFonts w:ascii="Arial" w:cs="Arial" w:eastAsia="Arial" w:hAnsi="Arial"/>
          <w:sz w:val="16"/>
          <w:szCs w:val="16"/>
          <w:color w:val="auto"/>
        </w:rPr>
        <w:t>In the U.S., Black and Latinx people are disproportionately affected by the mass incarceration system and barriers to employment that exist after release from prison;</w:t>
      </w:r>
    </w:p>
    <w:p>
      <w:pPr>
        <w:spacing w:after="0" w:line="100" w:lineRule="exact"/>
        <w:rPr>
          <w:sz w:val="20"/>
          <w:szCs w:val="20"/>
          <w:color w:val="auto"/>
        </w:rPr>
      </w:pPr>
    </w:p>
    <w:p>
      <w:pPr>
        <w:ind w:left="1100" w:right="220"/>
        <w:spacing w:after="0" w:line="238" w:lineRule="auto"/>
        <w:rPr>
          <w:sz w:val="20"/>
          <w:szCs w:val="20"/>
          <w:color w:val="auto"/>
        </w:rPr>
      </w:pPr>
      <w:r>
        <w:rPr>
          <w:rFonts w:ascii="Arial" w:cs="Arial" w:eastAsia="Arial" w:hAnsi="Arial"/>
          <w:sz w:val="16"/>
          <w:szCs w:val="16"/>
          <w:color w:val="auto"/>
        </w:rPr>
        <w:t>Approximately 70 million Americans have criminal records that impede their pursuit of employment after release. The U.S.’s so-called War on Drugs that began “as a racially motivated crusade to criminalize Blacks and the anti-war left” resulted in a system where 40% of incarcerated people are Black despite only making up 13% of the general U.S. population;</w:t>
      </w:r>
    </w:p>
    <w:p>
      <w:pPr>
        <w:spacing w:after="0" w:line="100" w:lineRule="exact"/>
        <w:rPr>
          <w:sz w:val="20"/>
          <w:szCs w:val="20"/>
          <w:color w:val="auto"/>
        </w:rPr>
      </w:pPr>
    </w:p>
    <w:p>
      <w:pPr>
        <w:ind w:left="1100" w:right="260"/>
        <w:spacing w:after="0" w:line="238" w:lineRule="auto"/>
        <w:rPr>
          <w:sz w:val="20"/>
          <w:szCs w:val="20"/>
          <w:color w:val="auto"/>
        </w:rPr>
      </w:pPr>
      <w:r>
        <w:rPr>
          <w:rFonts w:ascii="Arial" w:cs="Arial" w:eastAsia="Arial" w:hAnsi="Arial"/>
          <w:sz w:val="16"/>
          <w:szCs w:val="16"/>
          <w:color w:val="auto"/>
        </w:rPr>
        <w:t>Many jobseekers with prior criminal convictions could excel in our Company and research indicates that formerly incarcerated employees are loyal and hardworking. However, these applicants could be excluded by pre-employment background checks. The U.S. Equal Employment Opportunity Commission identified criminal record exclusions as one of the employment barriers linked to race discrimination in the workplace;</w:t>
      </w:r>
    </w:p>
    <w:p>
      <w:pPr>
        <w:spacing w:after="0" w:line="99" w:lineRule="exact"/>
        <w:rPr>
          <w:sz w:val="20"/>
          <w:szCs w:val="20"/>
          <w:color w:val="auto"/>
        </w:rPr>
      </w:pPr>
    </w:p>
    <w:p>
      <w:pPr>
        <w:ind w:left="1100" w:right="140"/>
        <w:spacing w:after="0" w:line="239" w:lineRule="auto"/>
        <w:rPr>
          <w:sz w:val="20"/>
          <w:szCs w:val="20"/>
          <w:color w:val="auto"/>
        </w:rPr>
      </w:pPr>
      <w:r>
        <w:rPr>
          <w:rFonts w:ascii="Arial" w:cs="Arial" w:eastAsia="Arial" w:hAnsi="Arial"/>
          <w:sz w:val="16"/>
          <w:szCs w:val="16"/>
          <w:color w:val="auto"/>
        </w:rPr>
        <w:t>Inappropriate use of background checks exposes our company to legal liability, while excluding qualified individuals because of past criminal convictions otherwise unrelated to job qualifications could harm the Company’s competitive advantage;</w:t>
      </w:r>
    </w:p>
    <w:p>
      <w:pPr>
        <w:spacing w:after="0" w:line="100" w:lineRule="exact"/>
        <w:rPr>
          <w:sz w:val="20"/>
          <w:szCs w:val="20"/>
          <w:color w:val="auto"/>
        </w:rPr>
      </w:pPr>
    </w:p>
    <w:p>
      <w:pPr>
        <w:ind w:left="1100" w:right="180"/>
        <w:spacing w:after="0" w:line="238" w:lineRule="auto"/>
        <w:rPr>
          <w:sz w:val="20"/>
          <w:szCs w:val="20"/>
          <w:color w:val="auto"/>
        </w:rPr>
      </w:pPr>
      <w:r>
        <w:rPr>
          <w:rFonts w:ascii="Arial" w:cs="Arial" w:eastAsia="Arial" w:hAnsi="Arial"/>
          <w:sz w:val="16"/>
          <w:szCs w:val="16"/>
          <w:color w:val="auto"/>
        </w:rPr>
        <w:t>In 2016, Microsoft (“the Company”) signed the White House’s Fair Chance Business Pledge, a “call-to-action for all members of the private sector to improve their communities by eliminating barriers for those with a criminal record and creating a pathway for a second chance.” The Company is also a member of the Second Chance Business Coalition, reinforcing its commitment to this issue;</w:t>
      </w:r>
    </w:p>
    <w:p>
      <w:pPr>
        <w:spacing w:after="0" w:line="99" w:lineRule="exact"/>
        <w:rPr>
          <w:sz w:val="20"/>
          <w:szCs w:val="20"/>
          <w:color w:val="auto"/>
        </w:rPr>
      </w:pPr>
    </w:p>
    <w:p>
      <w:pPr>
        <w:ind w:left="1100" w:right="380"/>
        <w:spacing w:after="0" w:line="238" w:lineRule="auto"/>
        <w:rPr>
          <w:sz w:val="20"/>
          <w:szCs w:val="20"/>
          <w:color w:val="auto"/>
        </w:rPr>
      </w:pPr>
      <w:r>
        <w:rPr>
          <w:rFonts w:ascii="Arial" w:cs="Arial" w:eastAsia="Arial" w:hAnsi="Arial"/>
          <w:sz w:val="16"/>
          <w:szCs w:val="16"/>
          <w:color w:val="auto"/>
        </w:rPr>
        <w:t>Examining the relevance and timing of pre-employment criminal background checks would allow the Company to fulfill its commitments to criminal justice reform, including the Fair Chance Business Pledge, and boost and protect the Company’s brand value and reputation on diversity issues.</w:t>
      </w:r>
    </w:p>
    <w:p>
      <w:pPr>
        <w:spacing w:after="0" w:line="82" w:lineRule="exact"/>
        <w:rPr>
          <w:sz w:val="20"/>
          <w:szCs w:val="20"/>
          <w:color w:val="auto"/>
        </w:rPr>
      </w:pPr>
    </w:p>
    <w:p>
      <w:pPr>
        <w:ind w:left="1100" w:right="140"/>
        <w:spacing w:after="0" w:line="291" w:lineRule="auto"/>
        <w:rPr>
          <w:sz w:val="20"/>
          <w:szCs w:val="20"/>
          <w:color w:val="auto"/>
        </w:rPr>
      </w:pPr>
      <w:r>
        <w:rPr>
          <w:rFonts w:ascii="Arial" w:cs="Arial" w:eastAsia="Arial" w:hAnsi="Arial"/>
          <w:sz w:val="14"/>
          <w:szCs w:val="14"/>
          <w:b w:val="1"/>
          <w:bCs w:val="1"/>
          <w:color w:val="auto"/>
        </w:rPr>
        <w:t xml:space="preserve">RESOLVED: </w:t>
      </w:r>
      <w:r>
        <w:rPr>
          <w:rFonts w:ascii="Arial" w:cs="Arial" w:eastAsia="Arial" w:hAnsi="Arial"/>
          <w:sz w:val="14"/>
          <w:szCs w:val="14"/>
          <w:color w:val="auto"/>
        </w:rPr>
        <w:t>Shareholders request that the Board of Directors prepare a report on how implementation of Microsoft’s commitment</w:t>
      </w:r>
      <w:r>
        <w:rPr>
          <w:rFonts w:ascii="Arial" w:cs="Arial" w:eastAsia="Arial" w:hAnsi="Arial"/>
          <w:sz w:val="14"/>
          <w:szCs w:val="14"/>
          <w:b w:val="1"/>
          <w:bCs w:val="1"/>
          <w:color w:val="auto"/>
        </w:rPr>
        <w:t xml:space="preserve"> </w:t>
      </w:r>
      <w:r>
        <w:rPr>
          <w:rFonts w:ascii="Arial" w:cs="Arial" w:eastAsia="Arial" w:hAnsi="Arial"/>
          <w:sz w:val="14"/>
          <w:szCs w:val="14"/>
          <w:color w:val="auto"/>
        </w:rPr>
        <w:t>to the Fair Chance Business Pledge (“the Pledge”) has advanced progress toward eliminating racial discrimination at Microsoft. The report, prepared at reasonable cost and omitting proprietary information and published publicly within one year, should evaluate the risk of racial discrimination that may result from the use of criminal background checks in hiring and employment decisions.</w:t>
      </w:r>
    </w:p>
    <w:p>
      <w:pPr>
        <w:spacing w:after="0" w:line="48" w:lineRule="exact"/>
        <w:rPr>
          <w:sz w:val="20"/>
          <w:szCs w:val="20"/>
          <w:color w:val="auto"/>
        </w:rPr>
      </w:pPr>
    </w:p>
    <w:p>
      <w:pPr>
        <w:ind w:left="1100" w:right="460"/>
        <w:spacing w:after="0" w:line="263" w:lineRule="auto"/>
        <w:rPr>
          <w:sz w:val="20"/>
          <w:szCs w:val="20"/>
          <w:color w:val="auto"/>
        </w:rPr>
      </w:pPr>
      <w:r>
        <w:rPr>
          <w:rFonts w:ascii="Arial" w:cs="Arial" w:eastAsia="Arial" w:hAnsi="Arial"/>
          <w:sz w:val="16"/>
          <w:szCs w:val="16"/>
          <w:b w:val="1"/>
          <w:bCs w:val="1"/>
          <w:color w:val="auto"/>
        </w:rPr>
        <w:t>SUPPORTING STATEMENT</w:t>
      </w:r>
      <w:r>
        <w:rPr>
          <w:rFonts w:ascii="Arial" w:cs="Arial" w:eastAsia="Arial" w:hAnsi="Arial"/>
          <w:sz w:val="16"/>
          <w:szCs w:val="16"/>
          <w:color w:val="auto"/>
        </w:rPr>
        <w:t>: The Board is encouraged, in its discretion, to provide metrics used by the Company to assess its</w:t>
      </w:r>
      <w:r>
        <w:rPr>
          <w:rFonts w:ascii="Arial" w:cs="Arial" w:eastAsia="Arial" w:hAnsi="Arial"/>
          <w:sz w:val="16"/>
          <w:szCs w:val="16"/>
          <w:b w:val="1"/>
          <w:bCs w:val="1"/>
          <w:color w:val="auto"/>
        </w:rPr>
        <w:t xml:space="preserve"> </w:t>
      </w:r>
      <w:r>
        <w:rPr>
          <w:rFonts w:ascii="Arial" w:cs="Arial" w:eastAsia="Arial" w:hAnsi="Arial"/>
          <w:sz w:val="16"/>
          <w:szCs w:val="16"/>
          <w:color w:val="auto"/>
        </w:rPr>
        <w:t>progress in implementing the Pledge, such as the following:</w:t>
      </w:r>
    </w:p>
    <w:p>
      <w:pPr>
        <w:spacing w:after="0" w:line="94" w:lineRule="exact"/>
        <w:rPr>
          <w:sz w:val="20"/>
          <w:szCs w:val="20"/>
          <w:color w:val="auto"/>
        </w:rPr>
      </w:pPr>
    </w:p>
    <w:p>
      <w:pPr>
        <w:ind w:left="1440" w:right="500" w:hanging="338"/>
        <w:spacing w:after="0" w:line="236" w:lineRule="auto"/>
        <w:tabs>
          <w:tab w:leader="none" w:pos="144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Number of formerly incarcerated jobseekers that gained employment since the Company signed the Pledge, compared to similar data prior to signing this pledge;</w:t>
      </w:r>
    </w:p>
    <w:p>
      <w:pPr>
        <w:ind w:left="1440" w:hanging="338"/>
        <w:spacing w:after="0" w:line="236" w:lineRule="auto"/>
        <w:tabs>
          <w:tab w:leader="none" w:pos="144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Racial and ethnic demographics on formerly incarcerated jobseekers that were and were not offered employment;</w:t>
      </w:r>
    </w:p>
    <w:p>
      <w:pPr>
        <w:ind w:left="1440" w:hanging="338"/>
        <w:spacing w:after="0" w:line="236" w:lineRule="auto"/>
        <w:tabs>
          <w:tab w:leader="none" w:pos="144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Whether and how criminal backgrounds were considered in the evaluation of unsuccessful applicants;</w:t>
      </w:r>
    </w:p>
    <w:p>
      <w:pPr>
        <w:ind w:left="1440" w:hanging="338"/>
        <w:spacing w:after="0" w:line="236" w:lineRule="auto"/>
        <w:tabs>
          <w:tab w:leader="none" w:pos="144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If and how hiring processes were modified, halted, or added in implementation of the Pledge;</w:t>
      </w:r>
    </w:p>
    <w:p>
      <w:pPr>
        <w:ind w:left="1440" w:right="320" w:hanging="338"/>
        <w:spacing w:after="0" w:line="236" w:lineRule="auto"/>
        <w:tabs>
          <w:tab w:leader="none" w:pos="144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Whether any technology in the hiring process limit hiring formerly incarcerated applicants such as automated algorithms that eliminate job applications with complicated histories or résumé gaps;</w:t>
      </w:r>
    </w:p>
    <w:p>
      <w:pPr>
        <w:ind w:left="1440" w:hanging="338"/>
        <w:spacing w:after="0"/>
        <w:tabs>
          <w:tab w:leader="none" w:pos="144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Effectiveness of partnerships, if any, with nonprofit job-training organizations focused on people with criminal records.</w:t>
      </w:r>
    </w:p>
    <w:p>
      <w:pPr>
        <w:spacing w:after="0" w:line="200" w:lineRule="exact"/>
        <w:rPr>
          <w:sz w:val="20"/>
          <w:szCs w:val="20"/>
          <w:color w:val="auto"/>
        </w:rPr>
      </w:pPr>
    </w:p>
    <w:p>
      <w:pPr>
        <w:spacing w:after="0" w:line="302"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2021 PROXY STATEMENT</w:t>
      </w:r>
      <w:r>
        <w:rPr>
          <w:sz w:val="20"/>
          <w:szCs w:val="20"/>
          <w:color w:val="auto"/>
        </w:rPr>
        <w:tab/>
      </w:r>
      <w:r>
        <w:rPr>
          <w:rFonts w:ascii="Arial" w:cs="Arial" w:eastAsia="Arial" w:hAnsi="Arial"/>
          <w:sz w:val="12"/>
          <w:szCs w:val="12"/>
          <w:b w:val="1"/>
          <w:bCs w:val="1"/>
          <w:color w:val="0075C9"/>
        </w:rPr>
        <w:t>79</w:t>
      </w:r>
    </w:p>
    <w:p>
      <w:pPr>
        <w:sectPr>
          <w:pgSz w:w="11900" w:h="16838" w:orient="portrait"/>
          <w:cols w:equalWidth="0" w:num="1">
            <w:col w:w="10280"/>
          </w:cols>
          <w:pgMar w:left="320" w:top="445" w:right="1299" w:bottom="1440" w:gutter="0" w:footer="0" w:header="0"/>
        </w:sectPr>
      </w:pPr>
    </w:p>
    <w:bookmarkStart w:id="87" w:name="page88"/>
    <w:bookmarkEnd w:id="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auto"/>
                <w:w w:val="89"/>
              </w:rPr>
              <w:t>1</w:t>
            </w:r>
          </w:p>
        </w:tc>
        <w:tc>
          <w:tcPr>
            <w:tcW w:w="1360" w:type="dxa"/>
            <w:vAlign w:val="bottom"/>
            <w:vMerge w:val="restart"/>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tcPr>
          <w:p>
            <w:pPr>
              <w:jc w:val="right"/>
              <w:spacing w:after="0"/>
              <w:rPr>
                <w:sz w:val="20"/>
                <w:szCs w:val="20"/>
                <w:color w:val="auto"/>
              </w:rPr>
            </w:pPr>
            <w:r>
              <w:rPr>
                <w:rFonts w:ascii="Arial" w:cs="Arial" w:eastAsia="Arial" w:hAnsi="Arial"/>
                <w:sz w:val="36"/>
                <w:szCs w:val="36"/>
                <w:color w:val="auto"/>
              </w:rPr>
              <w:t>2</w:t>
            </w:r>
          </w:p>
        </w:tc>
        <w:tc>
          <w:tcPr>
            <w:tcW w:w="1540" w:type="dxa"/>
            <w:vAlign w:val="bottom"/>
            <w:vMerge w:val="restart"/>
          </w:tcPr>
          <w:p>
            <w:pPr>
              <w:ind w:left="80"/>
              <w:spacing w:after="0"/>
              <w:rPr>
                <w:sz w:val="20"/>
                <w:szCs w:val="20"/>
                <w:color w:val="auto"/>
              </w:rPr>
            </w:pPr>
            <w:r>
              <w:rPr>
                <w:rFonts w:ascii="Arial" w:cs="Arial" w:eastAsia="Arial" w:hAnsi="Arial"/>
                <w:sz w:val="12"/>
                <w:szCs w:val="12"/>
                <w:color w:val="auto"/>
              </w:rPr>
              <w:t>NAMED</w:t>
            </w:r>
          </w:p>
        </w:tc>
        <w:tc>
          <w:tcPr>
            <w:tcW w:w="500" w:type="dxa"/>
            <w:vAlign w:val="bottom"/>
          </w:tcPr>
          <w:p>
            <w:pPr>
              <w:jc w:val="right"/>
              <w:spacing w:after="0"/>
              <w:rPr>
                <w:sz w:val="20"/>
                <w:szCs w:val="20"/>
                <w:color w:val="auto"/>
              </w:rPr>
            </w:pPr>
            <w:r>
              <w:rPr>
                <w:rFonts w:ascii="Arial" w:cs="Arial" w:eastAsia="Arial" w:hAnsi="Arial"/>
                <w:sz w:val="36"/>
                <w:szCs w:val="36"/>
                <w:color w:val="auto"/>
              </w:rPr>
              <w:t>3</w:t>
            </w:r>
          </w:p>
        </w:tc>
        <w:tc>
          <w:tcPr>
            <w:tcW w:w="980" w:type="dxa"/>
            <w:vAlign w:val="bottom"/>
            <w:vMerge w:val="restart"/>
          </w:tcPr>
          <w:p>
            <w:pPr>
              <w:ind w:left="80"/>
              <w:spacing w:after="0"/>
              <w:rPr>
                <w:sz w:val="20"/>
                <w:szCs w:val="20"/>
                <w:color w:val="auto"/>
              </w:rPr>
            </w:pPr>
            <w:r>
              <w:rPr>
                <w:rFonts w:ascii="Arial" w:cs="Arial" w:eastAsia="Arial" w:hAnsi="Arial"/>
                <w:sz w:val="12"/>
                <w:szCs w:val="12"/>
                <w:color w:val="auto"/>
              </w:rPr>
              <w:t>AUDIT</w:t>
            </w:r>
          </w:p>
        </w:tc>
        <w:tc>
          <w:tcPr>
            <w:tcW w:w="460" w:type="dxa"/>
            <w:vAlign w:val="bottom"/>
            <w:gridSpan w:val="2"/>
          </w:tcPr>
          <w:p>
            <w:pPr>
              <w:jc w:val="right"/>
              <w:ind w:right="80"/>
              <w:spacing w:after="0"/>
              <w:rPr>
                <w:sz w:val="20"/>
                <w:szCs w:val="20"/>
                <w:color w:val="auto"/>
              </w:rPr>
            </w:pPr>
            <w:r>
              <w:rPr>
                <w:rFonts w:ascii="Arial" w:cs="Arial" w:eastAsia="Arial" w:hAnsi="Arial"/>
                <w:sz w:val="36"/>
                <w:szCs w:val="36"/>
                <w:color w:val="0075C9"/>
              </w:rPr>
              <w:t>4</w:t>
            </w:r>
          </w:p>
        </w:tc>
        <w:tc>
          <w:tcPr>
            <w:tcW w:w="1420" w:type="dxa"/>
            <w:vAlign w:val="bottom"/>
            <w:vMerge w:val="restart"/>
          </w:tcPr>
          <w:p>
            <w:pPr>
              <w:ind w:left="80"/>
              <w:spacing w:after="0"/>
              <w:rPr>
                <w:sz w:val="20"/>
                <w:szCs w:val="20"/>
                <w:color w:val="auto"/>
              </w:rPr>
            </w:pPr>
            <w:r>
              <w:rPr>
                <w:rFonts w:ascii="Arial" w:cs="Arial" w:eastAsia="Arial" w:hAnsi="Arial"/>
                <w:sz w:val="12"/>
                <w:szCs w:val="12"/>
                <w:color w:val="0075C9"/>
              </w:rPr>
              <w:t>PROPOSALS TO</w:t>
            </w:r>
          </w:p>
        </w:tc>
        <w:tc>
          <w:tcPr>
            <w:tcW w:w="740" w:type="dxa"/>
            <w:vAlign w:val="bottom"/>
          </w:tcPr>
          <w:p>
            <w:pPr>
              <w:jc w:val="right"/>
              <w:spacing w:after="0"/>
              <w:rPr>
                <w:sz w:val="20"/>
                <w:szCs w:val="20"/>
                <w:color w:val="auto"/>
              </w:rPr>
            </w:pPr>
            <w:r>
              <w:rPr>
                <w:rFonts w:ascii="Arial" w:cs="Arial" w:eastAsia="Arial" w:hAnsi="Arial"/>
                <w:sz w:val="36"/>
                <w:szCs w:val="36"/>
                <w:color w:val="auto"/>
              </w:rPr>
              <w:t>5</w:t>
            </w:r>
          </w:p>
        </w:tc>
        <w:tc>
          <w:tcPr>
            <w:tcW w:w="900" w:type="dxa"/>
            <w:vAlign w:val="bottom"/>
            <w:vMerge w:val="restart"/>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36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tcPr>
          <w:p>
            <w:pPr>
              <w:ind w:left="80"/>
              <w:spacing w:after="0" w:line="130" w:lineRule="exact"/>
              <w:rPr>
                <w:sz w:val="20"/>
                <w:szCs w:val="20"/>
                <w:color w:val="auto"/>
              </w:rPr>
            </w:pPr>
            <w:r>
              <w:rPr>
                <w:rFonts w:ascii="Arial" w:cs="Arial" w:eastAsia="Arial" w:hAnsi="Arial"/>
                <w:sz w:val="12"/>
                <w:szCs w:val="12"/>
                <w:color w:val="0075C9"/>
                <w:w w:val="99"/>
              </w:rPr>
              <w:t>BE VOTED ON DURING</w:t>
            </w:r>
          </w:p>
        </w:tc>
        <w:tc>
          <w:tcPr>
            <w:tcW w:w="740" w:type="dxa"/>
            <w:vAlign w:val="bottom"/>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36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tcPr>
          <w:p>
            <w:pPr>
              <w:spacing w:after="0"/>
              <w:rPr>
                <w:sz w:val="12"/>
                <w:szCs w:val="12"/>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tcPr>
          <w:p>
            <w:pPr>
              <w:spacing w:after="0"/>
              <w:rPr>
                <w:sz w:val="12"/>
                <w:szCs w:val="12"/>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ind w:left="80"/>
              <w:spacing w:after="0"/>
              <w:rPr>
                <w:sz w:val="20"/>
                <w:szCs w:val="20"/>
                <w:color w:val="auto"/>
              </w:rPr>
            </w:pPr>
            <w:r>
              <w:rPr>
                <w:rFonts w:ascii="Arial" w:cs="Arial" w:eastAsia="Arial" w:hAnsi="Arial"/>
                <w:sz w:val="12"/>
                <w:szCs w:val="12"/>
                <w:color w:val="0075C9"/>
              </w:rPr>
              <w:t>THE MEETING</w:t>
            </w:r>
          </w:p>
        </w:tc>
        <w:tc>
          <w:tcPr>
            <w:tcW w:w="740" w:type="dxa"/>
            <w:vAlign w:val="bottom"/>
          </w:tcPr>
          <w:p>
            <w:pPr>
              <w:spacing w:after="0"/>
              <w:rPr>
                <w:sz w:val="12"/>
                <w:szCs w:val="12"/>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4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0075C9"/>
        </w:rPr>
        <w:t>Board Recommendation</w:t>
      </w:r>
    </w:p>
    <w:p>
      <w:pPr>
        <w:spacing w:after="0" w:line="104" w:lineRule="exact"/>
        <w:rPr>
          <w:sz w:val="20"/>
          <w:szCs w:val="20"/>
          <w:color w:val="auto"/>
        </w:rPr>
      </w:pPr>
    </w:p>
    <w:p>
      <w:pPr>
        <w:ind w:left="1100"/>
        <w:spacing w:after="0"/>
        <w:rPr>
          <w:sz w:val="20"/>
          <w:szCs w:val="20"/>
          <w:color w:val="auto"/>
        </w:rPr>
      </w:pPr>
      <w:r>
        <w:rPr>
          <w:rFonts w:ascii="Arial" w:cs="Arial" w:eastAsia="Arial" w:hAnsi="Arial"/>
          <w:sz w:val="17"/>
          <w:szCs w:val="17"/>
          <w:b w:val="1"/>
          <w:bCs w:val="1"/>
          <w:i w:val="1"/>
          <w:iCs w:val="1"/>
          <w:color w:val="0075C9"/>
        </w:rPr>
        <w:t>The Board of Directors recommends a vote AGAINST the proposal for the following reasons:</w:t>
      </w:r>
    </w:p>
    <w:p>
      <w:pPr>
        <w:spacing w:after="0" w:line="107"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COMPANY STATEMENT IN OPPOSITION</w:t>
      </w:r>
    </w:p>
    <w:p>
      <w:pPr>
        <w:spacing w:after="0" w:line="119" w:lineRule="exact"/>
        <w:rPr>
          <w:sz w:val="20"/>
          <w:szCs w:val="20"/>
          <w:color w:val="auto"/>
        </w:rPr>
      </w:pPr>
    </w:p>
    <w:p>
      <w:pPr>
        <w:ind w:left="1100"/>
        <w:spacing w:after="0" w:line="237" w:lineRule="auto"/>
        <w:rPr>
          <w:sz w:val="20"/>
          <w:szCs w:val="20"/>
          <w:color w:val="auto"/>
        </w:rPr>
      </w:pPr>
      <w:r>
        <w:rPr>
          <w:rFonts w:ascii="Arial" w:cs="Arial" w:eastAsia="Arial" w:hAnsi="Arial"/>
          <w:sz w:val="16"/>
          <w:szCs w:val="16"/>
          <w:color w:val="auto"/>
        </w:rPr>
        <w:t>The requested report is unnecessary because Microsoft has put in place numerous steps to effectively implement the Obama White House’s Fair Chance Business Pledge. The Company has multiple safeguards to prevent the disqualification of job candidates because of a criminal record or prior incarceration where not directly relevant to the position. We are publicly sharing the information below to further communicate our approach and demonstrate its results creating an inclusive workplace free of unnecessary barriers to those with criminal records.</w:t>
      </w:r>
    </w:p>
    <w:p>
      <w:pPr>
        <w:spacing w:after="0" w:line="115" w:lineRule="exact"/>
        <w:rPr>
          <w:sz w:val="20"/>
          <w:szCs w:val="20"/>
          <w:color w:val="auto"/>
        </w:rPr>
      </w:pPr>
    </w:p>
    <w:p>
      <w:pPr>
        <w:ind w:left="1260" w:right="40" w:hanging="158"/>
        <w:spacing w:after="0" w:line="237" w:lineRule="auto"/>
        <w:tabs>
          <w:tab w:leader="none" w:pos="126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As we shared with the sponsors of this proposal, from our available data, we were able to determine that in calendar year 2020, more than 98% of those flagged to us during pre-onboarding as having a criminal record successfully proceeded through review to hiring. The less than 2% who we did not onboard into employment had a record of recent criminal conduct that was determined to be job related, i.e., a potential security risk to Microsoft and/or our customers, suppliers, partners, and guests. This data clearly demonstrates our commitment to the spirit of the Fair Chance Business Pledge: that criminal records should not pose a barrier to future employment.</w:t>
      </w:r>
    </w:p>
    <w:p>
      <w:pPr>
        <w:spacing w:after="0" w:line="114" w:lineRule="exact"/>
        <w:rPr>
          <w:rFonts w:ascii="Arial" w:cs="Arial" w:eastAsia="Arial" w:hAnsi="Arial"/>
          <w:sz w:val="16"/>
          <w:szCs w:val="16"/>
          <w:color w:val="auto"/>
        </w:rPr>
      </w:pPr>
    </w:p>
    <w:p>
      <w:pPr>
        <w:ind w:left="1260" w:right="120" w:hanging="158"/>
        <w:spacing w:after="0" w:line="237" w:lineRule="auto"/>
        <w:tabs>
          <w:tab w:leader="none" w:pos="126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In terms of our hiring processes in the U.S., Microsoft does not have any automatic, across-the-board exclusions for criminal convictions that would disqualify or limit employment opportunities. We state that in every job posting and we don’t ask any questions about criminal convictions prior to a conditional offer of employment (unless otherwise legally required to do so). After an employment offer, criminal convictions may impact whether we on-board a new hire if the conviction is determined to be job-related. Microsoft conducts an individualized assessment where the individual is informed that s/he may be excluded because of past criminal conduct; provides an opportunity to the individual to demonstrate that the exclusion does not properly apply; and considers whether the individual’s additional information shows that the policy as applied is not job-related and consistent with business necessity. Microsoft’s review process is robust and involves discussions with multiple stakeholders before making the final determination of whether to proceed with onboarding. There is also an escalation path to challenge the determination.</w:t>
      </w:r>
    </w:p>
    <w:p>
      <w:pPr>
        <w:spacing w:after="0" w:line="112" w:lineRule="exact"/>
        <w:rPr>
          <w:rFonts w:ascii="Arial" w:cs="Arial" w:eastAsia="Arial" w:hAnsi="Arial"/>
          <w:sz w:val="16"/>
          <w:szCs w:val="16"/>
          <w:color w:val="auto"/>
        </w:rPr>
      </w:pPr>
    </w:p>
    <w:p>
      <w:pPr>
        <w:ind w:left="1260" w:right="100" w:hanging="158"/>
        <w:spacing w:after="0" w:line="238" w:lineRule="auto"/>
        <w:tabs>
          <w:tab w:leader="none" w:pos="126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We are continuing to learn and seek best practices in this area. That’s why we joined the Business Roundtable’s Second Chance Coalition this year to both share our own experiences in this work and to learn from others. This cross-sector coalition is comprised of large private-sector firms committed to fair chance hiring, which formed to share best practices, ask questions about implementation, and learn from each other.</w:t>
      </w:r>
    </w:p>
    <w:p>
      <w:pPr>
        <w:spacing w:after="0" w:line="99" w:lineRule="exact"/>
        <w:rPr>
          <w:sz w:val="20"/>
          <w:szCs w:val="20"/>
          <w:color w:val="auto"/>
        </w:rPr>
      </w:pPr>
    </w:p>
    <w:p>
      <w:pPr>
        <w:ind w:left="1100"/>
        <w:spacing w:after="0"/>
        <w:rPr>
          <w:sz w:val="20"/>
          <w:szCs w:val="20"/>
          <w:color w:val="auto"/>
        </w:rPr>
      </w:pPr>
      <w:r>
        <w:rPr>
          <w:rFonts w:ascii="Arial" w:cs="Arial" w:eastAsia="Arial" w:hAnsi="Arial"/>
          <w:sz w:val="16"/>
          <w:szCs w:val="16"/>
          <w:u w:val="single" w:color="auto"/>
          <w:color w:val="auto"/>
        </w:rPr>
        <w:t>Additional Information</w:t>
      </w:r>
    </w:p>
    <w:p>
      <w:pPr>
        <w:spacing w:after="0" w:line="101" w:lineRule="exact"/>
        <w:rPr>
          <w:sz w:val="20"/>
          <w:szCs w:val="20"/>
          <w:color w:val="auto"/>
        </w:rPr>
      </w:pPr>
    </w:p>
    <w:p>
      <w:pPr>
        <w:ind w:left="1100" w:right="40"/>
        <w:spacing w:after="0" w:line="237" w:lineRule="auto"/>
        <w:rPr>
          <w:sz w:val="20"/>
          <w:szCs w:val="20"/>
          <w:color w:val="auto"/>
        </w:rPr>
      </w:pPr>
      <w:r>
        <w:rPr>
          <w:rFonts w:ascii="Arial" w:cs="Arial" w:eastAsia="Arial" w:hAnsi="Arial"/>
          <w:sz w:val="16"/>
          <w:szCs w:val="16"/>
          <w:color w:val="auto"/>
        </w:rPr>
        <w:t xml:space="preserve">We share the proponents’ concerns about racial justice. In our </w:t>
      </w:r>
      <w:r>
        <w:rPr>
          <w:rFonts w:ascii="Arial" w:cs="Arial" w:eastAsia="Arial" w:hAnsi="Arial"/>
          <w:sz w:val="16"/>
          <w:szCs w:val="16"/>
          <w:u w:val="single" w:color="auto"/>
          <w:color w:val="auto"/>
        </w:rPr>
        <w:t>Racial Equity Initiative</w:t>
      </w:r>
      <w:r>
        <w:rPr>
          <w:rFonts w:ascii="Arial" w:cs="Arial" w:eastAsia="Arial" w:hAnsi="Arial"/>
          <w:sz w:val="16"/>
          <w:szCs w:val="16"/>
          <w:color w:val="auto"/>
        </w:rPr>
        <w:t xml:space="preserve"> announced in June 2020, we made commitments across three efforts: Increasing representation and strengthening inclusion; Evolving our engagement with our supply chain, banking partners and partner ecosystem; and Strengthening communities by using data, technology, and partnerships to help address racial injustice and inequities of the Black and African American communities in the U.S. and improve the safety and well-being of our employees and their communities.</w:t>
      </w:r>
    </w:p>
    <w:p>
      <w:pPr>
        <w:spacing w:after="0" w:line="102" w:lineRule="exact"/>
        <w:rPr>
          <w:sz w:val="20"/>
          <w:szCs w:val="20"/>
          <w:color w:val="auto"/>
        </w:rPr>
      </w:pPr>
    </w:p>
    <w:p>
      <w:pPr>
        <w:ind w:left="1100" w:right="80"/>
        <w:spacing w:after="0" w:line="239" w:lineRule="auto"/>
        <w:rPr>
          <w:sz w:val="20"/>
          <w:szCs w:val="20"/>
          <w:color w:val="auto"/>
        </w:rPr>
      </w:pPr>
      <w:r>
        <w:rPr>
          <w:rFonts w:ascii="Arial" w:cs="Arial" w:eastAsia="Arial" w:hAnsi="Arial"/>
          <w:sz w:val="16"/>
          <w:szCs w:val="16"/>
          <w:color w:val="auto"/>
        </w:rPr>
        <w:t xml:space="preserve">We recently issued a </w:t>
      </w:r>
      <w:r>
        <w:rPr>
          <w:rFonts w:ascii="Arial" w:cs="Arial" w:eastAsia="Arial" w:hAnsi="Arial"/>
          <w:sz w:val="16"/>
          <w:szCs w:val="16"/>
          <w:u w:val="single" w:color="auto"/>
          <w:color w:val="auto"/>
        </w:rPr>
        <w:t>first year progress report</w:t>
      </w:r>
      <w:r>
        <w:rPr>
          <w:rFonts w:ascii="Arial" w:cs="Arial" w:eastAsia="Arial" w:hAnsi="Arial"/>
          <w:sz w:val="16"/>
          <w:szCs w:val="16"/>
          <w:color w:val="auto"/>
        </w:rPr>
        <w:t xml:space="preserve"> covering the community portion of these commitments, with more reporting to come on other areas of progress, including our annual Global Diversity &amp; Inclusion Report at www.microsoft.com/diversity.</w:t>
      </w:r>
    </w:p>
    <w:p>
      <w:pPr>
        <w:spacing w:after="0" w:line="200" w:lineRule="exact"/>
        <w:rPr>
          <w:sz w:val="20"/>
          <w:szCs w:val="20"/>
          <w:color w:val="auto"/>
        </w:rPr>
      </w:pPr>
    </w:p>
    <w:p>
      <w:pPr>
        <w:spacing w:after="0" w:line="301"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-94615</wp:posOffset>
            </wp:positionV>
            <wp:extent cx="485140" cy="9842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45" w:right="1439" w:bottom="1440" w:gutter="0" w:footer="0" w:header="0"/>
        </w:sectPr>
      </w:pPr>
    </w:p>
    <w:bookmarkStart w:id="88" w:name="page89"/>
    <w:bookmarkEnd w:id="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auto"/>
                <w:w w:val="89"/>
              </w:rPr>
              <w:t>1</w:t>
            </w:r>
          </w:p>
        </w:tc>
        <w:tc>
          <w:tcPr>
            <w:tcW w:w="1360" w:type="dxa"/>
            <w:vAlign w:val="bottom"/>
            <w:vMerge w:val="restart"/>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tcPr>
          <w:p>
            <w:pPr>
              <w:jc w:val="right"/>
              <w:spacing w:after="0"/>
              <w:rPr>
                <w:sz w:val="20"/>
                <w:szCs w:val="20"/>
                <w:color w:val="auto"/>
              </w:rPr>
            </w:pPr>
            <w:r>
              <w:rPr>
                <w:rFonts w:ascii="Arial" w:cs="Arial" w:eastAsia="Arial" w:hAnsi="Arial"/>
                <w:sz w:val="36"/>
                <w:szCs w:val="36"/>
                <w:color w:val="auto"/>
              </w:rPr>
              <w:t>2</w:t>
            </w:r>
          </w:p>
        </w:tc>
        <w:tc>
          <w:tcPr>
            <w:tcW w:w="1540" w:type="dxa"/>
            <w:vAlign w:val="bottom"/>
            <w:vMerge w:val="restart"/>
          </w:tcPr>
          <w:p>
            <w:pPr>
              <w:ind w:left="80"/>
              <w:spacing w:after="0"/>
              <w:rPr>
                <w:sz w:val="20"/>
                <w:szCs w:val="20"/>
                <w:color w:val="auto"/>
              </w:rPr>
            </w:pPr>
            <w:r>
              <w:rPr>
                <w:rFonts w:ascii="Arial" w:cs="Arial" w:eastAsia="Arial" w:hAnsi="Arial"/>
                <w:sz w:val="12"/>
                <w:szCs w:val="12"/>
                <w:color w:val="auto"/>
              </w:rPr>
              <w:t>NAMED</w:t>
            </w:r>
          </w:p>
        </w:tc>
        <w:tc>
          <w:tcPr>
            <w:tcW w:w="500" w:type="dxa"/>
            <w:vAlign w:val="bottom"/>
          </w:tcPr>
          <w:p>
            <w:pPr>
              <w:jc w:val="right"/>
              <w:spacing w:after="0"/>
              <w:rPr>
                <w:sz w:val="20"/>
                <w:szCs w:val="20"/>
                <w:color w:val="auto"/>
              </w:rPr>
            </w:pPr>
            <w:r>
              <w:rPr>
                <w:rFonts w:ascii="Arial" w:cs="Arial" w:eastAsia="Arial" w:hAnsi="Arial"/>
                <w:sz w:val="36"/>
                <w:szCs w:val="36"/>
                <w:color w:val="auto"/>
              </w:rPr>
              <w:t>3</w:t>
            </w:r>
          </w:p>
        </w:tc>
        <w:tc>
          <w:tcPr>
            <w:tcW w:w="980" w:type="dxa"/>
            <w:vAlign w:val="bottom"/>
            <w:vMerge w:val="restart"/>
          </w:tcPr>
          <w:p>
            <w:pPr>
              <w:ind w:left="80"/>
              <w:spacing w:after="0"/>
              <w:rPr>
                <w:sz w:val="20"/>
                <w:szCs w:val="20"/>
                <w:color w:val="auto"/>
              </w:rPr>
            </w:pPr>
            <w:r>
              <w:rPr>
                <w:rFonts w:ascii="Arial" w:cs="Arial" w:eastAsia="Arial" w:hAnsi="Arial"/>
                <w:sz w:val="12"/>
                <w:szCs w:val="12"/>
                <w:color w:val="auto"/>
              </w:rPr>
              <w:t>AUDIT</w:t>
            </w:r>
          </w:p>
        </w:tc>
        <w:tc>
          <w:tcPr>
            <w:tcW w:w="460" w:type="dxa"/>
            <w:vAlign w:val="bottom"/>
            <w:gridSpan w:val="2"/>
          </w:tcPr>
          <w:p>
            <w:pPr>
              <w:jc w:val="right"/>
              <w:ind w:right="80"/>
              <w:spacing w:after="0"/>
              <w:rPr>
                <w:sz w:val="20"/>
                <w:szCs w:val="20"/>
                <w:color w:val="auto"/>
              </w:rPr>
            </w:pPr>
            <w:r>
              <w:rPr>
                <w:rFonts w:ascii="Arial" w:cs="Arial" w:eastAsia="Arial" w:hAnsi="Arial"/>
                <w:sz w:val="36"/>
                <w:szCs w:val="36"/>
                <w:color w:val="0075C9"/>
              </w:rPr>
              <w:t>4</w:t>
            </w:r>
          </w:p>
        </w:tc>
        <w:tc>
          <w:tcPr>
            <w:tcW w:w="1420" w:type="dxa"/>
            <w:vAlign w:val="bottom"/>
            <w:vMerge w:val="restart"/>
          </w:tcPr>
          <w:p>
            <w:pPr>
              <w:ind w:left="80"/>
              <w:spacing w:after="0"/>
              <w:rPr>
                <w:sz w:val="20"/>
                <w:szCs w:val="20"/>
                <w:color w:val="auto"/>
              </w:rPr>
            </w:pPr>
            <w:r>
              <w:rPr>
                <w:rFonts w:ascii="Arial" w:cs="Arial" w:eastAsia="Arial" w:hAnsi="Arial"/>
                <w:sz w:val="12"/>
                <w:szCs w:val="12"/>
                <w:color w:val="0075C9"/>
              </w:rPr>
              <w:t>PROPOSALS TO</w:t>
            </w:r>
          </w:p>
        </w:tc>
        <w:tc>
          <w:tcPr>
            <w:tcW w:w="740" w:type="dxa"/>
            <w:vAlign w:val="bottom"/>
          </w:tcPr>
          <w:p>
            <w:pPr>
              <w:jc w:val="right"/>
              <w:spacing w:after="0"/>
              <w:rPr>
                <w:sz w:val="20"/>
                <w:szCs w:val="20"/>
                <w:color w:val="auto"/>
              </w:rPr>
            </w:pPr>
            <w:r>
              <w:rPr>
                <w:rFonts w:ascii="Arial" w:cs="Arial" w:eastAsia="Arial" w:hAnsi="Arial"/>
                <w:sz w:val="36"/>
                <w:szCs w:val="36"/>
                <w:color w:val="auto"/>
              </w:rPr>
              <w:t>5</w:t>
            </w:r>
          </w:p>
        </w:tc>
        <w:tc>
          <w:tcPr>
            <w:tcW w:w="900" w:type="dxa"/>
            <w:vAlign w:val="bottom"/>
            <w:vMerge w:val="restart"/>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36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tcPr>
          <w:p>
            <w:pPr>
              <w:ind w:left="80"/>
              <w:spacing w:after="0" w:line="130" w:lineRule="exact"/>
              <w:rPr>
                <w:sz w:val="20"/>
                <w:szCs w:val="20"/>
                <w:color w:val="auto"/>
              </w:rPr>
            </w:pPr>
            <w:r>
              <w:rPr>
                <w:rFonts w:ascii="Arial" w:cs="Arial" w:eastAsia="Arial" w:hAnsi="Arial"/>
                <w:sz w:val="12"/>
                <w:szCs w:val="12"/>
                <w:color w:val="0075C9"/>
                <w:w w:val="99"/>
              </w:rPr>
              <w:t>BE VOTED ON DURING</w:t>
            </w:r>
          </w:p>
        </w:tc>
        <w:tc>
          <w:tcPr>
            <w:tcW w:w="740" w:type="dxa"/>
            <w:vAlign w:val="bottom"/>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36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tcPr>
          <w:p>
            <w:pPr>
              <w:spacing w:after="0"/>
              <w:rPr>
                <w:sz w:val="12"/>
                <w:szCs w:val="12"/>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tcPr>
          <w:p>
            <w:pPr>
              <w:spacing w:after="0"/>
              <w:rPr>
                <w:sz w:val="12"/>
                <w:szCs w:val="12"/>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ind w:left="80"/>
              <w:spacing w:after="0"/>
              <w:rPr>
                <w:sz w:val="20"/>
                <w:szCs w:val="20"/>
                <w:color w:val="auto"/>
              </w:rPr>
            </w:pPr>
            <w:r>
              <w:rPr>
                <w:rFonts w:ascii="Arial" w:cs="Arial" w:eastAsia="Arial" w:hAnsi="Arial"/>
                <w:sz w:val="12"/>
                <w:szCs w:val="12"/>
                <w:color w:val="0075C9"/>
              </w:rPr>
              <w:t>THE MEETING</w:t>
            </w:r>
          </w:p>
        </w:tc>
        <w:tc>
          <w:tcPr>
            <w:tcW w:w="740" w:type="dxa"/>
            <w:vAlign w:val="bottom"/>
          </w:tcPr>
          <w:p>
            <w:pPr>
              <w:spacing w:after="0"/>
              <w:rPr>
                <w:sz w:val="12"/>
                <w:szCs w:val="12"/>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4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jc w:val="center"/>
        <w:ind w:right="-979"/>
        <w:spacing w:after="0"/>
        <w:rPr>
          <w:sz w:val="20"/>
          <w:szCs w:val="20"/>
          <w:color w:val="auto"/>
        </w:rPr>
      </w:pPr>
      <w:r>
        <w:rPr>
          <w:rFonts w:ascii="Arial" w:cs="Arial" w:eastAsia="Arial" w:hAnsi="Arial"/>
          <w:sz w:val="21"/>
          <w:szCs w:val="21"/>
          <w:b w:val="1"/>
          <w:bCs w:val="1"/>
          <w:color w:val="auto"/>
        </w:rPr>
        <w:t>Shareholder Proposal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-50165</wp:posOffset>
            </wp:positionV>
            <wp:extent cx="5748020" cy="51816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748020" cy="518160"/>
                    </a:xfrm>
                    <a:prstGeom prst="rect">
                      <a:avLst/>
                    </a:prstGeom>
                    <a:noFill/>
                  </pic:spPr>
                </pic:pic>
              </a:graphicData>
            </a:graphic>
          </wp:anchor>
        </w:drawing>
      </w:r>
    </w:p>
    <w:p>
      <w:pPr>
        <w:spacing w:after="0" w:line="96" w:lineRule="exact"/>
        <w:rPr>
          <w:sz w:val="20"/>
          <w:szCs w:val="20"/>
          <w:color w:val="auto"/>
        </w:rPr>
      </w:pPr>
    </w:p>
    <w:p>
      <w:pPr>
        <w:ind w:left="1260" w:right="260"/>
        <w:spacing w:after="0" w:line="239" w:lineRule="auto"/>
        <w:rPr>
          <w:sz w:val="20"/>
          <w:szCs w:val="20"/>
          <w:color w:val="auto"/>
        </w:rPr>
      </w:pPr>
      <w:r>
        <w:rPr>
          <w:rFonts w:ascii="Arial" w:cs="Arial" w:eastAsia="Arial" w:hAnsi="Arial"/>
          <w:sz w:val="16"/>
          <w:szCs w:val="16"/>
          <w:color w:val="auto"/>
        </w:rPr>
        <w:t>The Congregation of the Sisters of St. Joseph of Peace and a number of co-filers have advised us that they intend to submit the following proposal for consideration at the Annual Shareholders Meeting.</w:t>
      </w:r>
    </w:p>
    <w:p>
      <w:pPr>
        <w:spacing w:after="0" w:line="341" w:lineRule="exact"/>
        <w:rPr>
          <w:sz w:val="20"/>
          <w:szCs w:val="20"/>
          <w:color w:val="auto"/>
        </w:rPr>
      </w:pPr>
    </w:p>
    <w:p>
      <w:pPr>
        <w:ind w:left="1100" w:right="400"/>
        <w:spacing w:after="0" w:line="245" w:lineRule="auto"/>
        <w:rPr>
          <w:sz w:val="20"/>
          <w:szCs w:val="20"/>
          <w:color w:val="auto"/>
        </w:rPr>
      </w:pPr>
      <w:r>
        <w:rPr>
          <w:rFonts w:ascii="Arial" w:cs="Arial" w:eastAsia="Arial" w:hAnsi="Arial"/>
          <w:sz w:val="16"/>
          <w:szCs w:val="16"/>
          <w:b w:val="1"/>
          <w:bCs w:val="1"/>
          <w:color w:val="auto"/>
        </w:rPr>
        <w:t xml:space="preserve">Resolved: </w:t>
      </w:r>
      <w:r>
        <w:rPr>
          <w:rFonts w:ascii="Arial" w:cs="Arial" w:eastAsia="Arial" w:hAnsi="Arial"/>
          <w:sz w:val="16"/>
          <w:szCs w:val="16"/>
          <w:color w:val="auto"/>
        </w:rPr>
        <w:t>Shareholders request that the Board of Directors oversee an evaluation and issue a public report, at reasonable cost</w:t>
      </w:r>
      <w:r>
        <w:rPr>
          <w:rFonts w:ascii="Arial" w:cs="Arial" w:eastAsia="Arial" w:hAnsi="Arial"/>
          <w:sz w:val="16"/>
          <w:szCs w:val="16"/>
          <w:b w:val="1"/>
          <w:bCs w:val="1"/>
          <w:color w:val="auto"/>
        </w:rPr>
        <w:t xml:space="preserve"> </w:t>
      </w:r>
      <w:r>
        <w:rPr>
          <w:rFonts w:ascii="Arial" w:cs="Arial" w:eastAsia="Arial" w:hAnsi="Arial"/>
          <w:sz w:val="16"/>
          <w:szCs w:val="16"/>
          <w:color w:val="auto"/>
        </w:rPr>
        <w:t>and omitting proprietary information, describing if, and how, Microsoft’s direct and indirect lobbying activities align with company policies and principles on artificial intelligence, public policy, human rights, and racial justice, and how the company plans to mitigate risks created by any misalignment.</w:t>
      </w:r>
    </w:p>
    <w:p>
      <w:pPr>
        <w:spacing w:after="0" w:line="78" w:lineRule="exact"/>
        <w:rPr>
          <w:sz w:val="20"/>
          <w:szCs w:val="20"/>
          <w:color w:val="auto"/>
        </w:rPr>
      </w:pPr>
    </w:p>
    <w:p>
      <w:pPr>
        <w:ind w:left="1100" w:right="180"/>
        <w:spacing w:after="0" w:line="196" w:lineRule="auto"/>
        <w:rPr>
          <w:sz w:val="20"/>
          <w:szCs w:val="20"/>
          <w:color w:val="auto"/>
        </w:rPr>
      </w:pPr>
      <w:r>
        <w:rPr>
          <w:rFonts w:ascii="Arial" w:cs="Arial" w:eastAsia="Arial" w:hAnsi="Arial"/>
          <w:sz w:val="15"/>
          <w:szCs w:val="15"/>
          <w:b w:val="1"/>
          <w:bCs w:val="1"/>
          <w:color w:val="auto"/>
        </w:rPr>
        <w:t xml:space="preserve">Whereas, </w:t>
      </w:r>
      <w:r>
        <w:rPr>
          <w:rFonts w:ascii="Arial" w:cs="Arial" w:eastAsia="Arial" w:hAnsi="Arial"/>
          <w:sz w:val="15"/>
          <w:szCs w:val="15"/>
          <w:color w:val="auto"/>
        </w:rPr>
        <w:t>Microsoft spent $9,464,000 on federal lobbying in 2020, including on privacy, defense, homeland security, and border</w:t>
      </w:r>
      <w:r>
        <w:rPr>
          <w:rFonts w:ascii="Arial" w:cs="Arial" w:eastAsia="Arial" w:hAnsi="Arial"/>
          <w:sz w:val="15"/>
          <w:szCs w:val="15"/>
          <w:b w:val="1"/>
          <w:bCs w:val="1"/>
          <w:color w:val="auto"/>
        </w:rPr>
        <w:t xml:space="preserve"> </w:t>
      </w:r>
      <w:r>
        <w:rPr>
          <w:rFonts w:ascii="Arial" w:cs="Arial" w:eastAsia="Arial" w:hAnsi="Arial"/>
          <w:sz w:val="15"/>
          <w:szCs w:val="15"/>
          <w:color w:val="auto"/>
        </w:rPr>
        <w:t>militarization.</w:t>
      </w:r>
      <w:r>
        <w:rPr>
          <w:rFonts w:ascii="Arial" w:cs="Arial" w:eastAsia="Arial" w:hAnsi="Arial"/>
          <w:sz w:val="25"/>
          <w:szCs w:val="25"/>
          <w:color w:val="auto"/>
          <w:vertAlign w:val="superscript"/>
        </w:rPr>
        <w:t>1</w:t>
      </w:r>
      <w:r>
        <w:rPr>
          <w:rFonts w:ascii="Arial" w:cs="Arial" w:eastAsia="Arial" w:hAnsi="Arial"/>
          <w:sz w:val="15"/>
          <w:szCs w:val="15"/>
          <w:color w:val="auto"/>
        </w:rPr>
        <w:t xml:space="preserve"> Bipartisan lawmakers have introduced numerous federal privacy bills, and President Biden is expected to issue an executive order on companies’ collection of personal data.</w:t>
      </w:r>
      <w:r>
        <w:rPr>
          <w:rFonts w:ascii="Arial" w:cs="Arial" w:eastAsia="Arial" w:hAnsi="Arial"/>
          <w:sz w:val="25"/>
          <w:szCs w:val="25"/>
          <w:color w:val="auto"/>
          <w:vertAlign w:val="superscript"/>
        </w:rPr>
        <w:t>2</w:t>
      </w:r>
      <w:r>
        <w:rPr>
          <w:rFonts w:ascii="Arial" w:cs="Arial" w:eastAsia="Arial" w:hAnsi="Arial"/>
          <w:sz w:val="15"/>
          <w:szCs w:val="15"/>
          <w:color w:val="auto"/>
        </w:rPr>
        <w:t xml:space="preserve"> Civil society and the investor community are increasingly concerned about the use of Microsoft technology in military operations in conflict-affected areas, at borders, and for immigration enforcement.</w:t>
      </w:r>
      <w:r>
        <w:rPr>
          <w:rFonts w:ascii="Arial" w:cs="Arial" w:eastAsia="Arial" w:hAnsi="Arial"/>
          <w:sz w:val="25"/>
          <w:szCs w:val="25"/>
          <w:color w:val="auto"/>
          <w:vertAlign w:val="superscript"/>
        </w:rPr>
        <w:t>3</w:t>
      </w:r>
    </w:p>
    <w:p>
      <w:pPr>
        <w:spacing w:after="0" w:line="2"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Microsoft principles and statements appear to contradict its lobbying practices.</w:t>
      </w:r>
    </w:p>
    <w:p>
      <w:pPr>
        <w:spacing w:after="0" w:line="96" w:lineRule="exact"/>
        <w:rPr>
          <w:sz w:val="20"/>
          <w:szCs w:val="20"/>
          <w:color w:val="auto"/>
        </w:rPr>
      </w:pPr>
    </w:p>
    <w:p>
      <w:pPr>
        <w:ind w:left="1100" w:right="240"/>
        <w:spacing w:after="0" w:line="184" w:lineRule="auto"/>
        <w:rPr>
          <w:sz w:val="20"/>
          <w:szCs w:val="20"/>
          <w:color w:val="auto"/>
        </w:rPr>
      </w:pPr>
      <w:r>
        <w:rPr>
          <w:rFonts w:ascii="Arial" w:cs="Arial" w:eastAsia="Arial" w:hAnsi="Arial"/>
          <w:sz w:val="16"/>
          <w:szCs w:val="16"/>
          <w:color w:val="auto"/>
        </w:rPr>
        <w:t>Microsoft has positions on federal privacy regulations and protecting privacy in the online environment.</w:t>
      </w:r>
      <w:r>
        <w:rPr>
          <w:rFonts w:ascii="Arial" w:cs="Arial" w:eastAsia="Arial" w:hAnsi="Arial"/>
          <w:sz w:val="26"/>
          <w:szCs w:val="26"/>
          <w:color w:val="auto"/>
          <w:vertAlign w:val="superscript"/>
        </w:rPr>
        <w:t>4</w:t>
      </w:r>
      <w:r>
        <w:rPr>
          <w:rFonts w:ascii="Arial" w:cs="Arial" w:eastAsia="Arial" w:hAnsi="Arial"/>
          <w:sz w:val="16"/>
          <w:szCs w:val="16"/>
          <w:color w:val="auto"/>
        </w:rPr>
        <w:t xml:space="preserve"> In 2020, Microsoft lobbied for a Virginia law that was the model for bills introduced in 14 other states which conflict with company values stated in its policy agenda, such as affirmative consent.</w:t>
      </w:r>
      <w:r>
        <w:rPr>
          <w:rFonts w:ascii="Arial" w:cs="Arial" w:eastAsia="Arial" w:hAnsi="Arial"/>
          <w:sz w:val="26"/>
          <w:szCs w:val="26"/>
          <w:color w:val="auto"/>
          <w:vertAlign w:val="superscript"/>
        </w:rPr>
        <w:t>5</w:t>
      </w:r>
      <w:r>
        <w:rPr>
          <w:rFonts w:ascii="Arial" w:cs="Arial" w:eastAsia="Arial" w:hAnsi="Arial"/>
          <w:sz w:val="16"/>
          <w:szCs w:val="16"/>
          <w:color w:val="auto"/>
        </w:rPr>
        <w:t xml:space="preserve"> Experts say these bills fail to safeguard privacy and undermine efforts to pass a strong federal privacy law.</w:t>
      </w:r>
      <w:r>
        <w:rPr>
          <w:rFonts w:ascii="Arial" w:cs="Arial" w:eastAsia="Arial" w:hAnsi="Arial"/>
          <w:sz w:val="26"/>
          <w:szCs w:val="26"/>
          <w:color w:val="auto"/>
          <w:vertAlign w:val="superscript"/>
        </w:rPr>
        <w:t>6</w:t>
      </w:r>
    </w:p>
    <w:p>
      <w:pPr>
        <w:ind w:left="1100" w:right="160"/>
        <w:spacing w:after="0" w:line="182" w:lineRule="auto"/>
        <w:rPr>
          <w:sz w:val="20"/>
          <w:szCs w:val="20"/>
          <w:color w:val="auto"/>
        </w:rPr>
      </w:pPr>
      <w:r>
        <w:rPr>
          <w:rFonts w:ascii="Arial" w:cs="Arial" w:eastAsia="Arial" w:hAnsi="Arial"/>
          <w:sz w:val="14"/>
          <w:szCs w:val="14"/>
          <w:color w:val="auto"/>
        </w:rPr>
        <w:t>In 2020, Microsoft committed not to sell facial recognition to police “until there is a strong national law grounded in human rights,”</w:t>
      </w:r>
      <w:r>
        <w:rPr>
          <w:rFonts w:ascii="Arial" w:cs="Arial" w:eastAsia="Arial" w:hAnsi="Arial"/>
          <w:sz w:val="22"/>
          <w:szCs w:val="22"/>
          <w:color w:val="auto"/>
          <w:vertAlign w:val="superscript"/>
        </w:rPr>
        <w:t>7</w:t>
      </w:r>
      <w:r>
        <w:rPr>
          <w:rFonts w:ascii="Arial" w:cs="Arial" w:eastAsia="Arial" w:hAnsi="Arial"/>
          <w:sz w:val="14"/>
          <w:szCs w:val="14"/>
          <w:color w:val="auto"/>
        </w:rPr>
        <w:t xml:space="preserve"> and it has urged governments to consider “civilian oversight and accountability” of facial recognition.</w:t>
      </w:r>
      <w:r>
        <w:rPr>
          <w:rFonts w:ascii="Arial" w:cs="Arial" w:eastAsia="Arial" w:hAnsi="Arial"/>
          <w:sz w:val="22"/>
          <w:szCs w:val="22"/>
          <w:color w:val="auto"/>
          <w:vertAlign w:val="superscript"/>
        </w:rPr>
        <w:t>8</w:t>
      </w:r>
      <w:r>
        <w:rPr>
          <w:rFonts w:ascii="Arial" w:cs="Arial" w:eastAsia="Arial" w:hAnsi="Arial"/>
          <w:sz w:val="14"/>
          <w:szCs w:val="14"/>
          <w:color w:val="auto"/>
        </w:rPr>
        <w:t xml:space="preserve"> However, Microsoft lobbies for and testified in support of laws that enable police use of facial recognition and undermine such local accountability efforts.</w:t>
      </w:r>
      <w:r>
        <w:rPr>
          <w:rFonts w:ascii="Arial" w:cs="Arial" w:eastAsia="Arial" w:hAnsi="Arial"/>
          <w:sz w:val="22"/>
          <w:szCs w:val="22"/>
          <w:color w:val="auto"/>
          <w:vertAlign w:val="superscript"/>
        </w:rPr>
        <w:t>9</w:t>
      </w:r>
      <w:r>
        <w:rPr>
          <w:rFonts w:ascii="Arial" w:cs="Arial" w:eastAsia="Arial" w:hAnsi="Arial"/>
          <w:sz w:val="14"/>
          <w:szCs w:val="14"/>
          <w:color w:val="auto"/>
        </w:rPr>
        <w:t xml:space="preserve"> Last year, a Microsoft employee – who is also a Washington State Senator – prime sponsored</w:t>
      </w:r>
      <w:r>
        <w:rPr>
          <w:rFonts w:ascii="Arial" w:cs="Arial" w:eastAsia="Arial" w:hAnsi="Arial"/>
          <w:sz w:val="22"/>
          <w:szCs w:val="22"/>
          <w:color w:val="auto"/>
          <w:vertAlign w:val="superscript"/>
        </w:rPr>
        <w:t>10</w:t>
      </w:r>
      <w:r>
        <w:rPr>
          <w:rFonts w:ascii="Arial" w:cs="Arial" w:eastAsia="Arial" w:hAnsi="Arial"/>
          <w:sz w:val="14"/>
          <w:szCs w:val="14"/>
          <w:color w:val="auto"/>
        </w:rPr>
        <w:t xml:space="preserve"> a weak, industry-backed state facial recognition bill, which was strongly opposed by a large coalition of privacy advocates, racial justice advocates, and consumer rights organizations.</w:t>
      </w:r>
      <w:r>
        <w:rPr>
          <w:rFonts w:ascii="Arial" w:cs="Arial" w:eastAsia="Arial" w:hAnsi="Arial"/>
          <w:sz w:val="22"/>
          <w:szCs w:val="22"/>
          <w:color w:val="auto"/>
          <w:vertAlign w:val="superscript"/>
        </w:rPr>
        <w:t>11</w:t>
      </w:r>
      <w:r>
        <w:rPr>
          <w:rFonts w:ascii="Arial" w:cs="Arial" w:eastAsia="Arial" w:hAnsi="Arial"/>
          <w:sz w:val="14"/>
          <w:szCs w:val="14"/>
          <w:color w:val="auto"/>
        </w:rPr>
        <w:t xml:space="preserve"> Contradicting Microsoft’s claim that the Washington bill “offers protections for civil liberties,”</w:t>
      </w:r>
      <w:r>
        <w:rPr>
          <w:rFonts w:ascii="Arial" w:cs="Arial" w:eastAsia="Arial" w:hAnsi="Arial"/>
          <w:sz w:val="22"/>
          <w:szCs w:val="22"/>
          <w:color w:val="auto"/>
          <w:vertAlign w:val="superscript"/>
        </w:rPr>
        <w:t>12</w:t>
      </w:r>
      <w:r>
        <w:rPr>
          <w:rFonts w:ascii="Arial" w:cs="Arial" w:eastAsia="Arial" w:hAnsi="Arial"/>
          <w:sz w:val="14"/>
          <w:szCs w:val="14"/>
          <w:color w:val="auto"/>
        </w:rPr>
        <w:t xml:space="preserve"> privacy expert Jennifer Lee said Microsoft’s bill “purports to put safeguards...but does just the opposite.”</w:t>
      </w:r>
    </w:p>
    <w:p>
      <w:pPr>
        <w:spacing w:after="0" w:line="104" w:lineRule="exact"/>
        <w:rPr>
          <w:sz w:val="20"/>
          <w:szCs w:val="20"/>
          <w:color w:val="auto"/>
        </w:rPr>
      </w:pPr>
    </w:p>
    <w:p>
      <w:pPr>
        <w:ind w:left="1100" w:right="300"/>
        <w:spacing w:after="0" w:line="180" w:lineRule="auto"/>
        <w:rPr>
          <w:sz w:val="20"/>
          <w:szCs w:val="20"/>
          <w:color w:val="auto"/>
        </w:rPr>
      </w:pPr>
      <w:r>
        <w:rPr>
          <w:rFonts w:ascii="Arial" w:cs="Arial" w:eastAsia="Arial" w:hAnsi="Arial"/>
          <w:sz w:val="15"/>
          <w:szCs w:val="15"/>
          <w:color w:val="auto"/>
        </w:rPr>
        <w:t>Despite its commitment to use “data, technology, and partnership to help improve the lives of Black and African American citizens”</w:t>
      </w:r>
      <w:r>
        <w:rPr>
          <w:rFonts w:ascii="Arial" w:cs="Arial" w:eastAsia="Arial" w:hAnsi="Arial"/>
          <w:sz w:val="25"/>
          <w:szCs w:val="25"/>
          <w:color w:val="auto"/>
          <w:vertAlign w:val="superscript"/>
        </w:rPr>
        <w:t>13</w:t>
      </w:r>
      <w:r>
        <w:rPr>
          <w:rFonts w:ascii="Arial" w:cs="Arial" w:eastAsia="Arial" w:hAnsi="Arial"/>
          <w:sz w:val="15"/>
          <w:szCs w:val="15"/>
          <w:color w:val="auto"/>
        </w:rPr>
        <w:t xml:space="preserve"> and its Responsible AI principle on fairness,</w:t>
      </w:r>
      <w:r>
        <w:rPr>
          <w:rFonts w:ascii="Arial" w:cs="Arial" w:eastAsia="Arial" w:hAnsi="Arial"/>
          <w:sz w:val="25"/>
          <w:szCs w:val="25"/>
          <w:color w:val="auto"/>
          <w:vertAlign w:val="superscript"/>
        </w:rPr>
        <w:t>14</w:t>
      </w:r>
      <w:r>
        <w:rPr>
          <w:rFonts w:ascii="Arial" w:cs="Arial" w:eastAsia="Arial" w:hAnsi="Arial"/>
          <w:sz w:val="15"/>
          <w:szCs w:val="15"/>
          <w:color w:val="auto"/>
        </w:rPr>
        <w:t xml:space="preserve"> Microsoft lobbied against a bill that would ban governments from using facial recognition until the systems were equally accurate “for people of differing races, skin tones, ethnicities, genders, or age.”</w:t>
      </w:r>
      <w:r>
        <w:rPr>
          <w:rFonts w:ascii="Arial" w:cs="Arial" w:eastAsia="Arial" w:hAnsi="Arial"/>
          <w:sz w:val="25"/>
          <w:szCs w:val="25"/>
          <w:color w:val="auto"/>
          <w:vertAlign w:val="superscript"/>
        </w:rPr>
        <w:t>15</w:t>
      </w:r>
    </w:p>
    <w:p>
      <w:pPr>
        <w:spacing w:after="0" w:line="1" w:lineRule="exact"/>
        <w:rPr>
          <w:sz w:val="20"/>
          <w:szCs w:val="20"/>
          <w:color w:val="auto"/>
        </w:rPr>
      </w:pPr>
    </w:p>
    <w:p>
      <w:pPr>
        <w:ind w:left="1100" w:right="340"/>
        <w:spacing w:after="0" w:line="229" w:lineRule="auto"/>
        <w:rPr>
          <w:sz w:val="20"/>
          <w:szCs w:val="20"/>
          <w:color w:val="auto"/>
        </w:rPr>
      </w:pPr>
      <w:r>
        <w:rPr>
          <w:rFonts w:ascii="Arial" w:cs="Arial" w:eastAsia="Arial" w:hAnsi="Arial"/>
          <w:sz w:val="16"/>
          <w:szCs w:val="16"/>
          <w:color w:val="auto"/>
        </w:rPr>
        <w:t>In 2021, the Conference Board reported that five shareholder proposals on corporate lobbying received majority support and that shareholders are increasingly focusing on lobbying alignment with stated positions.</w:t>
      </w:r>
      <w:r>
        <w:rPr>
          <w:rFonts w:ascii="Arial" w:cs="Arial" w:eastAsia="Arial" w:hAnsi="Arial"/>
          <w:sz w:val="26"/>
          <w:szCs w:val="26"/>
          <w:color w:val="auto"/>
          <w:vertAlign w:val="superscript"/>
        </w:rPr>
        <w:t>16</w:t>
      </w:r>
    </w:p>
    <w:p>
      <w:pPr>
        <w:spacing w:after="0" w:line="1" w:lineRule="exact"/>
        <w:rPr>
          <w:sz w:val="20"/>
          <w:szCs w:val="20"/>
          <w:color w:val="auto"/>
        </w:rPr>
      </w:pPr>
    </w:p>
    <w:p>
      <w:pPr>
        <w:ind w:left="1100" w:right="260"/>
        <w:spacing w:after="0" w:line="185" w:lineRule="auto"/>
        <w:rPr>
          <w:sz w:val="20"/>
          <w:szCs w:val="20"/>
          <w:color w:val="auto"/>
        </w:rPr>
      </w:pPr>
      <w:r>
        <w:rPr>
          <w:rFonts w:ascii="Arial" w:cs="Arial" w:eastAsia="Arial" w:hAnsi="Arial"/>
          <w:sz w:val="16"/>
          <w:szCs w:val="16"/>
          <w:color w:val="auto"/>
        </w:rPr>
        <w:t>Microsoft’s disclosures, including its Principles and Policies for Guiding Microsoft’s Participation in the Public Policy Process,</w:t>
      </w:r>
      <w:r>
        <w:rPr>
          <w:rFonts w:ascii="Arial" w:cs="Arial" w:eastAsia="Arial" w:hAnsi="Arial"/>
          <w:sz w:val="26"/>
          <w:szCs w:val="26"/>
          <w:color w:val="auto"/>
          <w:vertAlign w:val="superscript"/>
        </w:rPr>
        <w:t>17</w:t>
      </w:r>
      <w:r>
        <w:rPr>
          <w:rFonts w:ascii="Arial" w:cs="Arial" w:eastAsia="Arial" w:hAnsi="Arial"/>
          <w:sz w:val="16"/>
          <w:szCs w:val="16"/>
          <w:color w:val="auto"/>
        </w:rPr>
        <w:t xml:space="preserve"> fail to address investor concerns about the misalignment between policy and lobbying practices.</w:t>
      </w:r>
    </w:p>
    <w:p>
      <w:pPr>
        <w:spacing w:after="0" w:line="221" w:lineRule="exact"/>
        <w:rPr>
          <w:sz w:val="20"/>
          <w:szCs w:val="20"/>
          <w:color w:val="auto"/>
        </w:rPr>
      </w:pPr>
    </w:p>
    <w:p>
      <w:pPr>
        <w:ind w:left="1360" w:right="3920" w:hanging="258"/>
        <w:spacing w:after="0" w:line="239" w:lineRule="auto"/>
        <w:tabs>
          <w:tab w:leader="none" w:pos="136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https://www.opensecrets.org/federal-lobbying/clients/summary?cycle=2020&amp;id=D000000115 ; https://www.tni.org/files/publication-downloads/more-than-a-wall-report.pdf</w:t>
      </w:r>
    </w:p>
    <w:p>
      <w:pPr>
        <w:spacing w:after="0" w:line="23" w:lineRule="exact"/>
        <w:rPr>
          <w:rFonts w:ascii="Arial" w:cs="Arial" w:eastAsia="Arial" w:hAnsi="Arial"/>
          <w:sz w:val="12"/>
          <w:szCs w:val="12"/>
          <w:color w:val="auto"/>
        </w:rPr>
      </w:pPr>
    </w:p>
    <w:p>
      <w:pPr>
        <w:ind w:left="1360" w:hanging="258"/>
        <w:spacing w:after="0"/>
        <w:tabs>
          <w:tab w:leader="none" w:pos="136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https://www.reuters.com/technology/biden-issue-order-address-data-collection-apps-like-wechat-tiktoksources-2021-06-09/</w:t>
      </w:r>
    </w:p>
    <w:p>
      <w:pPr>
        <w:spacing w:after="0" w:line="30" w:lineRule="exact"/>
        <w:rPr>
          <w:rFonts w:ascii="Arial" w:cs="Arial" w:eastAsia="Arial" w:hAnsi="Arial"/>
          <w:sz w:val="12"/>
          <w:szCs w:val="12"/>
          <w:color w:val="auto"/>
        </w:rPr>
      </w:pPr>
    </w:p>
    <w:p>
      <w:pPr>
        <w:ind w:left="1360" w:right="340" w:hanging="258"/>
        <w:spacing w:after="0"/>
        <w:tabs>
          <w:tab w:leader="none" w:pos="136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https://investigate.afsc.org/tags/high-tech-surveillance-immigrants; https://www.tni.org/files/publicationdownloads/more-than-a-wall-report.pdf; https://www.nytimes.com/2019/03/04/technology/technology-militarycontracts.html ; https://www.business-humanrights.org/en/latest-news/usa-employees-urge-tech-companies-towithdraw-bids-for-10-million-contract-with-department-of-defense/ ; https://www.tni.org/en/financingborderwars</w:t>
      </w:r>
    </w:p>
    <w:p>
      <w:pPr>
        <w:spacing w:after="0" w:line="142" w:lineRule="exact"/>
        <w:rPr>
          <w:rFonts w:ascii="Arial" w:cs="Arial" w:eastAsia="Arial" w:hAnsi="Arial"/>
          <w:sz w:val="12"/>
          <w:szCs w:val="12"/>
          <w:color w:val="auto"/>
        </w:rPr>
      </w:pPr>
    </w:p>
    <w:p>
      <w:pPr>
        <w:ind w:left="1360" w:right="300" w:hanging="258"/>
        <w:spacing w:after="0" w:line="239" w:lineRule="auto"/>
        <w:tabs>
          <w:tab w:leader="none" w:pos="136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https://news.microsoft.com/2005/11/03/microsoft-advocates-comprehensive-federal-privacy-legislation/ ; http://download.microsoft.com/download/d/0/9/d09fda37-e3b2-4629-8691-7bb16e2613b8/public_policy_agenda.doc</w:t>
      </w:r>
    </w:p>
    <w:p>
      <w:pPr>
        <w:spacing w:after="0" w:line="23" w:lineRule="exact"/>
        <w:rPr>
          <w:rFonts w:ascii="Arial" w:cs="Arial" w:eastAsia="Arial" w:hAnsi="Arial"/>
          <w:sz w:val="12"/>
          <w:szCs w:val="12"/>
          <w:color w:val="auto"/>
        </w:rPr>
      </w:pPr>
    </w:p>
    <w:p>
      <w:pPr>
        <w:ind w:left="1360" w:hanging="258"/>
        <w:spacing w:after="0"/>
        <w:tabs>
          <w:tab w:leader="none" w:pos="136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https://news.microsoft.com/cloudforgood/policy/briefing-papers/trusted-cloud/protecting-personalprivacy.html</w:t>
      </w:r>
    </w:p>
    <w:p>
      <w:pPr>
        <w:spacing w:after="0" w:line="30" w:lineRule="exact"/>
        <w:rPr>
          <w:rFonts w:ascii="Arial" w:cs="Arial" w:eastAsia="Arial" w:hAnsi="Arial"/>
          <w:sz w:val="12"/>
          <w:szCs w:val="12"/>
          <w:color w:val="auto"/>
        </w:rPr>
      </w:pPr>
    </w:p>
    <w:p>
      <w:pPr>
        <w:ind w:left="1360" w:hanging="258"/>
        <w:spacing w:after="0"/>
        <w:tabs>
          <w:tab w:leader="none" w:pos="136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https://themarkup.org/privacy/2021/04/15/big-tech-is-pushing-states-to-pass-privacy-laws-and-yes-you-shouldbe-suspicious</w:t>
      </w:r>
    </w:p>
    <w:p>
      <w:pPr>
        <w:spacing w:after="0" w:line="30" w:lineRule="exact"/>
        <w:rPr>
          <w:rFonts w:ascii="Arial" w:cs="Arial" w:eastAsia="Arial" w:hAnsi="Arial"/>
          <w:sz w:val="12"/>
          <w:szCs w:val="12"/>
          <w:color w:val="auto"/>
        </w:rPr>
      </w:pPr>
    </w:p>
    <w:p>
      <w:pPr>
        <w:ind w:left="1360" w:hanging="258"/>
        <w:spacing w:after="0"/>
        <w:tabs>
          <w:tab w:leader="none" w:pos="136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7https://query.prod.cms.rt.microsoft.com/cms/api/am/binary/RE4JaGo;https://www.cnet.com/news/microsoftbans-police-from-using-its-facial-recognition-software/</w:t>
      </w:r>
    </w:p>
    <w:p>
      <w:pPr>
        <w:spacing w:after="0" w:line="30" w:lineRule="exact"/>
        <w:rPr>
          <w:rFonts w:ascii="Arial" w:cs="Arial" w:eastAsia="Arial" w:hAnsi="Arial"/>
          <w:sz w:val="12"/>
          <w:szCs w:val="12"/>
          <w:color w:val="auto"/>
        </w:rPr>
      </w:pPr>
    </w:p>
    <w:p>
      <w:pPr>
        <w:ind w:left="1360" w:hanging="258"/>
        <w:spacing w:after="0"/>
        <w:tabs>
          <w:tab w:leader="none" w:pos="136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https://blogs.microsoft.com/on-the-issues/2018/07/13/facial-recognition-technology-the-need-for-publicregulation-and-corporate-responsibility/</w:t>
      </w:r>
    </w:p>
    <w:p>
      <w:pPr>
        <w:spacing w:after="0" w:line="30" w:lineRule="exact"/>
        <w:rPr>
          <w:rFonts w:ascii="Arial" w:cs="Arial" w:eastAsia="Arial" w:hAnsi="Arial"/>
          <w:sz w:val="12"/>
          <w:szCs w:val="12"/>
          <w:color w:val="auto"/>
        </w:rPr>
      </w:pPr>
    </w:p>
    <w:p>
      <w:pPr>
        <w:ind w:left="1360" w:hanging="258"/>
        <w:spacing w:after="0"/>
        <w:tabs>
          <w:tab w:leader="none" w:pos="136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https://www.protocol.com/microsoft-privacy-bills-in-four-other-states ; https://wired.com/story/microsoftwants-rules-facial-recognition-just-not-these/</w:t>
      </w:r>
    </w:p>
    <w:p>
      <w:pPr>
        <w:spacing w:after="0" w:line="30" w:lineRule="exact"/>
        <w:rPr>
          <w:rFonts w:ascii="Arial" w:cs="Arial" w:eastAsia="Arial" w:hAnsi="Arial"/>
          <w:sz w:val="12"/>
          <w:szCs w:val="12"/>
          <w:color w:val="auto"/>
        </w:rPr>
      </w:pPr>
    </w:p>
    <w:p>
      <w:pPr>
        <w:ind w:left="1360" w:hanging="258"/>
        <w:spacing w:after="0"/>
        <w:tabs>
          <w:tab w:leader="none" w:pos="136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https://onezero.medium.com/a-microsoft-employee-literally-wrote-washingtons-facial-recognition-legislationaab950396927</w:t>
      </w:r>
    </w:p>
    <w:p>
      <w:pPr>
        <w:spacing w:after="0" w:line="30" w:lineRule="exact"/>
        <w:rPr>
          <w:rFonts w:ascii="Arial" w:cs="Arial" w:eastAsia="Arial" w:hAnsi="Arial"/>
          <w:sz w:val="12"/>
          <w:szCs w:val="12"/>
          <w:color w:val="auto"/>
        </w:rPr>
      </w:pPr>
    </w:p>
    <w:p>
      <w:pPr>
        <w:ind w:left="1360" w:hanging="258"/>
        <w:spacing w:after="0"/>
        <w:tabs>
          <w:tab w:leader="none" w:pos="136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https://www.aclu-wa.org/story/we-need-face-surveillance-moratorium-not-weak-regulations-concerns-aboutsb-6280</w:t>
      </w:r>
    </w:p>
    <w:p>
      <w:pPr>
        <w:spacing w:after="0" w:line="30" w:lineRule="exact"/>
        <w:rPr>
          <w:rFonts w:ascii="Arial" w:cs="Arial" w:eastAsia="Arial" w:hAnsi="Arial"/>
          <w:sz w:val="12"/>
          <w:szCs w:val="12"/>
          <w:color w:val="auto"/>
        </w:rPr>
      </w:pPr>
    </w:p>
    <w:p>
      <w:pPr>
        <w:ind w:left="1360" w:hanging="258"/>
        <w:spacing w:after="0"/>
        <w:tabs>
          <w:tab w:leader="none" w:pos="136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https://query.prod.cms.rt.microsoft.com/cms/api/am/binary/RE4JaGo</w:t>
      </w:r>
    </w:p>
    <w:p>
      <w:pPr>
        <w:spacing w:after="0" w:line="30" w:lineRule="exact"/>
        <w:rPr>
          <w:rFonts w:ascii="Arial" w:cs="Arial" w:eastAsia="Arial" w:hAnsi="Arial"/>
          <w:sz w:val="12"/>
          <w:szCs w:val="12"/>
          <w:color w:val="auto"/>
        </w:rPr>
      </w:pPr>
    </w:p>
    <w:p>
      <w:pPr>
        <w:ind w:left="1360" w:hanging="258"/>
        <w:spacing w:after="0"/>
        <w:tabs>
          <w:tab w:leader="none" w:pos="136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https://blogs.microsoft.com/blog/2020/06/23/addressing-racial-injustice/</w:t>
      </w:r>
    </w:p>
    <w:p>
      <w:pPr>
        <w:spacing w:after="0" w:line="30" w:lineRule="exact"/>
        <w:rPr>
          <w:rFonts w:ascii="Arial" w:cs="Arial" w:eastAsia="Arial" w:hAnsi="Arial"/>
          <w:sz w:val="12"/>
          <w:szCs w:val="12"/>
          <w:color w:val="auto"/>
        </w:rPr>
      </w:pPr>
    </w:p>
    <w:p>
      <w:pPr>
        <w:ind w:left="1360" w:hanging="258"/>
        <w:spacing w:after="0"/>
        <w:tabs>
          <w:tab w:leader="none" w:pos="136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https://www.microsoft.com/en-us/ai/responsible-ai?activetab=pivot1:primaryr6</w:t>
      </w:r>
    </w:p>
    <w:p>
      <w:pPr>
        <w:spacing w:after="0" w:line="30" w:lineRule="exact"/>
        <w:rPr>
          <w:rFonts w:ascii="Arial" w:cs="Arial" w:eastAsia="Arial" w:hAnsi="Arial"/>
          <w:sz w:val="12"/>
          <w:szCs w:val="12"/>
          <w:color w:val="auto"/>
        </w:rPr>
      </w:pPr>
    </w:p>
    <w:p>
      <w:pPr>
        <w:ind w:left="1360" w:hanging="258"/>
        <w:spacing w:after="0"/>
        <w:tabs>
          <w:tab w:leader="none" w:pos="136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https://wired.com/story/microsoft-wants-rules-facial-recognition-just-not-these/</w:t>
      </w:r>
    </w:p>
    <w:p>
      <w:pPr>
        <w:spacing w:after="0" w:line="30" w:lineRule="exact"/>
        <w:rPr>
          <w:rFonts w:ascii="Arial" w:cs="Arial" w:eastAsia="Arial" w:hAnsi="Arial"/>
          <w:sz w:val="12"/>
          <w:szCs w:val="12"/>
          <w:color w:val="auto"/>
        </w:rPr>
      </w:pPr>
    </w:p>
    <w:p>
      <w:pPr>
        <w:ind w:left="1360" w:hanging="258"/>
        <w:spacing w:after="0"/>
        <w:tabs>
          <w:tab w:leader="none" w:pos="136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https://corpgov.law.harvard.edu/2021/02/11/2021-proxy-season-preview-and-shareholder-voting-trends-2017-2020/</w:t>
      </w:r>
    </w:p>
    <w:p>
      <w:pPr>
        <w:spacing w:after="0" w:line="30" w:lineRule="exact"/>
        <w:rPr>
          <w:rFonts w:ascii="Arial" w:cs="Arial" w:eastAsia="Arial" w:hAnsi="Arial"/>
          <w:sz w:val="12"/>
          <w:szCs w:val="12"/>
          <w:color w:val="auto"/>
        </w:rPr>
      </w:pPr>
    </w:p>
    <w:p>
      <w:pPr>
        <w:ind w:left="1360" w:hanging="258"/>
        <w:spacing w:after="0"/>
        <w:tabs>
          <w:tab w:leader="none" w:pos="136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https://query.prod.cms.rt.microsoft.com/cms/api/am/binary/RE1F8WC</w:t>
      </w:r>
    </w:p>
    <w:p>
      <w:pPr>
        <w:spacing w:after="0" w:line="200" w:lineRule="exact"/>
        <w:rPr>
          <w:sz w:val="20"/>
          <w:szCs w:val="20"/>
          <w:color w:val="auto"/>
        </w:rPr>
      </w:pPr>
    </w:p>
    <w:p>
      <w:pPr>
        <w:spacing w:after="0" w:line="304"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2021 PROXY STATEMENT</w:t>
      </w:r>
      <w:r>
        <w:rPr>
          <w:sz w:val="20"/>
          <w:szCs w:val="20"/>
          <w:color w:val="auto"/>
        </w:rPr>
        <w:tab/>
      </w:r>
      <w:r>
        <w:rPr>
          <w:rFonts w:ascii="Arial" w:cs="Arial" w:eastAsia="Arial" w:hAnsi="Arial"/>
          <w:sz w:val="12"/>
          <w:szCs w:val="12"/>
          <w:b w:val="1"/>
          <w:bCs w:val="1"/>
          <w:color w:val="0075C9"/>
        </w:rPr>
        <w:t>81</w:t>
      </w:r>
    </w:p>
    <w:p>
      <w:pPr>
        <w:sectPr>
          <w:pgSz w:w="11900" w:h="16838" w:orient="portrait"/>
          <w:cols w:equalWidth="0" w:num="1">
            <w:col w:w="10280"/>
          </w:cols>
          <w:pgMar w:left="320" w:top="445" w:right="1299" w:bottom="1440" w:gutter="0" w:footer="0" w:header="0"/>
        </w:sectPr>
      </w:pPr>
    </w:p>
    <w:bookmarkStart w:id="89" w:name="page90"/>
    <w:bookmarkEnd w:id="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auto"/>
                <w:w w:val="89"/>
              </w:rPr>
              <w:t>1</w:t>
            </w:r>
          </w:p>
        </w:tc>
        <w:tc>
          <w:tcPr>
            <w:tcW w:w="1360" w:type="dxa"/>
            <w:vAlign w:val="bottom"/>
            <w:vMerge w:val="restart"/>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tcPr>
          <w:p>
            <w:pPr>
              <w:jc w:val="right"/>
              <w:spacing w:after="0"/>
              <w:rPr>
                <w:sz w:val="20"/>
                <w:szCs w:val="20"/>
                <w:color w:val="auto"/>
              </w:rPr>
            </w:pPr>
            <w:r>
              <w:rPr>
                <w:rFonts w:ascii="Arial" w:cs="Arial" w:eastAsia="Arial" w:hAnsi="Arial"/>
                <w:sz w:val="36"/>
                <w:szCs w:val="36"/>
                <w:color w:val="auto"/>
              </w:rPr>
              <w:t>2</w:t>
            </w:r>
          </w:p>
        </w:tc>
        <w:tc>
          <w:tcPr>
            <w:tcW w:w="1540" w:type="dxa"/>
            <w:vAlign w:val="bottom"/>
            <w:vMerge w:val="restart"/>
          </w:tcPr>
          <w:p>
            <w:pPr>
              <w:ind w:left="80"/>
              <w:spacing w:after="0"/>
              <w:rPr>
                <w:sz w:val="20"/>
                <w:szCs w:val="20"/>
                <w:color w:val="auto"/>
              </w:rPr>
            </w:pPr>
            <w:r>
              <w:rPr>
                <w:rFonts w:ascii="Arial" w:cs="Arial" w:eastAsia="Arial" w:hAnsi="Arial"/>
                <w:sz w:val="12"/>
                <w:szCs w:val="12"/>
                <w:color w:val="auto"/>
              </w:rPr>
              <w:t>NAMED</w:t>
            </w:r>
          </w:p>
        </w:tc>
        <w:tc>
          <w:tcPr>
            <w:tcW w:w="500" w:type="dxa"/>
            <w:vAlign w:val="bottom"/>
          </w:tcPr>
          <w:p>
            <w:pPr>
              <w:jc w:val="right"/>
              <w:spacing w:after="0"/>
              <w:rPr>
                <w:sz w:val="20"/>
                <w:szCs w:val="20"/>
                <w:color w:val="auto"/>
              </w:rPr>
            </w:pPr>
            <w:r>
              <w:rPr>
                <w:rFonts w:ascii="Arial" w:cs="Arial" w:eastAsia="Arial" w:hAnsi="Arial"/>
                <w:sz w:val="36"/>
                <w:szCs w:val="36"/>
                <w:color w:val="auto"/>
              </w:rPr>
              <w:t>3</w:t>
            </w:r>
          </w:p>
        </w:tc>
        <w:tc>
          <w:tcPr>
            <w:tcW w:w="980" w:type="dxa"/>
            <w:vAlign w:val="bottom"/>
            <w:vMerge w:val="restart"/>
          </w:tcPr>
          <w:p>
            <w:pPr>
              <w:ind w:left="80"/>
              <w:spacing w:after="0"/>
              <w:rPr>
                <w:sz w:val="20"/>
                <w:szCs w:val="20"/>
                <w:color w:val="auto"/>
              </w:rPr>
            </w:pPr>
            <w:r>
              <w:rPr>
                <w:rFonts w:ascii="Arial" w:cs="Arial" w:eastAsia="Arial" w:hAnsi="Arial"/>
                <w:sz w:val="12"/>
                <w:szCs w:val="12"/>
                <w:color w:val="auto"/>
              </w:rPr>
              <w:t>AUDIT</w:t>
            </w:r>
          </w:p>
        </w:tc>
        <w:tc>
          <w:tcPr>
            <w:tcW w:w="460" w:type="dxa"/>
            <w:vAlign w:val="bottom"/>
            <w:gridSpan w:val="2"/>
          </w:tcPr>
          <w:p>
            <w:pPr>
              <w:jc w:val="right"/>
              <w:ind w:right="80"/>
              <w:spacing w:after="0"/>
              <w:rPr>
                <w:sz w:val="20"/>
                <w:szCs w:val="20"/>
                <w:color w:val="auto"/>
              </w:rPr>
            </w:pPr>
            <w:r>
              <w:rPr>
                <w:rFonts w:ascii="Arial" w:cs="Arial" w:eastAsia="Arial" w:hAnsi="Arial"/>
                <w:sz w:val="36"/>
                <w:szCs w:val="36"/>
                <w:color w:val="0075C9"/>
              </w:rPr>
              <w:t>4</w:t>
            </w:r>
          </w:p>
        </w:tc>
        <w:tc>
          <w:tcPr>
            <w:tcW w:w="1420" w:type="dxa"/>
            <w:vAlign w:val="bottom"/>
            <w:vMerge w:val="restart"/>
          </w:tcPr>
          <w:p>
            <w:pPr>
              <w:ind w:left="80"/>
              <w:spacing w:after="0"/>
              <w:rPr>
                <w:sz w:val="20"/>
                <w:szCs w:val="20"/>
                <w:color w:val="auto"/>
              </w:rPr>
            </w:pPr>
            <w:r>
              <w:rPr>
                <w:rFonts w:ascii="Arial" w:cs="Arial" w:eastAsia="Arial" w:hAnsi="Arial"/>
                <w:sz w:val="12"/>
                <w:szCs w:val="12"/>
                <w:color w:val="0075C9"/>
              </w:rPr>
              <w:t>PROPOSALS TO</w:t>
            </w:r>
          </w:p>
        </w:tc>
        <w:tc>
          <w:tcPr>
            <w:tcW w:w="740" w:type="dxa"/>
            <w:vAlign w:val="bottom"/>
          </w:tcPr>
          <w:p>
            <w:pPr>
              <w:jc w:val="right"/>
              <w:spacing w:after="0"/>
              <w:rPr>
                <w:sz w:val="20"/>
                <w:szCs w:val="20"/>
                <w:color w:val="auto"/>
              </w:rPr>
            </w:pPr>
            <w:r>
              <w:rPr>
                <w:rFonts w:ascii="Arial" w:cs="Arial" w:eastAsia="Arial" w:hAnsi="Arial"/>
                <w:sz w:val="36"/>
                <w:szCs w:val="36"/>
                <w:color w:val="auto"/>
              </w:rPr>
              <w:t>5</w:t>
            </w:r>
          </w:p>
        </w:tc>
        <w:tc>
          <w:tcPr>
            <w:tcW w:w="900" w:type="dxa"/>
            <w:vAlign w:val="bottom"/>
            <w:vMerge w:val="restart"/>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36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tcPr>
          <w:p>
            <w:pPr>
              <w:ind w:left="80"/>
              <w:spacing w:after="0" w:line="130" w:lineRule="exact"/>
              <w:rPr>
                <w:sz w:val="20"/>
                <w:szCs w:val="20"/>
                <w:color w:val="auto"/>
              </w:rPr>
            </w:pPr>
            <w:r>
              <w:rPr>
                <w:rFonts w:ascii="Arial" w:cs="Arial" w:eastAsia="Arial" w:hAnsi="Arial"/>
                <w:sz w:val="12"/>
                <w:szCs w:val="12"/>
                <w:color w:val="0075C9"/>
                <w:w w:val="99"/>
              </w:rPr>
              <w:t>BE VOTED ON DURING</w:t>
            </w:r>
          </w:p>
        </w:tc>
        <w:tc>
          <w:tcPr>
            <w:tcW w:w="740" w:type="dxa"/>
            <w:vAlign w:val="bottom"/>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36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tcPr>
          <w:p>
            <w:pPr>
              <w:spacing w:after="0"/>
              <w:rPr>
                <w:sz w:val="12"/>
                <w:szCs w:val="12"/>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tcPr>
          <w:p>
            <w:pPr>
              <w:spacing w:after="0"/>
              <w:rPr>
                <w:sz w:val="12"/>
                <w:szCs w:val="12"/>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ind w:left="80"/>
              <w:spacing w:after="0"/>
              <w:rPr>
                <w:sz w:val="20"/>
                <w:szCs w:val="20"/>
                <w:color w:val="auto"/>
              </w:rPr>
            </w:pPr>
            <w:r>
              <w:rPr>
                <w:rFonts w:ascii="Arial" w:cs="Arial" w:eastAsia="Arial" w:hAnsi="Arial"/>
                <w:sz w:val="12"/>
                <w:szCs w:val="12"/>
                <w:color w:val="0075C9"/>
              </w:rPr>
              <w:t>THE MEETING</w:t>
            </w:r>
          </w:p>
        </w:tc>
        <w:tc>
          <w:tcPr>
            <w:tcW w:w="740" w:type="dxa"/>
            <w:vAlign w:val="bottom"/>
          </w:tcPr>
          <w:p>
            <w:pPr>
              <w:spacing w:after="0"/>
              <w:rPr>
                <w:sz w:val="12"/>
                <w:szCs w:val="12"/>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4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0075C9"/>
        </w:rPr>
        <w:t>Board Recommendation</w:t>
      </w:r>
    </w:p>
    <w:p>
      <w:pPr>
        <w:spacing w:after="0" w:line="104" w:lineRule="exact"/>
        <w:rPr>
          <w:sz w:val="20"/>
          <w:szCs w:val="20"/>
          <w:color w:val="auto"/>
        </w:rPr>
      </w:pPr>
    </w:p>
    <w:p>
      <w:pPr>
        <w:ind w:left="1100"/>
        <w:spacing w:after="0"/>
        <w:rPr>
          <w:sz w:val="20"/>
          <w:szCs w:val="20"/>
          <w:color w:val="auto"/>
        </w:rPr>
      </w:pPr>
      <w:r>
        <w:rPr>
          <w:rFonts w:ascii="Arial" w:cs="Arial" w:eastAsia="Arial" w:hAnsi="Arial"/>
          <w:sz w:val="17"/>
          <w:szCs w:val="17"/>
          <w:b w:val="1"/>
          <w:bCs w:val="1"/>
          <w:i w:val="1"/>
          <w:iCs w:val="1"/>
          <w:color w:val="0075C9"/>
        </w:rPr>
        <w:t>The Board of Directors recommends a vote AGAINST the proposal for the following reasons:</w:t>
      </w:r>
    </w:p>
    <w:p>
      <w:pPr>
        <w:spacing w:after="0" w:line="107"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COMPANY STATEMENT IN OPPOSITION</w:t>
      </w:r>
    </w:p>
    <w:p>
      <w:pPr>
        <w:spacing w:after="0" w:line="119" w:lineRule="exact"/>
        <w:rPr>
          <w:sz w:val="20"/>
          <w:szCs w:val="20"/>
          <w:color w:val="auto"/>
        </w:rPr>
      </w:pPr>
    </w:p>
    <w:p>
      <w:pPr>
        <w:ind w:left="1100" w:right="39"/>
        <w:spacing w:after="0" w:line="237" w:lineRule="auto"/>
        <w:rPr>
          <w:sz w:val="20"/>
          <w:szCs w:val="20"/>
          <w:color w:val="auto"/>
        </w:rPr>
      </w:pPr>
      <w:r>
        <w:rPr>
          <w:rFonts w:ascii="Arial" w:cs="Arial" w:eastAsia="Arial" w:hAnsi="Arial"/>
          <w:sz w:val="16"/>
          <w:szCs w:val="16"/>
          <w:color w:val="auto"/>
        </w:rPr>
        <w:t xml:space="preserve">The requested report is unnecessary because of Microsoft’s long track record of meeting best practices for disclosure on public policy engagement and because of the additional commitments we are making to further enhance those disclosures. Our existing policies and disclosures provide extensive visibility and accountability in the Company’s public policy engagement as well as that of our affiliated political action committee. Microsoft has also committed to further enhancing the information posted at </w:t>
      </w:r>
      <w:r>
        <w:rPr>
          <w:rFonts w:ascii="Arial" w:cs="Arial" w:eastAsia="Arial" w:hAnsi="Arial"/>
          <w:sz w:val="16"/>
          <w:szCs w:val="16"/>
          <w:u w:val="single" w:color="auto"/>
          <w:color w:val="auto"/>
        </w:rPr>
        <w:t>Public policy</w:t>
      </w:r>
      <w:r>
        <w:rPr>
          <w:rFonts w:ascii="Arial" w:cs="Arial" w:eastAsia="Arial" w:hAnsi="Arial"/>
          <w:sz w:val="16"/>
          <w:szCs w:val="16"/>
          <w:color w:val="auto"/>
        </w:rPr>
        <w:t xml:space="preserve"> </w:t>
      </w:r>
      <w:r>
        <w:rPr>
          <w:rFonts w:ascii="Arial" w:cs="Arial" w:eastAsia="Arial" w:hAnsi="Arial"/>
          <w:sz w:val="16"/>
          <w:szCs w:val="16"/>
          <w:u w:val="single" w:color="auto"/>
          <w:color w:val="auto"/>
        </w:rPr>
        <w:t>engagement | Microsoft CSR</w:t>
      </w:r>
      <w:r>
        <w:rPr>
          <w:rFonts w:ascii="Arial" w:cs="Arial" w:eastAsia="Arial" w:hAnsi="Arial"/>
          <w:sz w:val="16"/>
          <w:szCs w:val="16"/>
          <w:color w:val="auto"/>
        </w:rPr>
        <w:t xml:space="preserve"> (microsoft.com/en-us/corporate-responsibility/public-policy-engagement) and to issue a new annual report detailing the governance, criteria, and disbursements of our political action committee (“PAC”) and our public policy agenda, beginning in calendar year 2022.</w:t>
      </w:r>
    </w:p>
    <w:p>
      <w:pPr>
        <w:spacing w:after="0" w:line="114" w:lineRule="exact"/>
        <w:rPr>
          <w:sz w:val="20"/>
          <w:szCs w:val="20"/>
          <w:color w:val="auto"/>
        </w:rPr>
      </w:pPr>
    </w:p>
    <w:p>
      <w:pPr>
        <w:ind w:left="1260" w:right="59" w:hanging="158"/>
        <w:spacing w:after="0" w:line="238" w:lineRule="auto"/>
        <w:tabs>
          <w:tab w:leader="none" w:pos="12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Microsoft has been recognized for its leadership on transparency around its engagement in the policy process including PAC contributions and lobbying expenditures through rankings such as the Center for Political Accountability-Zicklin Index. We strive to ensure that our participation in the political process is open, transparent, and based on reasons that are clear and justifiable to our shareholders and the public.</w:t>
      </w:r>
    </w:p>
    <w:p>
      <w:pPr>
        <w:spacing w:after="0" w:line="111" w:lineRule="exact"/>
        <w:rPr>
          <w:rFonts w:ascii="Arial" w:cs="Arial" w:eastAsia="Arial" w:hAnsi="Arial"/>
          <w:sz w:val="16"/>
          <w:szCs w:val="16"/>
          <w:color w:val="auto"/>
        </w:rPr>
      </w:pPr>
    </w:p>
    <w:p>
      <w:pPr>
        <w:ind w:left="1260" w:right="319" w:hanging="158"/>
        <w:spacing w:after="0" w:line="238" w:lineRule="auto"/>
        <w:tabs>
          <w:tab w:leader="none" w:pos="12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Microsoft has adopted Principles for Engagement in the Public Policy Process in the United States. These principles address issues specific to the U.S. political and fundraising system and include commitments to go well beyond legally required disclosures.</w:t>
      </w:r>
    </w:p>
    <w:p>
      <w:pPr>
        <w:spacing w:after="0" w:line="113" w:lineRule="exact"/>
        <w:rPr>
          <w:rFonts w:ascii="Arial" w:cs="Arial" w:eastAsia="Arial" w:hAnsi="Arial"/>
          <w:sz w:val="16"/>
          <w:szCs w:val="16"/>
          <w:color w:val="auto"/>
        </w:rPr>
      </w:pPr>
    </w:p>
    <w:p>
      <w:pPr>
        <w:ind w:left="1260" w:right="119" w:hanging="158"/>
        <w:spacing w:after="0" w:line="238" w:lineRule="auto"/>
        <w:tabs>
          <w:tab w:leader="none" w:pos="12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Under these policies, we commit to disclosing a semi-annual list of election campaign expenditures, including financial and in-kind contributions by the Company and Microsoft Corporation Stakeholders Voluntary Political Action Committee (“MSVPAC”) to candidates, political parties, political committees, and other politically active tax-exempt organizations, such as those organized under Internal Revenue Code section 501(c)(4), as defined by applicable laws.</w:t>
      </w:r>
    </w:p>
    <w:p>
      <w:pPr>
        <w:spacing w:after="0" w:line="111" w:lineRule="exact"/>
        <w:rPr>
          <w:rFonts w:ascii="Arial" w:cs="Arial" w:eastAsia="Arial" w:hAnsi="Arial"/>
          <w:sz w:val="16"/>
          <w:szCs w:val="16"/>
          <w:color w:val="auto"/>
        </w:rPr>
      </w:pPr>
    </w:p>
    <w:p>
      <w:pPr>
        <w:ind w:left="1260" w:right="159" w:hanging="158"/>
        <w:spacing w:after="0" w:line="239" w:lineRule="auto"/>
        <w:tabs>
          <w:tab w:leader="none" w:pos="12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Over the past several years, we have focused internally on enhancing engagement and transparency with Microsoft employees and members of MSVPAC.</w:t>
      </w:r>
    </w:p>
    <w:p>
      <w:pPr>
        <w:spacing w:after="0" w:line="112" w:lineRule="exact"/>
        <w:rPr>
          <w:rFonts w:ascii="Arial" w:cs="Arial" w:eastAsia="Arial" w:hAnsi="Arial"/>
          <w:sz w:val="16"/>
          <w:szCs w:val="16"/>
          <w:color w:val="auto"/>
        </w:rPr>
      </w:pPr>
    </w:p>
    <w:p>
      <w:pPr>
        <w:ind w:left="1260" w:right="419" w:hanging="158"/>
        <w:spacing w:after="0" w:line="238" w:lineRule="auto"/>
        <w:tabs>
          <w:tab w:leader="none" w:pos="12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 xml:space="preserve">As a result of strong investor interest in these topics such as that demonstrated in this proposal, Microsoft has committed to issue a MSVPAC annual report detailing its governance, criteria, disbursements, and our public policy agenda, beginning in calendar year 2022 and to further enhancing the information posted at </w:t>
      </w:r>
      <w:r>
        <w:rPr>
          <w:rFonts w:ascii="Arial" w:cs="Arial" w:eastAsia="Arial" w:hAnsi="Arial"/>
          <w:sz w:val="16"/>
          <w:szCs w:val="16"/>
          <w:u w:val="single" w:color="auto"/>
          <w:color w:val="auto"/>
        </w:rPr>
        <w:t>Public policy engagement | Microsoft CSR</w:t>
      </w:r>
      <w:r>
        <w:rPr>
          <w:rFonts w:ascii="Arial" w:cs="Arial" w:eastAsia="Arial" w:hAnsi="Arial"/>
          <w:sz w:val="16"/>
          <w:szCs w:val="16"/>
          <w:color w:val="auto"/>
        </w:rPr>
        <w:t xml:space="preserve"> (microsoft.com/en-us/corporate-responsibility/public-policy-engagement).</w:t>
      </w:r>
    </w:p>
    <w:p>
      <w:pPr>
        <w:spacing w:after="0" w:line="111" w:lineRule="exact"/>
        <w:rPr>
          <w:rFonts w:ascii="Arial" w:cs="Arial" w:eastAsia="Arial" w:hAnsi="Arial"/>
          <w:sz w:val="16"/>
          <w:szCs w:val="16"/>
          <w:color w:val="auto"/>
        </w:rPr>
      </w:pPr>
    </w:p>
    <w:p>
      <w:pPr>
        <w:ind w:left="1260" w:right="99" w:hanging="158"/>
        <w:spacing w:after="0" w:line="238" w:lineRule="auto"/>
        <w:tabs>
          <w:tab w:leader="none" w:pos="12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From a governance and alignment perspective, the Regulatory and Public Policy Committee of Microsoft’s Board of Directors is responsible for overseeing many of our environmental and social commitments and is also responsible for overseeing our public policy agenda, position on significant public policy matters, and the Company’s government relations activities and political activities and expenditures.</w:t>
      </w:r>
    </w:p>
    <w:p>
      <w:pPr>
        <w:spacing w:after="0" w:line="200" w:lineRule="exact"/>
        <w:rPr>
          <w:sz w:val="20"/>
          <w:szCs w:val="20"/>
          <w:color w:val="auto"/>
        </w:rPr>
      </w:pPr>
    </w:p>
    <w:p>
      <w:pPr>
        <w:spacing w:after="0" w:line="300"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-94615</wp:posOffset>
            </wp:positionV>
            <wp:extent cx="485140" cy="9842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39"/>
          </w:cols>
          <w:pgMar w:left="320" w:top="445" w:right="1440" w:bottom="1440" w:gutter="0" w:footer="0" w:header="0"/>
        </w:sectPr>
      </w:pPr>
    </w:p>
    <w:bookmarkStart w:id="90" w:name="page91"/>
    <w:bookmarkEnd w:id="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auto"/>
                <w:w w:val="89"/>
              </w:rPr>
              <w:t>1</w:t>
            </w:r>
          </w:p>
        </w:tc>
        <w:tc>
          <w:tcPr>
            <w:tcW w:w="1380" w:type="dxa"/>
            <w:vAlign w:val="bottom"/>
            <w:vMerge w:val="restart"/>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tcPr>
          <w:p>
            <w:pPr>
              <w:jc w:val="right"/>
              <w:spacing w:after="0"/>
              <w:rPr>
                <w:sz w:val="20"/>
                <w:szCs w:val="20"/>
                <w:color w:val="auto"/>
              </w:rPr>
            </w:pPr>
            <w:r>
              <w:rPr>
                <w:rFonts w:ascii="Arial" w:cs="Arial" w:eastAsia="Arial" w:hAnsi="Arial"/>
                <w:sz w:val="36"/>
                <w:szCs w:val="36"/>
                <w:color w:val="auto"/>
              </w:rPr>
              <w:t>2</w:t>
            </w:r>
          </w:p>
        </w:tc>
        <w:tc>
          <w:tcPr>
            <w:tcW w:w="1580" w:type="dxa"/>
            <w:vAlign w:val="bottom"/>
            <w:vMerge w:val="restart"/>
          </w:tcPr>
          <w:p>
            <w:pPr>
              <w:ind w:left="80"/>
              <w:spacing w:after="0"/>
              <w:rPr>
                <w:sz w:val="20"/>
                <w:szCs w:val="20"/>
                <w:color w:val="auto"/>
              </w:rPr>
            </w:pPr>
            <w:r>
              <w:rPr>
                <w:rFonts w:ascii="Arial" w:cs="Arial" w:eastAsia="Arial" w:hAnsi="Arial"/>
                <w:sz w:val="12"/>
                <w:szCs w:val="12"/>
                <w:color w:val="auto"/>
              </w:rPr>
              <w:t>NAMED</w:t>
            </w:r>
          </w:p>
        </w:tc>
        <w:tc>
          <w:tcPr>
            <w:tcW w:w="520" w:type="dxa"/>
            <w:vAlign w:val="bottom"/>
          </w:tcPr>
          <w:p>
            <w:pPr>
              <w:jc w:val="right"/>
              <w:spacing w:after="0"/>
              <w:rPr>
                <w:sz w:val="20"/>
                <w:szCs w:val="20"/>
                <w:color w:val="auto"/>
              </w:rPr>
            </w:pPr>
            <w:r>
              <w:rPr>
                <w:rFonts w:ascii="Arial" w:cs="Arial" w:eastAsia="Arial" w:hAnsi="Arial"/>
                <w:sz w:val="36"/>
                <w:szCs w:val="36"/>
                <w:color w:val="auto"/>
              </w:rPr>
              <w:t>3</w:t>
            </w:r>
          </w:p>
        </w:tc>
        <w:tc>
          <w:tcPr>
            <w:tcW w:w="1120" w:type="dxa"/>
            <w:vAlign w:val="bottom"/>
            <w:vMerge w:val="restart"/>
          </w:tcPr>
          <w:p>
            <w:pPr>
              <w:ind w:left="60"/>
              <w:spacing w:after="0"/>
              <w:rPr>
                <w:sz w:val="20"/>
                <w:szCs w:val="20"/>
                <w:color w:val="auto"/>
              </w:rPr>
            </w:pPr>
            <w:r>
              <w:rPr>
                <w:rFonts w:ascii="Arial" w:cs="Arial" w:eastAsia="Arial" w:hAnsi="Arial"/>
                <w:sz w:val="12"/>
                <w:szCs w:val="12"/>
                <w:color w:val="auto"/>
              </w:rPr>
              <w:t>AUDIT</w:t>
            </w:r>
          </w:p>
        </w:tc>
        <w:tc>
          <w:tcPr>
            <w:tcW w:w="600" w:type="dxa"/>
            <w:vAlign w:val="bottom"/>
          </w:tcPr>
          <w:p>
            <w:pPr>
              <w:jc w:val="right"/>
              <w:spacing w:after="0"/>
              <w:rPr>
                <w:sz w:val="20"/>
                <w:szCs w:val="20"/>
                <w:color w:val="auto"/>
              </w:rPr>
            </w:pPr>
            <w:r>
              <w:rPr>
                <w:rFonts w:ascii="Arial" w:cs="Arial" w:eastAsia="Arial" w:hAnsi="Arial"/>
                <w:sz w:val="36"/>
                <w:szCs w:val="36"/>
                <w:color w:val="auto"/>
              </w:rPr>
              <w:t>4</w:t>
            </w:r>
          </w:p>
        </w:tc>
        <w:tc>
          <w:tcPr>
            <w:tcW w:w="1600" w:type="dxa"/>
            <w:vAlign w:val="bottom"/>
            <w:vMerge w:val="restart"/>
          </w:tcPr>
          <w:p>
            <w:pPr>
              <w:ind w:left="80"/>
              <w:spacing w:after="0"/>
              <w:rPr>
                <w:sz w:val="20"/>
                <w:szCs w:val="20"/>
                <w:color w:val="auto"/>
              </w:rPr>
            </w:pPr>
            <w:r>
              <w:rPr>
                <w:rFonts w:ascii="Arial" w:cs="Arial" w:eastAsia="Arial" w:hAnsi="Arial"/>
                <w:sz w:val="12"/>
                <w:szCs w:val="12"/>
                <w:color w:val="auto"/>
              </w:rPr>
              <w:t>PROPOSALS TO</w:t>
            </w:r>
          </w:p>
        </w:tc>
        <w:tc>
          <w:tcPr>
            <w:tcW w:w="440" w:type="dxa"/>
            <w:vAlign w:val="bottom"/>
            <w:gridSpan w:val="2"/>
          </w:tcPr>
          <w:p>
            <w:pPr>
              <w:jc w:val="right"/>
              <w:ind w:right="80"/>
              <w:spacing w:after="0"/>
              <w:rPr>
                <w:sz w:val="20"/>
                <w:szCs w:val="20"/>
                <w:color w:val="auto"/>
              </w:rPr>
            </w:pPr>
            <w:r>
              <w:rPr>
                <w:rFonts w:ascii="Arial" w:cs="Arial" w:eastAsia="Arial" w:hAnsi="Arial"/>
                <w:sz w:val="36"/>
                <w:szCs w:val="36"/>
                <w:color w:val="0075C9"/>
              </w:rPr>
              <w:t>5</w:t>
            </w:r>
          </w:p>
        </w:tc>
        <w:tc>
          <w:tcPr>
            <w:tcW w:w="1080" w:type="dxa"/>
            <w:vAlign w:val="bottom"/>
            <w:vMerge w:val="restart"/>
          </w:tcPr>
          <w:p>
            <w:pPr>
              <w:ind w:left="80"/>
              <w:spacing w:after="0"/>
              <w:rPr>
                <w:sz w:val="20"/>
                <w:szCs w:val="20"/>
                <w:color w:val="auto"/>
              </w:rPr>
            </w:pPr>
            <w:r>
              <w:rPr>
                <w:rFonts w:ascii="Arial" w:cs="Arial" w:eastAsia="Arial" w:hAnsi="Arial"/>
                <w:sz w:val="12"/>
                <w:szCs w:val="12"/>
                <w:color w:val="0075C9"/>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38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2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color w:val="auto"/>
              </w:rPr>
              <w:t>COMMITTEE</w:t>
            </w:r>
          </w:p>
        </w:tc>
        <w:tc>
          <w:tcPr>
            <w:tcW w:w="600" w:type="dxa"/>
            <w:vAlign w:val="bottom"/>
          </w:tcPr>
          <w:p>
            <w:pPr>
              <w:spacing w:after="0"/>
              <w:rPr>
                <w:sz w:val="11"/>
                <w:szCs w:val="11"/>
                <w:color w:val="auto"/>
              </w:rPr>
            </w:pPr>
          </w:p>
        </w:tc>
        <w:tc>
          <w:tcPr>
            <w:tcW w:w="160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ind w:left="80"/>
              <w:spacing w:after="0" w:line="130" w:lineRule="exact"/>
              <w:rPr>
                <w:sz w:val="20"/>
                <w:szCs w:val="20"/>
                <w:color w:val="auto"/>
              </w:rPr>
            </w:pPr>
            <w:r>
              <w:rPr>
                <w:rFonts w:ascii="Arial" w:cs="Arial" w:eastAsia="Arial" w:hAnsi="Arial"/>
                <w:sz w:val="12"/>
                <w:szCs w:val="12"/>
                <w:color w:val="0075C9"/>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38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tcPr>
          <w:p>
            <w:pPr>
              <w:spacing w:after="0"/>
              <w:rPr>
                <w:sz w:val="12"/>
                <w:szCs w:val="12"/>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20" w:type="dxa"/>
            <w:vAlign w:val="bottom"/>
          </w:tcPr>
          <w:p>
            <w:pPr>
              <w:spacing w:after="0"/>
              <w:rPr>
                <w:sz w:val="12"/>
                <w:szCs w:val="12"/>
                <w:color w:val="auto"/>
              </w:rPr>
            </w:pPr>
          </w:p>
        </w:tc>
        <w:tc>
          <w:tcPr>
            <w:tcW w:w="1120" w:type="dxa"/>
            <w:vAlign w:val="bottom"/>
          </w:tcPr>
          <w:p>
            <w:pPr>
              <w:ind w:left="60"/>
              <w:spacing w:after="0"/>
              <w:rPr>
                <w:sz w:val="20"/>
                <w:szCs w:val="20"/>
                <w:color w:val="auto"/>
              </w:rPr>
            </w:pPr>
            <w:r>
              <w:rPr>
                <w:rFonts w:ascii="Arial" w:cs="Arial" w:eastAsia="Arial" w:hAnsi="Arial"/>
                <w:sz w:val="12"/>
                <w:szCs w:val="12"/>
                <w:color w:val="auto"/>
              </w:rPr>
              <w:t>MATTERS</w:t>
            </w:r>
          </w:p>
        </w:tc>
        <w:tc>
          <w:tcPr>
            <w:tcW w:w="600" w:type="dxa"/>
            <w:vAlign w:val="bottom"/>
          </w:tcPr>
          <w:p>
            <w:pPr>
              <w:spacing w:after="0"/>
              <w:rPr>
                <w:sz w:val="12"/>
                <w:szCs w:val="12"/>
                <w:color w:val="auto"/>
              </w:rPr>
            </w:pPr>
          </w:p>
        </w:tc>
        <w:tc>
          <w:tcPr>
            <w:tcW w:w="160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ind w:left="80"/>
              <w:spacing w:after="0"/>
              <w:rPr>
                <w:sz w:val="20"/>
                <w:szCs w:val="20"/>
                <w:color w:val="auto"/>
              </w:rPr>
            </w:pPr>
            <w:r>
              <w:rPr>
                <w:rFonts w:ascii="Arial" w:cs="Arial" w:eastAsia="Arial" w:hAnsi="Arial"/>
                <w:sz w:val="12"/>
                <w:szCs w:val="12"/>
                <w:color w:val="0075C9"/>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080" w:type="dxa"/>
            <w:vAlign w:val="bottom"/>
            <w:shd w:val="clear" w:color="auto" w:fill="0075C9"/>
          </w:tcPr>
          <w:p>
            <w:pPr>
              <w:spacing w:after="0"/>
              <w:rPr>
                <w:sz w:val="9"/>
                <w:szCs w:val="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1100"/>
        <w:spacing w:after="0"/>
        <w:rPr>
          <w:sz w:val="20"/>
          <w:szCs w:val="20"/>
          <w:color w:val="auto"/>
        </w:rPr>
      </w:pPr>
      <w:r>
        <w:rPr>
          <w:rFonts w:ascii="Arial" w:cs="Arial" w:eastAsia="Arial" w:hAnsi="Arial"/>
          <w:sz w:val="43"/>
          <w:szCs w:val="43"/>
          <w:b w:val="1"/>
          <w:bCs w:val="1"/>
          <w:color w:val="auto"/>
        </w:rPr>
        <w:t>5. Information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354965</wp:posOffset>
            </wp:positionV>
            <wp:extent cx="573976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Date, Time, and Place of Meeting</w:t>
      </w:r>
    </w:p>
    <w:p>
      <w:pPr>
        <w:spacing w:after="0" w:line="125"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0075C9"/>
        </w:rPr>
        <w:t xml:space="preserve">Date: </w:t>
      </w:r>
      <w:r>
        <w:rPr>
          <w:rFonts w:ascii="Arial" w:cs="Arial" w:eastAsia="Arial" w:hAnsi="Arial"/>
          <w:sz w:val="16"/>
          <w:szCs w:val="16"/>
          <w:color w:val="000000"/>
        </w:rPr>
        <w:t>November 30, 2021</w:t>
      </w:r>
    </w:p>
    <w:p>
      <w:pPr>
        <w:spacing w:after="0" w:line="13"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0075C9"/>
        </w:rPr>
        <w:t xml:space="preserve">Time: </w:t>
      </w:r>
      <w:r>
        <w:rPr>
          <w:rFonts w:ascii="Arial" w:cs="Arial" w:eastAsia="Arial" w:hAnsi="Arial"/>
          <w:sz w:val="16"/>
          <w:szCs w:val="16"/>
          <w:color w:val="000000"/>
        </w:rPr>
        <w:t>8:30 a.m. Pacific Time</w:t>
      </w:r>
    </w:p>
    <w:p>
      <w:pPr>
        <w:ind w:left="1100"/>
        <w:spacing w:after="0"/>
        <w:rPr>
          <w:sz w:val="20"/>
          <w:szCs w:val="20"/>
          <w:color w:val="auto"/>
        </w:rPr>
      </w:pPr>
      <w:r>
        <w:rPr>
          <w:rFonts w:ascii="Arial" w:cs="Arial" w:eastAsia="Arial" w:hAnsi="Arial"/>
          <w:sz w:val="16"/>
          <w:szCs w:val="16"/>
          <w:b w:val="1"/>
          <w:bCs w:val="1"/>
          <w:color w:val="0075C9"/>
        </w:rPr>
        <w:t xml:space="preserve">Virtual Meeting Location: </w:t>
      </w:r>
      <w:r>
        <w:rPr>
          <w:rFonts w:ascii="Arial" w:cs="Arial" w:eastAsia="Arial" w:hAnsi="Arial"/>
          <w:sz w:val="16"/>
          <w:szCs w:val="16"/>
          <w:u w:val="single" w:color="auto"/>
          <w:color w:val="000000"/>
        </w:rPr>
        <w:t>virtualshareholdermeeting.com/MSFT21</w:t>
      </w:r>
    </w:p>
    <w:p>
      <w:pPr>
        <w:spacing w:after="0" w:line="101" w:lineRule="exact"/>
        <w:rPr>
          <w:sz w:val="20"/>
          <w:szCs w:val="20"/>
          <w:color w:val="auto"/>
        </w:rPr>
      </w:pPr>
    </w:p>
    <w:p>
      <w:pPr>
        <w:ind w:left="1100" w:right="180"/>
        <w:spacing w:after="0" w:line="238" w:lineRule="auto"/>
        <w:rPr>
          <w:sz w:val="20"/>
          <w:szCs w:val="20"/>
          <w:color w:val="auto"/>
        </w:rPr>
      </w:pPr>
      <w:r>
        <w:rPr>
          <w:rFonts w:ascii="Arial" w:cs="Arial" w:eastAsia="Arial" w:hAnsi="Arial"/>
          <w:sz w:val="16"/>
          <w:szCs w:val="16"/>
          <w:color w:val="auto"/>
        </w:rPr>
        <w:t>This Proxy Statement was first mailed to shareholders on or about October 20, 2021. It is furnished in connection with the solicitation of proxies by the Board of Directors of Microsoft Corporation to be voted during the Annual Meeting for the purposes set forth in the accompanying Notice of Annual Meeting.</w:t>
      </w:r>
    </w:p>
    <w:p>
      <w:pPr>
        <w:spacing w:after="0" w:line="100" w:lineRule="exact"/>
        <w:rPr>
          <w:sz w:val="20"/>
          <w:szCs w:val="20"/>
          <w:color w:val="auto"/>
        </w:rPr>
      </w:pPr>
    </w:p>
    <w:p>
      <w:pPr>
        <w:ind w:left="1100" w:right="360"/>
        <w:spacing w:after="0" w:line="238" w:lineRule="auto"/>
        <w:rPr>
          <w:sz w:val="20"/>
          <w:szCs w:val="20"/>
          <w:color w:val="auto"/>
        </w:rPr>
      </w:pPr>
      <w:r>
        <w:rPr>
          <w:rFonts w:ascii="Arial" w:cs="Arial" w:eastAsia="Arial" w:hAnsi="Arial"/>
          <w:sz w:val="16"/>
          <w:szCs w:val="16"/>
          <w:color w:val="auto"/>
        </w:rPr>
        <w:t>Shareholders who execute proxies retain the right to revoke them at any time before the shares are voted by proxy during the meeting. A shareholder may revoke a proxy by delivering a signed statement to our Corporate Secretary at or prior to the Annual Meeting or by timely executing and delivering, by Internet, telephone, or mail, another proxy dated as of a later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309245</wp:posOffset>
            </wp:positionV>
            <wp:extent cx="573976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Proxy Materials are Available on the Internet</w:t>
      </w:r>
    </w:p>
    <w:p>
      <w:pPr>
        <w:spacing w:after="0" w:line="272" w:lineRule="exact"/>
        <w:rPr>
          <w:sz w:val="20"/>
          <w:szCs w:val="20"/>
          <w:color w:val="auto"/>
        </w:rPr>
      </w:pPr>
    </w:p>
    <w:p>
      <w:pPr>
        <w:ind w:left="1100" w:right="260"/>
        <w:spacing w:after="0" w:line="237" w:lineRule="auto"/>
        <w:rPr>
          <w:sz w:val="20"/>
          <w:szCs w:val="20"/>
          <w:color w:val="auto"/>
        </w:rPr>
      </w:pPr>
      <w:r>
        <w:rPr>
          <w:rFonts w:ascii="Arial" w:cs="Arial" w:eastAsia="Arial" w:hAnsi="Arial"/>
          <w:sz w:val="16"/>
          <w:szCs w:val="16"/>
          <w:color w:val="auto"/>
        </w:rPr>
        <w:t>We are furnishing proxy materials to our shareholders primarily via the Internet instead of mailing printed copies of those materials to each shareholder. By doing so, we save costs and reduce the environmental impact of our Annual Meeting. On October 20, 2021, we mailed a Notice of Internet Availability of Proxy Materials to certain of our shareholders. The Notice contains instructions about how to access our proxy materials and vote online or by telephone. If you would like to receive a paper copy of our proxy materials, please follow the instructions included in the Notice of Internet Availability of Proxy Materials. If you previously chose to receive our proxy materials electronically, you will continue to receive access to these materials via email unless you elect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309880</wp:posOffset>
            </wp:positionV>
            <wp:extent cx="573976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Participating in the Annual Meeting</w:t>
      </w:r>
    </w:p>
    <w:p>
      <w:pPr>
        <w:spacing w:after="0" w:line="143"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This year’s Annual Meeting will be held in a virtual format through a live webcast.</w:t>
      </w:r>
    </w:p>
    <w:p>
      <w:pPr>
        <w:spacing w:after="0" w:line="101"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You are entitled to participate in the Annual Meeting if you were a shareholder as of the close of business on September 30, 2021,</w:t>
      </w:r>
    </w:p>
    <w:p>
      <w:pPr>
        <w:spacing w:after="0" w:line="18"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 record date, or hold a valid proxy for the meeting. To be admitted to the Annual Meeting at</w:t>
      </w:r>
    </w:p>
    <w:p>
      <w:pPr>
        <w:ind w:left="1100"/>
        <w:spacing w:after="0" w:line="236" w:lineRule="auto"/>
        <w:rPr>
          <w:sz w:val="20"/>
          <w:szCs w:val="20"/>
          <w:color w:val="auto"/>
        </w:rPr>
      </w:pPr>
      <w:r>
        <w:rPr>
          <w:rFonts w:ascii="Arial" w:cs="Arial" w:eastAsia="Arial" w:hAnsi="Arial"/>
          <w:sz w:val="16"/>
          <w:szCs w:val="16"/>
          <w:u w:val="single" w:color="auto"/>
          <w:color w:val="auto"/>
        </w:rPr>
        <w:t>virtualshareholdermeeting.com/MSFT21</w:t>
      </w:r>
      <w:r>
        <w:rPr>
          <w:rFonts w:ascii="Arial" w:cs="Arial" w:eastAsia="Arial" w:hAnsi="Arial"/>
          <w:sz w:val="16"/>
          <w:szCs w:val="16"/>
          <w:color w:val="auto"/>
        </w:rPr>
        <w:t>, you must enter the 16-digit control number found next to the label “Control Number” on</w:t>
      </w:r>
    </w:p>
    <w:p>
      <w:pPr>
        <w:ind w:left="1100"/>
        <w:spacing w:after="0"/>
        <w:rPr>
          <w:sz w:val="20"/>
          <w:szCs w:val="20"/>
          <w:color w:val="auto"/>
        </w:rPr>
      </w:pPr>
      <w:r>
        <w:rPr>
          <w:rFonts w:ascii="Arial" w:cs="Arial" w:eastAsia="Arial" w:hAnsi="Arial"/>
          <w:sz w:val="14"/>
          <w:szCs w:val="14"/>
          <w:color w:val="auto"/>
        </w:rPr>
        <w:t>your Notice of Internet Availability, proxy card, or voting instruction form, or in the email sending you the Proxy Statement. If you are</w:t>
      </w:r>
    </w:p>
    <w:p>
      <w:pPr>
        <w:spacing w:after="0" w:line="18"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a beneficial shareholder, you may contact the bank, broker, or other institution where you hold your account if you have questions</w:t>
      </w:r>
    </w:p>
    <w:p>
      <w:pPr>
        <w:ind w:left="1100"/>
        <w:spacing w:after="0"/>
        <w:rPr>
          <w:sz w:val="20"/>
          <w:szCs w:val="20"/>
          <w:color w:val="auto"/>
        </w:rPr>
      </w:pPr>
      <w:r>
        <w:rPr>
          <w:rFonts w:ascii="Arial" w:cs="Arial" w:eastAsia="Arial" w:hAnsi="Arial"/>
          <w:sz w:val="16"/>
          <w:szCs w:val="16"/>
          <w:color w:val="auto"/>
        </w:rPr>
        <w:t>about obtaining your control number.</w:t>
      </w:r>
    </w:p>
    <w:p>
      <w:pPr>
        <w:spacing w:after="0" w:line="101" w:lineRule="exact"/>
        <w:rPr>
          <w:sz w:val="20"/>
          <w:szCs w:val="20"/>
          <w:color w:val="auto"/>
        </w:rPr>
      </w:pPr>
    </w:p>
    <w:p>
      <w:pPr>
        <w:ind w:left="1100" w:right="320"/>
        <w:spacing w:after="0" w:line="238" w:lineRule="auto"/>
        <w:rPr>
          <w:sz w:val="20"/>
          <w:szCs w:val="20"/>
          <w:color w:val="auto"/>
        </w:rPr>
      </w:pPr>
      <w:r>
        <w:rPr>
          <w:rFonts w:ascii="Arial" w:cs="Arial" w:eastAsia="Arial" w:hAnsi="Arial"/>
          <w:sz w:val="16"/>
          <w:szCs w:val="16"/>
          <w:color w:val="auto"/>
        </w:rPr>
        <w:t xml:space="preserve">The question and answer session will include questions submitted in advance of, and questions submitted live during, the Annual Meeting. You may submit a question in advance of the meeting at </w:t>
      </w:r>
      <w:r>
        <w:rPr>
          <w:rFonts w:ascii="Arial" w:cs="Arial" w:eastAsia="Arial" w:hAnsi="Arial"/>
          <w:sz w:val="16"/>
          <w:szCs w:val="16"/>
          <w:u w:val="single" w:color="auto"/>
          <w:color w:val="auto"/>
        </w:rPr>
        <w:t>proxyvote.com</w:t>
      </w:r>
      <w:r>
        <w:rPr>
          <w:rFonts w:ascii="Arial" w:cs="Arial" w:eastAsia="Arial" w:hAnsi="Arial"/>
          <w:sz w:val="16"/>
          <w:szCs w:val="16"/>
          <w:color w:val="auto"/>
        </w:rPr>
        <w:t xml:space="preserve"> after logging in with your Control Number. Questions may be submitted during the Annual Meeting through </w:t>
      </w:r>
      <w:r>
        <w:rPr>
          <w:rFonts w:ascii="Arial" w:cs="Arial" w:eastAsia="Arial" w:hAnsi="Arial"/>
          <w:sz w:val="16"/>
          <w:szCs w:val="16"/>
          <w:u w:val="single" w:color="auto"/>
          <w:color w:val="auto"/>
        </w:rPr>
        <w:t>virtualshareholdermeeting.com/MSFT21</w:t>
      </w:r>
      <w:r>
        <w:rPr>
          <w:rFonts w:ascii="Arial" w:cs="Arial" w:eastAsia="Arial" w:hAnsi="Arial"/>
          <w:sz w:val="16"/>
          <w:szCs w:val="16"/>
          <w:color w:val="auto"/>
        </w:rPr>
        <w:t>.</w:t>
      </w:r>
    </w:p>
    <w:p>
      <w:pPr>
        <w:spacing w:after="0" w:line="100" w:lineRule="exact"/>
        <w:rPr>
          <w:sz w:val="20"/>
          <w:szCs w:val="20"/>
          <w:color w:val="auto"/>
        </w:rPr>
      </w:pPr>
    </w:p>
    <w:p>
      <w:pPr>
        <w:jc w:val="both"/>
        <w:ind w:left="1100" w:right="140"/>
        <w:spacing w:after="0" w:line="238" w:lineRule="auto"/>
        <w:rPr>
          <w:sz w:val="20"/>
          <w:szCs w:val="20"/>
          <w:color w:val="auto"/>
        </w:rPr>
      </w:pPr>
      <w:r>
        <w:rPr>
          <w:rFonts w:ascii="Arial" w:cs="Arial" w:eastAsia="Arial" w:hAnsi="Arial"/>
          <w:sz w:val="16"/>
          <w:szCs w:val="16"/>
          <w:color w:val="auto"/>
        </w:rPr>
        <w:t>We encourage you to access the Annual Meeting before it begins. Online check-in will start approximately thirty minutes before the meeting on November 30, 2021. If you have difficulty accessing the meeting, please call 1-844-986-0822 (toll free) or 303-562-9302 (international). We will have technicians available to assist you.</w:t>
      </w:r>
    </w:p>
    <w:p>
      <w:pPr>
        <w:spacing w:after="0" w:line="100" w:lineRule="exact"/>
        <w:rPr>
          <w:sz w:val="20"/>
          <w:szCs w:val="20"/>
          <w:color w:val="auto"/>
        </w:rPr>
      </w:pPr>
    </w:p>
    <w:p>
      <w:pPr>
        <w:jc w:val="both"/>
        <w:ind w:left="1100" w:right="320"/>
        <w:spacing w:after="0" w:line="238" w:lineRule="auto"/>
        <w:rPr>
          <w:sz w:val="20"/>
          <w:szCs w:val="20"/>
          <w:color w:val="auto"/>
        </w:rPr>
      </w:pPr>
      <w:r>
        <w:rPr>
          <w:rFonts w:ascii="Arial" w:cs="Arial" w:eastAsia="Arial" w:hAnsi="Arial"/>
          <w:sz w:val="16"/>
          <w:szCs w:val="16"/>
          <w:color w:val="auto"/>
        </w:rPr>
        <w:t xml:space="preserve">We will also make the Annual Meeting viewable to anyone interested in a Microsoft Teams broadcast at </w:t>
      </w:r>
      <w:r>
        <w:rPr>
          <w:rFonts w:ascii="Arial" w:cs="Arial" w:eastAsia="Arial" w:hAnsi="Arial"/>
          <w:sz w:val="16"/>
          <w:szCs w:val="16"/>
          <w:u w:val="single" w:color="auto"/>
          <w:color w:val="auto"/>
        </w:rPr>
        <w:t>microsoft.com/investor</w:t>
      </w:r>
      <w:r>
        <w:rPr>
          <w:rFonts w:ascii="Arial" w:cs="Arial" w:eastAsia="Arial" w:hAnsi="Arial"/>
          <w:sz w:val="16"/>
          <w:szCs w:val="16"/>
          <w:color w:val="auto"/>
        </w:rPr>
        <w:t>. If you view the meeting via the Microsoft Teams broadcast, you will be able to watch the Annual Meeting but will not be able to vote your shares or ask questions through Microsoft Teams.</w:t>
      </w:r>
    </w:p>
    <w:p>
      <w:pPr>
        <w:spacing w:after="0" w:line="200" w:lineRule="exact"/>
        <w:rPr>
          <w:sz w:val="20"/>
          <w:szCs w:val="20"/>
          <w:color w:val="auto"/>
        </w:rPr>
      </w:pPr>
    </w:p>
    <w:p>
      <w:pPr>
        <w:spacing w:after="0" w:line="301"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2021 PROXY STATEMENT</w:t>
      </w:r>
      <w:r>
        <w:rPr>
          <w:sz w:val="20"/>
          <w:szCs w:val="20"/>
          <w:color w:val="auto"/>
        </w:rPr>
        <w:tab/>
      </w:r>
      <w:r>
        <w:rPr>
          <w:rFonts w:ascii="Arial" w:cs="Arial" w:eastAsia="Arial" w:hAnsi="Arial"/>
          <w:sz w:val="12"/>
          <w:szCs w:val="12"/>
          <w:b w:val="1"/>
          <w:bCs w:val="1"/>
          <w:color w:val="0075C9"/>
        </w:rPr>
        <w:t>83</w:t>
      </w:r>
    </w:p>
    <w:p>
      <w:pPr>
        <w:sectPr>
          <w:pgSz w:w="11900" w:h="16838" w:orient="portrait"/>
          <w:cols w:equalWidth="0" w:num="1">
            <w:col w:w="10280"/>
          </w:cols>
          <w:pgMar w:left="320" w:top="445" w:right="1299" w:bottom="1440" w:gutter="0" w:footer="0" w:header="0"/>
        </w:sectPr>
      </w:pPr>
    </w:p>
    <w:bookmarkStart w:id="91" w:name="page92"/>
    <w:bookmarkEnd w:id="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auto"/>
                <w:w w:val="89"/>
              </w:rPr>
              <w:t>1</w:t>
            </w:r>
          </w:p>
        </w:tc>
        <w:tc>
          <w:tcPr>
            <w:tcW w:w="1380" w:type="dxa"/>
            <w:vAlign w:val="bottom"/>
            <w:vMerge w:val="restart"/>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tcPr>
          <w:p>
            <w:pPr>
              <w:jc w:val="right"/>
              <w:spacing w:after="0"/>
              <w:rPr>
                <w:sz w:val="20"/>
                <w:szCs w:val="20"/>
                <w:color w:val="auto"/>
              </w:rPr>
            </w:pPr>
            <w:r>
              <w:rPr>
                <w:rFonts w:ascii="Arial" w:cs="Arial" w:eastAsia="Arial" w:hAnsi="Arial"/>
                <w:sz w:val="36"/>
                <w:szCs w:val="36"/>
                <w:color w:val="auto"/>
              </w:rPr>
              <w:t>2</w:t>
            </w:r>
          </w:p>
        </w:tc>
        <w:tc>
          <w:tcPr>
            <w:tcW w:w="1580" w:type="dxa"/>
            <w:vAlign w:val="bottom"/>
            <w:vMerge w:val="restart"/>
          </w:tcPr>
          <w:p>
            <w:pPr>
              <w:ind w:left="80"/>
              <w:spacing w:after="0"/>
              <w:rPr>
                <w:sz w:val="20"/>
                <w:szCs w:val="20"/>
                <w:color w:val="auto"/>
              </w:rPr>
            </w:pPr>
            <w:r>
              <w:rPr>
                <w:rFonts w:ascii="Arial" w:cs="Arial" w:eastAsia="Arial" w:hAnsi="Arial"/>
                <w:sz w:val="12"/>
                <w:szCs w:val="12"/>
                <w:color w:val="auto"/>
              </w:rPr>
              <w:t>NAMED</w:t>
            </w:r>
          </w:p>
        </w:tc>
        <w:tc>
          <w:tcPr>
            <w:tcW w:w="520" w:type="dxa"/>
            <w:vAlign w:val="bottom"/>
          </w:tcPr>
          <w:p>
            <w:pPr>
              <w:jc w:val="right"/>
              <w:spacing w:after="0"/>
              <w:rPr>
                <w:sz w:val="20"/>
                <w:szCs w:val="20"/>
                <w:color w:val="auto"/>
              </w:rPr>
            </w:pPr>
            <w:r>
              <w:rPr>
                <w:rFonts w:ascii="Arial" w:cs="Arial" w:eastAsia="Arial" w:hAnsi="Arial"/>
                <w:sz w:val="36"/>
                <w:szCs w:val="36"/>
                <w:color w:val="auto"/>
              </w:rPr>
              <w:t>3</w:t>
            </w:r>
          </w:p>
        </w:tc>
        <w:tc>
          <w:tcPr>
            <w:tcW w:w="1120" w:type="dxa"/>
            <w:vAlign w:val="bottom"/>
            <w:vMerge w:val="restart"/>
          </w:tcPr>
          <w:p>
            <w:pPr>
              <w:ind w:left="60"/>
              <w:spacing w:after="0"/>
              <w:rPr>
                <w:sz w:val="20"/>
                <w:szCs w:val="20"/>
                <w:color w:val="auto"/>
              </w:rPr>
            </w:pPr>
            <w:r>
              <w:rPr>
                <w:rFonts w:ascii="Arial" w:cs="Arial" w:eastAsia="Arial" w:hAnsi="Arial"/>
                <w:sz w:val="12"/>
                <w:szCs w:val="12"/>
                <w:color w:val="auto"/>
              </w:rPr>
              <w:t>AUDIT</w:t>
            </w:r>
          </w:p>
        </w:tc>
        <w:tc>
          <w:tcPr>
            <w:tcW w:w="600" w:type="dxa"/>
            <w:vAlign w:val="bottom"/>
          </w:tcPr>
          <w:p>
            <w:pPr>
              <w:jc w:val="right"/>
              <w:spacing w:after="0"/>
              <w:rPr>
                <w:sz w:val="20"/>
                <w:szCs w:val="20"/>
                <w:color w:val="auto"/>
              </w:rPr>
            </w:pPr>
            <w:r>
              <w:rPr>
                <w:rFonts w:ascii="Arial" w:cs="Arial" w:eastAsia="Arial" w:hAnsi="Arial"/>
                <w:sz w:val="36"/>
                <w:szCs w:val="36"/>
                <w:color w:val="auto"/>
              </w:rPr>
              <w:t>4</w:t>
            </w:r>
          </w:p>
        </w:tc>
        <w:tc>
          <w:tcPr>
            <w:tcW w:w="1600" w:type="dxa"/>
            <w:vAlign w:val="bottom"/>
            <w:vMerge w:val="restart"/>
          </w:tcPr>
          <w:p>
            <w:pPr>
              <w:ind w:left="80"/>
              <w:spacing w:after="0"/>
              <w:rPr>
                <w:sz w:val="20"/>
                <w:szCs w:val="20"/>
                <w:color w:val="auto"/>
              </w:rPr>
            </w:pPr>
            <w:r>
              <w:rPr>
                <w:rFonts w:ascii="Arial" w:cs="Arial" w:eastAsia="Arial" w:hAnsi="Arial"/>
                <w:sz w:val="12"/>
                <w:szCs w:val="12"/>
                <w:color w:val="auto"/>
              </w:rPr>
              <w:t>PROPOSALS TO</w:t>
            </w:r>
          </w:p>
        </w:tc>
        <w:tc>
          <w:tcPr>
            <w:tcW w:w="440" w:type="dxa"/>
            <w:vAlign w:val="bottom"/>
            <w:gridSpan w:val="2"/>
          </w:tcPr>
          <w:p>
            <w:pPr>
              <w:jc w:val="right"/>
              <w:ind w:right="80"/>
              <w:spacing w:after="0"/>
              <w:rPr>
                <w:sz w:val="20"/>
                <w:szCs w:val="20"/>
                <w:color w:val="auto"/>
              </w:rPr>
            </w:pPr>
            <w:r>
              <w:rPr>
                <w:rFonts w:ascii="Arial" w:cs="Arial" w:eastAsia="Arial" w:hAnsi="Arial"/>
                <w:sz w:val="36"/>
                <w:szCs w:val="36"/>
                <w:color w:val="0075C9"/>
              </w:rPr>
              <w:t>5</w:t>
            </w:r>
          </w:p>
        </w:tc>
        <w:tc>
          <w:tcPr>
            <w:tcW w:w="1080" w:type="dxa"/>
            <w:vAlign w:val="bottom"/>
            <w:vMerge w:val="restart"/>
          </w:tcPr>
          <w:p>
            <w:pPr>
              <w:ind w:left="80"/>
              <w:spacing w:after="0"/>
              <w:rPr>
                <w:sz w:val="20"/>
                <w:szCs w:val="20"/>
                <w:color w:val="auto"/>
              </w:rPr>
            </w:pPr>
            <w:r>
              <w:rPr>
                <w:rFonts w:ascii="Arial" w:cs="Arial" w:eastAsia="Arial" w:hAnsi="Arial"/>
                <w:sz w:val="12"/>
                <w:szCs w:val="12"/>
                <w:color w:val="0075C9"/>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38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2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color w:val="auto"/>
              </w:rPr>
              <w:t>COMMITTEE</w:t>
            </w:r>
          </w:p>
        </w:tc>
        <w:tc>
          <w:tcPr>
            <w:tcW w:w="600" w:type="dxa"/>
            <w:vAlign w:val="bottom"/>
          </w:tcPr>
          <w:p>
            <w:pPr>
              <w:spacing w:after="0"/>
              <w:rPr>
                <w:sz w:val="11"/>
                <w:szCs w:val="11"/>
                <w:color w:val="auto"/>
              </w:rPr>
            </w:pPr>
          </w:p>
        </w:tc>
        <w:tc>
          <w:tcPr>
            <w:tcW w:w="160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ind w:left="80"/>
              <w:spacing w:after="0" w:line="130" w:lineRule="exact"/>
              <w:rPr>
                <w:sz w:val="20"/>
                <w:szCs w:val="20"/>
                <w:color w:val="auto"/>
              </w:rPr>
            </w:pPr>
            <w:r>
              <w:rPr>
                <w:rFonts w:ascii="Arial" w:cs="Arial" w:eastAsia="Arial" w:hAnsi="Arial"/>
                <w:sz w:val="12"/>
                <w:szCs w:val="12"/>
                <w:color w:val="0075C9"/>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38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tcPr>
          <w:p>
            <w:pPr>
              <w:spacing w:after="0"/>
              <w:rPr>
                <w:sz w:val="12"/>
                <w:szCs w:val="12"/>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20" w:type="dxa"/>
            <w:vAlign w:val="bottom"/>
          </w:tcPr>
          <w:p>
            <w:pPr>
              <w:spacing w:after="0"/>
              <w:rPr>
                <w:sz w:val="12"/>
                <w:szCs w:val="12"/>
                <w:color w:val="auto"/>
              </w:rPr>
            </w:pPr>
          </w:p>
        </w:tc>
        <w:tc>
          <w:tcPr>
            <w:tcW w:w="1120" w:type="dxa"/>
            <w:vAlign w:val="bottom"/>
          </w:tcPr>
          <w:p>
            <w:pPr>
              <w:ind w:left="60"/>
              <w:spacing w:after="0"/>
              <w:rPr>
                <w:sz w:val="20"/>
                <w:szCs w:val="20"/>
                <w:color w:val="auto"/>
              </w:rPr>
            </w:pPr>
            <w:r>
              <w:rPr>
                <w:rFonts w:ascii="Arial" w:cs="Arial" w:eastAsia="Arial" w:hAnsi="Arial"/>
                <w:sz w:val="12"/>
                <w:szCs w:val="12"/>
                <w:color w:val="auto"/>
              </w:rPr>
              <w:t>MATTERS</w:t>
            </w:r>
          </w:p>
        </w:tc>
        <w:tc>
          <w:tcPr>
            <w:tcW w:w="600" w:type="dxa"/>
            <w:vAlign w:val="bottom"/>
          </w:tcPr>
          <w:p>
            <w:pPr>
              <w:spacing w:after="0"/>
              <w:rPr>
                <w:sz w:val="12"/>
                <w:szCs w:val="12"/>
                <w:color w:val="auto"/>
              </w:rPr>
            </w:pPr>
          </w:p>
        </w:tc>
        <w:tc>
          <w:tcPr>
            <w:tcW w:w="160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ind w:left="80"/>
              <w:spacing w:after="0"/>
              <w:rPr>
                <w:sz w:val="20"/>
                <w:szCs w:val="20"/>
                <w:color w:val="auto"/>
              </w:rPr>
            </w:pPr>
            <w:r>
              <w:rPr>
                <w:rFonts w:ascii="Arial" w:cs="Arial" w:eastAsia="Arial" w:hAnsi="Arial"/>
                <w:sz w:val="12"/>
                <w:szCs w:val="12"/>
                <w:color w:val="0075C9"/>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080" w:type="dxa"/>
            <w:vAlign w:val="bottom"/>
            <w:shd w:val="clear" w:color="auto" w:fill="0075C9"/>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280" w:type="dxa"/>
            <w:vAlign w:val="bottom"/>
            <w:tcBorders>
              <w:bottom w:val="single" w:sz="8" w:color="0075C9"/>
            </w:tcBorders>
          </w:tcPr>
          <w:p>
            <w:pPr>
              <w:spacing w:after="0"/>
              <w:rPr>
                <w:sz w:val="24"/>
                <w:szCs w:val="24"/>
                <w:color w:val="auto"/>
              </w:rPr>
            </w:pPr>
          </w:p>
        </w:tc>
        <w:tc>
          <w:tcPr>
            <w:tcW w:w="1380" w:type="dxa"/>
            <w:vAlign w:val="bottom"/>
            <w:tcBorders>
              <w:bottom w:val="single" w:sz="8" w:color="0075C9"/>
            </w:tcBorders>
          </w:tcPr>
          <w:p>
            <w:pPr>
              <w:spacing w:after="0"/>
              <w:rPr>
                <w:sz w:val="24"/>
                <w:szCs w:val="24"/>
                <w:color w:val="auto"/>
              </w:rPr>
            </w:pPr>
          </w:p>
        </w:tc>
        <w:tc>
          <w:tcPr>
            <w:tcW w:w="440" w:type="dxa"/>
            <w:vAlign w:val="bottom"/>
            <w:tcBorders>
              <w:bottom w:val="single" w:sz="8" w:color="0075C9"/>
            </w:tcBorders>
          </w:tcPr>
          <w:p>
            <w:pPr>
              <w:spacing w:after="0"/>
              <w:rPr>
                <w:sz w:val="24"/>
                <w:szCs w:val="24"/>
                <w:color w:val="auto"/>
              </w:rPr>
            </w:pPr>
          </w:p>
        </w:tc>
        <w:tc>
          <w:tcPr>
            <w:tcW w:w="1580" w:type="dxa"/>
            <w:vAlign w:val="bottom"/>
            <w:tcBorders>
              <w:bottom w:val="single" w:sz="8" w:color="0075C9"/>
            </w:tcBorders>
          </w:tcPr>
          <w:p>
            <w:pPr>
              <w:spacing w:after="0"/>
              <w:rPr>
                <w:sz w:val="24"/>
                <w:szCs w:val="24"/>
                <w:color w:val="auto"/>
              </w:rPr>
            </w:pPr>
          </w:p>
        </w:tc>
        <w:tc>
          <w:tcPr>
            <w:tcW w:w="520" w:type="dxa"/>
            <w:vAlign w:val="bottom"/>
            <w:tcBorders>
              <w:bottom w:val="single" w:sz="8" w:color="0075C9"/>
            </w:tcBorders>
          </w:tcPr>
          <w:p>
            <w:pPr>
              <w:spacing w:after="0"/>
              <w:rPr>
                <w:sz w:val="24"/>
                <w:szCs w:val="24"/>
                <w:color w:val="auto"/>
              </w:rPr>
            </w:pPr>
          </w:p>
        </w:tc>
        <w:tc>
          <w:tcPr>
            <w:tcW w:w="1120" w:type="dxa"/>
            <w:vAlign w:val="bottom"/>
            <w:tcBorders>
              <w:bottom w:val="single" w:sz="8" w:color="0075C9"/>
            </w:tcBorders>
          </w:tcPr>
          <w:p>
            <w:pPr>
              <w:spacing w:after="0"/>
              <w:rPr>
                <w:sz w:val="24"/>
                <w:szCs w:val="24"/>
                <w:color w:val="auto"/>
              </w:rPr>
            </w:pPr>
          </w:p>
        </w:tc>
        <w:tc>
          <w:tcPr>
            <w:tcW w:w="600" w:type="dxa"/>
            <w:vAlign w:val="bottom"/>
            <w:tcBorders>
              <w:bottom w:val="single" w:sz="8" w:color="0075C9"/>
            </w:tcBorders>
          </w:tcPr>
          <w:p>
            <w:pPr>
              <w:spacing w:after="0"/>
              <w:rPr>
                <w:sz w:val="24"/>
                <w:szCs w:val="24"/>
                <w:color w:val="auto"/>
              </w:rPr>
            </w:pPr>
          </w:p>
        </w:tc>
        <w:tc>
          <w:tcPr>
            <w:tcW w:w="1600" w:type="dxa"/>
            <w:vAlign w:val="bottom"/>
            <w:tcBorders>
              <w:bottom w:val="single" w:sz="8" w:color="0075C9"/>
            </w:tcBorders>
          </w:tcPr>
          <w:p>
            <w:pPr>
              <w:spacing w:after="0"/>
              <w:rPr>
                <w:sz w:val="24"/>
                <w:szCs w:val="24"/>
                <w:color w:val="auto"/>
              </w:rPr>
            </w:pPr>
          </w:p>
        </w:tc>
        <w:tc>
          <w:tcPr>
            <w:tcW w:w="160" w:type="dxa"/>
            <w:vAlign w:val="bottom"/>
            <w:tcBorders>
              <w:bottom w:val="single" w:sz="8" w:color="0075C9"/>
            </w:tcBorders>
          </w:tcPr>
          <w:p>
            <w:pPr>
              <w:spacing w:after="0"/>
              <w:rPr>
                <w:sz w:val="24"/>
                <w:szCs w:val="24"/>
                <w:color w:val="auto"/>
              </w:rPr>
            </w:pPr>
          </w:p>
        </w:tc>
        <w:tc>
          <w:tcPr>
            <w:tcW w:w="280" w:type="dxa"/>
            <w:vAlign w:val="bottom"/>
            <w:tcBorders>
              <w:bottom w:val="single" w:sz="8" w:color="0075C9"/>
            </w:tcBorders>
          </w:tcPr>
          <w:p>
            <w:pPr>
              <w:spacing w:after="0"/>
              <w:rPr>
                <w:sz w:val="24"/>
                <w:szCs w:val="24"/>
                <w:color w:val="auto"/>
              </w:rPr>
            </w:pPr>
          </w:p>
        </w:tc>
        <w:tc>
          <w:tcPr>
            <w:tcW w:w="1080" w:type="dxa"/>
            <w:vAlign w:val="bottom"/>
            <w:tcBorders>
              <w:bottom w:val="single" w:sz="8" w:color="0075C9"/>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Soliciting Proxies</w:t>
      </w:r>
    </w:p>
    <w:p>
      <w:pPr>
        <w:spacing w:after="0" w:line="143" w:lineRule="exact"/>
        <w:rPr>
          <w:sz w:val="20"/>
          <w:szCs w:val="20"/>
          <w:color w:val="auto"/>
        </w:rPr>
      </w:pPr>
    </w:p>
    <w:p>
      <w:pPr>
        <w:ind w:left="1100" w:right="80"/>
        <w:spacing w:after="0" w:line="277" w:lineRule="auto"/>
        <w:rPr>
          <w:sz w:val="20"/>
          <w:szCs w:val="20"/>
          <w:color w:val="auto"/>
        </w:rPr>
      </w:pPr>
      <w:r>
        <w:rPr>
          <w:rFonts w:ascii="Arial" w:cs="Arial" w:eastAsia="Arial" w:hAnsi="Arial"/>
          <w:sz w:val="14"/>
          <w:szCs w:val="14"/>
          <w:color w:val="auto"/>
        </w:rPr>
        <w:t>The Board of Directors is soliciting the proxy accompanying this Proxy Statement. Proxies may be solicited by officers, directors, and employees of Microsoft, none of whom will receive any additional compensation for their services. D.F. King &amp; Co., Inc. may solicit proxies at a cost we anticipate will not exceed $20,000. These solicitations may be made personally or by mail, telephone, messenger, email, or other electronic transmission. Microsoft will pay persons holding shares of common stock in their names or in the names of nominees, but not owning such shares beneficially, such as brokerage houses, banks, and other fiduciaries, for the expense of forwarding solicitation materials to their principals. Microsoft will pay all proxy solicitation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294005</wp:posOffset>
            </wp:positionV>
            <wp:extent cx="573976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Householding</w:t>
      </w:r>
    </w:p>
    <w:p>
      <w:pPr>
        <w:spacing w:after="0" w:line="143" w:lineRule="exact"/>
        <w:rPr>
          <w:sz w:val="20"/>
          <w:szCs w:val="20"/>
          <w:color w:val="auto"/>
        </w:rPr>
      </w:pPr>
    </w:p>
    <w:p>
      <w:pPr>
        <w:ind w:left="1100" w:right="40"/>
        <w:spacing w:after="0" w:line="237" w:lineRule="auto"/>
        <w:rPr>
          <w:sz w:val="20"/>
          <w:szCs w:val="20"/>
          <w:color w:val="auto"/>
        </w:rPr>
      </w:pPr>
      <w:r>
        <w:rPr>
          <w:rFonts w:ascii="Arial" w:cs="Arial" w:eastAsia="Arial" w:hAnsi="Arial"/>
          <w:sz w:val="16"/>
          <w:szCs w:val="16"/>
          <w:color w:val="auto"/>
        </w:rPr>
        <w:t xml:space="preserve">We deliver a single Proxy Statement and Annual Report, along with individual proxy cards or individual Notices of Internet Availability, to certain shareholders sharing the same address unless we have received contrary instructions. If you are a registered shareholder and would like to either participate in householding or receive separate copies of this year’s and/or future proxy materials, please contact our transfer agent, Computershare, by mail at P.O. Box 505000, Louisville, KY, 40233-5000; by phone at 800-285-7772, option 1; or by email at </w:t>
      </w:r>
      <w:r>
        <w:rPr>
          <w:rFonts w:ascii="Arial" w:cs="Arial" w:eastAsia="Arial" w:hAnsi="Arial"/>
          <w:sz w:val="16"/>
          <w:szCs w:val="16"/>
          <w:u w:val="single" w:color="auto"/>
          <w:color w:val="auto"/>
        </w:rPr>
        <w:t>web.queries@computershare.com</w:t>
      </w:r>
      <w:r>
        <w:rPr>
          <w:rFonts w:ascii="Arial" w:cs="Arial" w:eastAsia="Arial" w:hAnsi="Arial"/>
          <w:sz w:val="16"/>
          <w:szCs w:val="16"/>
          <w:color w:val="auto"/>
        </w:rPr>
        <w:t>. If you are a beneficial shareholder, you may contact the broker or bank where you hold the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309880</wp:posOffset>
            </wp:positionV>
            <wp:extent cx="573976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Election of Directors</w:t>
      </w:r>
    </w:p>
    <w:p>
      <w:pPr>
        <w:spacing w:after="0" w:line="143" w:lineRule="exact"/>
        <w:rPr>
          <w:sz w:val="20"/>
          <w:szCs w:val="20"/>
          <w:color w:val="auto"/>
        </w:rPr>
      </w:pPr>
    </w:p>
    <w:p>
      <w:pPr>
        <w:ind w:left="1100" w:right="160"/>
        <w:spacing w:after="0" w:line="237" w:lineRule="auto"/>
        <w:rPr>
          <w:sz w:val="20"/>
          <w:szCs w:val="20"/>
          <w:color w:val="auto"/>
        </w:rPr>
      </w:pPr>
      <w:r>
        <w:rPr>
          <w:rFonts w:ascii="Arial" w:cs="Arial" w:eastAsia="Arial" w:hAnsi="Arial"/>
          <w:sz w:val="16"/>
          <w:szCs w:val="16"/>
          <w:color w:val="auto"/>
        </w:rPr>
        <w:t>Twelve directors are to be elected during the Annual Meeting to hold office until the next annual meeting and until their respective successors are elected and qualified. If, for any reason, no directors are elected at an annual meeting, a slate of directors may be elected at a special meeting of shareholders called for that purpose in the manner provided by our Bylaws. The accompanying proxy will be voted in favor of the nominees presented in Part 1 – Governance and our Board of Directors to serve as directors unless the shareholder indicates to the contrary on the proxy. All of this year’s nominees are current directors, except Mr. Rodriguez.</w:t>
      </w:r>
    </w:p>
    <w:p>
      <w:pPr>
        <w:spacing w:after="0" w:line="205" w:lineRule="exact"/>
        <w:rPr>
          <w:sz w:val="20"/>
          <w:szCs w:val="20"/>
          <w:color w:val="auto"/>
        </w:rPr>
      </w:pPr>
    </w:p>
    <w:p>
      <w:pPr>
        <w:ind w:left="1100" w:right="400"/>
        <w:spacing w:after="0" w:line="239" w:lineRule="auto"/>
        <w:rPr>
          <w:sz w:val="20"/>
          <w:szCs w:val="20"/>
          <w:color w:val="auto"/>
        </w:rPr>
      </w:pPr>
      <w:r>
        <w:rPr>
          <w:rFonts w:ascii="Arial" w:cs="Arial" w:eastAsia="Arial" w:hAnsi="Arial"/>
          <w:sz w:val="16"/>
          <w:szCs w:val="16"/>
          <w:color w:val="auto"/>
        </w:rPr>
        <w:t>The Board expects that each of the nominees will be available for election, but if any of them is unable to serve at the time the election occurs, the proxy will be voted for the election of another nominee designated by our Board.</w:t>
      </w:r>
    </w:p>
    <w:p>
      <w:pPr>
        <w:spacing w:after="0" w:line="338" w:lineRule="exact"/>
        <w:rPr>
          <w:sz w:val="20"/>
          <w:szCs w:val="20"/>
          <w:color w:val="auto"/>
        </w:rPr>
      </w:pPr>
    </w:p>
    <w:p>
      <w:pPr>
        <w:ind w:left="4520"/>
        <w:spacing w:after="0"/>
        <w:rPr>
          <w:sz w:val="20"/>
          <w:szCs w:val="20"/>
          <w:color w:val="auto"/>
        </w:rPr>
      </w:pPr>
      <w:r>
        <w:rPr>
          <w:rFonts w:ascii="Arial" w:cs="Arial" w:eastAsia="Arial" w:hAnsi="Arial"/>
          <w:sz w:val="21"/>
          <w:szCs w:val="21"/>
          <w:b w:val="1"/>
          <w:bCs w:val="1"/>
          <w:color w:val="auto"/>
        </w:rPr>
        <w:t>Majority Vote 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-74930</wp:posOffset>
            </wp:positionV>
            <wp:extent cx="5690870" cy="230251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690870" cy="2302510"/>
                    </a:xfrm>
                    <a:prstGeom prst="rect">
                      <a:avLst/>
                    </a:prstGeom>
                    <a:noFill/>
                  </pic:spPr>
                </pic:pic>
              </a:graphicData>
            </a:graphic>
          </wp:anchor>
        </w:drawing>
      </w:r>
    </w:p>
    <w:p>
      <w:pPr>
        <w:spacing w:after="0" w:line="291" w:lineRule="exact"/>
        <w:rPr>
          <w:sz w:val="20"/>
          <w:szCs w:val="20"/>
          <w:color w:val="auto"/>
        </w:rPr>
      </w:pPr>
    </w:p>
    <w:p>
      <w:pPr>
        <w:ind w:left="1740" w:right="560"/>
        <w:spacing w:after="0" w:line="237" w:lineRule="auto"/>
        <w:rPr>
          <w:sz w:val="20"/>
          <w:szCs w:val="20"/>
          <w:color w:val="auto"/>
        </w:rPr>
      </w:pPr>
      <w:r>
        <w:rPr>
          <w:rFonts w:ascii="Arial" w:cs="Arial" w:eastAsia="Arial" w:hAnsi="Arial"/>
          <w:sz w:val="16"/>
          <w:szCs w:val="16"/>
          <w:color w:val="auto"/>
        </w:rPr>
        <w:t>A nominee who does not receive a majority vote will not be elected. Except as explained in the next paragraph, an incumbent director who is not elected because he or she does not receive a majority vote will continue to serve as a holdover director until the earliest of: (a) 90 days after the date on which the election inspector determines the voting results as to that director, (b) the date on which the Board of Directors appoints an individual to fill the office held by that director, or (c) the date of that director’s resignation.</w:t>
      </w:r>
    </w:p>
    <w:p>
      <w:pPr>
        <w:spacing w:after="0" w:line="115" w:lineRule="exact"/>
        <w:rPr>
          <w:sz w:val="20"/>
          <w:szCs w:val="20"/>
          <w:color w:val="auto"/>
        </w:rPr>
      </w:pPr>
    </w:p>
    <w:p>
      <w:pPr>
        <w:ind w:left="1740" w:right="640"/>
        <w:spacing w:after="0" w:line="238" w:lineRule="auto"/>
        <w:rPr>
          <w:sz w:val="20"/>
          <w:szCs w:val="20"/>
          <w:color w:val="auto"/>
        </w:rPr>
      </w:pPr>
      <w:r>
        <w:rPr>
          <w:rFonts w:ascii="Arial" w:cs="Arial" w:eastAsia="Arial" w:hAnsi="Arial"/>
          <w:sz w:val="16"/>
          <w:szCs w:val="16"/>
          <w:color w:val="auto"/>
        </w:rPr>
        <w:t>The Board of Directors may fill any vacancy resulting from the non-election of a director, or fill the office held by a holdover director, as provided in our Bylaws. The Governance and Nominating Committee will consider promptly whether to fill the office of a nominee who fails to receive a majority vote and make a recommendation to our Board about filling the office.</w:t>
      </w:r>
    </w:p>
    <w:p>
      <w:pPr>
        <w:spacing w:after="0" w:line="112" w:lineRule="exact"/>
        <w:rPr>
          <w:sz w:val="20"/>
          <w:szCs w:val="20"/>
          <w:color w:val="auto"/>
        </w:rPr>
      </w:pPr>
    </w:p>
    <w:p>
      <w:pPr>
        <w:ind w:left="1740" w:right="760"/>
        <w:spacing w:after="0" w:line="239" w:lineRule="auto"/>
        <w:rPr>
          <w:sz w:val="20"/>
          <w:szCs w:val="20"/>
          <w:color w:val="auto"/>
        </w:rPr>
      </w:pPr>
      <w:r>
        <w:rPr>
          <w:rFonts w:ascii="Arial" w:cs="Arial" w:eastAsia="Arial" w:hAnsi="Arial"/>
          <w:sz w:val="16"/>
          <w:szCs w:val="16"/>
          <w:color w:val="auto"/>
        </w:rPr>
        <w:t>The Board of Directors will act on the Governance and Nominating Committee’s recommendation and within 90 days after certification of the shareholder vote will disclose publicly its decision.</w:t>
      </w:r>
    </w:p>
    <w:p>
      <w:pPr>
        <w:spacing w:after="0" w:line="113" w:lineRule="exact"/>
        <w:rPr>
          <w:sz w:val="20"/>
          <w:szCs w:val="20"/>
          <w:color w:val="auto"/>
        </w:rPr>
      </w:pPr>
    </w:p>
    <w:p>
      <w:pPr>
        <w:ind w:left="1740" w:right="1380"/>
        <w:spacing w:after="0" w:line="239" w:lineRule="auto"/>
        <w:rPr>
          <w:sz w:val="20"/>
          <w:szCs w:val="20"/>
          <w:color w:val="auto"/>
        </w:rPr>
      </w:pPr>
      <w:r>
        <w:rPr>
          <w:rFonts w:ascii="Arial" w:cs="Arial" w:eastAsia="Arial" w:hAnsi="Arial"/>
          <w:sz w:val="16"/>
          <w:szCs w:val="16"/>
          <w:color w:val="auto"/>
        </w:rPr>
        <w:t xml:space="preserve">Additional details about this process are specified in our Bylaws, which are available on our website at </w:t>
      </w:r>
      <w:r>
        <w:rPr>
          <w:rFonts w:ascii="Arial" w:cs="Arial" w:eastAsia="Arial" w:hAnsi="Arial"/>
          <w:sz w:val="16"/>
          <w:szCs w:val="16"/>
          <w:u w:val="single" w:color="auto"/>
          <w:color w:val="auto"/>
        </w:rPr>
        <w:t>aka.ms/policiesandguidelines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-93980</wp:posOffset>
            </wp:positionV>
            <wp:extent cx="485140" cy="9842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45" w:right="1439" w:bottom="1440" w:gutter="0" w:footer="0" w:header="0"/>
        </w:sectPr>
      </w:pPr>
    </w:p>
    <w:bookmarkStart w:id="92" w:name="page93"/>
    <w:bookmarkEnd w:id="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auto"/>
                <w:w w:val="89"/>
              </w:rPr>
              <w:t>1</w:t>
            </w:r>
          </w:p>
        </w:tc>
        <w:tc>
          <w:tcPr>
            <w:tcW w:w="1380" w:type="dxa"/>
            <w:vAlign w:val="bottom"/>
            <w:vMerge w:val="restart"/>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tcPr>
          <w:p>
            <w:pPr>
              <w:jc w:val="right"/>
              <w:spacing w:after="0"/>
              <w:rPr>
                <w:sz w:val="20"/>
                <w:szCs w:val="20"/>
                <w:color w:val="auto"/>
              </w:rPr>
            </w:pPr>
            <w:r>
              <w:rPr>
                <w:rFonts w:ascii="Arial" w:cs="Arial" w:eastAsia="Arial" w:hAnsi="Arial"/>
                <w:sz w:val="36"/>
                <w:szCs w:val="36"/>
                <w:color w:val="auto"/>
              </w:rPr>
              <w:t>2</w:t>
            </w:r>
          </w:p>
        </w:tc>
        <w:tc>
          <w:tcPr>
            <w:tcW w:w="1580" w:type="dxa"/>
            <w:vAlign w:val="bottom"/>
            <w:vMerge w:val="restart"/>
          </w:tcPr>
          <w:p>
            <w:pPr>
              <w:ind w:left="80"/>
              <w:spacing w:after="0"/>
              <w:rPr>
                <w:sz w:val="20"/>
                <w:szCs w:val="20"/>
                <w:color w:val="auto"/>
              </w:rPr>
            </w:pPr>
            <w:r>
              <w:rPr>
                <w:rFonts w:ascii="Arial" w:cs="Arial" w:eastAsia="Arial" w:hAnsi="Arial"/>
                <w:sz w:val="12"/>
                <w:szCs w:val="12"/>
                <w:color w:val="auto"/>
              </w:rPr>
              <w:t>NAMED</w:t>
            </w:r>
          </w:p>
        </w:tc>
        <w:tc>
          <w:tcPr>
            <w:tcW w:w="520" w:type="dxa"/>
            <w:vAlign w:val="bottom"/>
          </w:tcPr>
          <w:p>
            <w:pPr>
              <w:jc w:val="right"/>
              <w:spacing w:after="0"/>
              <w:rPr>
                <w:sz w:val="20"/>
                <w:szCs w:val="20"/>
                <w:color w:val="auto"/>
              </w:rPr>
            </w:pPr>
            <w:r>
              <w:rPr>
                <w:rFonts w:ascii="Arial" w:cs="Arial" w:eastAsia="Arial" w:hAnsi="Arial"/>
                <w:sz w:val="36"/>
                <w:szCs w:val="36"/>
                <w:color w:val="auto"/>
              </w:rPr>
              <w:t>3</w:t>
            </w:r>
          </w:p>
        </w:tc>
        <w:tc>
          <w:tcPr>
            <w:tcW w:w="1120" w:type="dxa"/>
            <w:vAlign w:val="bottom"/>
            <w:vMerge w:val="restart"/>
          </w:tcPr>
          <w:p>
            <w:pPr>
              <w:ind w:left="60"/>
              <w:spacing w:after="0"/>
              <w:rPr>
                <w:sz w:val="20"/>
                <w:szCs w:val="20"/>
                <w:color w:val="auto"/>
              </w:rPr>
            </w:pPr>
            <w:r>
              <w:rPr>
                <w:rFonts w:ascii="Arial" w:cs="Arial" w:eastAsia="Arial" w:hAnsi="Arial"/>
                <w:sz w:val="12"/>
                <w:szCs w:val="12"/>
                <w:color w:val="auto"/>
              </w:rPr>
              <w:t>AUDIT</w:t>
            </w:r>
          </w:p>
        </w:tc>
        <w:tc>
          <w:tcPr>
            <w:tcW w:w="600" w:type="dxa"/>
            <w:vAlign w:val="bottom"/>
          </w:tcPr>
          <w:p>
            <w:pPr>
              <w:jc w:val="right"/>
              <w:spacing w:after="0"/>
              <w:rPr>
                <w:sz w:val="20"/>
                <w:szCs w:val="20"/>
                <w:color w:val="auto"/>
              </w:rPr>
            </w:pPr>
            <w:r>
              <w:rPr>
                <w:rFonts w:ascii="Arial" w:cs="Arial" w:eastAsia="Arial" w:hAnsi="Arial"/>
                <w:sz w:val="36"/>
                <w:szCs w:val="36"/>
                <w:color w:val="auto"/>
              </w:rPr>
              <w:t>4</w:t>
            </w:r>
          </w:p>
        </w:tc>
        <w:tc>
          <w:tcPr>
            <w:tcW w:w="1600" w:type="dxa"/>
            <w:vAlign w:val="bottom"/>
            <w:vMerge w:val="restart"/>
          </w:tcPr>
          <w:p>
            <w:pPr>
              <w:ind w:left="80"/>
              <w:spacing w:after="0"/>
              <w:rPr>
                <w:sz w:val="20"/>
                <w:szCs w:val="20"/>
                <w:color w:val="auto"/>
              </w:rPr>
            </w:pPr>
            <w:r>
              <w:rPr>
                <w:rFonts w:ascii="Arial" w:cs="Arial" w:eastAsia="Arial" w:hAnsi="Arial"/>
                <w:sz w:val="12"/>
                <w:szCs w:val="12"/>
                <w:color w:val="auto"/>
              </w:rPr>
              <w:t>PROPOSALS TO</w:t>
            </w:r>
          </w:p>
        </w:tc>
        <w:tc>
          <w:tcPr>
            <w:tcW w:w="440" w:type="dxa"/>
            <w:vAlign w:val="bottom"/>
            <w:gridSpan w:val="2"/>
          </w:tcPr>
          <w:p>
            <w:pPr>
              <w:jc w:val="right"/>
              <w:ind w:right="80"/>
              <w:spacing w:after="0"/>
              <w:rPr>
                <w:sz w:val="20"/>
                <w:szCs w:val="20"/>
                <w:color w:val="auto"/>
              </w:rPr>
            </w:pPr>
            <w:r>
              <w:rPr>
                <w:rFonts w:ascii="Arial" w:cs="Arial" w:eastAsia="Arial" w:hAnsi="Arial"/>
                <w:sz w:val="36"/>
                <w:szCs w:val="36"/>
                <w:color w:val="0075C9"/>
              </w:rPr>
              <w:t>5</w:t>
            </w:r>
          </w:p>
        </w:tc>
        <w:tc>
          <w:tcPr>
            <w:tcW w:w="1080" w:type="dxa"/>
            <w:vAlign w:val="bottom"/>
            <w:vMerge w:val="restart"/>
          </w:tcPr>
          <w:p>
            <w:pPr>
              <w:ind w:left="80"/>
              <w:spacing w:after="0"/>
              <w:rPr>
                <w:sz w:val="20"/>
                <w:szCs w:val="20"/>
                <w:color w:val="auto"/>
              </w:rPr>
            </w:pPr>
            <w:r>
              <w:rPr>
                <w:rFonts w:ascii="Arial" w:cs="Arial" w:eastAsia="Arial" w:hAnsi="Arial"/>
                <w:sz w:val="12"/>
                <w:szCs w:val="12"/>
                <w:color w:val="0075C9"/>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38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2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color w:val="auto"/>
              </w:rPr>
              <w:t>COMMITTEE</w:t>
            </w:r>
          </w:p>
        </w:tc>
        <w:tc>
          <w:tcPr>
            <w:tcW w:w="600" w:type="dxa"/>
            <w:vAlign w:val="bottom"/>
          </w:tcPr>
          <w:p>
            <w:pPr>
              <w:spacing w:after="0"/>
              <w:rPr>
                <w:sz w:val="11"/>
                <w:szCs w:val="11"/>
                <w:color w:val="auto"/>
              </w:rPr>
            </w:pPr>
          </w:p>
        </w:tc>
        <w:tc>
          <w:tcPr>
            <w:tcW w:w="160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ind w:left="80"/>
              <w:spacing w:after="0" w:line="130" w:lineRule="exact"/>
              <w:rPr>
                <w:sz w:val="20"/>
                <w:szCs w:val="20"/>
                <w:color w:val="auto"/>
              </w:rPr>
            </w:pPr>
            <w:r>
              <w:rPr>
                <w:rFonts w:ascii="Arial" w:cs="Arial" w:eastAsia="Arial" w:hAnsi="Arial"/>
                <w:sz w:val="12"/>
                <w:szCs w:val="12"/>
                <w:color w:val="0075C9"/>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38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tcPr>
          <w:p>
            <w:pPr>
              <w:spacing w:after="0"/>
              <w:rPr>
                <w:sz w:val="12"/>
                <w:szCs w:val="12"/>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20" w:type="dxa"/>
            <w:vAlign w:val="bottom"/>
          </w:tcPr>
          <w:p>
            <w:pPr>
              <w:spacing w:after="0"/>
              <w:rPr>
                <w:sz w:val="12"/>
                <w:szCs w:val="12"/>
                <w:color w:val="auto"/>
              </w:rPr>
            </w:pPr>
          </w:p>
        </w:tc>
        <w:tc>
          <w:tcPr>
            <w:tcW w:w="1120" w:type="dxa"/>
            <w:vAlign w:val="bottom"/>
          </w:tcPr>
          <w:p>
            <w:pPr>
              <w:ind w:left="60"/>
              <w:spacing w:after="0"/>
              <w:rPr>
                <w:sz w:val="20"/>
                <w:szCs w:val="20"/>
                <w:color w:val="auto"/>
              </w:rPr>
            </w:pPr>
            <w:r>
              <w:rPr>
                <w:rFonts w:ascii="Arial" w:cs="Arial" w:eastAsia="Arial" w:hAnsi="Arial"/>
                <w:sz w:val="12"/>
                <w:szCs w:val="12"/>
                <w:color w:val="auto"/>
              </w:rPr>
              <w:t>MATTERS</w:t>
            </w:r>
          </w:p>
        </w:tc>
        <w:tc>
          <w:tcPr>
            <w:tcW w:w="600" w:type="dxa"/>
            <w:vAlign w:val="bottom"/>
          </w:tcPr>
          <w:p>
            <w:pPr>
              <w:spacing w:after="0"/>
              <w:rPr>
                <w:sz w:val="12"/>
                <w:szCs w:val="12"/>
                <w:color w:val="auto"/>
              </w:rPr>
            </w:pPr>
          </w:p>
        </w:tc>
        <w:tc>
          <w:tcPr>
            <w:tcW w:w="160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ind w:left="80"/>
              <w:spacing w:after="0"/>
              <w:rPr>
                <w:sz w:val="20"/>
                <w:szCs w:val="20"/>
                <w:color w:val="auto"/>
              </w:rPr>
            </w:pPr>
            <w:r>
              <w:rPr>
                <w:rFonts w:ascii="Arial" w:cs="Arial" w:eastAsia="Arial" w:hAnsi="Arial"/>
                <w:sz w:val="12"/>
                <w:szCs w:val="12"/>
                <w:color w:val="0075C9"/>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080" w:type="dxa"/>
            <w:vAlign w:val="bottom"/>
            <w:shd w:val="clear" w:color="auto" w:fill="0075C9"/>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280" w:type="dxa"/>
            <w:vAlign w:val="bottom"/>
            <w:tcBorders>
              <w:bottom w:val="single" w:sz="8" w:color="0075C9"/>
            </w:tcBorders>
          </w:tcPr>
          <w:p>
            <w:pPr>
              <w:spacing w:after="0"/>
              <w:rPr>
                <w:sz w:val="24"/>
                <w:szCs w:val="24"/>
                <w:color w:val="auto"/>
              </w:rPr>
            </w:pPr>
          </w:p>
        </w:tc>
        <w:tc>
          <w:tcPr>
            <w:tcW w:w="1380" w:type="dxa"/>
            <w:vAlign w:val="bottom"/>
            <w:tcBorders>
              <w:bottom w:val="single" w:sz="8" w:color="0075C9"/>
            </w:tcBorders>
          </w:tcPr>
          <w:p>
            <w:pPr>
              <w:spacing w:after="0"/>
              <w:rPr>
                <w:sz w:val="24"/>
                <w:szCs w:val="24"/>
                <w:color w:val="auto"/>
              </w:rPr>
            </w:pPr>
          </w:p>
        </w:tc>
        <w:tc>
          <w:tcPr>
            <w:tcW w:w="440" w:type="dxa"/>
            <w:vAlign w:val="bottom"/>
            <w:tcBorders>
              <w:bottom w:val="single" w:sz="8" w:color="0075C9"/>
            </w:tcBorders>
          </w:tcPr>
          <w:p>
            <w:pPr>
              <w:spacing w:after="0"/>
              <w:rPr>
                <w:sz w:val="24"/>
                <w:szCs w:val="24"/>
                <w:color w:val="auto"/>
              </w:rPr>
            </w:pPr>
          </w:p>
        </w:tc>
        <w:tc>
          <w:tcPr>
            <w:tcW w:w="1580" w:type="dxa"/>
            <w:vAlign w:val="bottom"/>
            <w:tcBorders>
              <w:bottom w:val="single" w:sz="8" w:color="0075C9"/>
            </w:tcBorders>
          </w:tcPr>
          <w:p>
            <w:pPr>
              <w:spacing w:after="0"/>
              <w:rPr>
                <w:sz w:val="24"/>
                <w:szCs w:val="24"/>
                <w:color w:val="auto"/>
              </w:rPr>
            </w:pPr>
          </w:p>
        </w:tc>
        <w:tc>
          <w:tcPr>
            <w:tcW w:w="520" w:type="dxa"/>
            <w:vAlign w:val="bottom"/>
            <w:tcBorders>
              <w:bottom w:val="single" w:sz="8" w:color="0075C9"/>
            </w:tcBorders>
          </w:tcPr>
          <w:p>
            <w:pPr>
              <w:spacing w:after="0"/>
              <w:rPr>
                <w:sz w:val="24"/>
                <w:szCs w:val="24"/>
                <w:color w:val="auto"/>
              </w:rPr>
            </w:pPr>
          </w:p>
        </w:tc>
        <w:tc>
          <w:tcPr>
            <w:tcW w:w="1120" w:type="dxa"/>
            <w:vAlign w:val="bottom"/>
            <w:tcBorders>
              <w:bottom w:val="single" w:sz="8" w:color="0075C9"/>
            </w:tcBorders>
          </w:tcPr>
          <w:p>
            <w:pPr>
              <w:spacing w:after="0"/>
              <w:rPr>
                <w:sz w:val="24"/>
                <w:szCs w:val="24"/>
                <w:color w:val="auto"/>
              </w:rPr>
            </w:pPr>
          </w:p>
        </w:tc>
        <w:tc>
          <w:tcPr>
            <w:tcW w:w="600" w:type="dxa"/>
            <w:vAlign w:val="bottom"/>
            <w:tcBorders>
              <w:bottom w:val="single" w:sz="8" w:color="0075C9"/>
            </w:tcBorders>
          </w:tcPr>
          <w:p>
            <w:pPr>
              <w:spacing w:after="0"/>
              <w:rPr>
                <w:sz w:val="24"/>
                <w:szCs w:val="24"/>
                <w:color w:val="auto"/>
              </w:rPr>
            </w:pPr>
          </w:p>
        </w:tc>
        <w:tc>
          <w:tcPr>
            <w:tcW w:w="1600" w:type="dxa"/>
            <w:vAlign w:val="bottom"/>
            <w:tcBorders>
              <w:bottom w:val="single" w:sz="8" w:color="0075C9"/>
            </w:tcBorders>
          </w:tcPr>
          <w:p>
            <w:pPr>
              <w:spacing w:after="0"/>
              <w:rPr>
                <w:sz w:val="24"/>
                <w:szCs w:val="24"/>
                <w:color w:val="auto"/>
              </w:rPr>
            </w:pPr>
          </w:p>
        </w:tc>
        <w:tc>
          <w:tcPr>
            <w:tcW w:w="160" w:type="dxa"/>
            <w:vAlign w:val="bottom"/>
            <w:tcBorders>
              <w:bottom w:val="single" w:sz="8" w:color="0075C9"/>
            </w:tcBorders>
          </w:tcPr>
          <w:p>
            <w:pPr>
              <w:spacing w:after="0"/>
              <w:rPr>
                <w:sz w:val="24"/>
                <w:szCs w:val="24"/>
                <w:color w:val="auto"/>
              </w:rPr>
            </w:pPr>
          </w:p>
        </w:tc>
        <w:tc>
          <w:tcPr>
            <w:tcW w:w="280" w:type="dxa"/>
            <w:vAlign w:val="bottom"/>
            <w:tcBorders>
              <w:bottom w:val="single" w:sz="8" w:color="0075C9"/>
            </w:tcBorders>
          </w:tcPr>
          <w:p>
            <w:pPr>
              <w:spacing w:after="0"/>
              <w:rPr>
                <w:sz w:val="24"/>
                <w:szCs w:val="24"/>
                <w:color w:val="auto"/>
              </w:rPr>
            </w:pPr>
          </w:p>
        </w:tc>
        <w:tc>
          <w:tcPr>
            <w:tcW w:w="1080" w:type="dxa"/>
            <w:vAlign w:val="bottom"/>
            <w:tcBorders>
              <w:bottom w:val="single" w:sz="8" w:color="0075C9"/>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Voting</w:t>
      </w:r>
    </w:p>
    <w:p>
      <w:pPr>
        <w:spacing w:after="0" w:line="109"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Shareholders Entitled to Vote; Quorum</w:t>
      </w:r>
    </w:p>
    <w:p>
      <w:pPr>
        <w:spacing w:after="0" w:line="129" w:lineRule="exact"/>
        <w:rPr>
          <w:sz w:val="20"/>
          <w:szCs w:val="20"/>
          <w:color w:val="auto"/>
        </w:rPr>
      </w:pPr>
    </w:p>
    <w:p>
      <w:pPr>
        <w:jc w:val="both"/>
        <w:ind w:left="1100" w:right="300"/>
        <w:spacing w:after="0" w:line="270" w:lineRule="auto"/>
        <w:rPr>
          <w:sz w:val="20"/>
          <w:szCs w:val="20"/>
          <w:color w:val="auto"/>
        </w:rPr>
      </w:pPr>
      <w:r>
        <w:rPr>
          <w:rFonts w:ascii="Arial" w:cs="Arial" w:eastAsia="Arial" w:hAnsi="Arial"/>
          <w:sz w:val="14"/>
          <w:szCs w:val="14"/>
          <w:color w:val="auto"/>
        </w:rPr>
        <w:t>Shareholders of record at the close of business on September 30, 2021, will be entitled to vote during the meeting on the basis of one vote for each share held. Shareholders as of the record date are encouraged to vote prior to the meeting (1) via the Internet,</w:t>
      </w:r>
    </w:p>
    <w:p>
      <w:pPr>
        <w:jc w:val="both"/>
        <w:ind w:left="1100" w:right="180" w:firstLine="2"/>
        <w:spacing w:after="0" w:line="238" w:lineRule="auto"/>
        <w:tabs>
          <w:tab w:leader="none" w:pos="1333" w:val="left"/>
        </w:tabs>
        <w:numPr>
          <w:ilvl w:val="0"/>
          <w:numId w:val="119"/>
        </w:numPr>
        <w:rPr>
          <w:rFonts w:ascii="Arial" w:cs="Arial" w:eastAsia="Arial" w:hAnsi="Arial"/>
          <w:sz w:val="16"/>
          <w:szCs w:val="16"/>
          <w:color w:val="auto"/>
        </w:rPr>
      </w:pPr>
      <w:r>
        <w:rPr>
          <w:rFonts w:ascii="Arial" w:cs="Arial" w:eastAsia="Arial" w:hAnsi="Arial"/>
          <w:sz w:val="16"/>
          <w:szCs w:val="16"/>
          <w:color w:val="auto"/>
        </w:rPr>
        <w:t>by phone, or (3) if you received your proxy materials by mail, by signing, dating, and returning the enclosed proxy card or voting instruction form. On September 30, 2021, there were 7,507,897,348 shares of common stock outstanding, held of record by 88,378 shareholders.</w:t>
      </w:r>
    </w:p>
    <w:p>
      <w:pPr>
        <w:spacing w:after="0" w:line="100" w:lineRule="exact"/>
        <w:rPr>
          <w:sz w:val="20"/>
          <w:szCs w:val="20"/>
          <w:color w:val="auto"/>
        </w:rPr>
      </w:pPr>
    </w:p>
    <w:p>
      <w:pPr>
        <w:ind w:left="1100" w:right="160"/>
        <w:spacing w:after="0" w:line="238" w:lineRule="auto"/>
        <w:rPr>
          <w:sz w:val="20"/>
          <w:szCs w:val="20"/>
          <w:color w:val="auto"/>
        </w:rPr>
      </w:pPr>
      <w:r>
        <w:rPr>
          <w:rFonts w:ascii="Arial" w:cs="Arial" w:eastAsia="Arial" w:hAnsi="Arial"/>
          <w:sz w:val="16"/>
          <w:szCs w:val="16"/>
          <w:color w:val="auto"/>
        </w:rPr>
        <w:t>A majority of the outstanding shares of Microsoft common stock is required to constitute a quorum for the transaction of business at the Annual Meeting. The shares of a shareholder whose ballot on any or all proposals is marked as “abstain” or, in the case of an uncontested election of directors, “withheld,” will be included in the number of shares present during the Annual Meeting to determine whether a quorum is present.</w:t>
      </w:r>
    </w:p>
    <w:p>
      <w:pPr>
        <w:spacing w:after="0" w:line="169"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Vote Required; Effect of Abstentions and Broker Non-Votes</w:t>
      </w:r>
    </w:p>
    <w:p>
      <w:pPr>
        <w:spacing w:after="0" w:line="129" w:lineRule="exact"/>
        <w:rPr>
          <w:sz w:val="20"/>
          <w:szCs w:val="20"/>
          <w:color w:val="auto"/>
        </w:rPr>
      </w:pPr>
    </w:p>
    <w:p>
      <w:pPr>
        <w:jc w:val="both"/>
        <w:ind w:left="1100" w:right="140"/>
        <w:spacing w:after="0" w:line="237" w:lineRule="auto"/>
        <w:rPr>
          <w:sz w:val="20"/>
          <w:szCs w:val="20"/>
          <w:color w:val="auto"/>
        </w:rPr>
      </w:pPr>
      <w:r>
        <w:rPr>
          <w:rFonts w:ascii="Arial" w:cs="Arial" w:eastAsia="Arial" w:hAnsi="Arial"/>
          <w:sz w:val="16"/>
          <w:szCs w:val="16"/>
          <w:color w:val="auto"/>
        </w:rPr>
        <w:t>For each proposal submitted to the shareholders for a vote, approval requires a vote of the majority of the votes cast. A majority of votes cast means the number of shares cast “for” a proposal exceeds the number of votes cast “against” that proposal. Abstentions will not be counted as votes cast. Uninstructed shares will not be counted as votes cast except with respect to the Ratification of the Selection of our Independent Auditor, for which brokers and custodians have discretion to vote. A ballot for a director that is marked “withheld” will also not be counted as a vote cast.</w:t>
      </w:r>
    </w:p>
    <w:p>
      <w:pPr>
        <w:spacing w:after="0" w:line="102" w:lineRule="exact"/>
        <w:rPr>
          <w:sz w:val="20"/>
          <w:szCs w:val="20"/>
          <w:color w:val="auto"/>
        </w:rPr>
      </w:pPr>
    </w:p>
    <w:p>
      <w:pPr>
        <w:ind w:left="1100" w:right="480"/>
        <w:spacing w:after="0" w:line="239" w:lineRule="auto"/>
        <w:rPr>
          <w:sz w:val="20"/>
          <w:szCs w:val="20"/>
          <w:color w:val="auto"/>
        </w:rPr>
      </w:pPr>
      <w:r>
        <w:rPr>
          <w:rFonts w:ascii="Arial" w:cs="Arial" w:eastAsia="Arial" w:hAnsi="Arial"/>
          <w:sz w:val="16"/>
          <w:szCs w:val="16"/>
          <w:color w:val="auto"/>
        </w:rPr>
        <w:t>The following table summarizes the votes required for passage of each proposal and the effect of abstentions and uninstructed shares held by brokers.</w:t>
      </w:r>
    </w:p>
    <w:p>
      <w:pPr>
        <w:spacing w:after="0" w:line="209" w:lineRule="exact"/>
        <w:rPr>
          <w:sz w:val="20"/>
          <w:szCs w:val="20"/>
          <w:color w:val="auto"/>
        </w:rPr>
      </w:pPr>
    </w:p>
    <w:tbl>
      <w:tblPr>
        <w:tblLayout w:type="fixed"/>
        <w:tblInd w:w="1100" w:type="dxa"/>
        <w:tblCellMar>
          <w:top w:w="0" w:type="dxa"/>
          <w:left w:w="0" w:type="dxa"/>
          <w:bottom w:w="0" w:type="dxa"/>
          <w:right w:w="0" w:type="dxa"/>
        </w:tblCellMar>
      </w:tblPr>
      <w:tr>
        <w:trPr>
          <w:trHeight w:val="184"/>
        </w:trPr>
        <w:tc>
          <w:tcPr>
            <w:tcW w:w="4440" w:type="dxa"/>
            <w:vAlign w:val="bottom"/>
          </w:tcPr>
          <w:p>
            <w:pPr>
              <w:spacing w:after="0"/>
              <w:rPr>
                <w:sz w:val="16"/>
                <w:szCs w:val="16"/>
                <w:color w:val="auto"/>
              </w:rPr>
            </w:pPr>
          </w:p>
        </w:tc>
        <w:tc>
          <w:tcPr>
            <w:tcW w:w="1780" w:type="dxa"/>
            <w:vAlign w:val="bottom"/>
          </w:tcPr>
          <w:p>
            <w:pPr>
              <w:ind w:left="160"/>
              <w:spacing w:after="0"/>
              <w:rPr>
                <w:sz w:val="20"/>
                <w:szCs w:val="20"/>
                <w:color w:val="auto"/>
              </w:rPr>
            </w:pPr>
            <w:r>
              <w:rPr>
                <w:rFonts w:ascii="Arial" w:cs="Arial" w:eastAsia="Arial" w:hAnsi="Arial"/>
                <w:sz w:val="16"/>
                <w:szCs w:val="16"/>
                <w:b w:val="1"/>
                <w:bCs w:val="1"/>
                <w:color w:val="auto"/>
              </w:rPr>
              <w:t>Votes Required</w:t>
            </w:r>
          </w:p>
        </w:tc>
        <w:tc>
          <w:tcPr>
            <w:tcW w:w="1220" w:type="dxa"/>
            <w:vAlign w:val="bottom"/>
          </w:tcPr>
          <w:p>
            <w:pPr>
              <w:spacing w:after="0"/>
              <w:rPr>
                <w:sz w:val="16"/>
                <w:szCs w:val="16"/>
                <w:color w:val="auto"/>
              </w:rPr>
            </w:pPr>
          </w:p>
        </w:tc>
        <w:tc>
          <w:tcPr>
            <w:tcW w:w="1600" w:type="dxa"/>
            <w:vAlign w:val="bottom"/>
          </w:tcPr>
          <w:p>
            <w:pPr>
              <w:ind w:left="180"/>
              <w:spacing w:after="0"/>
              <w:rPr>
                <w:sz w:val="20"/>
                <w:szCs w:val="20"/>
                <w:color w:val="auto"/>
              </w:rPr>
            </w:pPr>
            <w:r>
              <w:rPr>
                <w:rFonts w:ascii="Arial" w:cs="Arial" w:eastAsia="Arial" w:hAnsi="Arial"/>
                <w:sz w:val="16"/>
                <w:szCs w:val="16"/>
                <w:b w:val="1"/>
                <w:bCs w:val="1"/>
                <w:color w:val="auto"/>
              </w:rPr>
              <w:t>Uninstructed</w:t>
            </w:r>
          </w:p>
        </w:tc>
        <w:tc>
          <w:tcPr>
            <w:tcW w:w="0" w:type="dxa"/>
            <w:vAlign w:val="bottom"/>
          </w:tcPr>
          <w:p>
            <w:pPr>
              <w:spacing w:after="0"/>
              <w:rPr>
                <w:sz w:val="1"/>
                <w:szCs w:val="1"/>
                <w:color w:val="auto"/>
              </w:rPr>
            </w:pPr>
          </w:p>
        </w:tc>
      </w:tr>
      <w:tr>
        <w:trPr>
          <w:trHeight w:val="210"/>
        </w:trPr>
        <w:tc>
          <w:tcPr>
            <w:tcW w:w="44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for Approval</w:t>
            </w:r>
          </w:p>
        </w:tc>
        <w:tc>
          <w:tcPr>
            <w:tcW w:w="122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Abstentions</w:t>
            </w:r>
          </w:p>
        </w:tc>
        <w:tc>
          <w:tcPr>
            <w:tcW w:w="160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Shares</w:t>
            </w:r>
          </w:p>
        </w:tc>
        <w:tc>
          <w:tcPr>
            <w:tcW w:w="0" w:type="dxa"/>
            <w:vAlign w:val="bottom"/>
          </w:tcPr>
          <w:p>
            <w:pPr>
              <w:spacing w:after="0"/>
              <w:rPr>
                <w:sz w:val="1"/>
                <w:szCs w:val="1"/>
                <w:color w:val="auto"/>
              </w:rPr>
            </w:pPr>
          </w:p>
        </w:tc>
      </w:tr>
      <w:tr>
        <w:trPr>
          <w:trHeight w:val="219"/>
        </w:trPr>
        <w:tc>
          <w:tcPr>
            <w:tcW w:w="4440" w:type="dxa"/>
            <w:vAlign w:val="bottom"/>
            <w:tcBorders>
              <w:bottom w:val="single" w:sz="8" w:color="595959"/>
            </w:tcBorders>
          </w:tcPr>
          <w:p>
            <w:pPr>
              <w:ind w:left="80"/>
              <w:spacing w:after="0"/>
              <w:rPr>
                <w:sz w:val="20"/>
                <w:szCs w:val="20"/>
                <w:color w:val="auto"/>
              </w:rPr>
            </w:pPr>
            <w:r>
              <w:rPr>
                <w:rFonts w:ascii="Arial" w:cs="Arial" w:eastAsia="Arial" w:hAnsi="Arial"/>
                <w:sz w:val="16"/>
                <w:szCs w:val="16"/>
                <w:b w:val="1"/>
                <w:bCs w:val="1"/>
                <w:color w:val="auto"/>
              </w:rPr>
              <w:t>Management Proposals</w:t>
            </w:r>
          </w:p>
        </w:tc>
        <w:tc>
          <w:tcPr>
            <w:tcW w:w="1780" w:type="dxa"/>
            <w:vAlign w:val="bottom"/>
            <w:tcBorders>
              <w:bottom w:val="single" w:sz="8" w:color="595959"/>
            </w:tcBorders>
          </w:tcPr>
          <w:p>
            <w:pPr>
              <w:spacing w:after="0"/>
              <w:rPr>
                <w:sz w:val="19"/>
                <w:szCs w:val="19"/>
                <w:color w:val="auto"/>
              </w:rPr>
            </w:pPr>
          </w:p>
        </w:tc>
        <w:tc>
          <w:tcPr>
            <w:tcW w:w="1220" w:type="dxa"/>
            <w:vAlign w:val="bottom"/>
            <w:tcBorders>
              <w:bottom w:val="single" w:sz="8" w:color="595959"/>
            </w:tcBorders>
          </w:tcPr>
          <w:p>
            <w:pPr>
              <w:spacing w:after="0"/>
              <w:rPr>
                <w:sz w:val="19"/>
                <w:szCs w:val="19"/>
                <w:color w:val="auto"/>
              </w:rPr>
            </w:pPr>
          </w:p>
        </w:tc>
        <w:tc>
          <w:tcPr>
            <w:tcW w:w="1600" w:type="dxa"/>
            <w:vAlign w:val="bottom"/>
            <w:tcBorders>
              <w:bottom w:val="single" w:sz="8" w:color="595959"/>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440" w:type="dxa"/>
            <w:vAlign w:val="bottom"/>
            <w:tcBorders>
              <w:bottom w:val="single" w:sz="8" w:color="0075C9"/>
            </w:tcBorders>
          </w:tcPr>
          <w:p>
            <w:pPr>
              <w:ind w:left="380"/>
              <w:spacing w:after="0"/>
              <w:rPr>
                <w:sz w:val="20"/>
                <w:szCs w:val="20"/>
                <w:color w:val="auto"/>
              </w:rPr>
            </w:pPr>
            <w:r>
              <w:rPr>
                <w:rFonts w:ascii="Arial" w:cs="Arial" w:eastAsia="Arial" w:hAnsi="Arial"/>
                <w:sz w:val="16"/>
                <w:szCs w:val="16"/>
                <w:color w:val="auto"/>
              </w:rPr>
              <w:t>Election of 12 Directors</w:t>
            </w:r>
          </w:p>
        </w:tc>
        <w:tc>
          <w:tcPr>
            <w:tcW w:w="1780" w:type="dxa"/>
            <w:vAlign w:val="bottom"/>
            <w:tcBorders>
              <w:bottom w:val="single" w:sz="8" w:color="0075C9"/>
            </w:tcBorders>
          </w:tcPr>
          <w:p>
            <w:pPr>
              <w:ind w:left="160"/>
              <w:spacing w:after="0"/>
              <w:rPr>
                <w:sz w:val="20"/>
                <w:szCs w:val="20"/>
                <w:color w:val="auto"/>
              </w:rPr>
            </w:pPr>
            <w:r>
              <w:rPr>
                <w:rFonts w:ascii="Arial" w:cs="Arial" w:eastAsia="Arial" w:hAnsi="Arial"/>
                <w:sz w:val="16"/>
                <w:szCs w:val="16"/>
                <w:color w:val="auto"/>
              </w:rPr>
              <w:t>Majority of votes cast</w:t>
            </w:r>
          </w:p>
        </w:tc>
        <w:tc>
          <w:tcPr>
            <w:tcW w:w="1220" w:type="dxa"/>
            <w:vAlign w:val="bottom"/>
            <w:tcBorders>
              <w:bottom w:val="single" w:sz="8" w:color="0075C9"/>
            </w:tcBorders>
          </w:tcPr>
          <w:p>
            <w:pPr>
              <w:ind w:left="140"/>
              <w:spacing w:after="0"/>
              <w:rPr>
                <w:sz w:val="20"/>
                <w:szCs w:val="20"/>
                <w:color w:val="auto"/>
              </w:rPr>
            </w:pPr>
            <w:r>
              <w:rPr>
                <w:rFonts w:ascii="Arial" w:cs="Arial" w:eastAsia="Arial" w:hAnsi="Arial"/>
                <w:sz w:val="16"/>
                <w:szCs w:val="16"/>
                <w:color w:val="auto"/>
              </w:rPr>
              <w:t>Not voted</w:t>
            </w:r>
          </w:p>
        </w:tc>
        <w:tc>
          <w:tcPr>
            <w:tcW w:w="1600" w:type="dxa"/>
            <w:vAlign w:val="bottom"/>
            <w:tcBorders>
              <w:bottom w:val="single" w:sz="8" w:color="0075C9"/>
            </w:tcBorders>
          </w:tcPr>
          <w:p>
            <w:pPr>
              <w:ind w:left="180"/>
              <w:spacing w:after="0"/>
              <w:rPr>
                <w:sz w:val="20"/>
                <w:szCs w:val="20"/>
                <w:color w:val="auto"/>
              </w:rPr>
            </w:pPr>
            <w:r>
              <w:rPr>
                <w:rFonts w:ascii="Arial" w:cs="Arial" w:eastAsia="Arial" w:hAnsi="Arial"/>
                <w:sz w:val="16"/>
                <w:szCs w:val="16"/>
                <w:color w:val="auto"/>
              </w:rPr>
              <w:t>Not voted</w:t>
            </w:r>
          </w:p>
        </w:tc>
        <w:tc>
          <w:tcPr>
            <w:tcW w:w="0" w:type="dxa"/>
            <w:vAlign w:val="bottom"/>
          </w:tcPr>
          <w:p>
            <w:pPr>
              <w:spacing w:after="0"/>
              <w:rPr>
                <w:sz w:val="1"/>
                <w:szCs w:val="1"/>
                <w:color w:val="auto"/>
              </w:rPr>
            </w:pPr>
          </w:p>
        </w:tc>
      </w:tr>
      <w:tr>
        <w:trPr>
          <w:trHeight w:val="214"/>
        </w:trPr>
        <w:tc>
          <w:tcPr>
            <w:tcW w:w="4440" w:type="dxa"/>
            <w:vAlign w:val="bottom"/>
          </w:tcPr>
          <w:p>
            <w:pPr>
              <w:ind w:left="380"/>
              <w:spacing w:after="0"/>
              <w:rPr>
                <w:sz w:val="20"/>
                <w:szCs w:val="20"/>
                <w:color w:val="auto"/>
              </w:rPr>
            </w:pPr>
            <w:r>
              <w:rPr>
                <w:rFonts w:ascii="Arial" w:cs="Arial" w:eastAsia="Arial" w:hAnsi="Arial"/>
                <w:sz w:val="16"/>
                <w:szCs w:val="16"/>
                <w:color w:val="auto"/>
              </w:rPr>
              <w:t>Advisory Vote to Approve Named</w:t>
            </w:r>
          </w:p>
        </w:tc>
        <w:tc>
          <w:tcPr>
            <w:tcW w:w="1780" w:type="dxa"/>
            <w:vAlign w:val="bottom"/>
            <w:vMerge w:val="restart"/>
          </w:tcPr>
          <w:p>
            <w:pPr>
              <w:ind w:left="160"/>
              <w:spacing w:after="0"/>
              <w:rPr>
                <w:sz w:val="20"/>
                <w:szCs w:val="20"/>
                <w:color w:val="auto"/>
              </w:rPr>
            </w:pPr>
            <w:r>
              <w:rPr>
                <w:rFonts w:ascii="Arial" w:cs="Arial" w:eastAsia="Arial" w:hAnsi="Arial"/>
                <w:sz w:val="16"/>
                <w:szCs w:val="16"/>
                <w:color w:val="auto"/>
              </w:rPr>
              <w:t>Majority of votes cast</w:t>
            </w:r>
          </w:p>
        </w:tc>
        <w:tc>
          <w:tcPr>
            <w:tcW w:w="1220" w:type="dxa"/>
            <w:vAlign w:val="bottom"/>
            <w:vMerge w:val="restart"/>
          </w:tcPr>
          <w:p>
            <w:pPr>
              <w:ind w:left="140"/>
              <w:spacing w:after="0"/>
              <w:rPr>
                <w:sz w:val="20"/>
                <w:szCs w:val="20"/>
                <w:color w:val="auto"/>
              </w:rPr>
            </w:pPr>
            <w:r>
              <w:rPr>
                <w:rFonts w:ascii="Arial" w:cs="Arial" w:eastAsia="Arial" w:hAnsi="Arial"/>
                <w:sz w:val="16"/>
                <w:szCs w:val="16"/>
                <w:color w:val="auto"/>
              </w:rPr>
              <w:t>Not voted</w:t>
            </w:r>
          </w:p>
        </w:tc>
        <w:tc>
          <w:tcPr>
            <w:tcW w:w="1600" w:type="dxa"/>
            <w:vAlign w:val="bottom"/>
            <w:vMerge w:val="restart"/>
          </w:tcPr>
          <w:p>
            <w:pPr>
              <w:ind w:left="180"/>
              <w:spacing w:after="0"/>
              <w:rPr>
                <w:sz w:val="20"/>
                <w:szCs w:val="20"/>
                <w:color w:val="auto"/>
              </w:rPr>
            </w:pPr>
            <w:r>
              <w:rPr>
                <w:rFonts w:ascii="Arial" w:cs="Arial" w:eastAsia="Arial" w:hAnsi="Arial"/>
                <w:sz w:val="16"/>
                <w:szCs w:val="16"/>
                <w:color w:val="auto"/>
              </w:rPr>
              <w:t>Not voted</w:t>
            </w:r>
          </w:p>
        </w:tc>
        <w:tc>
          <w:tcPr>
            <w:tcW w:w="0" w:type="dxa"/>
            <w:vAlign w:val="bottom"/>
          </w:tcPr>
          <w:p>
            <w:pPr>
              <w:spacing w:after="0"/>
              <w:rPr>
                <w:sz w:val="1"/>
                <w:szCs w:val="1"/>
                <w:color w:val="auto"/>
              </w:rPr>
            </w:pPr>
          </w:p>
        </w:tc>
      </w:tr>
      <w:tr>
        <w:trPr>
          <w:trHeight w:val="91"/>
        </w:trPr>
        <w:tc>
          <w:tcPr>
            <w:tcW w:w="4440" w:type="dxa"/>
            <w:vAlign w:val="bottom"/>
            <w:vMerge w:val="restart"/>
          </w:tcPr>
          <w:p>
            <w:pPr>
              <w:ind w:left="380"/>
              <w:spacing w:after="0"/>
              <w:rPr>
                <w:sz w:val="20"/>
                <w:szCs w:val="20"/>
                <w:color w:val="auto"/>
              </w:rPr>
            </w:pPr>
            <w:r>
              <w:rPr>
                <w:rFonts w:ascii="Arial" w:cs="Arial" w:eastAsia="Arial" w:hAnsi="Arial"/>
                <w:sz w:val="16"/>
                <w:szCs w:val="16"/>
                <w:color w:val="auto"/>
              </w:rPr>
              <w:t>Executive Officer Compensation (“say-on-pay vote”)</w:t>
            </w:r>
          </w:p>
        </w:tc>
        <w:tc>
          <w:tcPr>
            <w:tcW w:w="178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4440" w:type="dxa"/>
            <w:vAlign w:val="bottom"/>
            <w:tcBorders>
              <w:bottom w:val="single" w:sz="8" w:color="0075C9"/>
            </w:tcBorders>
            <w:vMerge w:val="continue"/>
          </w:tcPr>
          <w:p>
            <w:pPr>
              <w:spacing w:after="0"/>
              <w:rPr>
                <w:sz w:val="10"/>
                <w:szCs w:val="10"/>
                <w:color w:val="auto"/>
              </w:rPr>
            </w:pPr>
          </w:p>
        </w:tc>
        <w:tc>
          <w:tcPr>
            <w:tcW w:w="1780" w:type="dxa"/>
            <w:vAlign w:val="bottom"/>
            <w:tcBorders>
              <w:bottom w:val="single" w:sz="8" w:color="0075C9"/>
            </w:tcBorders>
          </w:tcPr>
          <w:p>
            <w:pPr>
              <w:spacing w:after="0"/>
              <w:rPr>
                <w:sz w:val="10"/>
                <w:szCs w:val="10"/>
                <w:color w:val="auto"/>
              </w:rPr>
            </w:pPr>
          </w:p>
        </w:tc>
        <w:tc>
          <w:tcPr>
            <w:tcW w:w="1220" w:type="dxa"/>
            <w:vAlign w:val="bottom"/>
            <w:tcBorders>
              <w:bottom w:val="single" w:sz="8" w:color="0075C9"/>
            </w:tcBorders>
          </w:tcPr>
          <w:p>
            <w:pPr>
              <w:spacing w:after="0"/>
              <w:rPr>
                <w:sz w:val="10"/>
                <w:szCs w:val="10"/>
                <w:color w:val="auto"/>
              </w:rPr>
            </w:pPr>
          </w:p>
        </w:tc>
        <w:tc>
          <w:tcPr>
            <w:tcW w:w="1600" w:type="dxa"/>
            <w:vAlign w:val="bottom"/>
            <w:tcBorders>
              <w:bottom w:val="single" w:sz="8" w:color="0075C9"/>
            </w:tcBorders>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4440" w:type="dxa"/>
            <w:vAlign w:val="bottom"/>
            <w:tcBorders>
              <w:bottom w:val="single" w:sz="8" w:color="0075C9"/>
            </w:tcBorders>
          </w:tcPr>
          <w:p>
            <w:pPr>
              <w:ind w:left="380"/>
              <w:spacing w:after="0"/>
              <w:rPr>
                <w:sz w:val="20"/>
                <w:szCs w:val="20"/>
                <w:color w:val="auto"/>
              </w:rPr>
            </w:pPr>
            <w:r>
              <w:rPr>
                <w:rFonts w:ascii="Arial" w:cs="Arial" w:eastAsia="Arial" w:hAnsi="Arial"/>
                <w:sz w:val="16"/>
                <w:szCs w:val="16"/>
                <w:color w:val="auto"/>
              </w:rPr>
              <w:t>Approve Employee Stock Purchase Plan</w:t>
            </w:r>
          </w:p>
        </w:tc>
        <w:tc>
          <w:tcPr>
            <w:tcW w:w="1780" w:type="dxa"/>
            <w:vAlign w:val="bottom"/>
            <w:tcBorders>
              <w:bottom w:val="single" w:sz="8" w:color="0075C9"/>
            </w:tcBorders>
          </w:tcPr>
          <w:p>
            <w:pPr>
              <w:ind w:left="160"/>
              <w:spacing w:after="0"/>
              <w:rPr>
                <w:sz w:val="20"/>
                <w:szCs w:val="20"/>
                <w:color w:val="auto"/>
              </w:rPr>
            </w:pPr>
            <w:r>
              <w:rPr>
                <w:rFonts w:ascii="Arial" w:cs="Arial" w:eastAsia="Arial" w:hAnsi="Arial"/>
                <w:sz w:val="16"/>
                <w:szCs w:val="16"/>
                <w:color w:val="auto"/>
              </w:rPr>
              <w:t>Majority of votes cast</w:t>
            </w:r>
          </w:p>
        </w:tc>
        <w:tc>
          <w:tcPr>
            <w:tcW w:w="1220" w:type="dxa"/>
            <w:vAlign w:val="bottom"/>
            <w:tcBorders>
              <w:bottom w:val="single" w:sz="8" w:color="0075C9"/>
            </w:tcBorders>
          </w:tcPr>
          <w:p>
            <w:pPr>
              <w:ind w:left="140"/>
              <w:spacing w:after="0"/>
              <w:rPr>
                <w:sz w:val="20"/>
                <w:szCs w:val="20"/>
                <w:color w:val="auto"/>
              </w:rPr>
            </w:pPr>
            <w:r>
              <w:rPr>
                <w:rFonts w:ascii="Arial" w:cs="Arial" w:eastAsia="Arial" w:hAnsi="Arial"/>
                <w:sz w:val="16"/>
                <w:szCs w:val="16"/>
                <w:color w:val="auto"/>
              </w:rPr>
              <w:t>Not voted</w:t>
            </w:r>
          </w:p>
        </w:tc>
        <w:tc>
          <w:tcPr>
            <w:tcW w:w="1600" w:type="dxa"/>
            <w:vAlign w:val="bottom"/>
            <w:tcBorders>
              <w:bottom w:val="single" w:sz="8" w:color="0075C9"/>
            </w:tcBorders>
          </w:tcPr>
          <w:p>
            <w:pPr>
              <w:ind w:left="180"/>
              <w:spacing w:after="0"/>
              <w:rPr>
                <w:sz w:val="20"/>
                <w:szCs w:val="20"/>
                <w:color w:val="auto"/>
              </w:rPr>
            </w:pPr>
            <w:r>
              <w:rPr>
                <w:rFonts w:ascii="Arial" w:cs="Arial" w:eastAsia="Arial" w:hAnsi="Arial"/>
                <w:sz w:val="16"/>
                <w:szCs w:val="16"/>
                <w:color w:val="auto"/>
              </w:rPr>
              <w:t>Not voted</w:t>
            </w:r>
          </w:p>
        </w:tc>
        <w:tc>
          <w:tcPr>
            <w:tcW w:w="0" w:type="dxa"/>
            <w:vAlign w:val="bottom"/>
          </w:tcPr>
          <w:p>
            <w:pPr>
              <w:spacing w:after="0"/>
              <w:rPr>
                <w:sz w:val="1"/>
                <w:szCs w:val="1"/>
                <w:color w:val="auto"/>
              </w:rPr>
            </w:pPr>
          </w:p>
        </w:tc>
      </w:tr>
      <w:tr>
        <w:trPr>
          <w:trHeight w:val="214"/>
        </w:trPr>
        <w:tc>
          <w:tcPr>
            <w:tcW w:w="4440" w:type="dxa"/>
            <w:vAlign w:val="bottom"/>
          </w:tcPr>
          <w:p>
            <w:pPr>
              <w:ind w:left="380"/>
              <w:spacing w:after="0"/>
              <w:rPr>
                <w:sz w:val="20"/>
                <w:szCs w:val="20"/>
                <w:color w:val="auto"/>
              </w:rPr>
            </w:pPr>
            <w:r>
              <w:rPr>
                <w:rFonts w:ascii="Arial" w:cs="Arial" w:eastAsia="Arial" w:hAnsi="Arial"/>
                <w:sz w:val="16"/>
                <w:szCs w:val="16"/>
                <w:color w:val="auto"/>
              </w:rPr>
              <w:t>Ratification of the Selection of Deloitte &amp; Touche LLP</w:t>
            </w:r>
          </w:p>
        </w:tc>
        <w:tc>
          <w:tcPr>
            <w:tcW w:w="1780" w:type="dxa"/>
            <w:vAlign w:val="bottom"/>
            <w:vMerge w:val="restart"/>
          </w:tcPr>
          <w:p>
            <w:pPr>
              <w:ind w:left="160"/>
              <w:spacing w:after="0"/>
              <w:rPr>
                <w:sz w:val="20"/>
                <w:szCs w:val="20"/>
                <w:color w:val="auto"/>
              </w:rPr>
            </w:pPr>
            <w:r>
              <w:rPr>
                <w:rFonts w:ascii="Arial" w:cs="Arial" w:eastAsia="Arial" w:hAnsi="Arial"/>
                <w:sz w:val="16"/>
                <w:szCs w:val="16"/>
                <w:color w:val="auto"/>
              </w:rPr>
              <w:t>Majority of votes cast</w:t>
            </w:r>
          </w:p>
        </w:tc>
        <w:tc>
          <w:tcPr>
            <w:tcW w:w="1220" w:type="dxa"/>
            <w:vAlign w:val="bottom"/>
            <w:vMerge w:val="restart"/>
          </w:tcPr>
          <w:p>
            <w:pPr>
              <w:ind w:left="140"/>
              <w:spacing w:after="0"/>
              <w:rPr>
                <w:sz w:val="20"/>
                <w:szCs w:val="20"/>
                <w:color w:val="auto"/>
              </w:rPr>
            </w:pPr>
            <w:r>
              <w:rPr>
                <w:rFonts w:ascii="Arial" w:cs="Arial" w:eastAsia="Arial" w:hAnsi="Arial"/>
                <w:sz w:val="16"/>
                <w:szCs w:val="16"/>
                <w:color w:val="auto"/>
              </w:rPr>
              <w:t>Not voted</w:t>
            </w:r>
          </w:p>
        </w:tc>
        <w:tc>
          <w:tcPr>
            <w:tcW w:w="1600" w:type="dxa"/>
            <w:vAlign w:val="bottom"/>
            <w:vMerge w:val="restart"/>
          </w:tcPr>
          <w:p>
            <w:pPr>
              <w:ind w:left="180"/>
              <w:spacing w:after="0"/>
              <w:rPr>
                <w:sz w:val="20"/>
                <w:szCs w:val="20"/>
                <w:color w:val="auto"/>
              </w:rPr>
            </w:pPr>
            <w:r>
              <w:rPr>
                <w:rFonts w:ascii="Arial" w:cs="Arial" w:eastAsia="Arial" w:hAnsi="Arial"/>
                <w:sz w:val="16"/>
                <w:szCs w:val="16"/>
                <w:color w:val="auto"/>
              </w:rPr>
              <w:t>Discretionary vote</w:t>
            </w:r>
          </w:p>
        </w:tc>
        <w:tc>
          <w:tcPr>
            <w:tcW w:w="0" w:type="dxa"/>
            <w:vAlign w:val="bottom"/>
          </w:tcPr>
          <w:p>
            <w:pPr>
              <w:spacing w:after="0"/>
              <w:rPr>
                <w:sz w:val="1"/>
                <w:szCs w:val="1"/>
                <w:color w:val="auto"/>
              </w:rPr>
            </w:pPr>
          </w:p>
        </w:tc>
      </w:tr>
      <w:tr>
        <w:trPr>
          <w:trHeight w:val="104"/>
        </w:trPr>
        <w:tc>
          <w:tcPr>
            <w:tcW w:w="4440" w:type="dxa"/>
            <w:vAlign w:val="bottom"/>
            <w:vMerge w:val="restart"/>
          </w:tcPr>
          <w:p>
            <w:pPr>
              <w:ind w:left="380"/>
              <w:spacing w:after="0"/>
              <w:rPr>
                <w:sz w:val="20"/>
                <w:szCs w:val="20"/>
                <w:color w:val="auto"/>
              </w:rPr>
            </w:pPr>
            <w:r>
              <w:rPr>
                <w:rFonts w:ascii="Arial" w:cs="Arial" w:eastAsia="Arial" w:hAnsi="Arial"/>
                <w:sz w:val="16"/>
                <w:szCs w:val="16"/>
                <w:color w:val="auto"/>
              </w:rPr>
              <w:t>as our Independent Auditor for Fiscal Year 2022</w:t>
            </w:r>
          </w:p>
        </w:tc>
        <w:tc>
          <w:tcPr>
            <w:tcW w:w="178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440" w:type="dxa"/>
            <w:vAlign w:val="bottom"/>
            <w:tcBorders>
              <w:bottom w:val="single" w:sz="8" w:color="595959"/>
            </w:tcBorders>
            <w:vMerge w:val="continue"/>
          </w:tcPr>
          <w:p>
            <w:pPr>
              <w:spacing w:after="0"/>
              <w:rPr>
                <w:sz w:val="9"/>
                <w:szCs w:val="9"/>
                <w:color w:val="auto"/>
              </w:rPr>
            </w:pPr>
          </w:p>
        </w:tc>
        <w:tc>
          <w:tcPr>
            <w:tcW w:w="1780" w:type="dxa"/>
            <w:vAlign w:val="bottom"/>
            <w:tcBorders>
              <w:bottom w:val="single" w:sz="8" w:color="595959"/>
            </w:tcBorders>
          </w:tcPr>
          <w:p>
            <w:pPr>
              <w:spacing w:after="0"/>
              <w:rPr>
                <w:sz w:val="9"/>
                <w:szCs w:val="9"/>
                <w:color w:val="auto"/>
              </w:rPr>
            </w:pPr>
          </w:p>
        </w:tc>
        <w:tc>
          <w:tcPr>
            <w:tcW w:w="1220" w:type="dxa"/>
            <w:vAlign w:val="bottom"/>
            <w:tcBorders>
              <w:bottom w:val="single" w:sz="8" w:color="595959"/>
            </w:tcBorders>
          </w:tcPr>
          <w:p>
            <w:pPr>
              <w:spacing w:after="0"/>
              <w:rPr>
                <w:sz w:val="9"/>
                <w:szCs w:val="9"/>
                <w:color w:val="auto"/>
              </w:rPr>
            </w:pPr>
          </w:p>
        </w:tc>
        <w:tc>
          <w:tcPr>
            <w:tcW w:w="1600" w:type="dxa"/>
            <w:vAlign w:val="bottom"/>
            <w:tcBorders>
              <w:bottom w:val="single" w:sz="8" w:color="595959"/>
            </w:tcBorders>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4440" w:type="dxa"/>
            <w:vAlign w:val="bottom"/>
            <w:tcBorders>
              <w:bottom w:val="single" w:sz="8" w:color="595959"/>
            </w:tcBorders>
          </w:tcPr>
          <w:p>
            <w:pPr>
              <w:ind w:left="80"/>
              <w:spacing w:after="0"/>
              <w:rPr>
                <w:sz w:val="20"/>
                <w:szCs w:val="20"/>
                <w:color w:val="auto"/>
              </w:rPr>
            </w:pPr>
            <w:r>
              <w:rPr>
                <w:rFonts w:ascii="Arial" w:cs="Arial" w:eastAsia="Arial" w:hAnsi="Arial"/>
                <w:sz w:val="16"/>
                <w:szCs w:val="16"/>
                <w:b w:val="1"/>
                <w:bCs w:val="1"/>
                <w:color w:val="auto"/>
              </w:rPr>
              <w:t>Shareholder Proposals</w:t>
            </w:r>
          </w:p>
        </w:tc>
        <w:tc>
          <w:tcPr>
            <w:tcW w:w="1780" w:type="dxa"/>
            <w:vAlign w:val="bottom"/>
            <w:tcBorders>
              <w:bottom w:val="single" w:sz="8" w:color="595959"/>
            </w:tcBorders>
          </w:tcPr>
          <w:p>
            <w:pPr>
              <w:spacing w:after="0"/>
              <w:rPr>
                <w:sz w:val="19"/>
                <w:szCs w:val="19"/>
                <w:color w:val="auto"/>
              </w:rPr>
            </w:pPr>
          </w:p>
        </w:tc>
        <w:tc>
          <w:tcPr>
            <w:tcW w:w="1220" w:type="dxa"/>
            <w:vAlign w:val="bottom"/>
            <w:tcBorders>
              <w:bottom w:val="single" w:sz="8" w:color="595959"/>
            </w:tcBorders>
          </w:tcPr>
          <w:p>
            <w:pPr>
              <w:spacing w:after="0"/>
              <w:rPr>
                <w:sz w:val="19"/>
                <w:szCs w:val="19"/>
                <w:color w:val="auto"/>
              </w:rPr>
            </w:pPr>
          </w:p>
        </w:tc>
        <w:tc>
          <w:tcPr>
            <w:tcW w:w="1600" w:type="dxa"/>
            <w:vAlign w:val="bottom"/>
            <w:tcBorders>
              <w:bottom w:val="single" w:sz="8" w:color="595959"/>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440" w:type="dxa"/>
            <w:vAlign w:val="bottom"/>
            <w:tcBorders>
              <w:bottom w:val="single" w:sz="8" w:color="0075C9"/>
            </w:tcBorders>
          </w:tcPr>
          <w:p>
            <w:pPr>
              <w:ind w:left="380"/>
              <w:spacing w:after="0"/>
              <w:rPr>
                <w:sz w:val="20"/>
                <w:szCs w:val="20"/>
                <w:color w:val="auto"/>
              </w:rPr>
            </w:pPr>
            <w:r>
              <w:rPr>
                <w:rFonts w:ascii="Arial" w:cs="Arial" w:eastAsia="Arial" w:hAnsi="Arial"/>
                <w:sz w:val="16"/>
                <w:szCs w:val="16"/>
                <w:color w:val="auto"/>
              </w:rPr>
              <w:t>Report on median pay gaps across race and gender</w:t>
            </w:r>
          </w:p>
        </w:tc>
        <w:tc>
          <w:tcPr>
            <w:tcW w:w="1780" w:type="dxa"/>
            <w:vAlign w:val="bottom"/>
            <w:tcBorders>
              <w:bottom w:val="single" w:sz="8" w:color="0075C9"/>
            </w:tcBorders>
          </w:tcPr>
          <w:p>
            <w:pPr>
              <w:ind w:left="160"/>
              <w:spacing w:after="0"/>
              <w:rPr>
                <w:sz w:val="20"/>
                <w:szCs w:val="20"/>
                <w:color w:val="auto"/>
              </w:rPr>
            </w:pPr>
            <w:r>
              <w:rPr>
                <w:rFonts w:ascii="Arial" w:cs="Arial" w:eastAsia="Arial" w:hAnsi="Arial"/>
                <w:sz w:val="16"/>
                <w:szCs w:val="16"/>
                <w:color w:val="auto"/>
              </w:rPr>
              <w:t>Majority of votes cast</w:t>
            </w:r>
          </w:p>
        </w:tc>
        <w:tc>
          <w:tcPr>
            <w:tcW w:w="1220" w:type="dxa"/>
            <w:vAlign w:val="bottom"/>
            <w:tcBorders>
              <w:bottom w:val="single" w:sz="8" w:color="0075C9"/>
            </w:tcBorders>
          </w:tcPr>
          <w:p>
            <w:pPr>
              <w:ind w:left="140"/>
              <w:spacing w:after="0"/>
              <w:rPr>
                <w:sz w:val="20"/>
                <w:szCs w:val="20"/>
                <w:color w:val="auto"/>
              </w:rPr>
            </w:pPr>
            <w:r>
              <w:rPr>
                <w:rFonts w:ascii="Arial" w:cs="Arial" w:eastAsia="Arial" w:hAnsi="Arial"/>
                <w:sz w:val="16"/>
                <w:szCs w:val="16"/>
                <w:color w:val="auto"/>
              </w:rPr>
              <w:t>Not voted</w:t>
            </w:r>
          </w:p>
        </w:tc>
        <w:tc>
          <w:tcPr>
            <w:tcW w:w="1600" w:type="dxa"/>
            <w:vAlign w:val="bottom"/>
            <w:tcBorders>
              <w:bottom w:val="single" w:sz="8" w:color="0075C9"/>
            </w:tcBorders>
          </w:tcPr>
          <w:p>
            <w:pPr>
              <w:ind w:left="180"/>
              <w:spacing w:after="0"/>
              <w:rPr>
                <w:sz w:val="20"/>
                <w:szCs w:val="20"/>
                <w:color w:val="auto"/>
              </w:rPr>
            </w:pPr>
            <w:r>
              <w:rPr>
                <w:rFonts w:ascii="Arial" w:cs="Arial" w:eastAsia="Arial" w:hAnsi="Arial"/>
                <w:sz w:val="16"/>
                <w:szCs w:val="16"/>
                <w:color w:val="auto"/>
              </w:rPr>
              <w:t>Not voted</w:t>
            </w:r>
          </w:p>
        </w:tc>
        <w:tc>
          <w:tcPr>
            <w:tcW w:w="0" w:type="dxa"/>
            <w:vAlign w:val="bottom"/>
          </w:tcPr>
          <w:p>
            <w:pPr>
              <w:spacing w:after="0"/>
              <w:rPr>
                <w:sz w:val="1"/>
                <w:szCs w:val="1"/>
                <w:color w:val="auto"/>
              </w:rPr>
            </w:pPr>
          </w:p>
        </w:tc>
      </w:tr>
      <w:tr>
        <w:trPr>
          <w:trHeight w:val="214"/>
        </w:trPr>
        <w:tc>
          <w:tcPr>
            <w:tcW w:w="4440" w:type="dxa"/>
            <w:vAlign w:val="bottom"/>
          </w:tcPr>
          <w:p>
            <w:pPr>
              <w:ind w:left="380"/>
              <w:spacing w:after="0"/>
              <w:rPr>
                <w:sz w:val="20"/>
                <w:szCs w:val="20"/>
                <w:color w:val="auto"/>
              </w:rPr>
            </w:pPr>
            <w:r>
              <w:rPr>
                <w:rFonts w:ascii="Arial" w:cs="Arial" w:eastAsia="Arial" w:hAnsi="Arial"/>
                <w:sz w:val="16"/>
                <w:szCs w:val="16"/>
                <w:color w:val="auto"/>
              </w:rPr>
              <w:t>Report on effectiveness of workplace sexual harassment</w:t>
            </w:r>
          </w:p>
        </w:tc>
        <w:tc>
          <w:tcPr>
            <w:tcW w:w="1780" w:type="dxa"/>
            <w:vAlign w:val="bottom"/>
            <w:vMerge w:val="restart"/>
          </w:tcPr>
          <w:p>
            <w:pPr>
              <w:ind w:left="160"/>
              <w:spacing w:after="0"/>
              <w:rPr>
                <w:sz w:val="20"/>
                <w:szCs w:val="20"/>
                <w:color w:val="auto"/>
              </w:rPr>
            </w:pPr>
            <w:r>
              <w:rPr>
                <w:rFonts w:ascii="Arial" w:cs="Arial" w:eastAsia="Arial" w:hAnsi="Arial"/>
                <w:sz w:val="16"/>
                <w:szCs w:val="16"/>
                <w:color w:val="auto"/>
              </w:rPr>
              <w:t>Majority of votes cast</w:t>
            </w:r>
          </w:p>
        </w:tc>
        <w:tc>
          <w:tcPr>
            <w:tcW w:w="1220" w:type="dxa"/>
            <w:vAlign w:val="bottom"/>
            <w:vMerge w:val="restart"/>
          </w:tcPr>
          <w:p>
            <w:pPr>
              <w:ind w:left="140"/>
              <w:spacing w:after="0"/>
              <w:rPr>
                <w:sz w:val="20"/>
                <w:szCs w:val="20"/>
                <w:color w:val="auto"/>
              </w:rPr>
            </w:pPr>
            <w:r>
              <w:rPr>
                <w:rFonts w:ascii="Arial" w:cs="Arial" w:eastAsia="Arial" w:hAnsi="Arial"/>
                <w:sz w:val="16"/>
                <w:szCs w:val="16"/>
                <w:color w:val="auto"/>
              </w:rPr>
              <w:t>Not voted</w:t>
            </w:r>
          </w:p>
        </w:tc>
        <w:tc>
          <w:tcPr>
            <w:tcW w:w="1600" w:type="dxa"/>
            <w:vAlign w:val="bottom"/>
            <w:vMerge w:val="restart"/>
          </w:tcPr>
          <w:p>
            <w:pPr>
              <w:ind w:left="180"/>
              <w:spacing w:after="0"/>
              <w:rPr>
                <w:sz w:val="20"/>
                <w:szCs w:val="20"/>
                <w:color w:val="auto"/>
              </w:rPr>
            </w:pPr>
            <w:r>
              <w:rPr>
                <w:rFonts w:ascii="Arial" w:cs="Arial" w:eastAsia="Arial" w:hAnsi="Arial"/>
                <w:sz w:val="16"/>
                <w:szCs w:val="16"/>
                <w:color w:val="auto"/>
              </w:rPr>
              <w:t>Not voted</w:t>
            </w:r>
          </w:p>
        </w:tc>
        <w:tc>
          <w:tcPr>
            <w:tcW w:w="0" w:type="dxa"/>
            <w:vAlign w:val="bottom"/>
          </w:tcPr>
          <w:p>
            <w:pPr>
              <w:spacing w:after="0"/>
              <w:rPr>
                <w:sz w:val="1"/>
                <w:szCs w:val="1"/>
                <w:color w:val="auto"/>
              </w:rPr>
            </w:pPr>
          </w:p>
        </w:tc>
      </w:tr>
      <w:tr>
        <w:trPr>
          <w:trHeight w:val="155"/>
        </w:trPr>
        <w:tc>
          <w:tcPr>
            <w:tcW w:w="4440" w:type="dxa"/>
            <w:vAlign w:val="bottom"/>
            <w:vMerge w:val="restart"/>
          </w:tcPr>
          <w:p>
            <w:pPr>
              <w:ind w:left="380"/>
              <w:spacing w:after="0"/>
              <w:rPr>
                <w:sz w:val="20"/>
                <w:szCs w:val="20"/>
                <w:color w:val="auto"/>
              </w:rPr>
            </w:pPr>
            <w:r>
              <w:rPr>
                <w:rFonts w:ascii="Arial" w:cs="Arial" w:eastAsia="Arial" w:hAnsi="Arial"/>
                <w:sz w:val="16"/>
                <w:szCs w:val="16"/>
                <w:color w:val="auto"/>
              </w:rPr>
              <w:t>policies</w:t>
            </w:r>
          </w:p>
        </w:tc>
        <w:tc>
          <w:tcPr>
            <w:tcW w:w="178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1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8"/>
        </w:trPr>
        <w:tc>
          <w:tcPr>
            <w:tcW w:w="4440" w:type="dxa"/>
            <w:vAlign w:val="bottom"/>
            <w:vMerge w:val="continue"/>
          </w:tcPr>
          <w:p>
            <w:pPr>
              <w:spacing w:after="0"/>
              <w:rPr>
                <w:sz w:val="6"/>
                <w:szCs w:val="6"/>
                <w:color w:val="auto"/>
              </w:rPr>
            </w:pPr>
          </w:p>
        </w:tc>
        <w:tc>
          <w:tcPr>
            <w:tcW w:w="17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
        </w:trPr>
        <w:tc>
          <w:tcPr>
            <w:tcW w:w="4440" w:type="dxa"/>
            <w:vAlign w:val="bottom"/>
            <w:tcBorders>
              <w:bottom w:val="single" w:sz="8" w:color="0075C9"/>
            </w:tcBorders>
          </w:tcPr>
          <w:p>
            <w:pPr>
              <w:spacing w:after="0"/>
              <w:rPr>
                <w:sz w:val="2"/>
                <w:szCs w:val="2"/>
                <w:color w:val="auto"/>
              </w:rPr>
            </w:pPr>
          </w:p>
        </w:tc>
        <w:tc>
          <w:tcPr>
            <w:tcW w:w="1780" w:type="dxa"/>
            <w:vAlign w:val="bottom"/>
            <w:tcBorders>
              <w:bottom w:val="single" w:sz="8" w:color="0075C9"/>
            </w:tcBorders>
          </w:tcPr>
          <w:p>
            <w:pPr>
              <w:spacing w:after="0"/>
              <w:rPr>
                <w:sz w:val="2"/>
                <w:szCs w:val="2"/>
                <w:color w:val="auto"/>
              </w:rPr>
            </w:pPr>
          </w:p>
        </w:tc>
        <w:tc>
          <w:tcPr>
            <w:tcW w:w="1220" w:type="dxa"/>
            <w:vAlign w:val="bottom"/>
            <w:tcBorders>
              <w:bottom w:val="single" w:sz="8" w:color="0075C9"/>
            </w:tcBorders>
          </w:tcPr>
          <w:p>
            <w:pPr>
              <w:spacing w:after="0"/>
              <w:rPr>
                <w:sz w:val="2"/>
                <w:szCs w:val="2"/>
                <w:color w:val="auto"/>
              </w:rPr>
            </w:pPr>
          </w:p>
        </w:tc>
        <w:tc>
          <w:tcPr>
            <w:tcW w:w="160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4440" w:type="dxa"/>
            <w:vAlign w:val="bottom"/>
          </w:tcPr>
          <w:p>
            <w:pPr>
              <w:ind w:left="380"/>
              <w:spacing w:after="0"/>
              <w:rPr>
                <w:sz w:val="20"/>
                <w:szCs w:val="20"/>
                <w:color w:val="auto"/>
              </w:rPr>
            </w:pPr>
            <w:r>
              <w:rPr>
                <w:rFonts w:ascii="Arial" w:cs="Arial" w:eastAsia="Arial" w:hAnsi="Arial"/>
                <w:sz w:val="16"/>
                <w:szCs w:val="16"/>
                <w:color w:val="auto"/>
              </w:rPr>
              <w:t>Prohibition on sales of facial recognition technology to</w:t>
            </w:r>
          </w:p>
        </w:tc>
        <w:tc>
          <w:tcPr>
            <w:tcW w:w="1780" w:type="dxa"/>
            <w:vAlign w:val="bottom"/>
            <w:vMerge w:val="restart"/>
          </w:tcPr>
          <w:p>
            <w:pPr>
              <w:ind w:left="160"/>
              <w:spacing w:after="0"/>
              <w:rPr>
                <w:sz w:val="20"/>
                <w:szCs w:val="20"/>
                <w:color w:val="auto"/>
              </w:rPr>
            </w:pPr>
            <w:r>
              <w:rPr>
                <w:rFonts w:ascii="Arial" w:cs="Arial" w:eastAsia="Arial" w:hAnsi="Arial"/>
                <w:sz w:val="16"/>
                <w:szCs w:val="16"/>
                <w:color w:val="auto"/>
              </w:rPr>
              <w:t>Majority of votes cast</w:t>
            </w:r>
          </w:p>
        </w:tc>
        <w:tc>
          <w:tcPr>
            <w:tcW w:w="1220" w:type="dxa"/>
            <w:vAlign w:val="bottom"/>
            <w:vMerge w:val="restart"/>
          </w:tcPr>
          <w:p>
            <w:pPr>
              <w:ind w:left="140"/>
              <w:spacing w:after="0"/>
              <w:rPr>
                <w:sz w:val="20"/>
                <w:szCs w:val="20"/>
                <w:color w:val="auto"/>
              </w:rPr>
            </w:pPr>
            <w:r>
              <w:rPr>
                <w:rFonts w:ascii="Arial" w:cs="Arial" w:eastAsia="Arial" w:hAnsi="Arial"/>
                <w:sz w:val="16"/>
                <w:szCs w:val="16"/>
                <w:color w:val="auto"/>
              </w:rPr>
              <w:t>Not voted</w:t>
            </w:r>
          </w:p>
        </w:tc>
        <w:tc>
          <w:tcPr>
            <w:tcW w:w="1600" w:type="dxa"/>
            <w:vAlign w:val="bottom"/>
            <w:vMerge w:val="restart"/>
          </w:tcPr>
          <w:p>
            <w:pPr>
              <w:ind w:left="180"/>
              <w:spacing w:after="0"/>
              <w:rPr>
                <w:sz w:val="20"/>
                <w:szCs w:val="20"/>
                <w:color w:val="auto"/>
              </w:rPr>
            </w:pPr>
            <w:r>
              <w:rPr>
                <w:rFonts w:ascii="Arial" w:cs="Arial" w:eastAsia="Arial" w:hAnsi="Arial"/>
                <w:sz w:val="16"/>
                <w:szCs w:val="16"/>
                <w:color w:val="auto"/>
              </w:rPr>
              <w:t>Not voted</w:t>
            </w:r>
          </w:p>
        </w:tc>
        <w:tc>
          <w:tcPr>
            <w:tcW w:w="0" w:type="dxa"/>
            <w:vAlign w:val="bottom"/>
          </w:tcPr>
          <w:p>
            <w:pPr>
              <w:spacing w:after="0"/>
              <w:rPr>
                <w:sz w:val="1"/>
                <w:szCs w:val="1"/>
                <w:color w:val="auto"/>
              </w:rPr>
            </w:pPr>
          </w:p>
        </w:tc>
      </w:tr>
      <w:tr>
        <w:trPr>
          <w:trHeight w:val="155"/>
        </w:trPr>
        <w:tc>
          <w:tcPr>
            <w:tcW w:w="4440" w:type="dxa"/>
            <w:vAlign w:val="bottom"/>
            <w:vMerge w:val="restart"/>
          </w:tcPr>
          <w:p>
            <w:pPr>
              <w:ind w:left="380"/>
              <w:spacing w:after="0"/>
              <w:rPr>
                <w:sz w:val="20"/>
                <w:szCs w:val="20"/>
                <w:color w:val="auto"/>
              </w:rPr>
            </w:pPr>
            <w:r>
              <w:rPr>
                <w:rFonts w:ascii="Arial" w:cs="Arial" w:eastAsia="Arial" w:hAnsi="Arial"/>
                <w:sz w:val="16"/>
                <w:szCs w:val="16"/>
                <w:color w:val="auto"/>
              </w:rPr>
              <w:t>all government entities</w:t>
            </w:r>
          </w:p>
        </w:tc>
        <w:tc>
          <w:tcPr>
            <w:tcW w:w="178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1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8"/>
        </w:trPr>
        <w:tc>
          <w:tcPr>
            <w:tcW w:w="4440" w:type="dxa"/>
            <w:vAlign w:val="bottom"/>
            <w:vMerge w:val="continue"/>
          </w:tcPr>
          <w:p>
            <w:pPr>
              <w:spacing w:after="0"/>
              <w:rPr>
                <w:sz w:val="6"/>
                <w:szCs w:val="6"/>
                <w:color w:val="auto"/>
              </w:rPr>
            </w:pPr>
          </w:p>
        </w:tc>
        <w:tc>
          <w:tcPr>
            <w:tcW w:w="17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
        </w:trPr>
        <w:tc>
          <w:tcPr>
            <w:tcW w:w="4440" w:type="dxa"/>
            <w:vAlign w:val="bottom"/>
            <w:tcBorders>
              <w:bottom w:val="single" w:sz="8" w:color="0075C9"/>
            </w:tcBorders>
          </w:tcPr>
          <w:p>
            <w:pPr>
              <w:spacing w:after="0"/>
              <w:rPr>
                <w:sz w:val="2"/>
                <w:szCs w:val="2"/>
                <w:color w:val="auto"/>
              </w:rPr>
            </w:pPr>
          </w:p>
        </w:tc>
        <w:tc>
          <w:tcPr>
            <w:tcW w:w="1780" w:type="dxa"/>
            <w:vAlign w:val="bottom"/>
            <w:tcBorders>
              <w:bottom w:val="single" w:sz="8" w:color="0075C9"/>
            </w:tcBorders>
          </w:tcPr>
          <w:p>
            <w:pPr>
              <w:spacing w:after="0"/>
              <w:rPr>
                <w:sz w:val="2"/>
                <w:szCs w:val="2"/>
                <w:color w:val="auto"/>
              </w:rPr>
            </w:pPr>
          </w:p>
        </w:tc>
        <w:tc>
          <w:tcPr>
            <w:tcW w:w="1220" w:type="dxa"/>
            <w:vAlign w:val="bottom"/>
            <w:tcBorders>
              <w:bottom w:val="single" w:sz="8" w:color="0075C9"/>
            </w:tcBorders>
          </w:tcPr>
          <w:p>
            <w:pPr>
              <w:spacing w:after="0"/>
              <w:rPr>
                <w:sz w:val="2"/>
                <w:szCs w:val="2"/>
                <w:color w:val="auto"/>
              </w:rPr>
            </w:pPr>
          </w:p>
        </w:tc>
        <w:tc>
          <w:tcPr>
            <w:tcW w:w="160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4440" w:type="dxa"/>
            <w:vAlign w:val="bottom"/>
          </w:tcPr>
          <w:p>
            <w:pPr>
              <w:ind w:left="380"/>
              <w:spacing w:after="0"/>
              <w:rPr>
                <w:sz w:val="20"/>
                <w:szCs w:val="20"/>
                <w:color w:val="auto"/>
              </w:rPr>
            </w:pPr>
            <w:r>
              <w:rPr>
                <w:rFonts w:ascii="Arial" w:cs="Arial" w:eastAsia="Arial" w:hAnsi="Arial"/>
                <w:sz w:val="16"/>
                <w:szCs w:val="16"/>
                <w:color w:val="auto"/>
              </w:rPr>
              <w:t>Report on implementation of the Fair Chance Business</w:t>
            </w:r>
          </w:p>
        </w:tc>
        <w:tc>
          <w:tcPr>
            <w:tcW w:w="1780" w:type="dxa"/>
            <w:vAlign w:val="bottom"/>
            <w:vMerge w:val="restart"/>
          </w:tcPr>
          <w:p>
            <w:pPr>
              <w:ind w:left="160"/>
              <w:spacing w:after="0"/>
              <w:rPr>
                <w:sz w:val="20"/>
                <w:szCs w:val="20"/>
                <w:color w:val="auto"/>
              </w:rPr>
            </w:pPr>
            <w:r>
              <w:rPr>
                <w:rFonts w:ascii="Arial" w:cs="Arial" w:eastAsia="Arial" w:hAnsi="Arial"/>
                <w:sz w:val="16"/>
                <w:szCs w:val="16"/>
                <w:color w:val="auto"/>
              </w:rPr>
              <w:t>Majority of votes cast</w:t>
            </w:r>
          </w:p>
        </w:tc>
        <w:tc>
          <w:tcPr>
            <w:tcW w:w="1220" w:type="dxa"/>
            <w:vAlign w:val="bottom"/>
            <w:vMerge w:val="restart"/>
          </w:tcPr>
          <w:p>
            <w:pPr>
              <w:ind w:left="140"/>
              <w:spacing w:after="0"/>
              <w:rPr>
                <w:sz w:val="20"/>
                <w:szCs w:val="20"/>
                <w:color w:val="auto"/>
              </w:rPr>
            </w:pPr>
            <w:r>
              <w:rPr>
                <w:rFonts w:ascii="Arial" w:cs="Arial" w:eastAsia="Arial" w:hAnsi="Arial"/>
                <w:sz w:val="16"/>
                <w:szCs w:val="16"/>
                <w:color w:val="auto"/>
              </w:rPr>
              <w:t>Not voted</w:t>
            </w:r>
          </w:p>
        </w:tc>
        <w:tc>
          <w:tcPr>
            <w:tcW w:w="1600" w:type="dxa"/>
            <w:vAlign w:val="bottom"/>
            <w:vMerge w:val="restart"/>
          </w:tcPr>
          <w:p>
            <w:pPr>
              <w:ind w:left="180"/>
              <w:spacing w:after="0"/>
              <w:rPr>
                <w:sz w:val="20"/>
                <w:szCs w:val="20"/>
                <w:color w:val="auto"/>
              </w:rPr>
            </w:pPr>
            <w:r>
              <w:rPr>
                <w:rFonts w:ascii="Arial" w:cs="Arial" w:eastAsia="Arial" w:hAnsi="Arial"/>
                <w:sz w:val="16"/>
                <w:szCs w:val="16"/>
                <w:color w:val="auto"/>
              </w:rPr>
              <w:t>Not voted</w:t>
            </w:r>
          </w:p>
        </w:tc>
        <w:tc>
          <w:tcPr>
            <w:tcW w:w="0" w:type="dxa"/>
            <w:vAlign w:val="bottom"/>
          </w:tcPr>
          <w:p>
            <w:pPr>
              <w:spacing w:after="0"/>
              <w:rPr>
                <w:sz w:val="1"/>
                <w:szCs w:val="1"/>
                <w:color w:val="auto"/>
              </w:rPr>
            </w:pPr>
          </w:p>
        </w:tc>
      </w:tr>
      <w:tr>
        <w:trPr>
          <w:trHeight w:val="155"/>
        </w:trPr>
        <w:tc>
          <w:tcPr>
            <w:tcW w:w="4440" w:type="dxa"/>
            <w:vAlign w:val="bottom"/>
            <w:vMerge w:val="restart"/>
          </w:tcPr>
          <w:p>
            <w:pPr>
              <w:ind w:left="380"/>
              <w:spacing w:after="0"/>
              <w:rPr>
                <w:sz w:val="20"/>
                <w:szCs w:val="20"/>
                <w:color w:val="auto"/>
              </w:rPr>
            </w:pPr>
            <w:r>
              <w:rPr>
                <w:rFonts w:ascii="Arial" w:cs="Arial" w:eastAsia="Arial" w:hAnsi="Arial"/>
                <w:sz w:val="16"/>
                <w:szCs w:val="16"/>
                <w:color w:val="auto"/>
              </w:rPr>
              <w:t>Pledge</w:t>
            </w:r>
          </w:p>
        </w:tc>
        <w:tc>
          <w:tcPr>
            <w:tcW w:w="178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1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8"/>
        </w:trPr>
        <w:tc>
          <w:tcPr>
            <w:tcW w:w="4440" w:type="dxa"/>
            <w:vAlign w:val="bottom"/>
            <w:vMerge w:val="continue"/>
          </w:tcPr>
          <w:p>
            <w:pPr>
              <w:spacing w:after="0"/>
              <w:rPr>
                <w:sz w:val="6"/>
                <w:szCs w:val="6"/>
                <w:color w:val="auto"/>
              </w:rPr>
            </w:pPr>
          </w:p>
        </w:tc>
        <w:tc>
          <w:tcPr>
            <w:tcW w:w="17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
        </w:trPr>
        <w:tc>
          <w:tcPr>
            <w:tcW w:w="4440" w:type="dxa"/>
            <w:vAlign w:val="bottom"/>
            <w:tcBorders>
              <w:bottom w:val="single" w:sz="8" w:color="0075C9"/>
            </w:tcBorders>
          </w:tcPr>
          <w:p>
            <w:pPr>
              <w:spacing w:after="0"/>
              <w:rPr>
                <w:sz w:val="2"/>
                <w:szCs w:val="2"/>
                <w:color w:val="auto"/>
              </w:rPr>
            </w:pPr>
          </w:p>
        </w:tc>
        <w:tc>
          <w:tcPr>
            <w:tcW w:w="1780" w:type="dxa"/>
            <w:vAlign w:val="bottom"/>
            <w:tcBorders>
              <w:bottom w:val="single" w:sz="8" w:color="0075C9"/>
            </w:tcBorders>
          </w:tcPr>
          <w:p>
            <w:pPr>
              <w:spacing w:after="0"/>
              <w:rPr>
                <w:sz w:val="2"/>
                <w:szCs w:val="2"/>
                <w:color w:val="auto"/>
              </w:rPr>
            </w:pPr>
          </w:p>
        </w:tc>
        <w:tc>
          <w:tcPr>
            <w:tcW w:w="1220" w:type="dxa"/>
            <w:vAlign w:val="bottom"/>
            <w:tcBorders>
              <w:bottom w:val="single" w:sz="8" w:color="0075C9"/>
            </w:tcBorders>
          </w:tcPr>
          <w:p>
            <w:pPr>
              <w:spacing w:after="0"/>
              <w:rPr>
                <w:sz w:val="2"/>
                <w:szCs w:val="2"/>
                <w:color w:val="auto"/>
              </w:rPr>
            </w:pPr>
          </w:p>
        </w:tc>
        <w:tc>
          <w:tcPr>
            <w:tcW w:w="160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4440" w:type="dxa"/>
            <w:vAlign w:val="bottom"/>
          </w:tcPr>
          <w:p>
            <w:pPr>
              <w:ind w:left="380"/>
              <w:spacing w:after="0"/>
              <w:rPr>
                <w:sz w:val="20"/>
                <w:szCs w:val="20"/>
                <w:color w:val="auto"/>
              </w:rPr>
            </w:pPr>
            <w:r>
              <w:rPr>
                <w:rFonts w:ascii="Arial" w:cs="Arial" w:eastAsia="Arial" w:hAnsi="Arial"/>
                <w:sz w:val="16"/>
                <w:szCs w:val="16"/>
                <w:color w:val="auto"/>
              </w:rPr>
              <w:t>Report on how lobbying activities align with Company</w:t>
            </w:r>
          </w:p>
        </w:tc>
        <w:tc>
          <w:tcPr>
            <w:tcW w:w="1780" w:type="dxa"/>
            <w:vAlign w:val="bottom"/>
            <w:vMerge w:val="restart"/>
          </w:tcPr>
          <w:p>
            <w:pPr>
              <w:ind w:left="160"/>
              <w:spacing w:after="0"/>
              <w:rPr>
                <w:sz w:val="20"/>
                <w:szCs w:val="20"/>
                <w:color w:val="auto"/>
              </w:rPr>
            </w:pPr>
            <w:r>
              <w:rPr>
                <w:rFonts w:ascii="Arial" w:cs="Arial" w:eastAsia="Arial" w:hAnsi="Arial"/>
                <w:sz w:val="16"/>
                <w:szCs w:val="16"/>
                <w:color w:val="auto"/>
              </w:rPr>
              <w:t>Majority of votes cast</w:t>
            </w:r>
          </w:p>
        </w:tc>
        <w:tc>
          <w:tcPr>
            <w:tcW w:w="1220" w:type="dxa"/>
            <w:vAlign w:val="bottom"/>
            <w:vMerge w:val="restart"/>
          </w:tcPr>
          <w:p>
            <w:pPr>
              <w:ind w:left="140"/>
              <w:spacing w:after="0"/>
              <w:rPr>
                <w:sz w:val="20"/>
                <w:szCs w:val="20"/>
                <w:color w:val="auto"/>
              </w:rPr>
            </w:pPr>
            <w:r>
              <w:rPr>
                <w:rFonts w:ascii="Arial" w:cs="Arial" w:eastAsia="Arial" w:hAnsi="Arial"/>
                <w:sz w:val="16"/>
                <w:szCs w:val="16"/>
                <w:color w:val="auto"/>
              </w:rPr>
              <w:t>Not voted</w:t>
            </w:r>
          </w:p>
        </w:tc>
        <w:tc>
          <w:tcPr>
            <w:tcW w:w="1600" w:type="dxa"/>
            <w:vAlign w:val="bottom"/>
            <w:vMerge w:val="restart"/>
          </w:tcPr>
          <w:p>
            <w:pPr>
              <w:ind w:left="180"/>
              <w:spacing w:after="0"/>
              <w:rPr>
                <w:sz w:val="20"/>
                <w:szCs w:val="20"/>
                <w:color w:val="auto"/>
              </w:rPr>
            </w:pPr>
            <w:r>
              <w:rPr>
                <w:rFonts w:ascii="Arial" w:cs="Arial" w:eastAsia="Arial" w:hAnsi="Arial"/>
                <w:sz w:val="16"/>
                <w:szCs w:val="16"/>
                <w:color w:val="auto"/>
              </w:rPr>
              <w:t>Not voted</w:t>
            </w:r>
          </w:p>
        </w:tc>
        <w:tc>
          <w:tcPr>
            <w:tcW w:w="0" w:type="dxa"/>
            <w:vAlign w:val="bottom"/>
          </w:tcPr>
          <w:p>
            <w:pPr>
              <w:spacing w:after="0"/>
              <w:rPr>
                <w:sz w:val="1"/>
                <w:szCs w:val="1"/>
                <w:color w:val="auto"/>
              </w:rPr>
            </w:pPr>
          </w:p>
        </w:tc>
      </w:tr>
      <w:tr>
        <w:trPr>
          <w:trHeight w:val="155"/>
        </w:trPr>
        <w:tc>
          <w:tcPr>
            <w:tcW w:w="4440" w:type="dxa"/>
            <w:vAlign w:val="bottom"/>
            <w:vMerge w:val="restart"/>
          </w:tcPr>
          <w:p>
            <w:pPr>
              <w:ind w:left="380"/>
              <w:spacing w:after="0"/>
              <w:rPr>
                <w:sz w:val="20"/>
                <w:szCs w:val="20"/>
                <w:color w:val="auto"/>
              </w:rPr>
            </w:pPr>
            <w:r>
              <w:rPr>
                <w:rFonts w:ascii="Arial" w:cs="Arial" w:eastAsia="Arial" w:hAnsi="Arial"/>
                <w:sz w:val="16"/>
                <w:szCs w:val="16"/>
                <w:color w:val="auto"/>
              </w:rPr>
              <w:t>policies</w:t>
            </w:r>
          </w:p>
        </w:tc>
        <w:tc>
          <w:tcPr>
            <w:tcW w:w="178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1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8"/>
        </w:trPr>
        <w:tc>
          <w:tcPr>
            <w:tcW w:w="4440" w:type="dxa"/>
            <w:vAlign w:val="bottom"/>
            <w:vMerge w:val="continue"/>
          </w:tcPr>
          <w:p>
            <w:pPr>
              <w:spacing w:after="0"/>
              <w:rPr>
                <w:sz w:val="6"/>
                <w:szCs w:val="6"/>
                <w:color w:val="auto"/>
              </w:rPr>
            </w:pPr>
          </w:p>
        </w:tc>
        <w:tc>
          <w:tcPr>
            <w:tcW w:w="17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
        </w:trPr>
        <w:tc>
          <w:tcPr>
            <w:tcW w:w="4440" w:type="dxa"/>
            <w:vAlign w:val="bottom"/>
            <w:tcBorders>
              <w:bottom w:val="single" w:sz="8" w:color="0075C9"/>
            </w:tcBorders>
          </w:tcPr>
          <w:p>
            <w:pPr>
              <w:spacing w:after="0"/>
              <w:rPr>
                <w:sz w:val="2"/>
                <w:szCs w:val="2"/>
                <w:color w:val="auto"/>
              </w:rPr>
            </w:pPr>
          </w:p>
        </w:tc>
        <w:tc>
          <w:tcPr>
            <w:tcW w:w="1780" w:type="dxa"/>
            <w:vAlign w:val="bottom"/>
            <w:tcBorders>
              <w:bottom w:val="single" w:sz="8" w:color="0075C9"/>
            </w:tcBorders>
          </w:tcPr>
          <w:p>
            <w:pPr>
              <w:spacing w:after="0"/>
              <w:rPr>
                <w:sz w:val="2"/>
                <w:szCs w:val="2"/>
                <w:color w:val="auto"/>
              </w:rPr>
            </w:pPr>
          </w:p>
        </w:tc>
        <w:tc>
          <w:tcPr>
            <w:tcW w:w="1220" w:type="dxa"/>
            <w:vAlign w:val="bottom"/>
            <w:tcBorders>
              <w:bottom w:val="single" w:sz="8" w:color="0075C9"/>
            </w:tcBorders>
          </w:tcPr>
          <w:p>
            <w:pPr>
              <w:spacing w:after="0"/>
              <w:rPr>
                <w:sz w:val="2"/>
                <w:szCs w:val="2"/>
                <w:color w:val="auto"/>
              </w:rPr>
            </w:pPr>
          </w:p>
        </w:tc>
        <w:tc>
          <w:tcPr>
            <w:tcW w:w="160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Vote Confidentiality</w:t>
      </w:r>
    </w:p>
    <w:p>
      <w:pPr>
        <w:spacing w:after="0" w:line="127"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We maintain the confidentiality of the votes of individual shareholders. Ballots, proxy forms, and voting instructions returned</w:t>
      </w:r>
    </w:p>
    <w:p>
      <w:pPr>
        <w:jc w:val="both"/>
        <w:ind w:left="1100" w:right="140"/>
        <w:spacing w:after="0" w:line="237" w:lineRule="auto"/>
        <w:rPr>
          <w:sz w:val="20"/>
          <w:szCs w:val="20"/>
          <w:color w:val="auto"/>
        </w:rPr>
      </w:pPr>
      <w:r>
        <w:rPr>
          <w:rFonts w:ascii="Arial" w:cs="Arial" w:eastAsia="Arial" w:hAnsi="Arial"/>
          <w:sz w:val="16"/>
          <w:szCs w:val="16"/>
          <w:color w:val="auto"/>
        </w:rPr>
        <w:t>to brokerage firms, banks, and other holders of record are kept confidential. Only the proxy solicitor, proxy tabulator, and inspector of election have access to the ballots, proxy forms, and voting instructions. The proxy solicitor and the proxy tabulator will disclose information taken from the ballots, proxy forms, and voting instructions only if there is a proxy contest, if the shareholder authorizes disclosure, to defend legal claims, or as otherwise required by law. If you write comments on your proxy card or ballot, management may learn how you voted in reviewing your comments.</w:t>
      </w:r>
    </w:p>
    <w:p>
      <w:pPr>
        <w:spacing w:after="0" w:line="200" w:lineRule="exact"/>
        <w:rPr>
          <w:sz w:val="20"/>
          <w:szCs w:val="20"/>
          <w:color w:val="auto"/>
        </w:rPr>
      </w:pPr>
    </w:p>
    <w:p>
      <w:pPr>
        <w:spacing w:after="0" w:line="303"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2021 PROXY STATEMENT</w:t>
      </w:r>
      <w:r>
        <w:rPr>
          <w:sz w:val="20"/>
          <w:szCs w:val="20"/>
          <w:color w:val="auto"/>
        </w:rPr>
        <w:tab/>
      </w:r>
      <w:r>
        <w:rPr>
          <w:rFonts w:ascii="Arial" w:cs="Arial" w:eastAsia="Arial" w:hAnsi="Arial"/>
          <w:sz w:val="12"/>
          <w:szCs w:val="12"/>
          <w:b w:val="1"/>
          <w:bCs w:val="1"/>
          <w:color w:val="0075C9"/>
        </w:rPr>
        <w:t>85</w:t>
      </w:r>
    </w:p>
    <w:p>
      <w:pPr>
        <w:sectPr>
          <w:pgSz w:w="11900" w:h="16838" w:orient="portrait"/>
          <w:cols w:equalWidth="0" w:num="1">
            <w:col w:w="10280"/>
          </w:cols>
          <w:pgMar w:left="320" w:top="445" w:right="1299" w:bottom="1440" w:gutter="0" w:footer="0" w:header="0"/>
        </w:sectPr>
      </w:pPr>
    </w:p>
    <w:bookmarkStart w:id="93" w:name="page94"/>
    <w:bookmarkEnd w:id="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auto"/>
                <w:w w:val="89"/>
              </w:rPr>
              <w:t>1</w:t>
            </w:r>
          </w:p>
        </w:tc>
        <w:tc>
          <w:tcPr>
            <w:tcW w:w="1380" w:type="dxa"/>
            <w:vAlign w:val="bottom"/>
            <w:vMerge w:val="restart"/>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tcPr>
          <w:p>
            <w:pPr>
              <w:jc w:val="right"/>
              <w:spacing w:after="0"/>
              <w:rPr>
                <w:sz w:val="20"/>
                <w:szCs w:val="20"/>
                <w:color w:val="auto"/>
              </w:rPr>
            </w:pPr>
            <w:r>
              <w:rPr>
                <w:rFonts w:ascii="Arial" w:cs="Arial" w:eastAsia="Arial" w:hAnsi="Arial"/>
                <w:sz w:val="36"/>
                <w:szCs w:val="36"/>
                <w:color w:val="auto"/>
              </w:rPr>
              <w:t>2</w:t>
            </w:r>
          </w:p>
        </w:tc>
        <w:tc>
          <w:tcPr>
            <w:tcW w:w="1580" w:type="dxa"/>
            <w:vAlign w:val="bottom"/>
            <w:vMerge w:val="restart"/>
          </w:tcPr>
          <w:p>
            <w:pPr>
              <w:ind w:left="80"/>
              <w:spacing w:after="0"/>
              <w:rPr>
                <w:sz w:val="20"/>
                <w:szCs w:val="20"/>
                <w:color w:val="auto"/>
              </w:rPr>
            </w:pPr>
            <w:r>
              <w:rPr>
                <w:rFonts w:ascii="Arial" w:cs="Arial" w:eastAsia="Arial" w:hAnsi="Arial"/>
                <w:sz w:val="12"/>
                <w:szCs w:val="12"/>
                <w:color w:val="auto"/>
              </w:rPr>
              <w:t>NAMED</w:t>
            </w:r>
          </w:p>
        </w:tc>
        <w:tc>
          <w:tcPr>
            <w:tcW w:w="520" w:type="dxa"/>
            <w:vAlign w:val="bottom"/>
          </w:tcPr>
          <w:p>
            <w:pPr>
              <w:jc w:val="right"/>
              <w:spacing w:after="0"/>
              <w:rPr>
                <w:sz w:val="20"/>
                <w:szCs w:val="20"/>
                <w:color w:val="auto"/>
              </w:rPr>
            </w:pPr>
            <w:r>
              <w:rPr>
                <w:rFonts w:ascii="Arial" w:cs="Arial" w:eastAsia="Arial" w:hAnsi="Arial"/>
                <w:sz w:val="36"/>
                <w:szCs w:val="36"/>
                <w:color w:val="auto"/>
              </w:rPr>
              <w:t>3</w:t>
            </w:r>
          </w:p>
        </w:tc>
        <w:tc>
          <w:tcPr>
            <w:tcW w:w="1120" w:type="dxa"/>
            <w:vAlign w:val="bottom"/>
            <w:vMerge w:val="restart"/>
          </w:tcPr>
          <w:p>
            <w:pPr>
              <w:ind w:left="60"/>
              <w:spacing w:after="0"/>
              <w:rPr>
                <w:sz w:val="20"/>
                <w:szCs w:val="20"/>
                <w:color w:val="auto"/>
              </w:rPr>
            </w:pPr>
            <w:r>
              <w:rPr>
                <w:rFonts w:ascii="Arial" w:cs="Arial" w:eastAsia="Arial" w:hAnsi="Arial"/>
                <w:sz w:val="12"/>
                <w:szCs w:val="12"/>
                <w:color w:val="auto"/>
              </w:rPr>
              <w:t>AUDIT</w:t>
            </w:r>
          </w:p>
        </w:tc>
        <w:tc>
          <w:tcPr>
            <w:tcW w:w="600" w:type="dxa"/>
            <w:vAlign w:val="bottom"/>
          </w:tcPr>
          <w:p>
            <w:pPr>
              <w:jc w:val="right"/>
              <w:spacing w:after="0"/>
              <w:rPr>
                <w:sz w:val="20"/>
                <w:szCs w:val="20"/>
                <w:color w:val="auto"/>
              </w:rPr>
            </w:pPr>
            <w:r>
              <w:rPr>
                <w:rFonts w:ascii="Arial" w:cs="Arial" w:eastAsia="Arial" w:hAnsi="Arial"/>
                <w:sz w:val="36"/>
                <w:szCs w:val="36"/>
                <w:color w:val="auto"/>
              </w:rPr>
              <w:t>4</w:t>
            </w:r>
          </w:p>
        </w:tc>
        <w:tc>
          <w:tcPr>
            <w:tcW w:w="1600" w:type="dxa"/>
            <w:vAlign w:val="bottom"/>
            <w:vMerge w:val="restart"/>
          </w:tcPr>
          <w:p>
            <w:pPr>
              <w:ind w:left="80"/>
              <w:spacing w:after="0"/>
              <w:rPr>
                <w:sz w:val="20"/>
                <w:szCs w:val="20"/>
                <w:color w:val="auto"/>
              </w:rPr>
            </w:pPr>
            <w:r>
              <w:rPr>
                <w:rFonts w:ascii="Arial" w:cs="Arial" w:eastAsia="Arial" w:hAnsi="Arial"/>
                <w:sz w:val="12"/>
                <w:szCs w:val="12"/>
                <w:color w:val="auto"/>
              </w:rPr>
              <w:t>PROPOSALS TO</w:t>
            </w:r>
          </w:p>
        </w:tc>
        <w:tc>
          <w:tcPr>
            <w:tcW w:w="440" w:type="dxa"/>
            <w:vAlign w:val="bottom"/>
            <w:gridSpan w:val="2"/>
          </w:tcPr>
          <w:p>
            <w:pPr>
              <w:jc w:val="right"/>
              <w:ind w:right="80"/>
              <w:spacing w:after="0"/>
              <w:rPr>
                <w:sz w:val="20"/>
                <w:szCs w:val="20"/>
                <w:color w:val="auto"/>
              </w:rPr>
            </w:pPr>
            <w:r>
              <w:rPr>
                <w:rFonts w:ascii="Arial" w:cs="Arial" w:eastAsia="Arial" w:hAnsi="Arial"/>
                <w:sz w:val="36"/>
                <w:szCs w:val="36"/>
                <w:color w:val="0075C9"/>
              </w:rPr>
              <w:t>5</w:t>
            </w:r>
          </w:p>
        </w:tc>
        <w:tc>
          <w:tcPr>
            <w:tcW w:w="1080" w:type="dxa"/>
            <w:vAlign w:val="bottom"/>
            <w:vMerge w:val="restart"/>
          </w:tcPr>
          <w:p>
            <w:pPr>
              <w:ind w:left="80"/>
              <w:spacing w:after="0"/>
              <w:rPr>
                <w:sz w:val="20"/>
                <w:szCs w:val="20"/>
                <w:color w:val="auto"/>
              </w:rPr>
            </w:pPr>
            <w:r>
              <w:rPr>
                <w:rFonts w:ascii="Arial" w:cs="Arial" w:eastAsia="Arial" w:hAnsi="Arial"/>
                <w:sz w:val="12"/>
                <w:szCs w:val="12"/>
                <w:color w:val="0075C9"/>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38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2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color w:val="auto"/>
              </w:rPr>
              <w:t>COMMITTEE</w:t>
            </w:r>
          </w:p>
        </w:tc>
        <w:tc>
          <w:tcPr>
            <w:tcW w:w="600" w:type="dxa"/>
            <w:vAlign w:val="bottom"/>
          </w:tcPr>
          <w:p>
            <w:pPr>
              <w:spacing w:after="0"/>
              <w:rPr>
                <w:sz w:val="11"/>
                <w:szCs w:val="11"/>
                <w:color w:val="auto"/>
              </w:rPr>
            </w:pPr>
          </w:p>
        </w:tc>
        <w:tc>
          <w:tcPr>
            <w:tcW w:w="160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ind w:left="80"/>
              <w:spacing w:after="0" w:line="130" w:lineRule="exact"/>
              <w:rPr>
                <w:sz w:val="20"/>
                <w:szCs w:val="20"/>
                <w:color w:val="auto"/>
              </w:rPr>
            </w:pPr>
            <w:r>
              <w:rPr>
                <w:rFonts w:ascii="Arial" w:cs="Arial" w:eastAsia="Arial" w:hAnsi="Arial"/>
                <w:sz w:val="12"/>
                <w:szCs w:val="12"/>
                <w:color w:val="0075C9"/>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38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tcPr>
          <w:p>
            <w:pPr>
              <w:spacing w:after="0"/>
              <w:rPr>
                <w:sz w:val="12"/>
                <w:szCs w:val="12"/>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20" w:type="dxa"/>
            <w:vAlign w:val="bottom"/>
          </w:tcPr>
          <w:p>
            <w:pPr>
              <w:spacing w:after="0"/>
              <w:rPr>
                <w:sz w:val="12"/>
                <w:szCs w:val="12"/>
                <w:color w:val="auto"/>
              </w:rPr>
            </w:pPr>
          </w:p>
        </w:tc>
        <w:tc>
          <w:tcPr>
            <w:tcW w:w="1120" w:type="dxa"/>
            <w:vAlign w:val="bottom"/>
          </w:tcPr>
          <w:p>
            <w:pPr>
              <w:ind w:left="60"/>
              <w:spacing w:after="0"/>
              <w:rPr>
                <w:sz w:val="20"/>
                <w:szCs w:val="20"/>
                <w:color w:val="auto"/>
              </w:rPr>
            </w:pPr>
            <w:r>
              <w:rPr>
                <w:rFonts w:ascii="Arial" w:cs="Arial" w:eastAsia="Arial" w:hAnsi="Arial"/>
                <w:sz w:val="12"/>
                <w:szCs w:val="12"/>
                <w:color w:val="auto"/>
              </w:rPr>
              <w:t>MATTERS</w:t>
            </w:r>
          </w:p>
        </w:tc>
        <w:tc>
          <w:tcPr>
            <w:tcW w:w="600" w:type="dxa"/>
            <w:vAlign w:val="bottom"/>
          </w:tcPr>
          <w:p>
            <w:pPr>
              <w:spacing w:after="0"/>
              <w:rPr>
                <w:sz w:val="12"/>
                <w:szCs w:val="12"/>
                <w:color w:val="auto"/>
              </w:rPr>
            </w:pPr>
          </w:p>
        </w:tc>
        <w:tc>
          <w:tcPr>
            <w:tcW w:w="160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ind w:left="80"/>
              <w:spacing w:after="0"/>
              <w:rPr>
                <w:sz w:val="20"/>
                <w:szCs w:val="20"/>
                <w:color w:val="auto"/>
              </w:rPr>
            </w:pPr>
            <w:r>
              <w:rPr>
                <w:rFonts w:ascii="Arial" w:cs="Arial" w:eastAsia="Arial" w:hAnsi="Arial"/>
                <w:sz w:val="12"/>
                <w:szCs w:val="12"/>
                <w:color w:val="0075C9"/>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080" w:type="dxa"/>
            <w:vAlign w:val="bottom"/>
            <w:shd w:val="clear" w:color="auto" w:fill="0075C9"/>
          </w:tcPr>
          <w:p>
            <w:pPr>
              <w:spacing w:after="0"/>
              <w:rPr>
                <w:sz w:val="9"/>
                <w:szCs w:val="9"/>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Tabulation of Votes</w:t>
      </w:r>
    </w:p>
    <w:p>
      <w:pPr>
        <w:spacing w:after="0" w:line="129" w:lineRule="exact"/>
        <w:rPr>
          <w:sz w:val="20"/>
          <w:szCs w:val="20"/>
          <w:color w:val="auto"/>
        </w:rPr>
      </w:pPr>
    </w:p>
    <w:p>
      <w:pPr>
        <w:ind w:left="1100" w:right="20"/>
        <w:spacing w:after="0" w:line="238" w:lineRule="auto"/>
        <w:rPr>
          <w:sz w:val="20"/>
          <w:szCs w:val="20"/>
          <w:color w:val="auto"/>
        </w:rPr>
      </w:pPr>
      <w:r>
        <w:rPr>
          <w:rFonts w:ascii="Arial" w:cs="Arial" w:eastAsia="Arial" w:hAnsi="Arial"/>
          <w:sz w:val="16"/>
          <w:szCs w:val="16"/>
          <w:color w:val="auto"/>
        </w:rPr>
        <w:t xml:space="preserve">Our independent election inspector, Broadridge Financial Services, will tabulate votes cast by proxy or electronically during the meeting. We expect to publish the final vote tabulation on our website at </w:t>
      </w:r>
      <w:r>
        <w:rPr>
          <w:rFonts w:ascii="Arial" w:cs="Arial" w:eastAsia="Arial" w:hAnsi="Arial"/>
          <w:sz w:val="16"/>
          <w:szCs w:val="16"/>
          <w:u w:val="single" w:color="auto"/>
          <w:color w:val="auto"/>
        </w:rPr>
        <w:t>microsoft.com/investor/corporate-governance/votingresults</w:t>
      </w:r>
      <w:r>
        <w:rPr>
          <w:rFonts w:ascii="Arial" w:cs="Arial" w:eastAsia="Arial" w:hAnsi="Arial"/>
          <w:sz w:val="16"/>
          <w:szCs w:val="16"/>
          <w:color w:val="auto"/>
        </w:rPr>
        <w:t xml:space="preserve"> within one business day after the Annual Meeting. We will also report the results in a Form 8-K filed with the SEC within four business days after the Annual Meeting.</w:t>
      </w:r>
    </w:p>
    <w:p>
      <w:pPr>
        <w:spacing w:after="0" w:line="169"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Where to Find More Proxy Voting Information</w:t>
      </w:r>
    </w:p>
    <w:p>
      <w:pPr>
        <w:spacing w:after="0" w:line="142" w:lineRule="exact"/>
        <w:rPr>
          <w:sz w:val="20"/>
          <w:szCs w:val="20"/>
          <w:color w:val="auto"/>
        </w:rPr>
      </w:pPr>
    </w:p>
    <w:p>
      <w:pPr>
        <w:ind w:left="1260" w:hanging="158"/>
        <w:spacing w:after="0"/>
        <w:tabs>
          <w:tab w:leader="none" w:pos="12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 xml:space="preserve">The SEC website has a variety of information about the proxy voting process at </w:t>
      </w:r>
      <w:r>
        <w:rPr>
          <w:rFonts w:ascii="Arial" w:cs="Arial" w:eastAsia="Arial" w:hAnsi="Arial"/>
          <w:sz w:val="16"/>
          <w:szCs w:val="16"/>
          <w:u w:val="single" w:color="auto"/>
          <w:color w:val="auto"/>
        </w:rPr>
        <w:t>sec.gov/spotlight/proxymatters</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 xml:space="preserve">Contact the Microsoft Investor Relations department through our website at </w:t>
      </w:r>
      <w:r>
        <w:rPr>
          <w:rFonts w:ascii="Arial" w:cs="Arial" w:eastAsia="Arial" w:hAnsi="Arial"/>
          <w:sz w:val="14"/>
          <w:szCs w:val="14"/>
          <w:u w:val="single" w:color="auto"/>
          <w:color w:val="auto"/>
        </w:rPr>
        <w:t>microsoft.com/investor</w:t>
      </w:r>
      <w:r>
        <w:rPr>
          <w:rFonts w:ascii="Arial" w:cs="Arial" w:eastAsia="Arial" w:hAnsi="Arial"/>
          <w:sz w:val="14"/>
          <w:szCs w:val="14"/>
          <w:color w:val="auto"/>
        </w:rPr>
        <w:t xml:space="preserve"> or by phone at 425-706-4400</w:t>
      </w:r>
    </w:p>
    <w:p>
      <w:pPr>
        <w:spacing w:after="0" w:line="136" w:lineRule="exact"/>
        <w:rPr>
          <w:rFonts w:ascii="Arial" w:cs="Arial" w:eastAsia="Arial" w:hAnsi="Arial"/>
          <w:sz w:val="14"/>
          <w:szCs w:val="14"/>
          <w:color w:val="auto"/>
        </w:rPr>
      </w:pPr>
    </w:p>
    <w:p>
      <w:pPr>
        <w:ind w:left="1260" w:hanging="158"/>
        <w:spacing w:after="0"/>
        <w:tabs>
          <w:tab w:leader="none" w:pos="12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 xml:space="preserve">You may view our Annual Report and vote your shares at </w:t>
      </w:r>
      <w:r>
        <w:rPr>
          <w:rFonts w:ascii="Arial" w:cs="Arial" w:eastAsia="Arial" w:hAnsi="Arial"/>
          <w:sz w:val="16"/>
          <w:szCs w:val="16"/>
          <w:u w:val="single" w:color="auto"/>
          <w:color w:val="auto"/>
        </w:rPr>
        <w:t>proxyvote.com</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Contact the broker or bank through which you beneficially own your shares</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Where to Find our Corporate Governance Documents</w:t>
      </w:r>
    </w:p>
    <w:p>
      <w:pPr>
        <w:spacing w:after="0" w:line="129" w:lineRule="exact"/>
        <w:rPr>
          <w:sz w:val="20"/>
          <w:szCs w:val="20"/>
          <w:color w:val="auto"/>
        </w:rPr>
      </w:pPr>
    </w:p>
    <w:p>
      <w:pPr>
        <w:ind w:left="1100" w:right="20"/>
        <w:spacing w:after="0" w:line="238" w:lineRule="auto"/>
        <w:rPr>
          <w:sz w:val="20"/>
          <w:szCs w:val="20"/>
          <w:color w:val="auto"/>
        </w:rPr>
      </w:pPr>
      <w:r>
        <w:rPr>
          <w:rFonts w:ascii="Arial" w:cs="Arial" w:eastAsia="Arial" w:hAnsi="Arial"/>
          <w:sz w:val="16"/>
          <w:szCs w:val="16"/>
          <w:color w:val="auto"/>
        </w:rPr>
        <w:t xml:space="preserve">Copies of our Board committee charters and other governance documents listed in Part 1 – Governance and our Board of Directors can be found at </w:t>
      </w:r>
      <w:r>
        <w:rPr>
          <w:rFonts w:ascii="Arial" w:cs="Arial" w:eastAsia="Arial" w:hAnsi="Arial"/>
          <w:sz w:val="16"/>
          <w:szCs w:val="16"/>
          <w:u w:val="single" w:color="auto"/>
          <w:color w:val="auto"/>
        </w:rPr>
        <w:t>aka.ms/policiesandguidelines</w:t>
      </w:r>
      <w:r>
        <w:rPr>
          <w:rFonts w:ascii="Arial" w:cs="Arial" w:eastAsia="Arial" w:hAnsi="Arial"/>
          <w:sz w:val="16"/>
          <w:szCs w:val="16"/>
          <w:color w:val="auto"/>
        </w:rPr>
        <w:t>. We will provide any of the foregoing information to a shareholder without charge upon written request to MSC 123/9999, Office of the Corporate Secretary, Microsoft Corporation, One Microsoft Way, Redmond, WA 98052-6399</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308610</wp:posOffset>
            </wp:positionV>
            <wp:extent cx="573976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Proposals by Shareholders for 2022 Annual Meeting</w:t>
      </w:r>
    </w:p>
    <w:p>
      <w:pPr>
        <w:spacing w:after="0" w:line="246" w:lineRule="exact"/>
        <w:rPr>
          <w:sz w:val="20"/>
          <w:szCs w:val="20"/>
          <w:color w:val="auto"/>
        </w:rPr>
      </w:pPr>
    </w:p>
    <w:p>
      <w:pPr>
        <w:ind w:left="1100" w:right="360"/>
        <w:spacing w:after="0" w:line="238" w:lineRule="auto"/>
        <w:rPr>
          <w:sz w:val="20"/>
          <w:szCs w:val="20"/>
          <w:color w:val="auto"/>
        </w:rPr>
      </w:pPr>
      <w:r>
        <w:rPr>
          <w:rFonts w:ascii="Arial" w:cs="Arial" w:eastAsia="Arial" w:hAnsi="Arial"/>
          <w:sz w:val="16"/>
          <w:szCs w:val="16"/>
          <w:color w:val="auto"/>
        </w:rPr>
        <w:t>Any shareholder who wishes to submit a proposal, director nomination, or to present matters not intended to be included in the proxy card at next year’s shareholders meeting should comply with applicable Bylaw and SEC requirements, which are summarized in the table below.</w:t>
      </w:r>
    </w:p>
    <w:p>
      <w:pPr>
        <w:spacing w:after="0" w:line="212" w:lineRule="exact"/>
        <w:rPr>
          <w:sz w:val="20"/>
          <w:szCs w:val="20"/>
          <w:color w:val="auto"/>
        </w:rPr>
      </w:pPr>
    </w:p>
    <w:tbl>
      <w:tblPr>
        <w:tblLayout w:type="fixed"/>
        <w:tblInd w:w="1100" w:type="dxa"/>
        <w:tblCellMar>
          <w:top w:w="0" w:type="dxa"/>
          <w:left w:w="0" w:type="dxa"/>
          <w:bottom w:w="0" w:type="dxa"/>
          <w:right w:w="0" w:type="dxa"/>
        </w:tblCellMar>
      </w:tblPr>
      <w:tr>
        <w:trPr>
          <w:trHeight w:val="197"/>
        </w:trPr>
        <w:tc>
          <w:tcPr>
            <w:tcW w:w="20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Submission</w:t>
            </w:r>
          </w:p>
        </w:tc>
        <w:tc>
          <w:tcPr>
            <w:tcW w:w="19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w w:val="98"/>
              </w:rPr>
              <w:t>Rules and Requirements</w:t>
            </w:r>
          </w:p>
        </w:tc>
        <w:tc>
          <w:tcPr>
            <w:tcW w:w="51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Deadline</w:t>
            </w:r>
          </w:p>
        </w:tc>
      </w:tr>
      <w:tr>
        <w:trPr>
          <w:trHeight w:val="174"/>
        </w:trPr>
        <w:tc>
          <w:tcPr>
            <w:tcW w:w="2000" w:type="dxa"/>
            <w:vAlign w:val="bottom"/>
            <w:tcBorders>
              <w:bottom w:val="single" w:sz="8" w:color="0075C9"/>
            </w:tcBorders>
          </w:tcPr>
          <w:p>
            <w:pPr>
              <w:ind w:left="80"/>
              <w:spacing w:after="0" w:line="175" w:lineRule="exact"/>
              <w:rPr>
                <w:sz w:val="20"/>
                <w:szCs w:val="20"/>
                <w:color w:val="auto"/>
              </w:rPr>
            </w:pPr>
            <w:r>
              <w:rPr>
                <w:rFonts w:ascii="Arial" w:cs="Arial" w:eastAsia="Arial" w:hAnsi="Arial"/>
                <w:sz w:val="16"/>
                <w:szCs w:val="16"/>
                <w:color w:val="0075C9"/>
              </w:rPr>
              <w:t>Shareholder Proposal</w:t>
            </w:r>
          </w:p>
        </w:tc>
        <w:tc>
          <w:tcPr>
            <w:tcW w:w="1920" w:type="dxa"/>
            <w:vAlign w:val="bottom"/>
            <w:tcBorders>
              <w:bottom w:val="single" w:sz="8" w:color="0075C9"/>
            </w:tcBorders>
          </w:tcPr>
          <w:p>
            <w:pPr>
              <w:ind w:left="60"/>
              <w:spacing w:after="0" w:line="175" w:lineRule="exact"/>
              <w:rPr>
                <w:sz w:val="20"/>
                <w:szCs w:val="20"/>
                <w:color w:val="auto"/>
              </w:rPr>
            </w:pPr>
            <w:r>
              <w:rPr>
                <w:rFonts w:ascii="Arial" w:cs="Arial" w:eastAsia="Arial" w:hAnsi="Arial"/>
                <w:sz w:val="16"/>
                <w:szCs w:val="16"/>
                <w:color w:val="auto"/>
              </w:rPr>
              <w:t>SEC Rule 14a-8</w:t>
            </w:r>
          </w:p>
        </w:tc>
        <w:tc>
          <w:tcPr>
            <w:tcW w:w="5120" w:type="dxa"/>
            <w:vAlign w:val="bottom"/>
            <w:tcBorders>
              <w:bottom w:val="single" w:sz="8" w:color="0075C9"/>
            </w:tcBorders>
          </w:tcPr>
          <w:p>
            <w:pPr>
              <w:ind w:left="40"/>
              <w:spacing w:after="0" w:line="175" w:lineRule="exact"/>
              <w:rPr>
                <w:sz w:val="20"/>
                <w:szCs w:val="20"/>
                <w:color w:val="auto"/>
              </w:rPr>
            </w:pPr>
            <w:r>
              <w:rPr>
                <w:rFonts w:ascii="Arial" w:cs="Arial" w:eastAsia="Arial" w:hAnsi="Arial"/>
                <w:sz w:val="16"/>
                <w:szCs w:val="16"/>
                <w:color w:val="auto"/>
                <w:w w:val="97"/>
              </w:rPr>
              <w:t>No later than close of business (5:30 p.m. Pacific Time) on June 16, 2022</w:t>
            </w:r>
          </w:p>
        </w:tc>
      </w:tr>
      <w:tr>
        <w:trPr>
          <w:trHeight w:val="176"/>
        </w:trPr>
        <w:tc>
          <w:tcPr>
            <w:tcW w:w="2000" w:type="dxa"/>
            <w:vAlign w:val="bottom"/>
          </w:tcPr>
          <w:p>
            <w:pPr>
              <w:ind w:left="80"/>
              <w:spacing w:after="0" w:line="176" w:lineRule="exact"/>
              <w:rPr>
                <w:sz w:val="20"/>
                <w:szCs w:val="20"/>
                <w:color w:val="auto"/>
              </w:rPr>
            </w:pPr>
            <w:r>
              <w:rPr>
                <w:rFonts w:ascii="Arial" w:cs="Arial" w:eastAsia="Arial" w:hAnsi="Arial"/>
                <w:sz w:val="16"/>
                <w:szCs w:val="16"/>
                <w:color w:val="0075C9"/>
              </w:rPr>
              <w:t>Proxy Access Nominee</w:t>
            </w:r>
          </w:p>
        </w:tc>
        <w:tc>
          <w:tcPr>
            <w:tcW w:w="1920" w:type="dxa"/>
            <w:vAlign w:val="bottom"/>
          </w:tcPr>
          <w:p>
            <w:pPr>
              <w:ind w:left="60"/>
              <w:spacing w:after="0" w:line="176" w:lineRule="exact"/>
              <w:rPr>
                <w:sz w:val="20"/>
                <w:szCs w:val="20"/>
                <w:color w:val="auto"/>
              </w:rPr>
            </w:pPr>
            <w:r>
              <w:rPr>
                <w:rFonts w:ascii="Arial" w:cs="Arial" w:eastAsia="Arial" w:hAnsi="Arial"/>
                <w:sz w:val="16"/>
                <w:szCs w:val="16"/>
                <w:color w:val="auto"/>
              </w:rPr>
              <w:t>Section 1.14 of Bylaws</w:t>
            </w:r>
          </w:p>
        </w:tc>
        <w:tc>
          <w:tcPr>
            <w:tcW w:w="5120" w:type="dxa"/>
            <w:vAlign w:val="bottom"/>
          </w:tcPr>
          <w:p>
            <w:pPr>
              <w:ind w:left="40"/>
              <w:spacing w:after="0" w:line="176" w:lineRule="exact"/>
              <w:rPr>
                <w:sz w:val="20"/>
                <w:szCs w:val="20"/>
                <w:color w:val="auto"/>
              </w:rPr>
            </w:pPr>
            <w:r>
              <w:rPr>
                <w:rFonts w:ascii="Arial" w:cs="Arial" w:eastAsia="Arial" w:hAnsi="Arial"/>
                <w:sz w:val="16"/>
                <w:szCs w:val="16"/>
                <w:color w:val="auto"/>
                <w:w w:val="99"/>
              </w:rPr>
              <w:t>Between May 17, 2022 and June 16, 2022, assuming we do not change</w:t>
            </w:r>
          </w:p>
        </w:tc>
      </w:tr>
      <w:tr>
        <w:trPr>
          <w:trHeight w:val="181"/>
        </w:trPr>
        <w:tc>
          <w:tcPr>
            <w:tcW w:w="20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5120" w:type="dxa"/>
            <w:vAlign w:val="bottom"/>
          </w:tcPr>
          <w:p>
            <w:pPr>
              <w:ind w:left="40"/>
              <w:spacing w:after="0" w:line="181" w:lineRule="exact"/>
              <w:rPr>
                <w:sz w:val="20"/>
                <w:szCs w:val="20"/>
                <w:color w:val="auto"/>
              </w:rPr>
            </w:pPr>
            <w:r>
              <w:rPr>
                <w:rFonts w:ascii="Arial" w:cs="Arial" w:eastAsia="Arial" w:hAnsi="Arial"/>
                <w:sz w:val="16"/>
                <w:szCs w:val="16"/>
                <w:color w:val="auto"/>
              </w:rPr>
              <w:t>the date of our 2022 meeting date to be more than 30 days before or</w:t>
            </w:r>
          </w:p>
        </w:tc>
      </w:tr>
      <w:tr>
        <w:trPr>
          <w:trHeight w:val="181"/>
        </w:trPr>
        <w:tc>
          <w:tcPr>
            <w:tcW w:w="20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5120" w:type="dxa"/>
            <w:vAlign w:val="bottom"/>
          </w:tcPr>
          <w:p>
            <w:pPr>
              <w:ind w:left="40"/>
              <w:spacing w:after="0" w:line="181" w:lineRule="exact"/>
              <w:rPr>
                <w:sz w:val="20"/>
                <w:szCs w:val="20"/>
                <w:color w:val="auto"/>
              </w:rPr>
            </w:pPr>
            <w:r>
              <w:rPr>
                <w:rFonts w:ascii="Arial" w:cs="Arial" w:eastAsia="Arial" w:hAnsi="Arial"/>
                <w:sz w:val="16"/>
                <w:szCs w:val="16"/>
                <w:color w:val="auto"/>
              </w:rPr>
              <w:t>60 days after the first anniversary of the date this definitive Proxy</w:t>
            </w:r>
          </w:p>
        </w:tc>
      </w:tr>
      <w:tr>
        <w:trPr>
          <w:trHeight w:val="179"/>
        </w:trPr>
        <w:tc>
          <w:tcPr>
            <w:tcW w:w="2000" w:type="dxa"/>
            <w:vAlign w:val="bottom"/>
            <w:tcBorders>
              <w:bottom w:val="single" w:sz="8" w:color="0075C9"/>
            </w:tcBorders>
          </w:tcPr>
          <w:p>
            <w:pPr>
              <w:spacing w:after="0"/>
              <w:rPr>
                <w:sz w:val="15"/>
                <w:szCs w:val="15"/>
                <w:color w:val="auto"/>
              </w:rPr>
            </w:pPr>
          </w:p>
        </w:tc>
        <w:tc>
          <w:tcPr>
            <w:tcW w:w="1920" w:type="dxa"/>
            <w:vAlign w:val="bottom"/>
            <w:tcBorders>
              <w:bottom w:val="single" w:sz="8" w:color="0075C9"/>
            </w:tcBorders>
          </w:tcPr>
          <w:p>
            <w:pPr>
              <w:spacing w:after="0"/>
              <w:rPr>
                <w:sz w:val="15"/>
                <w:szCs w:val="15"/>
                <w:color w:val="auto"/>
              </w:rPr>
            </w:pPr>
          </w:p>
        </w:tc>
        <w:tc>
          <w:tcPr>
            <w:tcW w:w="5120" w:type="dxa"/>
            <w:vAlign w:val="bottom"/>
            <w:tcBorders>
              <w:bottom w:val="single" w:sz="8" w:color="0075C9"/>
            </w:tcBorders>
          </w:tcPr>
          <w:p>
            <w:pPr>
              <w:ind w:left="40"/>
              <w:spacing w:after="0" w:line="180" w:lineRule="exact"/>
              <w:rPr>
                <w:sz w:val="20"/>
                <w:szCs w:val="20"/>
                <w:color w:val="auto"/>
              </w:rPr>
            </w:pPr>
            <w:r>
              <w:rPr>
                <w:rFonts w:ascii="Arial" w:cs="Arial" w:eastAsia="Arial" w:hAnsi="Arial"/>
                <w:sz w:val="16"/>
                <w:szCs w:val="16"/>
                <w:color w:val="auto"/>
              </w:rPr>
              <w:t>Statement is first released to shareholders</w:t>
            </w:r>
          </w:p>
        </w:tc>
      </w:tr>
      <w:tr>
        <w:trPr>
          <w:trHeight w:val="176"/>
        </w:trPr>
        <w:tc>
          <w:tcPr>
            <w:tcW w:w="2000" w:type="dxa"/>
            <w:vAlign w:val="bottom"/>
          </w:tcPr>
          <w:p>
            <w:pPr>
              <w:ind w:left="80"/>
              <w:spacing w:after="0" w:line="176" w:lineRule="exact"/>
              <w:rPr>
                <w:sz w:val="20"/>
                <w:szCs w:val="20"/>
                <w:color w:val="auto"/>
              </w:rPr>
            </w:pPr>
            <w:r>
              <w:rPr>
                <w:rFonts w:ascii="Arial" w:cs="Arial" w:eastAsia="Arial" w:hAnsi="Arial"/>
                <w:sz w:val="16"/>
                <w:szCs w:val="16"/>
                <w:color w:val="0075C9"/>
                <w:w w:val="99"/>
              </w:rPr>
              <w:t>Advance Notice Provisions</w:t>
            </w:r>
          </w:p>
        </w:tc>
        <w:tc>
          <w:tcPr>
            <w:tcW w:w="1920" w:type="dxa"/>
            <w:vAlign w:val="bottom"/>
          </w:tcPr>
          <w:p>
            <w:pPr>
              <w:ind w:left="60"/>
              <w:spacing w:after="0" w:line="176" w:lineRule="exact"/>
              <w:rPr>
                <w:sz w:val="20"/>
                <w:szCs w:val="20"/>
                <w:color w:val="auto"/>
              </w:rPr>
            </w:pPr>
            <w:r>
              <w:rPr>
                <w:rFonts w:ascii="Arial" w:cs="Arial" w:eastAsia="Arial" w:hAnsi="Arial"/>
                <w:sz w:val="16"/>
                <w:szCs w:val="16"/>
                <w:color w:val="auto"/>
              </w:rPr>
              <w:t>Section 1.13 of Bylaws</w:t>
            </w:r>
          </w:p>
        </w:tc>
        <w:tc>
          <w:tcPr>
            <w:tcW w:w="5120" w:type="dxa"/>
            <w:vAlign w:val="bottom"/>
          </w:tcPr>
          <w:p>
            <w:pPr>
              <w:ind w:left="40"/>
              <w:spacing w:after="0" w:line="176" w:lineRule="exact"/>
              <w:rPr>
                <w:sz w:val="20"/>
                <w:szCs w:val="20"/>
                <w:color w:val="auto"/>
              </w:rPr>
            </w:pPr>
            <w:r>
              <w:rPr>
                <w:rFonts w:ascii="Arial" w:cs="Arial" w:eastAsia="Arial" w:hAnsi="Arial"/>
                <w:sz w:val="16"/>
                <w:szCs w:val="16"/>
                <w:color w:val="auto"/>
              </w:rPr>
              <w:t>Between August 2, 2022, and September 1, 2022, assuming we do not</w:t>
            </w:r>
          </w:p>
        </w:tc>
      </w:tr>
      <w:tr>
        <w:trPr>
          <w:trHeight w:val="181"/>
        </w:trPr>
        <w:tc>
          <w:tcPr>
            <w:tcW w:w="2000" w:type="dxa"/>
            <w:vAlign w:val="bottom"/>
          </w:tcPr>
          <w:p>
            <w:pPr>
              <w:ind w:left="80"/>
              <w:spacing w:after="0" w:line="181" w:lineRule="exact"/>
              <w:rPr>
                <w:sz w:val="20"/>
                <w:szCs w:val="20"/>
                <w:color w:val="auto"/>
              </w:rPr>
            </w:pPr>
            <w:r>
              <w:rPr>
                <w:rFonts w:ascii="Arial" w:cs="Arial" w:eastAsia="Arial" w:hAnsi="Arial"/>
                <w:sz w:val="16"/>
                <w:szCs w:val="16"/>
                <w:color w:val="0075C9"/>
                <w:w w:val="97"/>
              </w:rPr>
              <w:t>for Other Items of Business</w:t>
            </w:r>
          </w:p>
        </w:tc>
        <w:tc>
          <w:tcPr>
            <w:tcW w:w="1920" w:type="dxa"/>
            <w:vAlign w:val="bottom"/>
          </w:tcPr>
          <w:p>
            <w:pPr>
              <w:spacing w:after="0"/>
              <w:rPr>
                <w:sz w:val="15"/>
                <w:szCs w:val="15"/>
                <w:color w:val="auto"/>
              </w:rPr>
            </w:pPr>
          </w:p>
        </w:tc>
        <w:tc>
          <w:tcPr>
            <w:tcW w:w="5120" w:type="dxa"/>
            <w:vAlign w:val="bottom"/>
          </w:tcPr>
          <w:p>
            <w:pPr>
              <w:ind w:left="40"/>
              <w:spacing w:after="0" w:line="181" w:lineRule="exact"/>
              <w:rPr>
                <w:sz w:val="20"/>
                <w:szCs w:val="20"/>
                <w:color w:val="auto"/>
              </w:rPr>
            </w:pPr>
            <w:r>
              <w:rPr>
                <w:rFonts w:ascii="Arial" w:cs="Arial" w:eastAsia="Arial" w:hAnsi="Arial"/>
                <w:sz w:val="16"/>
                <w:szCs w:val="16"/>
                <w:color w:val="auto"/>
              </w:rPr>
              <w:t>change the date of our 2022 meeting to be more than 30 days before</w:t>
            </w:r>
          </w:p>
        </w:tc>
      </w:tr>
      <w:tr>
        <w:trPr>
          <w:trHeight w:val="179"/>
        </w:trPr>
        <w:tc>
          <w:tcPr>
            <w:tcW w:w="2000" w:type="dxa"/>
            <w:vAlign w:val="bottom"/>
            <w:tcBorders>
              <w:bottom w:val="single" w:sz="8" w:color="0075C9"/>
            </w:tcBorders>
          </w:tcPr>
          <w:p>
            <w:pPr>
              <w:ind w:left="80"/>
              <w:spacing w:after="0" w:line="180" w:lineRule="exact"/>
              <w:rPr>
                <w:sz w:val="20"/>
                <w:szCs w:val="20"/>
                <w:color w:val="auto"/>
              </w:rPr>
            </w:pPr>
            <w:r>
              <w:rPr>
                <w:rFonts w:ascii="Arial" w:cs="Arial" w:eastAsia="Arial" w:hAnsi="Arial"/>
                <w:sz w:val="16"/>
                <w:szCs w:val="16"/>
                <w:color w:val="0075C9"/>
              </w:rPr>
              <w:t>or Director Nominee</w:t>
            </w:r>
          </w:p>
        </w:tc>
        <w:tc>
          <w:tcPr>
            <w:tcW w:w="1920" w:type="dxa"/>
            <w:vAlign w:val="bottom"/>
            <w:tcBorders>
              <w:bottom w:val="single" w:sz="8" w:color="0075C9"/>
            </w:tcBorders>
          </w:tcPr>
          <w:p>
            <w:pPr>
              <w:spacing w:after="0"/>
              <w:rPr>
                <w:sz w:val="15"/>
                <w:szCs w:val="15"/>
                <w:color w:val="auto"/>
              </w:rPr>
            </w:pPr>
          </w:p>
        </w:tc>
        <w:tc>
          <w:tcPr>
            <w:tcW w:w="5120" w:type="dxa"/>
            <w:vAlign w:val="bottom"/>
            <w:tcBorders>
              <w:bottom w:val="single" w:sz="8" w:color="0075C9"/>
            </w:tcBorders>
          </w:tcPr>
          <w:p>
            <w:pPr>
              <w:ind w:left="40"/>
              <w:spacing w:after="0" w:line="180" w:lineRule="exact"/>
              <w:rPr>
                <w:sz w:val="20"/>
                <w:szCs w:val="20"/>
                <w:color w:val="auto"/>
              </w:rPr>
            </w:pPr>
            <w:r>
              <w:rPr>
                <w:rFonts w:ascii="Arial" w:cs="Arial" w:eastAsia="Arial" w:hAnsi="Arial"/>
                <w:sz w:val="16"/>
                <w:szCs w:val="16"/>
                <w:color w:val="auto"/>
              </w:rPr>
              <w:t>or 60 days after the first anniversary date of our 2021 Annual Meeting</w:t>
            </w:r>
          </w:p>
        </w:tc>
      </w:tr>
    </w:tbl>
    <w:p>
      <w:pPr>
        <w:spacing w:after="0" w:line="343" w:lineRule="exact"/>
        <w:rPr>
          <w:sz w:val="20"/>
          <w:szCs w:val="20"/>
          <w:color w:val="auto"/>
        </w:rPr>
      </w:pPr>
    </w:p>
    <w:p>
      <w:pPr>
        <w:ind w:left="4760"/>
        <w:spacing w:after="0"/>
        <w:rPr>
          <w:sz w:val="20"/>
          <w:szCs w:val="20"/>
          <w:color w:val="auto"/>
        </w:rPr>
      </w:pPr>
      <w:r>
        <w:rPr>
          <w:rFonts w:ascii="Arial" w:cs="Arial" w:eastAsia="Arial" w:hAnsi="Arial"/>
          <w:sz w:val="21"/>
          <w:szCs w:val="21"/>
          <w:b w:val="1"/>
          <w:bCs w:val="1"/>
          <w:color w:val="auto"/>
        </w:rPr>
        <w:t>Where to Submit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-74930</wp:posOffset>
            </wp:positionV>
            <wp:extent cx="5748020" cy="104457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748020" cy="1044575"/>
                    </a:xfrm>
                    <a:prstGeom prst="rect">
                      <a:avLst/>
                    </a:prstGeom>
                    <a:noFill/>
                  </pic:spPr>
                </pic:pic>
              </a:graphicData>
            </a:graphic>
          </wp:anchor>
        </w:drawing>
      </w:r>
    </w:p>
    <w:p>
      <w:pPr>
        <w:spacing w:after="0" w:line="161" w:lineRule="exact"/>
        <w:rPr>
          <w:sz w:val="20"/>
          <w:szCs w:val="20"/>
          <w:color w:val="auto"/>
        </w:rPr>
      </w:pPr>
    </w:p>
    <w:p>
      <w:pPr>
        <w:ind w:left="1820"/>
        <w:spacing w:after="0"/>
        <w:tabs>
          <w:tab w:leader="none" w:pos="2960" w:val="left"/>
        </w:tabs>
        <w:rPr>
          <w:sz w:val="20"/>
          <w:szCs w:val="20"/>
          <w:color w:val="auto"/>
        </w:rPr>
      </w:pPr>
      <w:r>
        <w:rPr>
          <w:rFonts w:ascii="Arial" w:cs="Arial" w:eastAsia="Arial" w:hAnsi="Arial"/>
          <w:sz w:val="16"/>
          <w:szCs w:val="16"/>
          <w:color w:val="0075C9"/>
        </w:rPr>
        <w:t>Electronically</w:t>
      </w:r>
      <w:r>
        <w:rPr>
          <w:rFonts w:ascii="Arial" w:cs="Arial" w:eastAsia="Arial" w:hAnsi="Arial"/>
          <w:sz w:val="16"/>
          <w:szCs w:val="16"/>
          <w:color w:val="auto"/>
        </w:rPr>
        <w:tab/>
        <w:t>askboard@microsoft.com</w:t>
      </w:r>
    </w:p>
    <w:p>
      <w:pPr>
        <w:sectPr>
          <w:pgSz w:w="11900" w:h="16838" w:orient="portrait"/>
          <w:cols w:equalWidth="0" w:num="1">
            <w:col w:w="10140"/>
          </w:cols>
          <w:pgMar w:left="320" w:top="445" w:right="143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1820"/>
        <w:spacing w:after="0"/>
        <w:rPr>
          <w:sz w:val="20"/>
          <w:szCs w:val="20"/>
          <w:color w:val="auto"/>
        </w:rPr>
      </w:pPr>
      <w:r>
        <w:rPr>
          <w:rFonts w:ascii="Arial" w:cs="Arial" w:eastAsia="Arial" w:hAnsi="Arial"/>
          <w:sz w:val="14"/>
          <w:szCs w:val="14"/>
          <w:color w:val="0075C9"/>
        </w:rPr>
        <w:t>By Mail</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ind w:right="800"/>
        <w:spacing w:after="0" w:line="239" w:lineRule="auto"/>
        <w:rPr>
          <w:sz w:val="20"/>
          <w:szCs w:val="20"/>
          <w:color w:val="auto"/>
        </w:rPr>
      </w:pPr>
      <w:r>
        <w:rPr>
          <w:rFonts w:ascii="Arial" w:cs="Arial" w:eastAsia="Arial" w:hAnsi="Arial"/>
          <w:sz w:val="16"/>
          <w:szCs w:val="16"/>
          <w:color w:val="auto"/>
        </w:rPr>
        <w:t>MSC 123/9999, Office of the Corporate Secretary, Microsoft Corporation One Microsoft Way, Redmond, Washington 98052-6399.</w:t>
      </w:r>
    </w:p>
    <w:p>
      <w:pPr>
        <w:spacing w:after="0" w:line="200" w:lineRule="exact"/>
        <w:rPr>
          <w:sz w:val="20"/>
          <w:szCs w:val="20"/>
          <w:color w:val="auto"/>
        </w:rPr>
      </w:pPr>
    </w:p>
    <w:p>
      <w:pPr>
        <w:sectPr>
          <w:pgSz w:w="11900" w:h="16838" w:orient="portrait"/>
          <w:cols w:equalWidth="0" w:num="2">
            <w:col w:w="2340" w:space="640"/>
            <w:col w:w="7160"/>
          </w:cols>
          <w:pgMar w:left="320" w:top="445" w:right="1439" w:bottom="1440" w:gutter="0" w:footer="0" w:header="0"/>
          <w:type w:val="continuous"/>
        </w:sectPr>
      </w:pPr>
    </w:p>
    <w:p>
      <w:pPr>
        <w:spacing w:after="0" w:line="288" w:lineRule="exact"/>
        <w:rPr>
          <w:sz w:val="20"/>
          <w:szCs w:val="20"/>
          <w:color w:val="auto"/>
        </w:rPr>
      </w:pPr>
    </w:p>
    <w:p>
      <w:pPr>
        <w:ind w:left="1100" w:right="100"/>
        <w:spacing w:after="0" w:line="238" w:lineRule="auto"/>
        <w:rPr>
          <w:sz w:val="20"/>
          <w:szCs w:val="20"/>
          <w:color w:val="auto"/>
        </w:rPr>
      </w:pPr>
      <w:r>
        <w:rPr>
          <w:rFonts w:ascii="Arial" w:cs="Arial" w:eastAsia="Arial" w:hAnsi="Arial"/>
          <w:sz w:val="16"/>
          <w:szCs w:val="16"/>
          <w:color w:val="auto"/>
        </w:rPr>
        <w:t>We encourage shareholders who wish to submit a proposal or nomination to seek independent counsel. Microsoft will not consider any proposal or nomination that is not timely or otherwise does not meet the Bylaw and SEC requirements. We reserve the right to reject, rule out of order, or take other appropriate action with respect to any proposal that does not comply with these and other applicable requirements.</w:t>
      </w:r>
    </w:p>
    <w:p>
      <w:pPr>
        <w:spacing w:after="0" w:line="200" w:lineRule="exact"/>
        <w:rPr>
          <w:sz w:val="20"/>
          <w:szCs w:val="20"/>
          <w:color w:val="auto"/>
        </w:rPr>
      </w:pPr>
    </w:p>
    <w:p>
      <w:pPr>
        <w:spacing w:after="0" w:line="300"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-94615</wp:posOffset>
            </wp:positionV>
            <wp:extent cx="485140" cy="9842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45" w:right="1439" w:bottom="1440" w:gutter="0" w:footer="0" w:header="0"/>
          <w:type w:val="continuous"/>
        </w:sectPr>
      </w:pPr>
    </w:p>
    <w:bookmarkStart w:id="94" w:name="page95"/>
    <w:bookmarkEnd w:id="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82" w:lineRule="exact"/>
        <w:rPr>
          <w:sz w:val="20"/>
          <w:szCs w:val="20"/>
          <w:color w:val="auto"/>
        </w:rPr>
      </w:pPr>
    </w:p>
    <w:tbl>
      <w:tblPr>
        <w:tblLayout w:type="fixed"/>
        <w:tblInd w:w="110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auto"/>
                <w:w w:val="89"/>
              </w:rPr>
              <w:t>1</w:t>
            </w:r>
          </w:p>
        </w:tc>
        <w:tc>
          <w:tcPr>
            <w:tcW w:w="1380" w:type="dxa"/>
            <w:vAlign w:val="bottom"/>
            <w:vMerge w:val="restart"/>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tcPr>
          <w:p>
            <w:pPr>
              <w:jc w:val="right"/>
              <w:spacing w:after="0"/>
              <w:rPr>
                <w:sz w:val="20"/>
                <w:szCs w:val="20"/>
                <w:color w:val="auto"/>
              </w:rPr>
            </w:pPr>
            <w:r>
              <w:rPr>
                <w:rFonts w:ascii="Arial" w:cs="Arial" w:eastAsia="Arial" w:hAnsi="Arial"/>
                <w:sz w:val="36"/>
                <w:szCs w:val="36"/>
                <w:color w:val="auto"/>
              </w:rPr>
              <w:t>2</w:t>
            </w:r>
          </w:p>
        </w:tc>
        <w:tc>
          <w:tcPr>
            <w:tcW w:w="1580" w:type="dxa"/>
            <w:vAlign w:val="bottom"/>
            <w:vMerge w:val="restart"/>
          </w:tcPr>
          <w:p>
            <w:pPr>
              <w:ind w:left="80"/>
              <w:spacing w:after="0"/>
              <w:rPr>
                <w:sz w:val="20"/>
                <w:szCs w:val="20"/>
                <w:color w:val="auto"/>
              </w:rPr>
            </w:pPr>
            <w:r>
              <w:rPr>
                <w:rFonts w:ascii="Arial" w:cs="Arial" w:eastAsia="Arial" w:hAnsi="Arial"/>
                <w:sz w:val="12"/>
                <w:szCs w:val="12"/>
                <w:color w:val="auto"/>
              </w:rPr>
              <w:t>NAMED</w:t>
            </w:r>
          </w:p>
        </w:tc>
        <w:tc>
          <w:tcPr>
            <w:tcW w:w="520" w:type="dxa"/>
            <w:vAlign w:val="bottom"/>
          </w:tcPr>
          <w:p>
            <w:pPr>
              <w:jc w:val="right"/>
              <w:spacing w:after="0"/>
              <w:rPr>
                <w:sz w:val="20"/>
                <w:szCs w:val="20"/>
                <w:color w:val="auto"/>
              </w:rPr>
            </w:pPr>
            <w:r>
              <w:rPr>
                <w:rFonts w:ascii="Arial" w:cs="Arial" w:eastAsia="Arial" w:hAnsi="Arial"/>
                <w:sz w:val="36"/>
                <w:szCs w:val="36"/>
                <w:color w:val="auto"/>
              </w:rPr>
              <w:t>3</w:t>
            </w:r>
          </w:p>
        </w:tc>
        <w:tc>
          <w:tcPr>
            <w:tcW w:w="1120" w:type="dxa"/>
            <w:vAlign w:val="bottom"/>
            <w:vMerge w:val="restart"/>
          </w:tcPr>
          <w:p>
            <w:pPr>
              <w:ind w:left="60"/>
              <w:spacing w:after="0"/>
              <w:rPr>
                <w:sz w:val="20"/>
                <w:szCs w:val="20"/>
                <w:color w:val="auto"/>
              </w:rPr>
            </w:pPr>
            <w:r>
              <w:rPr>
                <w:rFonts w:ascii="Arial" w:cs="Arial" w:eastAsia="Arial" w:hAnsi="Arial"/>
                <w:sz w:val="12"/>
                <w:szCs w:val="12"/>
                <w:color w:val="auto"/>
              </w:rPr>
              <w:t>AUDIT</w:t>
            </w:r>
          </w:p>
        </w:tc>
        <w:tc>
          <w:tcPr>
            <w:tcW w:w="600" w:type="dxa"/>
            <w:vAlign w:val="bottom"/>
          </w:tcPr>
          <w:p>
            <w:pPr>
              <w:jc w:val="right"/>
              <w:spacing w:after="0"/>
              <w:rPr>
                <w:sz w:val="20"/>
                <w:szCs w:val="20"/>
                <w:color w:val="auto"/>
              </w:rPr>
            </w:pPr>
            <w:r>
              <w:rPr>
                <w:rFonts w:ascii="Arial" w:cs="Arial" w:eastAsia="Arial" w:hAnsi="Arial"/>
                <w:sz w:val="36"/>
                <w:szCs w:val="36"/>
                <w:color w:val="auto"/>
              </w:rPr>
              <w:t>4</w:t>
            </w:r>
          </w:p>
        </w:tc>
        <w:tc>
          <w:tcPr>
            <w:tcW w:w="1600" w:type="dxa"/>
            <w:vAlign w:val="bottom"/>
            <w:vMerge w:val="restart"/>
          </w:tcPr>
          <w:p>
            <w:pPr>
              <w:ind w:left="80"/>
              <w:spacing w:after="0"/>
              <w:rPr>
                <w:sz w:val="20"/>
                <w:szCs w:val="20"/>
                <w:color w:val="auto"/>
              </w:rPr>
            </w:pPr>
            <w:r>
              <w:rPr>
                <w:rFonts w:ascii="Arial" w:cs="Arial" w:eastAsia="Arial" w:hAnsi="Arial"/>
                <w:sz w:val="12"/>
                <w:szCs w:val="12"/>
                <w:color w:val="auto"/>
              </w:rPr>
              <w:t>PROPOSALS TO</w:t>
            </w:r>
          </w:p>
        </w:tc>
        <w:tc>
          <w:tcPr>
            <w:tcW w:w="440" w:type="dxa"/>
            <w:vAlign w:val="bottom"/>
            <w:gridSpan w:val="2"/>
          </w:tcPr>
          <w:p>
            <w:pPr>
              <w:jc w:val="right"/>
              <w:ind w:right="80"/>
              <w:spacing w:after="0"/>
              <w:rPr>
                <w:sz w:val="20"/>
                <w:szCs w:val="20"/>
                <w:color w:val="auto"/>
              </w:rPr>
            </w:pPr>
            <w:r>
              <w:rPr>
                <w:rFonts w:ascii="Arial" w:cs="Arial" w:eastAsia="Arial" w:hAnsi="Arial"/>
                <w:sz w:val="36"/>
                <w:szCs w:val="36"/>
                <w:color w:val="0075C9"/>
              </w:rPr>
              <w:t>5</w:t>
            </w:r>
          </w:p>
        </w:tc>
        <w:tc>
          <w:tcPr>
            <w:tcW w:w="1080" w:type="dxa"/>
            <w:vAlign w:val="bottom"/>
            <w:vMerge w:val="restart"/>
          </w:tcPr>
          <w:p>
            <w:pPr>
              <w:ind w:left="80"/>
              <w:spacing w:after="0"/>
              <w:rPr>
                <w:sz w:val="20"/>
                <w:szCs w:val="20"/>
                <w:color w:val="auto"/>
              </w:rPr>
            </w:pPr>
            <w:r>
              <w:rPr>
                <w:rFonts w:ascii="Arial" w:cs="Arial" w:eastAsia="Arial" w:hAnsi="Arial"/>
                <w:sz w:val="12"/>
                <w:szCs w:val="12"/>
                <w:color w:val="0075C9"/>
              </w:rPr>
              <w:t>INFORMATION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 w:type="dxa"/>
            <w:vAlign w:val="bottom"/>
          </w:tcPr>
          <w:p>
            <w:pPr>
              <w:spacing w:after="0"/>
              <w:rPr>
                <w:sz w:val="11"/>
                <w:szCs w:val="11"/>
                <w:color w:val="auto"/>
              </w:rPr>
            </w:pPr>
          </w:p>
        </w:tc>
        <w:tc>
          <w:tcPr>
            <w:tcW w:w="138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2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color w:val="auto"/>
              </w:rPr>
              <w:t>COMMITTEE</w:t>
            </w:r>
          </w:p>
        </w:tc>
        <w:tc>
          <w:tcPr>
            <w:tcW w:w="600" w:type="dxa"/>
            <w:vAlign w:val="bottom"/>
          </w:tcPr>
          <w:p>
            <w:pPr>
              <w:spacing w:after="0"/>
              <w:rPr>
                <w:sz w:val="11"/>
                <w:szCs w:val="11"/>
                <w:color w:val="auto"/>
              </w:rPr>
            </w:pPr>
          </w:p>
        </w:tc>
        <w:tc>
          <w:tcPr>
            <w:tcW w:w="160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ind w:left="80"/>
              <w:spacing w:after="0" w:line="130" w:lineRule="exact"/>
              <w:rPr>
                <w:sz w:val="20"/>
                <w:szCs w:val="20"/>
                <w:color w:val="auto"/>
              </w:rPr>
            </w:pPr>
            <w:r>
              <w:rPr>
                <w:rFonts w:ascii="Arial" w:cs="Arial" w:eastAsia="Arial" w:hAnsi="Arial"/>
                <w:sz w:val="12"/>
                <w:szCs w:val="12"/>
                <w:color w:val="0075C9"/>
              </w:rPr>
              <w:t>ABOUT THE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38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tcPr>
          <w:p>
            <w:pPr>
              <w:spacing w:after="0"/>
              <w:rPr>
                <w:sz w:val="12"/>
                <w:szCs w:val="12"/>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20" w:type="dxa"/>
            <w:vAlign w:val="bottom"/>
          </w:tcPr>
          <w:p>
            <w:pPr>
              <w:spacing w:after="0"/>
              <w:rPr>
                <w:sz w:val="12"/>
                <w:szCs w:val="12"/>
                <w:color w:val="auto"/>
              </w:rPr>
            </w:pPr>
          </w:p>
        </w:tc>
        <w:tc>
          <w:tcPr>
            <w:tcW w:w="1120" w:type="dxa"/>
            <w:vAlign w:val="bottom"/>
          </w:tcPr>
          <w:p>
            <w:pPr>
              <w:ind w:left="60"/>
              <w:spacing w:after="0"/>
              <w:rPr>
                <w:sz w:val="20"/>
                <w:szCs w:val="20"/>
                <w:color w:val="auto"/>
              </w:rPr>
            </w:pPr>
            <w:r>
              <w:rPr>
                <w:rFonts w:ascii="Arial" w:cs="Arial" w:eastAsia="Arial" w:hAnsi="Arial"/>
                <w:sz w:val="12"/>
                <w:szCs w:val="12"/>
                <w:color w:val="auto"/>
              </w:rPr>
              <w:t>MATTERS</w:t>
            </w:r>
          </w:p>
        </w:tc>
        <w:tc>
          <w:tcPr>
            <w:tcW w:w="600" w:type="dxa"/>
            <w:vAlign w:val="bottom"/>
          </w:tcPr>
          <w:p>
            <w:pPr>
              <w:spacing w:after="0"/>
              <w:rPr>
                <w:sz w:val="12"/>
                <w:szCs w:val="12"/>
                <w:color w:val="auto"/>
              </w:rPr>
            </w:pPr>
          </w:p>
        </w:tc>
        <w:tc>
          <w:tcPr>
            <w:tcW w:w="160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ind w:left="80"/>
              <w:spacing w:after="0"/>
              <w:rPr>
                <w:sz w:val="20"/>
                <w:szCs w:val="20"/>
                <w:color w:val="auto"/>
              </w:rPr>
            </w:pPr>
            <w:r>
              <w:rPr>
                <w:rFonts w:ascii="Arial" w:cs="Arial" w:eastAsia="Arial" w:hAnsi="Arial"/>
                <w:sz w:val="12"/>
                <w:szCs w:val="12"/>
                <w:color w:val="0075C9"/>
              </w:rPr>
              <w:t>MEETING</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080" w:type="dxa"/>
            <w:vAlign w:val="bottom"/>
            <w:shd w:val="clear" w:color="auto" w:fill="0075C9"/>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280" w:type="dxa"/>
            <w:vAlign w:val="bottom"/>
            <w:tcBorders>
              <w:bottom w:val="single" w:sz="8" w:color="0075C9"/>
            </w:tcBorders>
          </w:tcPr>
          <w:p>
            <w:pPr>
              <w:spacing w:after="0"/>
              <w:rPr>
                <w:sz w:val="24"/>
                <w:szCs w:val="24"/>
                <w:color w:val="auto"/>
              </w:rPr>
            </w:pPr>
          </w:p>
        </w:tc>
        <w:tc>
          <w:tcPr>
            <w:tcW w:w="1380" w:type="dxa"/>
            <w:vAlign w:val="bottom"/>
            <w:tcBorders>
              <w:bottom w:val="single" w:sz="8" w:color="0075C9"/>
            </w:tcBorders>
          </w:tcPr>
          <w:p>
            <w:pPr>
              <w:spacing w:after="0"/>
              <w:rPr>
                <w:sz w:val="24"/>
                <w:szCs w:val="24"/>
                <w:color w:val="auto"/>
              </w:rPr>
            </w:pPr>
          </w:p>
        </w:tc>
        <w:tc>
          <w:tcPr>
            <w:tcW w:w="440" w:type="dxa"/>
            <w:vAlign w:val="bottom"/>
            <w:tcBorders>
              <w:bottom w:val="single" w:sz="8" w:color="0075C9"/>
            </w:tcBorders>
          </w:tcPr>
          <w:p>
            <w:pPr>
              <w:spacing w:after="0"/>
              <w:rPr>
                <w:sz w:val="24"/>
                <w:szCs w:val="24"/>
                <w:color w:val="auto"/>
              </w:rPr>
            </w:pPr>
          </w:p>
        </w:tc>
        <w:tc>
          <w:tcPr>
            <w:tcW w:w="1580" w:type="dxa"/>
            <w:vAlign w:val="bottom"/>
            <w:tcBorders>
              <w:bottom w:val="single" w:sz="8" w:color="0075C9"/>
            </w:tcBorders>
          </w:tcPr>
          <w:p>
            <w:pPr>
              <w:spacing w:after="0"/>
              <w:rPr>
                <w:sz w:val="24"/>
                <w:szCs w:val="24"/>
                <w:color w:val="auto"/>
              </w:rPr>
            </w:pPr>
          </w:p>
        </w:tc>
        <w:tc>
          <w:tcPr>
            <w:tcW w:w="520" w:type="dxa"/>
            <w:vAlign w:val="bottom"/>
            <w:tcBorders>
              <w:bottom w:val="single" w:sz="8" w:color="0075C9"/>
            </w:tcBorders>
          </w:tcPr>
          <w:p>
            <w:pPr>
              <w:spacing w:after="0"/>
              <w:rPr>
                <w:sz w:val="24"/>
                <w:szCs w:val="24"/>
                <w:color w:val="auto"/>
              </w:rPr>
            </w:pPr>
          </w:p>
        </w:tc>
        <w:tc>
          <w:tcPr>
            <w:tcW w:w="1120" w:type="dxa"/>
            <w:vAlign w:val="bottom"/>
            <w:tcBorders>
              <w:bottom w:val="single" w:sz="8" w:color="0075C9"/>
            </w:tcBorders>
          </w:tcPr>
          <w:p>
            <w:pPr>
              <w:spacing w:after="0"/>
              <w:rPr>
                <w:sz w:val="24"/>
                <w:szCs w:val="24"/>
                <w:color w:val="auto"/>
              </w:rPr>
            </w:pPr>
          </w:p>
        </w:tc>
        <w:tc>
          <w:tcPr>
            <w:tcW w:w="600" w:type="dxa"/>
            <w:vAlign w:val="bottom"/>
            <w:tcBorders>
              <w:bottom w:val="single" w:sz="8" w:color="0075C9"/>
            </w:tcBorders>
          </w:tcPr>
          <w:p>
            <w:pPr>
              <w:spacing w:after="0"/>
              <w:rPr>
                <w:sz w:val="24"/>
                <w:szCs w:val="24"/>
                <w:color w:val="auto"/>
              </w:rPr>
            </w:pPr>
          </w:p>
        </w:tc>
        <w:tc>
          <w:tcPr>
            <w:tcW w:w="1600" w:type="dxa"/>
            <w:vAlign w:val="bottom"/>
            <w:tcBorders>
              <w:bottom w:val="single" w:sz="8" w:color="0075C9"/>
            </w:tcBorders>
          </w:tcPr>
          <w:p>
            <w:pPr>
              <w:spacing w:after="0"/>
              <w:rPr>
                <w:sz w:val="24"/>
                <w:szCs w:val="24"/>
                <w:color w:val="auto"/>
              </w:rPr>
            </w:pPr>
          </w:p>
        </w:tc>
        <w:tc>
          <w:tcPr>
            <w:tcW w:w="160" w:type="dxa"/>
            <w:vAlign w:val="bottom"/>
            <w:tcBorders>
              <w:bottom w:val="single" w:sz="8" w:color="0075C9"/>
            </w:tcBorders>
          </w:tcPr>
          <w:p>
            <w:pPr>
              <w:spacing w:after="0"/>
              <w:rPr>
                <w:sz w:val="24"/>
                <w:szCs w:val="24"/>
                <w:color w:val="auto"/>
              </w:rPr>
            </w:pPr>
          </w:p>
        </w:tc>
        <w:tc>
          <w:tcPr>
            <w:tcW w:w="280" w:type="dxa"/>
            <w:vAlign w:val="bottom"/>
            <w:tcBorders>
              <w:bottom w:val="single" w:sz="8" w:color="0075C9"/>
            </w:tcBorders>
          </w:tcPr>
          <w:p>
            <w:pPr>
              <w:spacing w:after="0"/>
              <w:rPr>
                <w:sz w:val="24"/>
                <w:szCs w:val="24"/>
                <w:color w:val="auto"/>
              </w:rPr>
            </w:pPr>
          </w:p>
        </w:tc>
        <w:tc>
          <w:tcPr>
            <w:tcW w:w="1080" w:type="dxa"/>
            <w:vAlign w:val="bottom"/>
            <w:tcBorders>
              <w:bottom w:val="single" w:sz="8" w:color="0075C9"/>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Other Business</w:t>
      </w:r>
    </w:p>
    <w:p>
      <w:pPr>
        <w:spacing w:after="0" w:line="143" w:lineRule="exact"/>
        <w:rPr>
          <w:sz w:val="20"/>
          <w:szCs w:val="20"/>
          <w:color w:val="auto"/>
        </w:rPr>
      </w:pPr>
    </w:p>
    <w:p>
      <w:pPr>
        <w:ind w:left="1100" w:right="160"/>
        <w:spacing w:after="0" w:line="237" w:lineRule="auto"/>
        <w:rPr>
          <w:sz w:val="20"/>
          <w:szCs w:val="20"/>
          <w:color w:val="auto"/>
        </w:rPr>
      </w:pPr>
      <w:r>
        <w:rPr>
          <w:rFonts w:ascii="Arial" w:cs="Arial" w:eastAsia="Arial" w:hAnsi="Arial"/>
          <w:sz w:val="16"/>
          <w:szCs w:val="16"/>
          <w:color w:val="auto"/>
        </w:rPr>
        <w:t>The Board of Directors does not intend to bring any other business before the Annual Meeting, and so far as is known to our Board, no matters are to be brought before the meeting other than as specified in the notice of meeting. In addition to the scheduled items of business, the meeting may consider such other business as may properly come before the meeting or any adjournment or postponement thereof, including procedural matters and matters relating to the conduct of the meeting. If other business is properly brought before the meeting, the persons voting proxies will vote in accordance with their best judgment.</w:t>
      </w:r>
    </w:p>
    <w:p>
      <w:pPr>
        <w:spacing w:after="0" w:line="102" w:lineRule="exact"/>
        <w:rPr>
          <w:sz w:val="20"/>
          <w:szCs w:val="20"/>
          <w:color w:val="auto"/>
        </w:rPr>
      </w:pPr>
    </w:p>
    <w:p>
      <w:pPr>
        <w:ind w:left="1100" w:right="280"/>
        <w:spacing w:after="0" w:line="239" w:lineRule="auto"/>
        <w:rPr>
          <w:sz w:val="20"/>
          <w:szCs w:val="20"/>
          <w:color w:val="auto"/>
        </w:rPr>
      </w:pPr>
      <w:r>
        <w:rPr>
          <w:rFonts w:ascii="Arial" w:cs="Arial" w:eastAsia="Arial" w:hAnsi="Arial"/>
          <w:sz w:val="16"/>
          <w:szCs w:val="16"/>
          <w:color w:val="auto"/>
        </w:rPr>
        <w:t>Representatives of Deloitte &amp; Touche will attend the Annual Meeting, have an opportunity to make a statement if they desire to do so, and be available to respond to appropriate questions.</w:t>
      </w:r>
    </w:p>
    <w:p>
      <w:pPr>
        <w:spacing w:after="0" w:line="100"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DATED: Redmond, Washington, October 14, 2021.</w:t>
      </w:r>
    </w:p>
    <w:p>
      <w:pPr>
        <w:spacing w:after="0" w:line="200" w:lineRule="exact"/>
        <w:rPr>
          <w:sz w:val="20"/>
          <w:szCs w:val="20"/>
          <w:color w:val="auto"/>
        </w:rPr>
      </w:pPr>
    </w:p>
    <w:p>
      <w:pPr>
        <w:spacing w:after="0" w:line="302"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2021 PROXY STATEMENT</w:t>
      </w:r>
      <w:r>
        <w:rPr>
          <w:sz w:val="20"/>
          <w:szCs w:val="20"/>
          <w:color w:val="auto"/>
        </w:rPr>
        <w:tab/>
      </w:r>
      <w:r>
        <w:rPr>
          <w:rFonts w:ascii="Arial" w:cs="Arial" w:eastAsia="Arial" w:hAnsi="Arial"/>
          <w:sz w:val="12"/>
          <w:szCs w:val="12"/>
          <w:b w:val="1"/>
          <w:bCs w:val="1"/>
          <w:color w:val="0075C9"/>
        </w:rPr>
        <w:t>87</w:t>
      </w:r>
    </w:p>
    <w:p>
      <w:pPr>
        <w:sectPr>
          <w:pgSz w:w="11900" w:h="16838" w:orient="portrait"/>
          <w:cols w:equalWidth="0" w:num="1">
            <w:col w:w="10280"/>
          </w:cols>
          <w:pgMar w:left="320" w:top="445" w:right="1299" w:bottom="1440" w:gutter="0" w:footer="0" w:header="0"/>
        </w:sectPr>
      </w:pPr>
    </w:p>
    <w:bookmarkStart w:id="95" w:name="page96"/>
    <w:bookmarkEnd w:id="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207645</wp:posOffset>
            </wp:positionV>
            <wp:extent cx="573976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370"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Annex A</w:t>
      </w:r>
    </w:p>
    <w:p>
      <w:pPr>
        <w:spacing w:after="0" w:line="109"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Employee Stock Purchase Plan</w:t>
      </w:r>
    </w:p>
    <w:p>
      <w:pPr>
        <w:spacing w:after="0" w:line="129" w:lineRule="exact"/>
        <w:rPr>
          <w:sz w:val="20"/>
          <w:szCs w:val="20"/>
          <w:color w:val="auto"/>
        </w:rPr>
      </w:pPr>
    </w:p>
    <w:p>
      <w:pPr>
        <w:ind w:left="1100" w:right="360"/>
        <w:spacing w:after="0" w:line="238" w:lineRule="auto"/>
        <w:rPr>
          <w:sz w:val="20"/>
          <w:szCs w:val="20"/>
          <w:color w:val="auto"/>
        </w:rPr>
      </w:pPr>
      <w:r>
        <w:rPr>
          <w:rFonts w:ascii="Arial" w:cs="Arial" w:eastAsia="Arial" w:hAnsi="Arial"/>
          <w:sz w:val="16"/>
          <w:szCs w:val="16"/>
          <w:color w:val="auto"/>
        </w:rPr>
        <w:t>This Employee Stock Purchase Plan (the “Plan”) is effective January 1, 2022, subject to prior approval by the Company’s shareholders. The Plan replaces the Company’s Employee Stock Purchase Plan, which was last approved by shareholders on November 28, 2012 and became effective on January 1, 2013 (the “Prior Plan”).</w:t>
      </w:r>
    </w:p>
    <w:p>
      <w:pPr>
        <w:spacing w:after="0" w:line="186"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1. Purpose and Structure of the Plan.</w:t>
      </w:r>
    </w:p>
    <w:p>
      <w:pPr>
        <w:spacing w:after="0" w:line="119" w:lineRule="exact"/>
        <w:rPr>
          <w:sz w:val="20"/>
          <w:szCs w:val="20"/>
          <w:color w:val="auto"/>
        </w:rPr>
      </w:pPr>
    </w:p>
    <w:p>
      <w:pPr>
        <w:ind w:left="1100" w:right="40"/>
        <w:spacing w:after="0" w:line="237" w:lineRule="auto"/>
        <w:rPr>
          <w:sz w:val="20"/>
          <w:szCs w:val="20"/>
          <w:color w:val="auto"/>
        </w:rPr>
      </w:pPr>
      <w:r>
        <w:rPr>
          <w:rFonts w:ascii="Arial" w:cs="Arial" w:eastAsia="Arial" w:hAnsi="Arial"/>
          <w:sz w:val="16"/>
          <w:szCs w:val="16"/>
          <w:color w:val="auto"/>
        </w:rPr>
        <w:t>1.1 The purpose of this Plan is to provide eligible employees of the Company and Participating Companies who wish to become shareholders in the Company a convenient method of doing so. It is believed that employee participation in the ownership of the business will be to the mutual benefit of both the employees and the Company. This Plan document is an omnibus document which includes a component (“Statutory Plan”) designed to permit offerings of grants to employees of certain Subsidiaries that are Participating Companies where such offerings are intended to satisfy the requirements of Section 423 of the Code (although the Company makes no undertaking nor representation to obtain or maintain qualification under Section 423 for any Subsidiary, individual, offering or grant) and also a separate component (“Non-Statutory Plan”) which permits offerings of grants to employees of certain Participating Companies which are not intended to satisfy the requirements of Section 423 of the Code. Section 6 of the Plan sets forth the maximum number of shares to be offered under the Plan (both the Statutory Plan and the Non-Statutory Plan), subject to adjustments as permitted under Sections 19 and 20.</w:t>
      </w:r>
    </w:p>
    <w:p>
      <w:pPr>
        <w:spacing w:after="0" w:line="100" w:lineRule="exact"/>
        <w:rPr>
          <w:sz w:val="20"/>
          <w:szCs w:val="20"/>
          <w:color w:val="auto"/>
        </w:rPr>
      </w:pPr>
    </w:p>
    <w:p>
      <w:pPr>
        <w:ind w:left="1100" w:right="60"/>
        <w:spacing w:after="0" w:line="237" w:lineRule="auto"/>
        <w:rPr>
          <w:sz w:val="20"/>
          <w:szCs w:val="20"/>
          <w:color w:val="auto"/>
        </w:rPr>
      </w:pPr>
      <w:r>
        <w:rPr>
          <w:rFonts w:ascii="Arial" w:cs="Arial" w:eastAsia="Arial" w:hAnsi="Arial"/>
          <w:sz w:val="16"/>
          <w:szCs w:val="16"/>
          <w:color w:val="auto"/>
        </w:rPr>
        <w:t>1.2 The Statutory Plan shall be a separate and independent plan from the Non-Statutory Plan, provided, however, that the total number of shares authorized to be issued under the Plan applies in the aggregate to both the Statutory Plan and the Non-Statutory Plan. Offerings under the Non-Statutory Plan may be made to achieve desired tax or other objectives in particular locations outside the United States of America or to comply with local laws applicable to offerings in such foreign jurisdictions. Offerings under the Non-Statutory Plan may also be made to employees of entities that are not Subsidiaries.</w:t>
      </w:r>
    </w:p>
    <w:p>
      <w:pPr>
        <w:spacing w:after="0" w:line="102" w:lineRule="exact"/>
        <w:rPr>
          <w:sz w:val="20"/>
          <w:szCs w:val="20"/>
          <w:color w:val="auto"/>
        </w:rPr>
      </w:pPr>
    </w:p>
    <w:p>
      <w:pPr>
        <w:ind w:left="1100"/>
        <w:spacing w:after="0" w:line="237" w:lineRule="auto"/>
        <w:rPr>
          <w:sz w:val="20"/>
          <w:szCs w:val="20"/>
          <w:color w:val="auto"/>
        </w:rPr>
      </w:pPr>
      <w:r>
        <w:rPr>
          <w:rFonts w:ascii="Arial" w:cs="Arial" w:eastAsia="Arial" w:hAnsi="Arial"/>
          <w:sz w:val="16"/>
          <w:szCs w:val="16"/>
          <w:color w:val="auto"/>
        </w:rPr>
        <w:t>1.3 All employees who participate in the Statutory Plan shall have the same rights and privileges under such plan except for differences that may be mandated by local law and are consistent with the requirements of Section 423(b)(5) of the Code. The terms of the Statutory Plan shall be those set forth in this Plan document to the extent such terms are consistent with the requirements for qualification under Section 423 of the Code. The Administrator may adopt offerings to be made under the Non-Statutory Plan applicable to particular Participating Companies or locations that are not participating in the Statutory Plan. The terms of each offering under the Non-Statutory Plan may take precedence over other provisions in this document, with the exception of Sections 6, 19 and 20 with respect to the total number of shares available to be offered under the Plan. Unless otherwise superseded by the terms of such offering under the Non-Statutory Plan, the provisions of this Plan document shall govern the operation of any offering under the Non-Statutory Plan. Except to the extent expressly set forth herein or where the context suggests otherwise, any reference herein to “Plan” shall be construed to include a reference to the Statutory Plan and the Non-Statutory Plan.</w:t>
      </w:r>
    </w:p>
    <w:p>
      <w:pPr>
        <w:spacing w:after="0" w:line="185"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2. Definitions.</w:t>
      </w:r>
    </w:p>
    <w:p>
      <w:pPr>
        <w:spacing w:after="0" w:line="119" w:lineRule="exact"/>
        <w:rPr>
          <w:sz w:val="20"/>
          <w:szCs w:val="20"/>
          <w:color w:val="auto"/>
        </w:rPr>
      </w:pPr>
    </w:p>
    <w:p>
      <w:pPr>
        <w:ind w:left="1100" w:right="40"/>
        <w:spacing w:after="0" w:line="237" w:lineRule="auto"/>
        <w:rPr>
          <w:sz w:val="20"/>
          <w:szCs w:val="20"/>
          <w:color w:val="auto"/>
        </w:rPr>
      </w:pPr>
      <w:r>
        <w:rPr>
          <w:rFonts w:ascii="Arial" w:cs="Arial" w:eastAsia="Arial" w:hAnsi="Arial"/>
          <w:sz w:val="16"/>
          <w:szCs w:val="16"/>
          <w:color w:val="auto"/>
        </w:rPr>
        <w:t>2.1 “Account” means the funds accumulated with respect to an individual employee as a result of deductions from such employee’s paycheck (or otherwise as permitted in certain circumstances under the terms of the Plan) for the purpose of purchasing stock under this Plan. The funds allocated to an employee’s Account shall remain the property of the employee at all times but may be commingled with the general funds of the Company or any Participating Company, except to the extent such commingling may be prohibited by the laws of any applicable jurisdiction.</w:t>
      </w:r>
    </w:p>
    <w:p>
      <w:pPr>
        <w:spacing w:after="0" w:line="102" w:lineRule="exact"/>
        <w:rPr>
          <w:sz w:val="20"/>
          <w:szCs w:val="20"/>
          <w:color w:val="auto"/>
        </w:rPr>
      </w:pPr>
    </w:p>
    <w:p>
      <w:pPr>
        <w:ind w:left="1100" w:right="20"/>
        <w:spacing w:after="0" w:line="239" w:lineRule="auto"/>
        <w:rPr>
          <w:sz w:val="20"/>
          <w:szCs w:val="20"/>
          <w:color w:val="auto"/>
        </w:rPr>
      </w:pPr>
      <w:r>
        <w:rPr>
          <w:rFonts w:ascii="Arial" w:cs="Arial" w:eastAsia="Arial" w:hAnsi="Arial"/>
          <w:sz w:val="16"/>
          <w:szCs w:val="16"/>
          <w:color w:val="auto"/>
        </w:rPr>
        <w:t>2.2 “Administrator” means the Committee or the persons acting within the scope of their authority to administer the Plan pursuant to a delegation of authority from the Committee pursuant to Section 22.</w:t>
      </w:r>
    </w:p>
    <w:p>
      <w:pPr>
        <w:spacing w:after="0" w:line="100"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2.3 “Board” means the Board of Directors of the Company.</w:t>
      </w:r>
    </w:p>
    <w:p>
      <w:pPr>
        <w:spacing w:after="0" w:line="101"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2.4 “Code” means the Internal Revenue Code of 1986, as amended from time to time.</w:t>
      </w:r>
    </w:p>
    <w:p>
      <w:pPr>
        <w:spacing w:after="0" w:line="101" w:lineRule="exact"/>
        <w:rPr>
          <w:sz w:val="20"/>
          <w:szCs w:val="20"/>
          <w:color w:val="auto"/>
        </w:rPr>
      </w:pPr>
    </w:p>
    <w:p>
      <w:pPr>
        <w:ind w:left="1100" w:right="40"/>
        <w:spacing w:after="0" w:line="239" w:lineRule="auto"/>
        <w:rPr>
          <w:sz w:val="20"/>
          <w:szCs w:val="20"/>
          <w:color w:val="auto"/>
        </w:rPr>
      </w:pPr>
      <w:r>
        <w:rPr>
          <w:rFonts w:ascii="Arial" w:cs="Arial" w:eastAsia="Arial" w:hAnsi="Arial"/>
          <w:sz w:val="16"/>
          <w:szCs w:val="16"/>
          <w:color w:val="auto"/>
        </w:rPr>
        <w:t>2.5 “Committee” means the Compensation Committee of the Board. The Committee may delegate its responsibilities as provided in Section in Section 22.</w:t>
      </w:r>
    </w:p>
    <w:p>
      <w:pPr>
        <w:spacing w:after="0" w:line="100"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2.6 “Company” means Microsoft Corporation.</w:t>
      </w:r>
    </w:p>
    <w:p>
      <w:pPr>
        <w:spacing w:after="0" w:line="200" w:lineRule="exact"/>
        <w:rPr>
          <w:sz w:val="20"/>
          <w:szCs w:val="20"/>
          <w:color w:val="auto"/>
        </w:rPr>
      </w:pPr>
    </w:p>
    <w:p>
      <w:pPr>
        <w:spacing w:after="0" w:line="302"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-94615</wp:posOffset>
            </wp:positionV>
            <wp:extent cx="485140" cy="9842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45" w:right="1439" w:bottom="1440" w:gutter="0" w:footer="0" w:header="0"/>
        </w:sectPr>
      </w:pPr>
    </w:p>
    <w:bookmarkStart w:id="96" w:name="page97"/>
    <w:bookmarkEnd w:id="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left="1100" w:right="200"/>
        <w:spacing w:after="0" w:line="237" w:lineRule="auto"/>
        <w:rPr>
          <w:sz w:val="20"/>
          <w:szCs w:val="20"/>
          <w:color w:val="auto"/>
        </w:rPr>
      </w:pPr>
      <w:r>
        <w:rPr>
          <w:rFonts w:ascii="Arial" w:cs="Arial" w:eastAsia="Arial" w:hAnsi="Arial"/>
          <w:sz w:val="16"/>
          <w:szCs w:val="16"/>
          <w:color w:val="auto"/>
        </w:rPr>
        <w:t>2.7 “Compensation” means total cash performance-based pay received by the participant from a Participating Company. By way of illustration, but not limitation, Compensation includes salary, wages, performance bonuses, commissions, incentive compensation and overtime but excludes relocation, equalization, patent and sign-on bonuses, expense reimbursements, meal allowances, commuting or automobile allowances, any payments (such as guaranteed bonuses in certain foreign jurisdictions) with respect to which salary reductions are not permitted by the laws of the applicable jurisdiction, and income realized as a result of participation in any stock plan, including without limitation any stock option, stock award, stock purchase, or similar plan, of the Company or any Subsidiary.</w:t>
      </w:r>
    </w:p>
    <w:p>
      <w:pPr>
        <w:spacing w:after="0" w:line="101" w:lineRule="exact"/>
        <w:rPr>
          <w:sz w:val="20"/>
          <w:szCs w:val="20"/>
          <w:color w:val="auto"/>
        </w:rPr>
      </w:pPr>
    </w:p>
    <w:p>
      <w:pPr>
        <w:ind w:left="1100" w:right="200"/>
        <w:spacing w:after="0" w:line="238" w:lineRule="auto"/>
        <w:rPr>
          <w:sz w:val="20"/>
          <w:szCs w:val="20"/>
          <w:color w:val="auto"/>
        </w:rPr>
      </w:pPr>
      <w:r>
        <w:rPr>
          <w:rFonts w:ascii="Arial" w:cs="Arial" w:eastAsia="Arial" w:hAnsi="Arial"/>
          <w:sz w:val="16"/>
          <w:szCs w:val="16"/>
          <w:color w:val="auto"/>
        </w:rPr>
        <w:t>2.8 “Enrollment Agreement” means an agreement between the Company and an employee, in such form as may be established by the Company from time to time, pursuant to which the employee elects to participate in this Plan or elects changes with respect to such participation as permitted under the Plan.</w:t>
      </w:r>
    </w:p>
    <w:p>
      <w:pPr>
        <w:spacing w:after="0" w:line="100" w:lineRule="exact"/>
        <w:rPr>
          <w:sz w:val="20"/>
          <w:szCs w:val="20"/>
          <w:color w:val="auto"/>
        </w:rPr>
      </w:pPr>
    </w:p>
    <w:p>
      <w:pPr>
        <w:ind w:left="1100" w:right="240"/>
        <w:spacing w:after="0" w:line="239" w:lineRule="auto"/>
        <w:rPr>
          <w:sz w:val="20"/>
          <w:szCs w:val="20"/>
          <w:color w:val="auto"/>
        </w:rPr>
      </w:pPr>
      <w:r>
        <w:rPr>
          <w:rFonts w:ascii="Arial" w:cs="Arial" w:eastAsia="Arial" w:hAnsi="Arial"/>
          <w:sz w:val="16"/>
          <w:szCs w:val="16"/>
          <w:color w:val="auto"/>
        </w:rPr>
        <w:t>2.9 “ESPP Broker” means a stock brokerage or other entity designated by the Company to establish accounts for stock purchased under the Plan by participants.</w:t>
      </w:r>
    </w:p>
    <w:p>
      <w:pPr>
        <w:spacing w:after="0" w:line="100" w:lineRule="exact"/>
        <w:rPr>
          <w:sz w:val="20"/>
          <w:szCs w:val="20"/>
          <w:color w:val="auto"/>
        </w:rPr>
      </w:pPr>
    </w:p>
    <w:p>
      <w:pPr>
        <w:ind w:left="1100" w:right="560"/>
        <w:spacing w:after="0" w:line="239" w:lineRule="auto"/>
        <w:rPr>
          <w:sz w:val="20"/>
          <w:szCs w:val="20"/>
          <w:color w:val="auto"/>
        </w:rPr>
      </w:pPr>
      <w:r>
        <w:rPr>
          <w:rFonts w:ascii="Arial" w:cs="Arial" w:eastAsia="Arial" w:hAnsi="Arial"/>
          <w:sz w:val="16"/>
          <w:szCs w:val="16"/>
          <w:color w:val="auto"/>
        </w:rPr>
        <w:t>2.10 “Fair Market Value” means the closing bid price as reported on the National Association of Securities Dealers Automated Quotation National Market System or the other primary trading market for the Company’s common stock.</w:t>
      </w:r>
    </w:p>
    <w:p>
      <w:pPr>
        <w:spacing w:after="0" w:line="100" w:lineRule="exact"/>
        <w:rPr>
          <w:sz w:val="20"/>
          <w:szCs w:val="20"/>
          <w:color w:val="auto"/>
        </w:rPr>
      </w:pPr>
    </w:p>
    <w:p>
      <w:pPr>
        <w:ind w:left="1100" w:right="280"/>
        <w:spacing w:after="0" w:line="239" w:lineRule="auto"/>
        <w:rPr>
          <w:sz w:val="20"/>
          <w:szCs w:val="20"/>
          <w:color w:val="auto"/>
        </w:rPr>
      </w:pPr>
      <w:r>
        <w:rPr>
          <w:rFonts w:ascii="Arial" w:cs="Arial" w:eastAsia="Arial" w:hAnsi="Arial"/>
          <w:sz w:val="16"/>
          <w:szCs w:val="16"/>
          <w:color w:val="auto"/>
        </w:rPr>
        <w:t>2.11 “Offering Date” as used in this Plan shall be the commencement date of an offering, as set forth in Section 4. A different date may be set by the Administrator.</w:t>
      </w:r>
    </w:p>
    <w:p>
      <w:pPr>
        <w:spacing w:after="0" w:line="100" w:lineRule="exact"/>
        <w:rPr>
          <w:sz w:val="20"/>
          <w:szCs w:val="20"/>
          <w:color w:val="auto"/>
        </w:rPr>
      </w:pPr>
    </w:p>
    <w:p>
      <w:pPr>
        <w:ind w:left="1100" w:right="180"/>
        <w:spacing w:after="0" w:line="237" w:lineRule="auto"/>
        <w:rPr>
          <w:sz w:val="20"/>
          <w:szCs w:val="20"/>
          <w:color w:val="auto"/>
        </w:rPr>
      </w:pPr>
      <w:r>
        <w:rPr>
          <w:rFonts w:ascii="Arial" w:cs="Arial" w:eastAsia="Arial" w:hAnsi="Arial"/>
          <w:sz w:val="16"/>
          <w:szCs w:val="16"/>
          <w:color w:val="auto"/>
        </w:rPr>
        <w:t>2.12 “Participating Company” means the Company and any Subsidiary that has been designated by the Administrator to participate in the Plan. For purposes of participation in the Statutory Plan, only the Company and its Subsidiaries may be considered Participating Companies, and the Administrator shall designate from time to time which Subsidiaries will be Participating Companies in the Statutory Plan. The Administrator shall designate from time to time which Subsidiaries will be Participating Companies in the Non-Statutory Plan provided, however, that at any given time, a Subsidiary that is a Participating Company in the Statutory Plan will not be a Participating Company in the Non-Statutory Plan. The foregoing designations and changes in designation by the Administrator shall not require shareholder approval. Notwithstanding the foregoing, the term “Participating Company” shall not include any Subsidiary that offers its employees the opportunity to participate in an employee stock purchase plan covering the Subsidiary’s common stock.</w:t>
      </w:r>
    </w:p>
    <w:p>
      <w:pPr>
        <w:spacing w:after="0" w:line="100"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2.13 “Plan” means this Microsoft Corporation Employee Stock Purchase Plan.</w:t>
      </w:r>
    </w:p>
    <w:p>
      <w:pPr>
        <w:spacing w:after="0" w:line="101"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2.14 “Purchase Price” is the price per share of common stock of the Company as established pursuant to Section 5 of the Plan.</w:t>
      </w:r>
    </w:p>
    <w:p>
      <w:pPr>
        <w:spacing w:after="0" w:line="101" w:lineRule="exact"/>
        <w:rPr>
          <w:sz w:val="20"/>
          <w:szCs w:val="20"/>
          <w:color w:val="auto"/>
        </w:rPr>
      </w:pPr>
    </w:p>
    <w:p>
      <w:pPr>
        <w:ind w:left="1100" w:right="340"/>
        <w:spacing w:after="0" w:line="238" w:lineRule="auto"/>
        <w:rPr>
          <w:sz w:val="20"/>
          <w:szCs w:val="20"/>
          <w:color w:val="auto"/>
        </w:rPr>
      </w:pPr>
      <w:r>
        <w:rPr>
          <w:rFonts w:ascii="Arial" w:cs="Arial" w:eastAsia="Arial" w:hAnsi="Arial"/>
          <w:sz w:val="16"/>
          <w:szCs w:val="16"/>
          <w:color w:val="auto"/>
        </w:rPr>
        <w:t>2.15 “Subsidiary” means any corporation (other than the Company), domestic or foreign, that is in an unbroken chain of corporations beginning with Company if, on an Offering Date, each of the corporations other than the last corporation in the unbroken chain owns stock possessing 50% or more of the total combined voting power of all classes of stock in one of the other corporations in the chain, as described in Section 424(f) of the Code.</w:t>
      </w:r>
    </w:p>
    <w:p>
      <w:pPr>
        <w:spacing w:after="0" w:line="81" w:lineRule="exact"/>
        <w:rPr>
          <w:sz w:val="20"/>
          <w:szCs w:val="20"/>
          <w:color w:val="auto"/>
        </w:rPr>
      </w:pPr>
    </w:p>
    <w:p>
      <w:pPr>
        <w:ind w:left="1100" w:right="660" w:firstLine="2"/>
        <w:spacing w:after="0" w:line="249" w:lineRule="auto"/>
        <w:tabs>
          <w:tab w:leader="none" w:pos="1273" w:val="left"/>
        </w:tabs>
        <w:numPr>
          <w:ilvl w:val="0"/>
          <w:numId w:val="12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Employees Eligible to Participate. </w:t>
      </w:r>
      <w:r>
        <w:rPr>
          <w:rFonts w:ascii="Arial" w:cs="Arial" w:eastAsia="Arial" w:hAnsi="Arial"/>
          <w:sz w:val="16"/>
          <w:szCs w:val="16"/>
          <w:color w:val="auto"/>
        </w:rPr>
        <w:t>Any employee of a Participating Company who is in the employ of any Participating</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on the last business day preceding the Offering Date for an offering is eligible to participate in that offering, except employees whose customary employment is for not more than five months in any calendar year.</w:t>
      </w:r>
    </w:p>
    <w:p>
      <w:pPr>
        <w:spacing w:after="0" w:line="74" w:lineRule="exact"/>
        <w:rPr>
          <w:rFonts w:ascii="Arial" w:cs="Arial" w:eastAsia="Arial" w:hAnsi="Arial"/>
          <w:sz w:val="16"/>
          <w:szCs w:val="16"/>
          <w:b w:val="1"/>
          <w:bCs w:val="1"/>
          <w:color w:val="auto"/>
        </w:rPr>
      </w:pPr>
    </w:p>
    <w:p>
      <w:pPr>
        <w:ind w:left="1100" w:right="140" w:firstLine="2"/>
        <w:spacing w:after="0" w:line="277" w:lineRule="auto"/>
        <w:tabs>
          <w:tab w:leader="none" w:pos="1273" w:val="left"/>
        </w:tabs>
        <w:numPr>
          <w:ilvl w:val="0"/>
          <w:numId w:val="121"/>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Offerings. </w:t>
      </w:r>
      <w:r>
        <w:rPr>
          <w:rFonts w:ascii="Arial" w:cs="Arial" w:eastAsia="Arial" w:hAnsi="Arial"/>
          <w:sz w:val="14"/>
          <w:szCs w:val="14"/>
          <w:color w:val="auto"/>
        </w:rPr>
        <w:t>Subject to the right of the Company in its sole discretion to sooner terminate the Plan or to change the</w:t>
      </w:r>
      <w:r>
        <w:rPr>
          <w:rFonts w:ascii="Arial" w:cs="Arial" w:eastAsia="Arial" w:hAnsi="Arial"/>
          <w:sz w:val="14"/>
          <w:szCs w:val="14"/>
          <w:b w:val="1"/>
          <w:bCs w:val="1"/>
          <w:color w:val="auto"/>
        </w:rPr>
        <w:t xml:space="preserve"> </w:t>
      </w:r>
      <w:r>
        <w:rPr>
          <w:rFonts w:ascii="Arial" w:cs="Arial" w:eastAsia="Arial" w:hAnsi="Arial"/>
          <w:sz w:val="14"/>
          <w:szCs w:val="14"/>
          <w:color w:val="auto"/>
        </w:rPr>
        <w:t>commencement date or term of any offering, commencing January 1, 2022, the Plan will operate with separate consecutive three-month offerings with the following Offering Dates: January 1, April 1, July 1, and October 1. Unless a termination of or change to the Plan has previously been made by the Company, the final offering under this Plan shall commence on October 1, 2031 and terminate on December 31, 2031. In order to become eligible to purchase shares, an employee must complete and submit an Enrollment Agreement and any other necessary documents before the Offering Date of the particular offering in which he or she wishes to participate. Notwithstanding the foregoing and any provisions in this Plan to the contrary, upon the effectiveness of this Plan, all employee payroll deduction elections made pursuant to Enrollment Agreements under the Prior ESPP shall be carried forward and be effective with respect to the first offering that commences under the New ESPP, unless the participants in the Prior ESPP elect otherwise. Participation in one offering under the Plan shall neither limit, nor require, participation in any other offering.</w:t>
      </w:r>
    </w:p>
    <w:p>
      <w:pPr>
        <w:spacing w:after="0" w:line="244" w:lineRule="exact"/>
        <w:rPr>
          <w:rFonts w:ascii="Arial" w:cs="Arial" w:eastAsia="Arial" w:hAnsi="Arial"/>
          <w:sz w:val="14"/>
          <w:szCs w:val="14"/>
          <w:b w:val="1"/>
          <w:bCs w:val="1"/>
          <w:color w:val="auto"/>
        </w:rPr>
      </w:pPr>
    </w:p>
    <w:p>
      <w:pPr>
        <w:ind w:left="1100" w:right="560" w:firstLine="2"/>
        <w:spacing w:after="0" w:line="263" w:lineRule="auto"/>
        <w:tabs>
          <w:tab w:leader="none" w:pos="1273" w:val="left"/>
        </w:tabs>
        <w:numPr>
          <w:ilvl w:val="0"/>
          <w:numId w:val="12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Price. </w:t>
      </w:r>
      <w:r>
        <w:rPr>
          <w:rFonts w:ascii="Arial" w:cs="Arial" w:eastAsia="Arial" w:hAnsi="Arial"/>
          <w:sz w:val="16"/>
          <w:szCs w:val="16"/>
          <w:color w:val="auto"/>
        </w:rPr>
        <w:t>The Purchase Price per share shall be ninety percent (90%) of the Fair Market Value of the stock on the last Nasdaq</w:t>
      </w:r>
      <w:r>
        <w:rPr>
          <w:rFonts w:ascii="Arial" w:cs="Arial" w:eastAsia="Arial" w:hAnsi="Arial"/>
          <w:sz w:val="16"/>
          <w:szCs w:val="16"/>
          <w:b w:val="1"/>
          <w:bCs w:val="1"/>
          <w:color w:val="auto"/>
        </w:rPr>
        <w:t xml:space="preserve"> </w:t>
      </w:r>
      <w:r>
        <w:rPr>
          <w:rFonts w:ascii="Arial" w:cs="Arial" w:eastAsia="Arial" w:hAnsi="Arial"/>
          <w:sz w:val="16"/>
          <w:szCs w:val="16"/>
          <w:color w:val="auto"/>
        </w:rPr>
        <w:t>trading day of the offering.</w:t>
      </w:r>
    </w:p>
    <w:p>
      <w:pPr>
        <w:spacing w:after="0" w:line="62" w:lineRule="exact"/>
        <w:rPr>
          <w:rFonts w:ascii="Arial" w:cs="Arial" w:eastAsia="Arial" w:hAnsi="Arial"/>
          <w:sz w:val="16"/>
          <w:szCs w:val="16"/>
          <w:b w:val="1"/>
          <w:bCs w:val="1"/>
          <w:color w:val="auto"/>
        </w:rPr>
      </w:pPr>
    </w:p>
    <w:p>
      <w:pPr>
        <w:ind w:left="1100" w:right="540" w:firstLine="2"/>
        <w:spacing w:after="0" w:line="249" w:lineRule="auto"/>
        <w:tabs>
          <w:tab w:leader="none" w:pos="1273" w:val="left"/>
        </w:tabs>
        <w:numPr>
          <w:ilvl w:val="0"/>
          <w:numId w:val="12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Number of Shares to be Offered. </w:t>
      </w:r>
      <w:r>
        <w:rPr>
          <w:rFonts w:ascii="Arial" w:cs="Arial" w:eastAsia="Arial" w:hAnsi="Arial"/>
          <w:sz w:val="16"/>
          <w:szCs w:val="16"/>
          <w:color w:val="auto"/>
        </w:rPr>
        <w:t>The maximum number of shares that will be offered under the Plan shall be equal to the</w:t>
      </w:r>
      <w:r>
        <w:rPr>
          <w:rFonts w:ascii="Arial" w:cs="Arial" w:eastAsia="Arial" w:hAnsi="Arial"/>
          <w:sz w:val="16"/>
          <w:szCs w:val="16"/>
          <w:b w:val="1"/>
          <w:bCs w:val="1"/>
          <w:color w:val="auto"/>
        </w:rPr>
        <w:t xml:space="preserve"> </w:t>
      </w:r>
      <w:r>
        <w:rPr>
          <w:rFonts w:ascii="Arial" w:cs="Arial" w:eastAsia="Arial" w:hAnsi="Arial"/>
          <w:sz w:val="16"/>
          <w:szCs w:val="16"/>
          <w:color w:val="auto"/>
        </w:rPr>
        <w:t>number of shares that were available but not used under the Prior Plan, as of January 1, 2022, the effective date of this Plan, subject</w:t>
      </w:r>
    </w:p>
    <w:p>
      <w:pPr>
        <w:spacing w:after="0" w:line="200" w:lineRule="exact"/>
        <w:rPr>
          <w:sz w:val="20"/>
          <w:szCs w:val="20"/>
          <w:color w:val="auto"/>
        </w:rPr>
      </w:pPr>
    </w:p>
    <w:p>
      <w:pPr>
        <w:spacing w:after="0" w:line="294"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2021 PROXY STATEMENT</w:t>
      </w:r>
      <w:r>
        <w:rPr>
          <w:sz w:val="20"/>
          <w:szCs w:val="20"/>
          <w:color w:val="auto"/>
        </w:rPr>
        <w:tab/>
      </w:r>
      <w:r>
        <w:rPr>
          <w:rFonts w:ascii="Arial" w:cs="Arial" w:eastAsia="Arial" w:hAnsi="Arial"/>
          <w:sz w:val="12"/>
          <w:szCs w:val="12"/>
          <w:b w:val="1"/>
          <w:bCs w:val="1"/>
          <w:color w:val="0075C9"/>
        </w:rPr>
        <w:t>89</w:t>
      </w:r>
    </w:p>
    <w:p>
      <w:pPr>
        <w:sectPr>
          <w:pgSz w:w="11900" w:h="16838" w:orient="portrait"/>
          <w:cols w:equalWidth="0" w:num="1">
            <w:col w:w="10280"/>
          </w:cols>
          <w:pgMar w:left="320" w:top="445" w:right="1299" w:bottom="1440" w:gutter="0" w:footer="0" w:header="0"/>
        </w:sectPr>
      </w:pPr>
    </w:p>
    <w:bookmarkStart w:id="97" w:name="page98"/>
    <w:bookmarkEnd w:id="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left="1100" w:right="20"/>
        <w:spacing w:after="0" w:line="237" w:lineRule="auto"/>
        <w:rPr>
          <w:sz w:val="20"/>
          <w:szCs w:val="20"/>
          <w:color w:val="auto"/>
        </w:rPr>
      </w:pPr>
      <w:r>
        <w:rPr>
          <w:rFonts w:ascii="Arial" w:cs="Arial" w:eastAsia="Arial" w:hAnsi="Arial"/>
          <w:sz w:val="16"/>
          <w:szCs w:val="16"/>
          <w:color w:val="auto"/>
        </w:rPr>
        <w:t>to adjustment as permitted under Section 20. The shares to be sold to participants under the Plan will be common stock of the Company. If the total number of shares for which options are to be granted on any date in accordance with Section 12 exceeds the number of shares then available under the Plan (after deduction of all shares for which options have been exercised under the Plan or are then outstanding), the Company shall make a pro rata allocation of the shares remaining available in as nearly a uniform manner as it determines is practicable and equitable. In such event, the payroll deductions to be made pursuant to the authorizations therefor shall be reduced accordingly and the Company shall give written notice of the reduction to each employee affected.</w:t>
      </w:r>
    </w:p>
    <w:p>
      <w:pPr>
        <w:spacing w:after="0" w:line="187"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7. Participation.</w:t>
      </w:r>
    </w:p>
    <w:p>
      <w:pPr>
        <w:spacing w:after="0" w:line="119" w:lineRule="exact"/>
        <w:rPr>
          <w:sz w:val="20"/>
          <w:szCs w:val="20"/>
          <w:color w:val="auto"/>
        </w:rPr>
      </w:pPr>
    </w:p>
    <w:p>
      <w:pPr>
        <w:ind w:left="1100" w:right="100"/>
        <w:spacing w:after="0" w:line="237" w:lineRule="auto"/>
        <w:rPr>
          <w:sz w:val="20"/>
          <w:szCs w:val="20"/>
          <w:color w:val="auto"/>
        </w:rPr>
      </w:pPr>
      <w:r>
        <w:rPr>
          <w:rFonts w:ascii="Arial" w:cs="Arial" w:eastAsia="Arial" w:hAnsi="Arial"/>
          <w:sz w:val="16"/>
          <w:szCs w:val="16"/>
          <w:color w:val="auto"/>
        </w:rPr>
        <w:t>7.1 An eligible employee may become a participant by completing an Enrollment Agreement provided by the Company and submitting it to the Company, or with such other entity designated by the Company for this purpose, prior to the commencement of the offering to which it relates. The Enrollment Agreement may be completed at any time after the employee becomes eligible to participate in the Plan, and will be effective as of the Offering Date next following the receipt of a properly completed Enrollment Agreement by the Company (or the Company’s designee for this purpose).</w:t>
      </w:r>
    </w:p>
    <w:p>
      <w:pPr>
        <w:spacing w:after="0" w:line="102" w:lineRule="exact"/>
        <w:rPr>
          <w:sz w:val="20"/>
          <w:szCs w:val="20"/>
          <w:color w:val="auto"/>
        </w:rPr>
      </w:pPr>
    </w:p>
    <w:p>
      <w:pPr>
        <w:ind w:left="1100" w:right="360"/>
        <w:spacing w:after="0" w:line="238" w:lineRule="auto"/>
        <w:rPr>
          <w:sz w:val="20"/>
          <w:szCs w:val="20"/>
          <w:color w:val="auto"/>
        </w:rPr>
      </w:pPr>
      <w:r>
        <w:rPr>
          <w:rFonts w:ascii="Arial" w:cs="Arial" w:eastAsia="Arial" w:hAnsi="Arial"/>
          <w:sz w:val="16"/>
          <w:szCs w:val="16"/>
          <w:color w:val="auto"/>
        </w:rPr>
        <w:t>7.2 Payroll deductions for a participant shall commence on the Offering Date as described above and shall continue through subsequent offerings pursuant to Section 10, subject to modification by the employee as provided in Section 8.1, until the participant’s termination of employment, unless participation is earlier withdrawn or suspended by the employee as provided in Section 9, or unless the participant otherwise becomes ineligible to participate in the Plan.</w:t>
      </w:r>
    </w:p>
    <w:p>
      <w:pPr>
        <w:spacing w:after="0" w:line="99" w:lineRule="exact"/>
        <w:rPr>
          <w:sz w:val="20"/>
          <w:szCs w:val="20"/>
          <w:color w:val="auto"/>
        </w:rPr>
      </w:pPr>
    </w:p>
    <w:p>
      <w:pPr>
        <w:ind w:left="1100" w:right="220"/>
        <w:spacing w:after="0" w:line="308" w:lineRule="auto"/>
        <w:rPr>
          <w:sz w:val="20"/>
          <w:szCs w:val="20"/>
          <w:color w:val="auto"/>
        </w:rPr>
      </w:pPr>
      <w:r>
        <w:rPr>
          <w:rFonts w:ascii="Arial" w:cs="Arial" w:eastAsia="Arial" w:hAnsi="Arial"/>
          <w:sz w:val="14"/>
          <w:szCs w:val="14"/>
          <w:color w:val="auto"/>
        </w:rPr>
        <w:t>7.3 Payroll deduction shall be the sole means of accumulating funds in a participant’s Account, except in foreign countries where payroll deductions are not allowed or problematic, in which case the Company may authorize alternative payment methods.</w:t>
      </w:r>
    </w:p>
    <w:p>
      <w:pPr>
        <w:spacing w:after="0" w:line="53" w:lineRule="exact"/>
        <w:rPr>
          <w:sz w:val="20"/>
          <w:szCs w:val="20"/>
          <w:color w:val="auto"/>
        </w:rPr>
      </w:pPr>
    </w:p>
    <w:p>
      <w:pPr>
        <w:ind w:left="1100" w:right="320"/>
        <w:spacing w:after="0" w:line="239" w:lineRule="auto"/>
        <w:rPr>
          <w:sz w:val="20"/>
          <w:szCs w:val="20"/>
          <w:color w:val="auto"/>
        </w:rPr>
      </w:pPr>
      <w:r>
        <w:rPr>
          <w:rFonts w:ascii="Arial" w:cs="Arial" w:eastAsia="Arial" w:hAnsi="Arial"/>
          <w:sz w:val="16"/>
          <w:szCs w:val="16"/>
          <w:color w:val="auto"/>
        </w:rPr>
        <w:t>7.4 The Company may require current participants to complete a new Enrollment Agreement at any time it deems necessary or desirable to facilitate Plan administration or for any other reason.</w:t>
      </w:r>
    </w:p>
    <w:p>
      <w:pPr>
        <w:spacing w:after="0" w:line="185"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8. Payroll Deductions.</w:t>
      </w:r>
    </w:p>
    <w:p>
      <w:pPr>
        <w:spacing w:after="0" w:line="119" w:lineRule="exact"/>
        <w:rPr>
          <w:sz w:val="20"/>
          <w:szCs w:val="20"/>
          <w:color w:val="auto"/>
        </w:rPr>
      </w:pPr>
    </w:p>
    <w:p>
      <w:pPr>
        <w:ind w:left="1100" w:right="80"/>
        <w:spacing w:after="0" w:line="237" w:lineRule="auto"/>
        <w:rPr>
          <w:sz w:val="20"/>
          <w:szCs w:val="20"/>
          <w:color w:val="auto"/>
        </w:rPr>
      </w:pPr>
      <w:r>
        <w:rPr>
          <w:rFonts w:ascii="Arial" w:cs="Arial" w:eastAsia="Arial" w:hAnsi="Arial"/>
          <w:sz w:val="16"/>
          <w:szCs w:val="16"/>
          <w:color w:val="auto"/>
        </w:rPr>
        <w:t>8.1 At the time an employee completes an Enrollment Agreement (which includes a payroll deduction authorization), the employee shall elect to have deductions made from the employee’s Compensation on each payday during the time he or she is a participant in an offering at any non-fractional percentage rate from 1% to 15%. A participant may change his or her payroll deduction percentage election, including changing the payroll deduction percentage to zero, effective as of any Offering Date by filing a revised authorization, provided the revised authorization is filed prior to such Offering Date.</w:t>
      </w:r>
    </w:p>
    <w:p>
      <w:pPr>
        <w:spacing w:after="0" w:line="102" w:lineRule="exact"/>
        <w:rPr>
          <w:sz w:val="20"/>
          <w:szCs w:val="20"/>
          <w:color w:val="auto"/>
        </w:rPr>
      </w:pPr>
    </w:p>
    <w:p>
      <w:pPr>
        <w:ind w:left="1100"/>
        <w:spacing w:after="0" w:line="238" w:lineRule="auto"/>
        <w:rPr>
          <w:sz w:val="20"/>
          <w:szCs w:val="20"/>
          <w:color w:val="auto"/>
        </w:rPr>
      </w:pPr>
      <w:r>
        <w:rPr>
          <w:rFonts w:ascii="Arial" w:cs="Arial" w:eastAsia="Arial" w:hAnsi="Arial"/>
          <w:sz w:val="16"/>
          <w:szCs w:val="16"/>
          <w:color w:val="auto"/>
        </w:rPr>
        <w:t>8.2 All payroll deductions made for a participant shall be credited to his or her Account under the Plan. A participant may not make any separate cash payment into his or her Account nor may payment for shares be made other than by payroll deduction, except as provided under Section 7.3.</w:t>
      </w:r>
    </w:p>
    <w:p>
      <w:pPr>
        <w:spacing w:after="0" w:line="100" w:lineRule="exact"/>
        <w:rPr>
          <w:sz w:val="20"/>
          <w:szCs w:val="20"/>
          <w:color w:val="auto"/>
        </w:rPr>
      </w:pPr>
    </w:p>
    <w:p>
      <w:pPr>
        <w:ind w:left="1100" w:right="60"/>
        <w:spacing w:after="0" w:line="283" w:lineRule="auto"/>
        <w:rPr>
          <w:sz w:val="20"/>
          <w:szCs w:val="20"/>
          <w:color w:val="auto"/>
        </w:rPr>
      </w:pPr>
      <w:r>
        <w:rPr>
          <w:rFonts w:ascii="Arial" w:cs="Arial" w:eastAsia="Arial" w:hAnsi="Arial"/>
          <w:sz w:val="14"/>
          <w:szCs w:val="14"/>
          <w:color w:val="auto"/>
        </w:rPr>
        <w:t>8.3 A participant may withdraw from or suspend his or her participation in the Plan as provided in Section 9, but no other change can be made during an offering with respect to that offering. A participant may also make a prospective election, by changing his or her payroll deduction percentage to zero as set forth in Section 8.1, to cease participation in the Plan effective as of the next Offering Date. Other changes permitted under the Plan may only be made with respect to an offering that has not yet commenced.</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9. Withdrawal and Suspension.</w:t>
      </w:r>
    </w:p>
    <w:p>
      <w:pPr>
        <w:spacing w:after="0" w:line="119" w:lineRule="exact"/>
        <w:rPr>
          <w:sz w:val="20"/>
          <w:szCs w:val="20"/>
          <w:color w:val="auto"/>
        </w:rPr>
      </w:pPr>
    </w:p>
    <w:p>
      <w:pPr>
        <w:jc w:val="both"/>
        <w:ind w:left="1100" w:right="40"/>
        <w:spacing w:after="0" w:line="238" w:lineRule="auto"/>
        <w:rPr>
          <w:sz w:val="20"/>
          <w:szCs w:val="20"/>
          <w:color w:val="auto"/>
        </w:rPr>
      </w:pPr>
      <w:r>
        <w:rPr>
          <w:rFonts w:ascii="Arial" w:cs="Arial" w:eastAsia="Arial" w:hAnsi="Arial"/>
          <w:sz w:val="16"/>
          <w:szCs w:val="16"/>
          <w:color w:val="auto"/>
        </w:rPr>
        <w:t>9.1 An employee may withdraw from an offering, in whole but not in part, at any time prior to the first day of the last calendar month of such offering by submitting a withdrawal notice to the Company (or the Company’s designee for this purpose), in which event the Company will refund the entire balance of his or her Account as soon as practicable thereafter.</w:t>
      </w:r>
    </w:p>
    <w:p>
      <w:pPr>
        <w:spacing w:after="0" w:line="100" w:lineRule="exact"/>
        <w:rPr>
          <w:sz w:val="20"/>
          <w:szCs w:val="20"/>
          <w:color w:val="auto"/>
        </w:rPr>
      </w:pPr>
    </w:p>
    <w:p>
      <w:pPr>
        <w:ind w:left="1100" w:right="80"/>
        <w:spacing w:after="0" w:line="237" w:lineRule="auto"/>
        <w:rPr>
          <w:sz w:val="20"/>
          <w:szCs w:val="20"/>
          <w:color w:val="auto"/>
        </w:rPr>
      </w:pPr>
      <w:r>
        <w:rPr>
          <w:rFonts w:ascii="Arial" w:cs="Arial" w:eastAsia="Arial" w:hAnsi="Arial"/>
          <w:sz w:val="16"/>
          <w:szCs w:val="16"/>
          <w:color w:val="auto"/>
        </w:rPr>
        <w:t>9.2 An employee may, at any time prior to the first day of the last calendar month of an offering, reduce to zero the percentage by which he or she has elected to have his or her Compensation reduced, thereby suspending participation in the Plan. The reduction will be effective as soon as administratively feasible after receipt of the participant’s election. Shares shall be purchased in accordance with Section 13 based on the amounts accumulated in the participant’s Account prior to the suspension of payroll deductions.</w:t>
      </w:r>
    </w:p>
    <w:p>
      <w:pPr>
        <w:spacing w:after="0" w:line="102" w:lineRule="exact"/>
        <w:rPr>
          <w:sz w:val="20"/>
          <w:szCs w:val="20"/>
          <w:color w:val="auto"/>
        </w:rPr>
      </w:pPr>
    </w:p>
    <w:p>
      <w:pPr>
        <w:ind w:left="1100"/>
        <w:spacing w:after="0" w:line="237" w:lineRule="auto"/>
        <w:rPr>
          <w:sz w:val="20"/>
          <w:szCs w:val="20"/>
          <w:color w:val="auto"/>
        </w:rPr>
      </w:pPr>
      <w:r>
        <w:rPr>
          <w:rFonts w:ascii="Arial" w:cs="Arial" w:eastAsia="Arial" w:hAnsi="Arial"/>
          <w:sz w:val="16"/>
          <w:szCs w:val="16"/>
          <w:color w:val="auto"/>
        </w:rPr>
        <w:t>9.3 If an employee withdraws or suspends his or her participation pursuant to Sections 9.1 or 9.2, he or she shall not participate in a subsequent offering unless and until he or she re-enters the Plan. To re-enter the Plan, an employee who has previously withdrawn or suspended participation by reducing payroll deductions to zero must file a new Enrollment Agreement in accordance with Section 7.1. The employee’s re-entry into the Plan will not become effective before the beginning of the next offering following his or her withdrawal or suspension.</w:t>
      </w:r>
    </w:p>
    <w:p>
      <w:pPr>
        <w:spacing w:after="0" w:line="200" w:lineRule="exact"/>
        <w:rPr>
          <w:sz w:val="20"/>
          <w:szCs w:val="20"/>
          <w:color w:val="auto"/>
        </w:rPr>
      </w:pPr>
    </w:p>
    <w:p>
      <w:pPr>
        <w:spacing w:after="0" w:line="303"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-94615</wp:posOffset>
            </wp:positionV>
            <wp:extent cx="485140" cy="9842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45" w:right="1439" w:bottom="1440" w:gutter="0" w:footer="0" w:header="0"/>
        </w:sectPr>
      </w:pPr>
    </w:p>
    <w:bookmarkStart w:id="98" w:name="page99"/>
    <w:bookmarkEnd w:id="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ind w:left="1100" w:right="540" w:firstLine="2"/>
        <w:spacing w:after="0" w:line="302" w:lineRule="auto"/>
        <w:tabs>
          <w:tab w:leader="none" w:pos="1359" w:val="left"/>
        </w:tabs>
        <w:numPr>
          <w:ilvl w:val="0"/>
          <w:numId w:val="122"/>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Automatic Re-Enrollment. </w:t>
      </w:r>
      <w:r>
        <w:rPr>
          <w:rFonts w:ascii="Arial" w:cs="Arial" w:eastAsia="Arial" w:hAnsi="Arial"/>
          <w:sz w:val="14"/>
          <w:szCs w:val="14"/>
          <w:color w:val="auto"/>
        </w:rPr>
        <w:t>At the termination of each offering each participating employee who continues to be eligible to</w:t>
      </w:r>
      <w:r>
        <w:rPr>
          <w:rFonts w:ascii="Arial" w:cs="Arial" w:eastAsia="Arial" w:hAnsi="Arial"/>
          <w:sz w:val="14"/>
          <w:szCs w:val="14"/>
          <w:b w:val="1"/>
          <w:bCs w:val="1"/>
          <w:color w:val="auto"/>
        </w:rPr>
        <w:t xml:space="preserve"> </w:t>
      </w:r>
      <w:r>
        <w:rPr>
          <w:rFonts w:ascii="Arial" w:cs="Arial" w:eastAsia="Arial" w:hAnsi="Arial"/>
          <w:sz w:val="14"/>
          <w:szCs w:val="14"/>
          <w:color w:val="auto"/>
        </w:rPr>
        <w:t>participate pursuant to Section 3 shall be automatically re-enrolled in the next offering, unless the employee has advised the Company otherwise. Upon termination of the Plan, any balance in each employee’s Account shall be refunded to him or her.</w:t>
      </w:r>
    </w:p>
    <w:p>
      <w:pPr>
        <w:spacing w:after="0" w:line="39" w:lineRule="exact"/>
        <w:rPr>
          <w:rFonts w:ascii="Arial" w:cs="Arial" w:eastAsia="Arial" w:hAnsi="Arial"/>
          <w:sz w:val="14"/>
          <w:szCs w:val="14"/>
          <w:b w:val="1"/>
          <w:bCs w:val="1"/>
          <w:color w:val="auto"/>
        </w:rPr>
      </w:pPr>
    </w:p>
    <w:p>
      <w:pPr>
        <w:ind w:left="1100" w:right="540" w:firstLine="2"/>
        <w:spacing w:after="0" w:line="263" w:lineRule="auto"/>
        <w:tabs>
          <w:tab w:leader="none" w:pos="1359" w:val="left"/>
        </w:tabs>
        <w:numPr>
          <w:ilvl w:val="0"/>
          <w:numId w:val="12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Interest. </w:t>
      </w:r>
      <w:r>
        <w:rPr>
          <w:rFonts w:ascii="Arial" w:cs="Arial" w:eastAsia="Arial" w:hAnsi="Arial"/>
          <w:sz w:val="16"/>
          <w:szCs w:val="16"/>
          <w:color w:val="auto"/>
        </w:rPr>
        <w:t>No interest will be paid or allowed on any money in the Accounts of participating employees, except to the extent</w:t>
      </w:r>
      <w:r>
        <w:rPr>
          <w:rFonts w:ascii="Arial" w:cs="Arial" w:eastAsia="Arial" w:hAnsi="Arial"/>
          <w:sz w:val="16"/>
          <w:szCs w:val="16"/>
          <w:b w:val="1"/>
          <w:bCs w:val="1"/>
          <w:color w:val="auto"/>
        </w:rPr>
        <w:t xml:space="preserve"> </w:t>
      </w:r>
      <w:r>
        <w:rPr>
          <w:rFonts w:ascii="Arial" w:cs="Arial" w:eastAsia="Arial" w:hAnsi="Arial"/>
          <w:sz w:val="16"/>
          <w:szCs w:val="16"/>
          <w:color w:val="auto"/>
        </w:rPr>
        <w:t>payment of interest is required by the laws of any applicable jurisdiction.</w:t>
      </w:r>
    </w:p>
    <w:p>
      <w:pPr>
        <w:spacing w:after="0" w:line="62" w:lineRule="exact"/>
        <w:rPr>
          <w:rFonts w:ascii="Arial" w:cs="Arial" w:eastAsia="Arial" w:hAnsi="Arial"/>
          <w:sz w:val="16"/>
          <w:szCs w:val="16"/>
          <w:b w:val="1"/>
          <w:bCs w:val="1"/>
          <w:color w:val="auto"/>
        </w:rPr>
      </w:pPr>
    </w:p>
    <w:p>
      <w:pPr>
        <w:jc w:val="both"/>
        <w:ind w:left="1100" w:right="180" w:firstLine="2"/>
        <w:spacing w:after="0" w:line="291" w:lineRule="auto"/>
        <w:tabs>
          <w:tab w:leader="none" w:pos="1359" w:val="left"/>
        </w:tabs>
        <w:numPr>
          <w:ilvl w:val="0"/>
          <w:numId w:val="122"/>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Granting of Option. </w:t>
      </w:r>
      <w:r>
        <w:rPr>
          <w:rFonts w:ascii="Arial" w:cs="Arial" w:eastAsia="Arial" w:hAnsi="Arial"/>
          <w:sz w:val="14"/>
          <w:szCs w:val="14"/>
          <w:color w:val="auto"/>
        </w:rPr>
        <w:t>On each Offering Date, this Plan shall be deemed to have granted to the participant an option for as many</w:t>
      </w:r>
      <w:r>
        <w:rPr>
          <w:rFonts w:ascii="Arial" w:cs="Arial" w:eastAsia="Arial" w:hAnsi="Arial"/>
          <w:sz w:val="14"/>
          <w:szCs w:val="14"/>
          <w:b w:val="1"/>
          <w:bCs w:val="1"/>
          <w:color w:val="auto"/>
        </w:rPr>
        <w:t xml:space="preserve"> </w:t>
      </w:r>
      <w:r>
        <w:rPr>
          <w:rFonts w:ascii="Arial" w:cs="Arial" w:eastAsia="Arial" w:hAnsi="Arial"/>
          <w:sz w:val="14"/>
          <w:szCs w:val="14"/>
          <w:color w:val="auto"/>
        </w:rPr>
        <w:t>shares (which may include a fractional share) as he or she will be able to purchase with the amounts credited to his or her Account during his or her participation in that offering. Notwithstanding the foregoing, no participant may purchase more than 2,000 shares of stock during any single offering. This number may be adjusted as permitted pursuant to Section 20 of the Plan.</w:t>
      </w:r>
    </w:p>
    <w:p>
      <w:pPr>
        <w:spacing w:after="0" w:line="47" w:lineRule="exact"/>
        <w:rPr>
          <w:rFonts w:ascii="Arial" w:cs="Arial" w:eastAsia="Arial" w:hAnsi="Arial"/>
          <w:sz w:val="14"/>
          <w:szCs w:val="14"/>
          <w:b w:val="1"/>
          <w:bCs w:val="1"/>
          <w:color w:val="auto"/>
        </w:rPr>
      </w:pPr>
    </w:p>
    <w:p>
      <w:pPr>
        <w:ind w:left="1100" w:right="360" w:firstLine="2"/>
        <w:spacing w:after="0" w:line="243" w:lineRule="auto"/>
        <w:tabs>
          <w:tab w:leader="none" w:pos="1359" w:val="left"/>
        </w:tabs>
        <w:numPr>
          <w:ilvl w:val="0"/>
          <w:numId w:val="12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Exercise of Option. </w:t>
      </w:r>
      <w:r>
        <w:rPr>
          <w:rFonts w:ascii="Arial" w:cs="Arial" w:eastAsia="Arial" w:hAnsi="Arial"/>
          <w:sz w:val="16"/>
          <w:szCs w:val="16"/>
          <w:color w:val="auto"/>
        </w:rPr>
        <w:t>Each employee who continues to be a participant in an offering on the last business day of that offering</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deemed to have exercised his or her option on that date and shall be deemed to have purchased from the Company the number of shares (which may include a fractional share) of common stock reserved for the purpose of the Plan as the balance of his or her Account on such date will pay for at the Purchase Price, subject to any limitations set forth in the Plan or under Section 423 of the Code (for offerings under the Statutory Plan).</w:t>
      </w:r>
    </w:p>
    <w:p>
      <w:pPr>
        <w:spacing w:after="0" w:line="78" w:lineRule="exact"/>
        <w:rPr>
          <w:rFonts w:ascii="Arial" w:cs="Arial" w:eastAsia="Arial" w:hAnsi="Arial"/>
          <w:sz w:val="16"/>
          <w:szCs w:val="16"/>
          <w:b w:val="1"/>
          <w:bCs w:val="1"/>
          <w:color w:val="auto"/>
        </w:rPr>
      </w:pPr>
    </w:p>
    <w:p>
      <w:pPr>
        <w:ind w:left="1100" w:right="260" w:firstLine="2"/>
        <w:spacing w:after="0" w:line="283" w:lineRule="auto"/>
        <w:tabs>
          <w:tab w:leader="none" w:pos="1359" w:val="left"/>
        </w:tabs>
        <w:numPr>
          <w:ilvl w:val="0"/>
          <w:numId w:val="122"/>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Tax Obligations. </w:t>
      </w:r>
      <w:r>
        <w:rPr>
          <w:rFonts w:ascii="Arial" w:cs="Arial" w:eastAsia="Arial" w:hAnsi="Arial"/>
          <w:sz w:val="14"/>
          <w:szCs w:val="14"/>
          <w:color w:val="auto"/>
        </w:rPr>
        <w:t>To the extent any (i) grant of an option to purchase shares, (ii) purchase of shares, (iii) disposition of shares</w:t>
      </w:r>
      <w:r>
        <w:rPr>
          <w:rFonts w:ascii="Arial" w:cs="Arial" w:eastAsia="Arial" w:hAnsi="Arial"/>
          <w:sz w:val="14"/>
          <w:szCs w:val="14"/>
          <w:b w:val="1"/>
          <w:bCs w:val="1"/>
          <w:color w:val="auto"/>
        </w:rPr>
        <w:t xml:space="preserve"> </w:t>
      </w:r>
      <w:r>
        <w:rPr>
          <w:rFonts w:ascii="Arial" w:cs="Arial" w:eastAsia="Arial" w:hAnsi="Arial"/>
          <w:sz w:val="14"/>
          <w:szCs w:val="14"/>
          <w:color w:val="auto"/>
        </w:rPr>
        <w:t>purchased under the Plan, or (iv) other aspect of participation in the Plan gives rise to any tax withholding obligation (including, without limitation, income and payroll withholding taxes imposed by any jurisdiction), the Administrator may implement appropriate procedures to ensure that such tax withholding obligations are met. Those procedures may include, without limitation, increased withholding from an employee’s compensation, cash payments to the Company or any Subsidiary by an employee, or a sale of a portion of the stock purchased under the Plan, which sale may be required and initiated by the Company.</w:t>
      </w:r>
    </w:p>
    <w:p>
      <w:pPr>
        <w:spacing w:after="0" w:line="52" w:lineRule="exact"/>
        <w:rPr>
          <w:rFonts w:ascii="Arial" w:cs="Arial" w:eastAsia="Arial" w:hAnsi="Arial"/>
          <w:sz w:val="14"/>
          <w:szCs w:val="14"/>
          <w:b w:val="1"/>
          <w:bCs w:val="1"/>
          <w:color w:val="auto"/>
        </w:rPr>
      </w:pPr>
    </w:p>
    <w:p>
      <w:pPr>
        <w:ind w:left="1100" w:right="160" w:firstLine="2"/>
        <w:spacing w:after="0" w:line="335" w:lineRule="auto"/>
        <w:tabs>
          <w:tab w:leader="none" w:pos="1359" w:val="left"/>
        </w:tabs>
        <w:numPr>
          <w:ilvl w:val="0"/>
          <w:numId w:val="122"/>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Employee’s Rights as a Shareholder. </w:t>
      </w:r>
      <w:r>
        <w:rPr>
          <w:rFonts w:ascii="Arial" w:cs="Arial" w:eastAsia="Arial" w:hAnsi="Arial"/>
          <w:sz w:val="14"/>
          <w:szCs w:val="14"/>
          <w:color w:val="auto"/>
        </w:rPr>
        <w:t>No participating employee shall have any right as a shareholder with respect to any</w:t>
      </w:r>
      <w:r>
        <w:rPr>
          <w:rFonts w:ascii="Arial" w:cs="Arial" w:eastAsia="Arial" w:hAnsi="Arial"/>
          <w:sz w:val="14"/>
          <w:szCs w:val="14"/>
          <w:b w:val="1"/>
          <w:bCs w:val="1"/>
          <w:color w:val="auto"/>
        </w:rPr>
        <w:t xml:space="preserve"> </w:t>
      </w:r>
      <w:r>
        <w:rPr>
          <w:rFonts w:ascii="Arial" w:cs="Arial" w:eastAsia="Arial" w:hAnsi="Arial"/>
          <w:sz w:val="14"/>
          <w:szCs w:val="14"/>
          <w:color w:val="auto"/>
        </w:rPr>
        <w:t>shares until the shares have been purchased in accordance with Section 13 above and the stock has been issued by the Company.</w:t>
      </w:r>
    </w:p>
    <w:p>
      <w:pPr>
        <w:spacing w:after="0" w:line="120" w:lineRule="exact"/>
        <w:rPr>
          <w:rFonts w:ascii="Arial" w:cs="Arial" w:eastAsia="Arial" w:hAnsi="Arial"/>
          <w:sz w:val="14"/>
          <w:szCs w:val="14"/>
          <w:b w:val="1"/>
          <w:bCs w:val="1"/>
          <w:color w:val="auto"/>
        </w:rPr>
      </w:pPr>
    </w:p>
    <w:p>
      <w:pPr>
        <w:ind w:left="1360" w:hanging="258"/>
        <w:spacing w:after="0"/>
        <w:tabs>
          <w:tab w:leader="none" w:pos="1360" w:val="left"/>
        </w:tabs>
        <w:numPr>
          <w:ilvl w:val="0"/>
          <w:numId w:val="122"/>
        </w:numPr>
        <w:rPr>
          <w:rFonts w:ascii="Arial" w:cs="Arial" w:eastAsia="Arial" w:hAnsi="Arial"/>
          <w:sz w:val="16"/>
          <w:szCs w:val="16"/>
          <w:b w:val="1"/>
          <w:bCs w:val="1"/>
          <w:color w:val="auto"/>
        </w:rPr>
      </w:pPr>
      <w:r>
        <w:rPr>
          <w:rFonts w:ascii="Arial" w:cs="Arial" w:eastAsia="Arial" w:hAnsi="Arial"/>
          <w:sz w:val="16"/>
          <w:szCs w:val="16"/>
          <w:b w:val="1"/>
          <w:bCs w:val="1"/>
          <w:color w:val="auto"/>
        </w:rPr>
        <w:t>Evidence of Stock Ownership.</w:t>
      </w:r>
    </w:p>
    <w:p>
      <w:pPr>
        <w:spacing w:after="0" w:line="119" w:lineRule="exact"/>
        <w:rPr>
          <w:sz w:val="20"/>
          <w:szCs w:val="20"/>
          <w:color w:val="auto"/>
        </w:rPr>
      </w:pPr>
    </w:p>
    <w:p>
      <w:pPr>
        <w:ind w:left="1100" w:right="320"/>
        <w:spacing w:after="0" w:line="239" w:lineRule="auto"/>
        <w:rPr>
          <w:sz w:val="20"/>
          <w:szCs w:val="20"/>
          <w:color w:val="auto"/>
        </w:rPr>
      </w:pPr>
      <w:r>
        <w:rPr>
          <w:rFonts w:ascii="Arial" w:cs="Arial" w:eastAsia="Arial" w:hAnsi="Arial"/>
          <w:sz w:val="16"/>
          <w:szCs w:val="16"/>
          <w:color w:val="auto"/>
        </w:rPr>
        <w:t>16.1 Following the end of each offering, the number of shares of common stock purchased by each participant shall be deposited into an account established in the participant’s name at the ESPP Broker.</w:t>
      </w:r>
    </w:p>
    <w:p>
      <w:pPr>
        <w:spacing w:after="0" w:line="100" w:lineRule="exact"/>
        <w:rPr>
          <w:sz w:val="20"/>
          <w:szCs w:val="20"/>
          <w:color w:val="auto"/>
        </w:rPr>
      </w:pPr>
    </w:p>
    <w:p>
      <w:pPr>
        <w:ind w:left="1100" w:right="140"/>
        <w:spacing w:after="0" w:line="237" w:lineRule="auto"/>
        <w:rPr>
          <w:sz w:val="20"/>
          <w:szCs w:val="20"/>
          <w:color w:val="auto"/>
        </w:rPr>
      </w:pPr>
      <w:r>
        <w:rPr>
          <w:rFonts w:ascii="Arial" w:cs="Arial" w:eastAsia="Arial" w:hAnsi="Arial"/>
          <w:sz w:val="16"/>
          <w:szCs w:val="16"/>
          <w:color w:val="auto"/>
        </w:rPr>
        <w:t>16.2 A participant shall be free to undertake a disposition (as that term is defined in Section 424(c) of the Code) of the shares in his or her ESPP Broker account at any time, whether by sale, exchange, gift, or other transfer of legal title, but in the absence of such a disposition of the shares, the shares must remain in the participant’s ESPP Broker account until the holding period set forth in Section 423(a) of the Code has been satisfied. With respect to shares for which the Section 423(a) holding period has been satisfied, the participant may move those shares to another brokerage account of participant’s choosing.</w:t>
      </w:r>
    </w:p>
    <w:p>
      <w:pPr>
        <w:spacing w:after="0" w:line="102" w:lineRule="exact"/>
        <w:rPr>
          <w:sz w:val="20"/>
          <w:szCs w:val="20"/>
          <w:color w:val="auto"/>
        </w:rPr>
      </w:pPr>
    </w:p>
    <w:p>
      <w:pPr>
        <w:ind w:left="1100" w:right="160"/>
        <w:spacing w:after="0" w:line="238" w:lineRule="auto"/>
        <w:rPr>
          <w:sz w:val="20"/>
          <w:szCs w:val="20"/>
          <w:color w:val="auto"/>
        </w:rPr>
      </w:pPr>
      <w:r>
        <w:rPr>
          <w:rFonts w:ascii="Arial" w:cs="Arial" w:eastAsia="Arial" w:hAnsi="Arial"/>
          <w:sz w:val="16"/>
          <w:szCs w:val="16"/>
          <w:color w:val="auto"/>
        </w:rPr>
        <w:t>16.3 Notwithstanding the above, participants participating in the Non-Statutory Plan or participants who are not subject to income taxation under the Code may move shares to another brokerage account of participant’s choosing at any time, without regard to the satisfaction of the Section 423(a) holding period.</w:t>
      </w:r>
    </w:p>
    <w:p>
      <w:pPr>
        <w:spacing w:after="0" w:line="82" w:lineRule="exact"/>
        <w:rPr>
          <w:sz w:val="20"/>
          <w:szCs w:val="20"/>
          <w:color w:val="auto"/>
        </w:rPr>
      </w:pPr>
    </w:p>
    <w:p>
      <w:pPr>
        <w:ind w:left="1100" w:right="160" w:firstLine="2"/>
        <w:spacing w:after="0" w:line="281" w:lineRule="auto"/>
        <w:tabs>
          <w:tab w:leader="none" w:pos="1359" w:val="left"/>
        </w:tabs>
        <w:numPr>
          <w:ilvl w:val="0"/>
          <w:numId w:val="123"/>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Rights Not Transferable. </w:t>
      </w:r>
      <w:r>
        <w:rPr>
          <w:rFonts w:ascii="Arial" w:cs="Arial" w:eastAsia="Arial" w:hAnsi="Arial"/>
          <w:sz w:val="14"/>
          <w:szCs w:val="14"/>
          <w:color w:val="auto"/>
        </w:rPr>
        <w:t>No employee shall be permitted to sell, assign, transfer, pledge, or otherwise dispose of or encumber</w:t>
      </w:r>
      <w:r>
        <w:rPr>
          <w:rFonts w:ascii="Arial" w:cs="Arial" w:eastAsia="Arial" w:hAnsi="Arial"/>
          <w:sz w:val="14"/>
          <w:szCs w:val="14"/>
          <w:b w:val="1"/>
          <w:bCs w:val="1"/>
          <w:color w:val="auto"/>
        </w:rPr>
        <w:t xml:space="preserve"> </w:t>
      </w:r>
      <w:r>
        <w:rPr>
          <w:rFonts w:ascii="Arial" w:cs="Arial" w:eastAsia="Arial" w:hAnsi="Arial"/>
          <w:sz w:val="14"/>
          <w:szCs w:val="14"/>
          <w:color w:val="auto"/>
        </w:rPr>
        <w:t>either the payroll deductions credited to his or her Account or an option or any rights with regard to the exercise of an option or rights to receive shares under the Plan other than by will or the laws of descent and distribution, and such right and interest shall not be liable for, or subject to, the debts, contracts, or liabilities of the employee. If any such action is taken by the employee, or any claim is asserted by any other party in respect of such right and interest whether by garnishment, levy, attachment or otherwise, the action or claim will be treated as an election to withdraw funds in accordance with Section 9. During the employee’s lifetime, only the employee can make decisions regarding the participation in or withdrawal from an offering under the Plan.</w:t>
      </w:r>
    </w:p>
    <w:p>
      <w:pPr>
        <w:spacing w:after="0" w:line="53" w:lineRule="exact"/>
        <w:rPr>
          <w:rFonts w:ascii="Arial" w:cs="Arial" w:eastAsia="Arial" w:hAnsi="Arial"/>
          <w:sz w:val="14"/>
          <w:szCs w:val="14"/>
          <w:b w:val="1"/>
          <w:bCs w:val="1"/>
          <w:color w:val="auto"/>
        </w:rPr>
      </w:pPr>
    </w:p>
    <w:p>
      <w:pPr>
        <w:ind w:left="1100" w:right="180" w:firstLine="2"/>
        <w:spacing w:after="0" w:line="243" w:lineRule="auto"/>
        <w:tabs>
          <w:tab w:leader="none" w:pos="1359" w:val="left"/>
        </w:tabs>
        <w:numPr>
          <w:ilvl w:val="0"/>
          <w:numId w:val="12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Termination of Employment. </w:t>
      </w:r>
      <w:r>
        <w:rPr>
          <w:rFonts w:ascii="Arial" w:cs="Arial" w:eastAsia="Arial" w:hAnsi="Arial"/>
          <w:sz w:val="16"/>
          <w:szCs w:val="16"/>
          <w:color w:val="auto"/>
        </w:rPr>
        <w:t>Upon termination of employment for any reason whatsoever, including but not limited to death or</w:t>
      </w:r>
      <w:r>
        <w:rPr>
          <w:rFonts w:ascii="Arial" w:cs="Arial" w:eastAsia="Arial" w:hAnsi="Arial"/>
          <w:sz w:val="16"/>
          <w:szCs w:val="16"/>
          <w:b w:val="1"/>
          <w:bCs w:val="1"/>
          <w:color w:val="auto"/>
        </w:rPr>
        <w:t xml:space="preserve"> </w:t>
      </w:r>
      <w:r>
        <w:rPr>
          <w:rFonts w:ascii="Arial" w:cs="Arial" w:eastAsia="Arial" w:hAnsi="Arial"/>
          <w:sz w:val="16"/>
          <w:szCs w:val="16"/>
          <w:color w:val="auto"/>
        </w:rPr>
        <w:t>retirement, the employee is considered automatically withdrawn from the Plan and the balance in the Account of a participating employee shall be paid to the employee or his or her estate. Whether and when employment is deemed terminated for purposes of this Plan shall be determined by the Administrator in its sole discretion and may be determined without regard to statutory notice periods or other periods following termination of active employment.</w:t>
      </w:r>
    </w:p>
    <w:p>
      <w:pPr>
        <w:spacing w:after="0" w:line="78" w:lineRule="exact"/>
        <w:rPr>
          <w:rFonts w:ascii="Arial" w:cs="Arial" w:eastAsia="Arial" w:hAnsi="Arial"/>
          <w:sz w:val="16"/>
          <w:szCs w:val="16"/>
          <w:b w:val="1"/>
          <w:bCs w:val="1"/>
          <w:color w:val="auto"/>
        </w:rPr>
      </w:pPr>
    </w:p>
    <w:p>
      <w:pPr>
        <w:ind w:left="1100" w:right="180" w:firstLine="2"/>
        <w:spacing w:after="0" w:line="335" w:lineRule="auto"/>
        <w:tabs>
          <w:tab w:leader="none" w:pos="1359" w:val="left"/>
        </w:tabs>
        <w:numPr>
          <w:ilvl w:val="0"/>
          <w:numId w:val="123"/>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Amendment or Discontinuance of the Plan. </w:t>
      </w:r>
      <w:r>
        <w:rPr>
          <w:rFonts w:ascii="Arial" w:cs="Arial" w:eastAsia="Arial" w:hAnsi="Arial"/>
          <w:sz w:val="14"/>
          <w:szCs w:val="14"/>
          <w:color w:val="auto"/>
        </w:rPr>
        <w:t>The Committee and the Board shall have the right at any time and without notice</w:t>
      </w:r>
      <w:r>
        <w:rPr>
          <w:rFonts w:ascii="Arial" w:cs="Arial" w:eastAsia="Arial" w:hAnsi="Arial"/>
          <w:sz w:val="14"/>
          <w:szCs w:val="14"/>
          <w:b w:val="1"/>
          <w:bCs w:val="1"/>
          <w:color w:val="auto"/>
        </w:rPr>
        <w:t xml:space="preserve"> </w:t>
      </w:r>
      <w:r>
        <w:rPr>
          <w:rFonts w:ascii="Arial" w:cs="Arial" w:eastAsia="Arial" w:hAnsi="Arial"/>
          <w:sz w:val="14"/>
          <w:szCs w:val="14"/>
          <w:color w:val="auto"/>
        </w:rPr>
        <w:t>to amend, modify or terminate the Plan; provided, that no employee’s existing rights under any offering already made under</w:t>
      </w:r>
    </w:p>
    <w:p>
      <w:pPr>
        <w:spacing w:after="0" w:line="200" w:lineRule="exact"/>
        <w:rPr>
          <w:sz w:val="20"/>
          <w:szCs w:val="20"/>
          <w:color w:val="auto"/>
        </w:rPr>
      </w:pPr>
    </w:p>
    <w:p>
      <w:pPr>
        <w:spacing w:after="0" w:line="236"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2021 PROXY STATEMENT</w:t>
      </w:r>
      <w:r>
        <w:rPr>
          <w:sz w:val="20"/>
          <w:szCs w:val="20"/>
          <w:color w:val="auto"/>
        </w:rPr>
        <w:tab/>
      </w:r>
      <w:r>
        <w:rPr>
          <w:rFonts w:ascii="Arial" w:cs="Arial" w:eastAsia="Arial" w:hAnsi="Arial"/>
          <w:sz w:val="12"/>
          <w:szCs w:val="12"/>
          <w:b w:val="1"/>
          <w:bCs w:val="1"/>
          <w:color w:val="0075C9"/>
        </w:rPr>
        <w:t>91</w:t>
      </w:r>
    </w:p>
    <w:p>
      <w:pPr>
        <w:sectPr>
          <w:pgSz w:w="11900" w:h="16838" w:orient="portrait"/>
          <w:cols w:equalWidth="0" w:num="1">
            <w:col w:w="10280"/>
          </w:cols>
          <w:pgMar w:left="320" w:top="445" w:right="1299" w:bottom="1440" w:gutter="0" w:footer="0" w:header="0"/>
        </w:sectPr>
      </w:pPr>
    </w:p>
    <w:bookmarkStart w:id="99" w:name="page100"/>
    <w:bookmarkEnd w:id="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jc w:val="both"/>
        <w:ind w:left="1100" w:right="380"/>
        <w:spacing w:after="0" w:line="238" w:lineRule="auto"/>
        <w:rPr>
          <w:sz w:val="20"/>
          <w:szCs w:val="20"/>
          <w:color w:val="auto"/>
        </w:rPr>
      </w:pPr>
      <w:r>
        <w:rPr>
          <w:rFonts w:ascii="Arial" w:cs="Arial" w:eastAsia="Arial" w:hAnsi="Arial"/>
          <w:sz w:val="16"/>
          <w:szCs w:val="16"/>
          <w:color w:val="auto"/>
        </w:rPr>
        <w:t>Section 4 hereof may be adversely affected thereby, and provided further that no such amendment of the Plan shall, except as provided in Section 20, increase the total number of shares to be offered under the Plan above the limit specified in Section 6 unless shareholder approval is obtained therefor.</w:t>
      </w:r>
    </w:p>
    <w:p>
      <w:pPr>
        <w:spacing w:after="0" w:line="82" w:lineRule="exact"/>
        <w:rPr>
          <w:sz w:val="20"/>
          <w:szCs w:val="20"/>
          <w:color w:val="auto"/>
        </w:rPr>
      </w:pPr>
    </w:p>
    <w:p>
      <w:pPr>
        <w:ind w:left="1100" w:right="100" w:firstLine="2"/>
        <w:spacing w:after="0" w:line="241" w:lineRule="auto"/>
        <w:tabs>
          <w:tab w:leader="none" w:pos="1359" w:val="left"/>
        </w:tabs>
        <w:numPr>
          <w:ilvl w:val="0"/>
          <w:numId w:val="12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Changes in Capitalization. </w:t>
      </w:r>
      <w:r>
        <w:rPr>
          <w:rFonts w:ascii="Arial" w:cs="Arial" w:eastAsia="Arial" w:hAnsi="Arial"/>
          <w:sz w:val="16"/>
          <w:szCs w:val="16"/>
          <w:color w:val="auto"/>
        </w:rPr>
        <w:t>In the event of reorganization, recapitalization, stock split, stock dividend, combination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merger, consolidation, offerings of rights, or any other change in the structure of the common stock of the Company, the Administrator will make such adjustment, if any, as it may deem appropriate in the number, kind, and the price of shares available for purchase under the Plan, and in the number of shares which an employee is entitled to purchase including, without limitation, closing an offering early and permitting purchase on the last business day of the reduced offering period, or terminating an offering and refunding participants’ Account balances.</w:t>
      </w:r>
    </w:p>
    <w:p>
      <w:pPr>
        <w:spacing w:after="0" w:line="82" w:lineRule="exact"/>
        <w:rPr>
          <w:rFonts w:ascii="Arial" w:cs="Arial" w:eastAsia="Arial" w:hAnsi="Arial"/>
          <w:sz w:val="16"/>
          <w:szCs w:val="16"/>
          <w:b w:val="1"/>
          <w:bCs w:val="1"/>
          <w:color w:val="auto"/>
        </w:rPr>
      </w:pPr>
    </w:p>
    <w:p>
      <w:pPr>
        <w:ind w:left="1100" w:right="120" w:firstLine="2"/>
        <w:spacing w:after="0" w:line="276" w:lineRule="auto"/>
        <w:tabs>
          <w:tab w:leader="none" w:pos="1359" w:val="left"/>
        </w:tabs>
        <w:numPr>
          <w:ilvl w:val="0"/>
          <w:numId w:val="124"/>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Share Ownership. </w:t>
      </w:r>
      <w:r>
        <w:rPr>
          <w:rFonts w:ascii="Arial" w:cs="Arial" w:eastAsia="Arial" w:hAnsi="Arial"/>
          <w:sz w:val="14"/>
          <w:szCs w:val="14"/>
          <w:color w:val="auto"/>
        </w:rPr>
        <w:t>Notwithstanding anything in the Plan to the contrary, no employee shall be permitted to subscribe for any</w:t>
      </w:r>
      <w:r>
        <w:rPr>
          <w:rFonts w:ascii="Arial" w:cs="Arial" w:eastAsia="Arial" w:hAnsi="Arial"/>
          <w:sz w:val="14"/>
          <w:szCs w:val="14"/>
          <w:b w:val="1"/>
          <w:bCs w:val="1"/>
          <w:color w:val="auto"/>
        </w:rPr>
        <w:t xml:space="preserve"> </w:t>
      </w:r>
      <w:r>
        <w:rPr>
          <w:rFonts w:ascii="Arial" w:cs="Arial" w:eastAsia="Arial" w:hAnsi="Arial"/>
          <w:sz w:val="14"/>
          <w:szCs w:val="14"/>
          <w:color w:val="auto"/>
        </w:rPr>
        <w:t>shares under the Plan if the employee, immediately after such subscription, owns shares (including all shares that may be purchased under outstanding subscriptions under the Plan) possessing 5% or more of the total combined voting power or value of all classes of shares of the Company or of its parent or subsidiary corporations. For the foregoing purposes, the rules of</w:t>
      </w:r>
    </w:p>
    <w:p>
      <w:pPr>
        <w:spacing w:after="0" w:line="2" w:lineRule="exact"/>
        <w:rPr>
          <w:rFonts w:ascii="Arial" w:cs="Arial" w:eastAsia="Arial" w:hAnsi="Arial"/>
          <w:sz w:val="14"/>
          <w:szCs w:val="14"/>
          <w:b w:val="1"/>
          <w:bCs w:val="1"/>
          <w:color w:val="auto"/>
        </w:rPr>
      </w:pPr>
    </w:p>
    <w:p>
      <w:pPr>
        <w:ind w:left="1100"/>
        <w:spacing w:after="0" w:line="277" w:lineRule="auto"/>
        <w:rPr>
          <w:rFonts w:ascii="Arial" w:cs="Arial" w:eastAsia="Arial" w:hAnsi="Arial"/>
          <w:sz w:val="14"/>
          <w:szCs w:val="14"/>
          <w:b w:val="1"/>
          <w:bCs w:val="1"/>
          <w:color w:val="auto"/>
        </w:rPr>
      </w:pPr>
      <w:r>
        <w:rPr>
          <w:rFonts w:ascii="Arial" w:cs="Arial" w:eastAsia="Arial" w:hAnsi="Arial"/>
          <w:sz w:val="14"/>
          <w:szCs w:val="14"/>
          <w:color w:val="auto"/>
        </w:rPr>
        <w:t>Section 424(d) of the Code shall apply in determining share ownership, and shares the employee may purchase under outstanding options shall be treated as owned by the employee. In addition, no employee shall be allowed to subscribe for any shares under the Plan that permit his or her rights to purchase shares under all “employee stock purchase plans” of the Company and its parent or subsidiary corporations to accrue at a rate that exceeds $25,000 of Fair Market Value of such shares (determined at the time such right to subscribe is granted) for each calendar year in which the right to subscribe is outstanding at any time. Notwithstanding the above, lower limitations may be imposed with respect to participants in the Non-Statutory Plan or participants in the Statutory Plan who are subject to laws of another jurisdiction where lower limitations are required.</w:t>
      </w:r>
    </w:p>
    <w:p>
      <w:pPr>
        <w:spacing w:after="0" w:line="343" w:lineRule="exact"/>
        <w:rPr>
          <w:rFonts w:ascii="Arial" w:cs="Arial" w:eastAsia="Arial" w:hAnsi="Arial"/>
          <w:sz w:val="14"/>
          <w:szCs w:val="14"/>
          <w:b w:val="1"/>
          <w:bCs w:val="1"/>
          <w:color w:val="auto"/>
        </w:rPr>
      </w:pPr>
    </w:p>
    <w:p>
      <w:pPr>
        <w:ind w:left="1360" w:hanging="258"/>
        <w:spacing w:after="0"/>
        <w:tabs>
          <w:tab w:leader="none" w:pos="1360" w:val="left"/>
        </w:tabs>
        <w:numPr>
          <w:ilvl w:val="0"/>
          <w:numId w:val="124"/>
        </w:numPr>
        <w:rPr>
          <w:rFonts w:ascii="Arial" w:cs="Arial" w:eastAsia="Arial" w:hAnsi="Arial"/>
          <w:sz w:val="16"/>
          <w:szCs w:val="16"/>
          <w:b w:val="1"/>
          <w:bCs w:val="1"/>
          <w:color w:val="auto"/>
        </w:rPr>
      </w:pPr>
      <w:r>
        <w:rPr>
          <w:rFonts w:ascii="Arial" w:cs="Arial" w:eastAsia="Arial" w:hAnsi="Arial"/>
          <w:sz w:val="16"/>
          <w:szCs w:val="16"/>
          <w:b w:val="1"/>
          <w:bCs w:val="1"/>
          <w:color w:val="auto"/>
        </w:rPr>
        <w:t>Administration and Board Authority.</w:t>
      </w:r>
    </w:p>
    <w:p>
      <w:pPr>
        <w:spacing w:after="0" w:line="119" w:lineRule="exact"/>
        <w:rPr>
          <w:sz w:val="20"/>
          <w:szCs w:val="20"/>
          <w:color w:val="auto"/>
        </w:rPr>
      </w:pPr>
    </w:p>
    <w:p>
      <w:pPr>
        <w:ind w:left="1100" w:right="100"/>
        <w:spacing w:after="0" w:line="270" w:lineRule="auto"/>
        <w:rPr>
          <w:sz w:val="20"/>
          <w:szCs w:val="20"/>
          <w:color w:val="auto"/>
        </w:rPr>
      </w:pPr>
      <w:r>
        <w:rPr>
          <w:rFonts w:ascii="Arial" w:cs="Arial" w:eastAsia="Arial" w:hAnsi="Arial"/>
          <w:sz w:val="14"/>
          <w:szCs w:val="14"/>
          <w:color w:val="auto"/>
        </w:rPr>
        <w:t>22.1 The Plan shall be administered by the Board. The Board has delegated its full authority under the Plan to the Committee, and the Committee may further delegate any or all of its authority under this Plan to such senior officer(s) of the Company as it may designate to the extent permitted under applicable law. Notwithstanding any such delegation of authority, the Board may itself take any action under the Plan in its discretion at any time, and any reference in this Plan document to the rights and obligations of the Committee shall be construed to apply equally to the Board. Any references to the Board mean only the Board. To the extent permitted under applicable law, the authority that may be delegated by the Committee includes, without limitation, the authority to</w:t>
      </w:r>
    </w:p>
    <w:p>
      <w:pPr>
        <w:spacing w:after="0" w:line="1" w:lineRule="exact"/>
        <w:rPr>
          <w:sz w:val="20"/>
          <w:szCs w:val="20"/>
          <w:color w:val="auto"/>
        </w:rPr>
      </w:pPr>
    </w:p>
    <w:p>
      <w:pPr>
        <w:ind w:left="1100" w:right="20" w:firstLine="2"/>
        <w:spacing w:after="0" w:line="237" w:lineRule="auto"/>
        <w:tabs>
          <w:tab w:leader="none" w:pos="1281" w:val="left"/>
        </w:tabs>
        <w:numPr>
          <w:ilvl w:val="0"/>
          <w:numId w:val="125"/>
        </w:numPr>
        <w:rPr>
          <w:rFonts w:ascii="Arial" w:cs="Arial" w:eastAsia="Arial" w:hAnsi="Arial"/>
          <w:sz w:val="16"/>
          <w:szCs w:val="16"/>
          <w:color w:val="auto"/>
        </w:rPr>
      </w:pPr>
      <w:r>
        <w:rPr>
          <w:rFonts w:ascii="Arial" w:cs="Arial" w:eastAsia="Arial" w:hAnsi="Arial"/>
          <w:sz w:val="16"/>
          <w:szCs w:val="16"/>
          <w:color w:val="auto"/>
        </w:rPr>
        <w:t>establish offerings under the Non-Statutory Plan and determine the terms of such offerings, (ii) designate from time to time which Subsidiaries will participate in the Statutory Plan, which Subsidiaries will be Participating Companies, and which Participating Companies will participate in a particular offering under the Non-Statutory Plan, (iii) determine procedures for eligible employees to enroll in or withdraw from an offering, setting or changing payroll deduction percentages, and the methods for obtaining necessary tax withholdings, (iv) adopt amendments to the Plan including, without limitation, amendments to increase the shares available for issuance under the Plan pursuant to Section 20 (but not including increases in the available shares above the maximum permitted by Sections 6 and 20 which shall require Board and shareholder approval).</w:t>
      </w:r>
    </w:p>
    <w:p>
      <w:pPr>
        <w:spacing w:after="0" w:line="101" w:lineRule="exact"/>
        <w:rPr>
          <w:sz w:val="20"/>
          <w:szCs w:val="20"/>
          <w:color w:val="auto"/>
        </w:rPr>
      </w:pPr>
    </w:p>
    <w:p>
      <w:pPr>
        <w:ind w:left="1100" w:right="20"/>
        <w:spacing w:after="0" w:line="236" w:lineRule="auto"/>
        <w:rPr>
          <w:sz w:val="20"/>
          <w:szCs w:val="20"/>
          <w:color w:val="auto"/>
        </w:rPr>
      </w:pPr>
      <w:r>
        <w:rPr>
          <w:rFonts w:ascii="Arial" w:cs="Arial" w:eastAsia="Arial" w:hAnsi="Arial"/>
          <w:sz w:val="16"/>
          <w:szCs w:val="16"/>
          <w:color w:val="auto"/>
        </w:rPr>
        <w:t>22.2 The Administrator shall be vested with full authority and discretion to construe the terms of the Plan and make factual determinations under the Plan, and to make, administer, and interpret such rules and regulations as it deems necessary or advisable to administer the Plan, and any determination, decision, or action of the Administrator in connection with the construction, interpretation, administration, or application of the Plan shall be final, conclusive, and binding upon all participants and any and all persons claiming under or through any participant. The Administrator may retain outside entities and professionals to assist in the administration of the Plan including, without limitation, a vendor or vendors to perform enrollment and brokerage services. The authority of the Administrator will specifically include, without limitation, the power to make any changes to the Plan with respect to the participation of employees of any Subsidiary that is organized under the laws of a country other than the United States of America when the Administrator deems such changes to be necessary or appropriate to achieve a desired tax treatment in such foreign jurisdiction or to comply with the laws applicable to such non-U.S. Subsidiaries. Those changes may include, without limitation, the exclusion of particular Subsidiaries from participation in the Plan; modifications to eligibility criteria, maximum number or value of shares that may be purchased in a given period, or other requirements set forth herein; and procedural or administrative modifications. Any modification relating to offerings to a particular Participating Company in the Statutory Plan will apply only to that Participating Company, and will apply equally to all similarly situated employees of that Participating Company. The rights and privileges of all employees granted options under the same offering in the Statutory Plan shall be the same. To the extent any changes approved by the Administrator would jeopardize the tax-qualified status of the Statutory Plan, the change shall cause the Participating Companies affected thereby to be considered Participating Companies under the Non-Statutory Plan instead of the Statutory Plan.</w:t>
      </w:r>
    </w:p>
    <w:p>
      <w:pPr>
        <w:spacing w:after="0" w:line="200" w:lineRule="exact"/>
        <w:rPr>
          <w:sz w:val="20"/>
          <w:szCs w:val="20"/>
          <w:color w:val="auto"/>
        </w:rPr>
      </w:pPr>
    </w:p>
    <w:p>
      <w:pPr>
        <w:spacing w:after="0" w:line="312"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-94615</wp:posOffset>
            </wp:positionV>
            <wp:extent cx="485140" cy="9842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45" w:right="1439" w:bottom="1440" w:gutter="0" w:footer="0" w:header="0"/>
        </w:sectPr>
      </w:pPr>
    </w:p>
    <w:bookmarkStart w:id="100" w:name="page101"/>
    <w:bookmarkEnd w:id="1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ind w:left="1100" w:right="140" w:firstLine="2"/>
        <w:spacing w:after="0" w:line="238" w:lineRule="auto"/>
        <w:tabs>
          <w:tab w:leader="none" w:pos="1359" w:val="left"/>
        </w:tabs>
        <w:numPr>
          <w:ilvl w:val="0"/>
          <w:numId w:val="12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Section 409A. </w:t>
      </w:r>
      <w:r>
        <w:rPr>
          <w:rFonts w:ascii="Arial" w:cs="Arial" w:eastAsia="Arial" w:hAnsi="Arial"/>
          <w:sz w:val="16"/>
          <w:szCs w:val="16"/>
          <w:color w:val="auto"/>
        </w:rPr>
        <w:t>The Statutory Plan is intended to be exempt from the application of Section 409A of the Code, and, to the extent</w:t>
      </w:r>
      <w:r>
        <w:rPr>
          <w:rFonts w:ascii="Arial" w:cs="Arial" w:eastAsia="Arial" w:hAnsi="Arial"/>
          <w:sz w:val="16"/>
          <w:szCs w:val="16"/>
          <w:b w:val="1"/>
          <w:bCs w:val="1"/>
          <w:color w:val="auto"/>
        </w:rPr>
        <w:t xml:space="preserve"> </w:t>
      </w:r>
      <w:r>
        <w:rPr>
          <w:rFonts w:ascii="Arial" w:cs="Arial" w:eastAsia="Arial" w:hAnsi="Arial"/>
          <w:sz w:val="16"/>
          <w:szCs w:val="16"/>
          <w:color w:val="auto"/>
        </w:rPr>
        <w:t>not exempt, is intended to comply with Section 409A of the Code, and any ambiguities herein will be interpreted to so be exempt from, or comply with, Section 409A of the Code. In furtherance of the foregoing and notwithstanding any provision in the Plan to the contrary, if the Administrator determines that an option granted under the Plan may be subject to Section 409A of the Code or that any provision in the Plan would cause an option under the Plan to be subject to Section 409A of the Code, the Administrator may amend the terms of the Plan and/or of an outstanding option granted under the Plan, or take such other action the Administrator determines is necessary or appropriate, in each case, without the participant’s consent, to exempt any outstanding option or future option that may be granted under the Plan from or to allow any such option to comply with Section 409A, of the Code but only to the extent any such amendments or action by the Administrator would not violate Section 409A of the Code. Notwithstanding the foregoing, the Company and any of its Subsidiaries shall have no obligation to reimburse, indemnify, or hold harmless a participant or any other party if the option under the Plan that is intended to be exempt from or compliant with Section 409A of the Code is not so exempt or compliant or for any action taken by the Administrator with respect thereto. The Company makes no representation that options under the Plan are compliant with Section 409A of the Code.</w:t>
      </w:r>
    </w:p>
    <w:p>
      <w:pPr>
        <w:spacing w:after="0" w:line="88" w:lineRule="exact"/>
        <w:rPr>
          <w:rFonts w:ascii="Arial" w:cs="Arial" w:eastAsia="Arial" w:hAnsi="Arial"/>
          <w:sz w:val="16"/>
          <w:szCs w:val="16"/>
          <w:b w:val="1"/>
          <w:bCs w:val="1"/>
          <w:color w:val="auto"/>
        </w:rPr>
      </w:pPr>
    </w:p>
    <w:p>
      <w:pPr>
        <w:ind w:left="1100" w:right="140" w:firstLine="2"/>
        <w:spacing w:after="0" w:line="245" w:lineRule="auto"/>
        <w:tabs>
          <w:tab w:leader="none" w:pos="1359" w:val="left"/>
        </w:tabs>
        <w:numPr>
          <w:ilvl w:val="0"/>
          <w:numId w:val="12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Notices. </w:t>
      </w:r>
      <w:r>
        <w:rPr>
          <w:rFonts w:ascii="Arial" w:cs="Arial" w:eastAsia="Arial" w:hAnsi="Arial"/>
          <w:sz w:val="16"/>
          <w:szCs w:val="16"/>
          <w:color w:val="auto"/>
        </w:rPr>
        <w:t>All notices or other communications by a participant to the Company or other entity designated for a particular purpose</w:t>
      </w:r>
      <w:r>
        <w:rPr>
          <w:rFonts w:ascii="Arial" w:cs="Arial" w:eastAsia="Arial" w:hAnsi="Arial"/>
          <w:sz w:val="16"/>
          <w:szCs w:val="16"/>
          <w:b w:val="1"/>
          <w:bCs w:val="1"/>
          <w:color w:val="auto"/>
        </w:rPr>
        <w:t xml:space="preserve"> </w:t>
      </w:r>
      <w:r>
        <w:rPr>
          <w:rFonts w:ascii="Arial" w:cs="Arial" w:eastAsia="Arial" w:hAnsi="Arial"/>
          <w:sz w:val="16"/>
          <w:szCs w:val="16"/>
          <w:color w:val="auto"/>
        </w:rPr>
        <w:t>under or in connection with the Plan shall be deemed to have been duly given when received by the Company or other designated entity, or when received in the form specified by the Company at the location, or by the person, designated by the Company for the receipt thereof.</w:t>
      </w:r>
    </w:p>
    <w:p>
      <w:pPr>
        <w:spacing w:after="0" w:line="77" w:lineRule="exact"/>
        <w:rPr>
          <w:rFonts w:ascii="Arial" w:cs="Arial" w:eastAsia="Arial" w:hAnsi="Arial"/>
          <w:sz w:val="16"/>
          <w:szCs w:val="16"/>
          <w:b w:val="1"/>
          <w:bCs w:val="1"/>
          <w:color w:val="auto"/>
        </w:rPr>
      </w:pPr>
    </w:p>
    <w:p>
      <w:pPr>
        <w:ind w:left="1360" w:hanging="258"/>
        <w:spacing w:after="0"/>
        <w:tabs>
          <w:tab w:leader="none" w:pos="1360" w:val="left"/>
        </w:tabs>
        <w:numPr>
          <w:ilvl w:val="0"/>
          <w:numId w:val="12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Termination of the Plan. </w:t>
      </w:r>
      <w:r>
        <w:rPr>
          <w:rFonts w:ascii="Arial" w:cs="Arial" w:eastAsia="Arial" w:hAnsi="Arial"/>
          <w:sz w:val="16"/>
          <w:szCs w:val="16"/>
          <w:color w:val="auto"/>
        </w:rPr>
        <w:t>This Plan will terminate at the earliest of the following:</w:t>
      </w:r>
    </w:p>
    <w:p>
      <w:pPr>
        <w:spacing w:after="0" w:line="15" w:lineRule="exact"/>
        <w:rPr>
          <w:sz w:val="20"/>
          <w:szCs w:val="20"/>
          <w:color w:val="auto"/>
        </w:rPr>
      </w:pPr>
    </w:p>
    <w:p>
      <w:pPr>
        <w:ind w:left="1340" w:hanging="238"/>
        <w:spacing w:after="0"/>
        <w:tabs>
          <w:tab w:leader="none" w:pos="134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December 31, 2031;</w:t>
      </w:r>
    </w:p>
    <w:p>
      <w:pPr>
        <w:spacing w:after="0" w:line="100" w:lineRule="exact"/>
        <w:rPr>
          <w:rFonts w:ascii="Arial" w:cs="Arial" w:eastAsia="Arial" w:hAnsi="Arial"/>
          <w:sz w:val="16"/>
          <w:szCs w:val="16"/>
          <w:color w:val="auto"/>
        </w:rPr>
      </w:pPr>
    </w:p>
    <w:p>
      <w:pPr>
        <w:ind w:left="1100" w:right="260" w:firstLine="2"/>
        <w:spacing w:after="0" w:line="237" w:lineRule="auto"/>
        <w:tabs>
          <w:tab w:leader="none" w:pos="1333"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date of the filing of a Statement of Intent to Dissolve by the Company or the effective date of a merger or consolidation wherein the Company is not to be the surviving corporation, which merger or consolidation is not between or among corporations related to the Company. Prior to the occurrence of either of such events, on such date as the Company may determine, the Company may permit a participating employee to exercise the option to purchase shares for as many shares as the balance of his or her Account will allow at the price set forth in accordance with Section 5. If the employee elects to purchase shares, any remaining balance of the employee’s Account will be refunded to the employee after that purchase;</w:t>
      </w:r>
    </w:p>
    <w:p>
      <w:pPr>
        <w:spacing w:after="0" w:line="101" w:lineRule="exact"/>
        <w:rPr>
          <w:rFonts w:ascii="Arial" w:cs="Arial" w:eastAsia="Arial" w:hAnsi="Arial"/>
          <w:sz w:val="16"/>
          <w:szCs w:val="16"/>
          <w:color w:val="auto"/>
        </w:rPr>
      </w:pPr>
    </w:p>
    <w:p>
      <w:pPr>
        <w:ind w:left="1320" w:hanging="218"/>
        <w:spacing w:after="0"/>
        <w:tabs>
          <w:tab w:leader="none" w:pos="132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date the Board acts to terminate the Plan in accordance with Section 19; and</w:t>
      </w:r>
    </w:p>
    <w:p>
      <w:pPr>
        <w:spacing w:after="0" w:line="100" w:lineRule="exact"/>
        <w:rPr>
          <w:rFonts w:ascii="Arial" w:cs="Arial" w:eastAsia="Arial" w:hAnsi="Arial"/>
          <w:sz w:val="16"/>
          <w:szCs w:val="16"/>
          <w:color w:val="auto"/>
        </w:rPr>
      </w:pPr>
    </w:p>
    <w:p>
      <w:pPr>
        <w:ind w:left="1340" w:hanging="238"/>
        <w:spacing w:after="0"/>
        <w:tabs>
          <w:tab w:leader="none" w:pos="134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date when all shares reserved under the Plan have been purchased.</w:t>
      </w:r>
    </w:p>
    <w:p>
      <w:pPr>
        <w:spacing w:after="0" w:line="83" w:lineRule="exact"/>
        <w:rPr>
          <w:sz w:val="20"/>
          <w:szCs w:val="20"/>
          <w:color w:val="auto"/>
        </w:rPr>
      </w:pPr>
    </w:p>
    <w:p>
      <w:pPr>
        <w:ind w:left="1100" w:right="180" w:firstLine="2"/>
        <w:spacing w:after="0" w:line="243" w:lineRule="auto"/>
        <w:tabs>
          <w:tab w:leader="none" w:pos="1359" w:val="left"/>
        </w:tabs>
        <w:numPr>
          <w:ilvl w:val="0"/>
          <w:numId w:val="12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Limitations on Sale of Stock Purchased Under the Plan. </w:t>
      </w:r>
      <w:r>
        <w:rPr>
          <w:rFonts w:ascii="Arial" w:cs="Arial" w:eastAsia="Arial" w:hAnsi="Arial"/>
          <w:sz w:val="16"/>
          <w:szCs w:val="16"/>
          <w:color w:val="auto"/>
        </w:rPr>
        <w:t>The Plan is intended to provide common stock for investment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not for resale. The Company does not, however, intend to restrict or influence any employee in the conduct of the employee’s own affairs. An employee, therefore, may sell stock purchased under the Plan at any time the employee chooses, subject to compliance with any applicable Federal, state or foreign securities laws. THE EMPLOYEE ASSUMES THE RISK OF ANY MARKET FLUCTUATIONS IN THE PRICE OF THE COMPANY’S STOCK.</w:t>
      </w:r>
    </w:p>
    <w:p>
      <w:pPr>
        <w:spacing w:after="0" w:line="78" w:lineRule="exact"/>
        <w:rPr>
          <w:rFonts w:ascii="Arial" w:cs="Arial" w:eastAsia="Arial" w:hAnsi="Arial"/>
          <w:sz w:val="16"/>
          <w:szCs w:val="16"/>
          <w:b w:val="1"/>
          <w:bCs w:val="1"/>
          <w:color w:val="auto"/>
        </w:rPr>
      </w:pPr>
    </w:p>
    <w:p>
      <w:pPr>
        <w:ind w:left="1100" w:right="140" w:firstLine="2"/>
        <w:spacing w:after="0" w:line="241" w:lineRule="auto"/>
        <w:tabs>
          <w:tab w:leader="none" w:pos="1359" w:val="left"/>
        </w:tabs>
        <w:numPr>
          <w:ilvl w:val="0"/>
          <w:numId w:val="12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Governmental Regulation/Compliance with Applicable Law/Separate Offering. </w:t>
      </w:r>
      <w:r>
        <w:rPr>
          <w:rFonts w:ascii="Arial" w:cs="Arial" w:eastAsia="Arial" w:hAnsi="Arial"/>
          <w:sz w:val="16"/>
          <w:szCs w:val="16"/>
          <w:color w:val="auto"/>
        </w:rPr>
        <w:t>The Company’s obligation to sell and</w:t>
      </w:r>
      <w:r>
        <w:rPr>
          <w:rFonts w:ascii="Arial" w:cs="Arial" w:eastAsia="Arial" w:hAnsi="Arial"/>
          <w:sz w:val="16"/>
          <w:szCs w:val="16"/>
          <w:b w:val="1"/>
          <w:bCs w:val="1"/>
          <w:color w:val="auto"/>
        </w:rPr>
        <w:t xml:space="preserve"> </w:t>
      </w:r>
      <w:r>
        <w:rPr>
          <w:rFonts w:ascii="Arial" w:cs="Arial" w:eastAsia="Arial" w:hAnsi="Arial"/>
          <w:sz w:val="16"/>
          <w:szCs w:val="16"/>
          <w:color w:val="auto"/>
        </w:rPr>
        <w:t>deliver shares of the Company’s common stock under this Plan is subject to the approval of any governmental authority required in connection with the authorization, issuance, or sale of such shares. In addition, the terms of an offering under this Plan, or the rights of an employee under an offering, may be modified to the extent required by applicable law. For purposes of this Plan, the Administrator also may designate separate offerings under the Plan (the terms of which need not be identical) in which eligible employees of one or more Participating Companies will participate, even if the dates of the offerings are identical.</w:t>
      </w:r>
    </w:p>
    <w:p>
      <w:pPr>
        <w:spacing w:after="0" w:line="82" w:lineRule="exact"/>
        <w:rPr>
          <w:rFonts w:ascii="Arial" w:cs="Arial" w:eastAsia="Arial" w:hAnsi="Arial"/>
          <w:sz w:val="16"/>
          <w:szCs w:val="16"/>
          <w:b w:val="1"/>
          <w:bCs w:val="1"/>
          <w:color w:val="auto"/>
        </w:rPr>
      </w:pPr>
    </w:p>
    <w:p>
      <w:pPr>
        <w:ind w:left="1100" w:right="300" w:firstLine="2"/>
        <w:spacing w:after="0" w:line="245" w:lineRule="auto"/>
        <w:tabs>
          <w:tab w:leader="none" w:pos="1359" w:val="left"/>
        </w:tabs>
        <w:numPr>
          <w:ilvl w:val="0"/>
          <w:numId w:val="12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Employment/Service Rights. </w:t>
      </w:r>
      <w:r>
        <w:rPr>
          <w:rFonts w:ascii="Arial" w:cs="Arial" w:eastAsia="Arial" w:hAnsi="Arial"/>
          <w:sz w:val="16"/>
          <w:szCs w:val="16"/>
          <w:color w:val="auto"/>
        </w:rPr>
        <w:t>Nothing in the Plan shall confer upon any employee the right to continue in employment for</w:t>
      </w:r>
      <w:r>
        <w:rPr>
          <w:rFonts w:ascii="Arial" w:cs="Arial" w:eastAsia="Arial" w:hAnsi="Arial"/>
          <w:sz w:val="16"/>
          <w:szCs w:val="16"/>
          <w:b w:val="1"/>
          <w:bCs w:val="1"/>
          <w:color w:val="auto"/>
        </w:rPr>
        <w:t xml:space="preserve"> </w:t>
      </w:r>
      <w:r>
        <w:rPr>
          <w:rFonts w:ascii="Arial" w:cs="Arial" w:eastAsia="Arial" w:hAnsi="Arial"/>
          <w:sz w:val="16"/>
          <w:szCs w:val="16"/>
          <w:color w:val="auto"/>
        </w:rPr>
        <w:t>any period of specific duration, nor interfere with or otherwise restrict in any way the rights of the Company (or any Subsidiary employing such person), or of any employee, which rights are hereby expressly reserved by each, to terminate such person’s employment at any time for any reason, with or without cause.</w:t>
      </w:r>
    </w:p>
    <w:p>
      <w:pPr>
        <w:spacing w:after="0" w:line="77" w:lineRule="exact"/>
        <w:rPr>
          <w:rFonts w:ascii="Arial" w:cs="Arial" w:eastAsia="Arial" w:hAnsi="Arial"/>
          <w:sz w:val="16"/>
          <w:szCs w:val="16"/>
          <w:b w:val="1"/>
          <w:bCs w:val="1"/>
          <w:color w:val="auto"/>
        </w:rPr>
      </w:pPr>
    </w:p>
    <w:p>
      <w:pPr>
        <w:ind w:left="1100" w:right="320" w:firstLine="2"/>
        <w:spacing w:after="0" w:line="263" w:lineRule="auto"/>
        <w:tabs>
          <w:tab w:leader="none" w:pos="1359" w:val="left"/>
        </w:tabs>
        <w:numPr>
          <w:ilvl w:val="0"/>
          <w:numId w:val="12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Dates and Times. </w:t>
      </w:r>
      <w:r>
        <w:rPr>
          <w:rFonts w:ascii="Arial" w:cs="Arial" w:eastAsia="Arial" w:hAnsi="Arial"/>
          <w:sz w:val="16"/>
          <w:szCs w:val="16"/>
          <w:color w:val="auto"/>
        </w:rPr>
        <w:t>All references in the Plan to a date or time are intended to refer to dates and times determined pursuant to</w:t>
      </w:r>
      <w:r>
        <w:rPr>
          <w:rFonts w:ascii="Arial" w:cs="Arial" w:eastAsia="Arial" w:hAnsi="Arial"/>
          <w:sz w:val="16"/>
          <w:szCs w:val="16"/>
          <w:b w:val="1"/>
          <w:bCs w:val="1"/>
          <w:color w:val="auto"/>
        </w:rPr>
        <w:t xml:space="preserve"> </w:t>
      </w:r>
      <w:r>
        <w:rPr>
          <w:rFonts w:ascii="Arial" w:cs="Arial" w:eastAsia="Arial" w:hAnsi="Arial"/>
          <w:sz w:val="16"/>
          <w:szCs w:val="16"/>
          <w:color w:val="auto"/>
        </w:rPr>
        <w:t>U.S. Pacific Time. Business days for purposes of the Plan are U.S. business days.</w:t>
      </w:r>
    </w:p>
    <w:p>
      <w:pPr>
        <w:spacing w:after="0" w:line="62" w:lineRule="exact"/>
        <w:rPr>
          <w:rFonts w:ascii="Arial" w:cs="Arial" w:eastAsia="Arial" w:hAnsi="Arial"/>
          <w:sz w:val="16"/>
          <w:szCs w:val="16"/>
          <w:b w:val="1"/>
          <w:bCs w:val="1"/>
          <w:color w:val="auto"/>
        </w:rPr>
      </w:pPr>
    </w:p>
    <w:p>
      <w:pPr>
        <w:ind w:left="1100" w:right="260" w:firstLine="2"/>
        <w:spacing w:after="0" w:line="263" w:lineRule="auto"/>
        <w:tabs>
          <w:tab w:leader="none" w:pos="1359" w:val="left"/>
        </w:tabs>
        <w:numPr>
          <w:ilvl w:val="0"/>
          <w:numId w:val="12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Masculine and Feminine, Singular and Plural. </w:t>
      </w:r>
      <w:r>
        <w:rPr>
          <w:rFonts w:ascii="Arial" w:cs="Arial" w:eastAsia="Arial" w:hAnsi="Arial"/>
          <w:sz w:val="16"/>
          <w:szCs w:val="16"/>
          <w:color w:val="auto"/>
        </w:rPr>
        <w:t>Whenever used in the Plan, a pronoun shall include the opposite gender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singular shall include the plural, and the plural shall include the singular, whenever the context shall plainly so require.</w:t>
      </w:r>
    </w:p>
    <w:p>
      <w:pPr>
        <w:spacing w:after="0" w:line="62" w:lineRule="exact"/>
        <w:rPr>
          <w:rFonts w:ascii="Arial" w:cs="Arial" w:eastAsia="Arial" w:hAnsi="Arial"/>
          <w:sz w:val="16"/>
          <w:szCs w:val="16"/>
          <w:b w:val="1"/>
          <w:bCs w:val="1"/>
          <w:color w:val="auto"/>
        </w:rPr>
      </w:pPr>
    </w:p>
    <w:p>
      <w:pPr>
        <w:ind w:left="1100" w:right="140" w:firstLine="2"/>
        <w:spacing w:after="0" w:line="263" w:lineRule="auto"/>
        <w:tabs>
          <w:tab w:leader="none" w:pos="1359" w:val="left"/>
        </w:tabs>
        <w:numPr>
          <w:ilvl w:val="0"/>
          <w:numId w:val="12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Governing Law. </w:t>
      </w:r>
      <w:r>
        <w:rPr>
          <w:rFonts w:ascii="Arial" w:cs="Arial" w:eastAsia="Arial" w:hAnsi="Arial"/>
          <w:sz w:val="16"/>
          <w:szCs w:val="16"/>
          <w:color w:val="auto"/>
        </w:rPr>
        <w:t>The Plan shall be governed by the laws of the State of Washington, U.S.A., without regard to Washington laws</w:t>
      </w:r>
      <w:r>
        <w:rPr>
          <w:rFonts w:ascii="Arial" w:cs="Arial" w:eastAsia="Arial" w:hAnsi="Arial"/>
          <w:sz w:val="16"/>
          <w:szCs w:val="16"/>
          <w:b w:val="1"/>
          <w:bCs w:val="1"/>
          <w:color w:val="auto"/>
        </w:rPr>
        <w:t xml:space="preserve"> </w:t>
      </w:r>
      <w:r>
        <w:rPr>
          <w:rFonts w:ascii="Arial" w:cs="Arial" w:eastAsia="Arial" w:hAnsi="Arial"/>
          <w:sz w:val="16"/>
          <w:szCs w:val="16"/>
          <w:color w:val="auto"/>
        </w:rPr>
        <w:t>that might cause other law to govern under applicable principles of conflicts of law.</w:t>
      </w:r>
    </w:p>
    <w:p>
      <w:pPr>
        <w:spacing w:after="0" w:line="200" w:lineRule="exact"/>
        <w:rPr>
          <w:sz w:val="20"/>
          <w:szCs w:val="20"/>
          <w:color w:val="auto"/>
        </w:rPr>
      </w:pPr>
    </w:p>
    <w:p>
      <w:pPr>
        <w:spacing w:after="0" w:line="282"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2021 PROXY STATEMENT</w:t>
      </w:r>
      <w:r>
        <w:rPr>
          <w:sz w:val="20"/>
          <w:szCs w:val="20"/>
          <w:color w:val="auto"/>
        </w:rPr>
        <w:tab/>
      </w:r>
      <w:r>
        <w:rPr>
          <w:rFonts w:ascii="Arial" w:cs="Arial" w:eastAsia="Arial" w:hAnsi="Arial"/>
          <w:sz w:val="12"/>
          <w:szCs w:val="12"/>
          <w:b w:val="1"/>
          <w:bCs w:val="1"/>
          <w:color w:val="0075C9"/>
        </w:rPr>
        <w:t>93</w:t>
      </w:r>
    </w:p>
    <w:p>
      <w:pPr>
        <w:sectPr>
          <w:pgSz w:w="11900" w:h="16838" w:orient="portrait"/>
          <w:cols w:equalWidth="0" w:num="1">
            <w:col w:w="10280"/>
          </w:cols>
          <w:pgMar w:left="320" w:top="445" w:right="1299" w:bottom="1440" w:gutter="0" w:footer="0" w:header="0"/>
        </w:sectPr>
      </w:pPr>
    </w:p>
    <w:bookmarkStart w:id="101" w:name="page102"/>
    <w:bookmarkEnd w:id="1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205740</wp:posOffset>
            </wp:positionV>
            <wp:extent cx="5908675" cy="577723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908675" cy="577723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2960"/>
        <w:spacing w:after="0"/>
        <w:rPr>
          <w:sz w:val="20"/>
          <w:szCs w:val="20"/>
          <w:color w:val="auto"/>
        </w:rPr>
      </w:pPr>
      <w:r>
        <w:rPr>
          <w:rFonts w:ascii="Arial" w:cs="Arial" w:eastAsia="Arial" w:hAnsi="Arial"/>
          <w:sz w:val="41"/>
          <w:szCs w:val="41"/>
          <w:b w:val="1"/>
          <w:bCs w:val="1"/>
          <w:color w:val="0075C9"/>
        </w:rPr>
        <w:t>Microsoft Employee Giving</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left="1580" w:right="40"/>
        <w:spacing w:after="0" w:line="238" w:lineRule="auto"/>
        <w:rPr>
          <w:sz w:val="20"/>
          <w:szCs w:val="20"/>
          <w:color w:val="auto"/>
        </w:rPr>
      </w:pPr>
      <w:r>
        <w:rPr>
          <w:rFonts w:ascii="Arial" w:cs="Arial" w:eastAsia="Arial" w:hAnsi="Arial"/>
          <w:sz w:val="16"/>
          <w:szCs w:val="16"/>
          <w:color w:val="auto"/>
        </w:rPr>
        <w:t xml:space="preserve">Microsoft employees are passionate about giving time, money, and skills to address the issues facing our world. It’s part of our culture and how we live our mission – that’s why our employees have given </w:t>
      </w:r>
      <w:r>
        <w:rPr>
          <w:rFonts w:ascii="Arial" w:cs="Arial" w:eastAsia="Arial" w:hAnsi="Arial"/>
          <w:sz w:val="16"/>
          <w:szCs w:val="16"/>
          <w:b w:val="1"/>
          <w:bCs w:val="1"/>
          <w:color w:val="auto"/>
        </w:rPr>
        <w:t>$214.2</w:t>
      </w:r>
      <w:r>
        <w:rPr>
          <w:rFonts w:ascii="Arial" w:cs="Arial" w:eastAsia="Arial" w:hAnsi="Arial"/>
          <w:sz w:val="16"/>
          <w:szCs w:val="16"/>
          <w:color w:val="auto"/>
        </w:rPr>
        <w:t xml:space="preserve"> million with corporate match in Fiscal Year 2021 and a total of </w:t>
      </w:r>
      <w:r>
        <w:rPr>
          <w:rFonts w:ascii="Arial" w:cs="Arial" w:eastAsia="Arial" w:hAnsi="Arial"/>
          <w:sz w:val="16"/>
          <w:szCs w:val="16"/>
          <w:b w:val="1"/>
          <w:bCs w:val="1"/>
          <w:color w:val="auto"/>
        </w:rPr>
        <w:t>$605.3</w:t>
      </w:r>
      <w:r>
        <w:rPr>
          <w:rFonts w:ascii="Arial" w:cs="Arial" w:eastAsia="Arial" w:hAnsi="Arial"/>
          <w:sz w:val="16"/>
          <w:szCs w:val="16"/>
          <w:color w:val="auto"/>
        </w:rPr>
        <w:t xml:space="preserve"> million with corporate match over the past three fiscal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140"/>
        <w:spacing w:after="0"/>
        <w:rPr>
          <w:sz w:val="20"/>
          <w:szCs w:val="20"/>
          <w:color w:val="auto"/>
        </w:rPr>
      </w:pPr>
      <w:r>
        <w:rPr>
          <w:rFonts w:ascii="Arial" w:cs="Arial" w:eastAsia="Arial" w:hAnsi="Arial"/>
          <w:sz w:val="24"/>
          <w:szCs w:val="24"/>
          <w:b w:val="1"/>
          <w:bCs w:val="1"/>
          <w:color w:val="0075C9"/>
        </w:rPr>
        <w:t>Drive More Impact with Nonprofit Offers from Microsoft</w:t>
      </w:r>
    </w:p>
    <w:p>
      <w:pPr>
        <w:spacing w:after="0" w:line="143" w:lineRule="exact"/>
        <w:rPr>
          <w:sz w:val="20"/>
          <w:szCs w:val="20"/>
          <w:color w:val="auto"/>
        </w:rPr>
      </w:pPr>
    </w:p>
    <w:p>
      <w:pPr>
        <w:ind w:left="1140" w:right="139"/>
        <w:spacing w:after="0" w:line="238" w:lineRule="auto"/>
        <w:rPr>
          <w:sz w:val="20"/>
          <w:szCs w:val="20"/>
          <w:color w:val="auto"/>
        </w:rPr>
      </w:pPr>
      <w:r>
        <w:rPr>
          <w:rFonts w:ascii="Arial" w:cs="Arial" w:eastAsia="Arial" w:hAnsi="Arial"/>
          <w:sz w:val="16"/>
          <w:szCs w:val="16"/>
          <w:color w:val="auto"/>
        </w:rPr>
        <w:t>We’re committed to delivering relevant, affordable, and innovative cloud solutions to help nonprofits tackle the world’s biggest challenges. Get grants and discounts across our cloud products including Azure, Dynamics 365, and Microsoft 365, as well as for industry-specific solutions like Fundraising and Engagement. Get started at Microsoft.com/Nonprofits.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1029970</wp:posOffset>
            </wp:positionH>
            <wp:positionV relativeFrom="paragraph">
              <wp:posOffset>342265</wp:posOffset>
            </wp:positionV>
            <wp:extent cx="1101725" cy="5264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101725" cy="526415"/>
                    </a:xfrm>
                    <a:prstGeom prst="rect">
                      <a:avLst/>
                    </a:prstGeom>
                    <a:noFill/>
                  </pic:spPr>
                </pic:pic>
              </a:graphicData>
            </a:graphic>
          </wp:anchor>
        </w:drawing>
        <w:drawing>
          <wp:anchor simplePos="0" relativeHeight="251657728" behindDoc="1" locked="0" layoutInCell="0" allowOverlap="1">
            <wp:simplePos x="0" y="0"/>
            <wp:positionH relativeFrom="column">
              <wp:posOffset>5067935</wp:posOffset>
            </wp:positionH>
            <wp:positionV relativeFrom="paragraph">
              <wp:posOffset>514985</wp:posOffset>
            </wp:positionV>
            <wp:extent cx="822325" cy="17272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22325" cy="172720"/>
                    </a:xfrm>
                    <a:prstGeom prst="rect">
                      <a:avLst/>
                    </a:prstGeom>
                    <a:noFill/>
                  </pic:spPr>
                </pic:pic>
              </a:graphicData>
            </a:graphic>
          </wp:anchor>
        </w:drawing>
      </w:r>
    </w:p>
    <w:p>
      <w:pPr>
        <w:sectPr>
          <w:pgSz w:w="11900" w:h="16838" w:orient="portrait"/>
          <w:cols w:equalWidth="0" w:num="1">
            <w:col w:w="10139"/>
          </w:cols>
          <w:pgMar w:left="320" w:top="445" w:right="1440" w:bottom="1440" w:gutter="0" w:footer="0" w:header="0"/>
        </w:sectPr>
      </w:pPr>
    </w:p>
    <w:bookmarkStart w:id="102" w:name="page103"/>
    <w:bookmarkEnd w:id="10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wp:posOffset>
            </wp:positionH>
            <wp:positionV relativeFrom="paragraph">
              <wp:posOffset>214630</wp:posOffset>
            </wp:positionV>
            <wp:extent cx="6035675" cy="781240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035675" cy="7812405"/>
                    </a:xfrm>
                    <a:prstGeom prst="rect">
                      <a:avLst/>
                    </a:prstGeom>
                    <a:noFill/>
                  </pic:spPr>
                </pic:pic>
              </a:graphicData>
            </a:graphic>
          </wp:anchor>
        </w:drawing>
      </w:r>
    </w:p>
    <w:p>
      <w:pPr>
        <w:sectPr>
          <w:pgSz w:w="11900" w:h="16838" w:orient="portrait"/>
          <w:cols w:equalWidth="0" w:num="1">
            <w:col w:w="10139"/>
          </w:cols>
          <w:pgMar w:left="320" w:top="445" w:right="1440" w:bottom="1440" w:gutter="0" w:footer="0" w:header="0"/>
        </w:sectPr>
      </w:pPr>
    </w:p>
    <w:bookmarkStart w:id="103" w:name="page104"/>
    <w:bookmarkEnd w:id="10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wp:posOffset>
            </wp:positionH>
            <wp:positionV relativeFrom="paragraph">
              <wp:posOffset>213995</wp:posOffset>
            </wp:positionV>
            <wp:extent cx="6035675" cy="781240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035675" cy="7812405"/>
                    </a:xfrm>
                    <a:prstGeom prst="rect">
                      <a:avLst/>
                    </a:prstGeom>
                    <a:noFill/>
                  </pic:spPr>
                </pic:pic>
              </a:graphicData>
            </a:graphic>
          </wp:anchor>
        </w:drawing>
      </w:r>
    </w:p>
    <w:sectPr>
      <w:pgSz w:w="11900" w:h="16838" w:orient="portrait"/>
      <w:cols w:equalWidth="0" w:num="1">
        <w:col w:w="10139"/>
      </w:cols>
      <w:pgMar w:left="320" w:top="44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F87E05"/>
    <w:multiLevelType w:val="hybridMultilevel"/>
    <w:lvl w:ilvl="0">
      <w:lvlJc w:val="left"/>
      <w:lvlText w:val="☐"/>
      <w:numFmt w:val="bullet"/>
      <w:start w:val="1"/>
    </w:lvl>
  </w:abstractNum>
  <w:abstractNum w:abstractNumId="1">
    <w:nsid w:val="2F305DEF"/>
    <w:multiLevelType w:val="hybridMultilevel"/>
    <w:lvl w:ilvl="0">
      <w:lvlJc w:val="left"/>
      <w:lvlText w:val="☒"/>
      <w:numFmt w:val="bullet"/>
      <w:start w:val="1"/>
    </w:lvl>
  </w:abstractNum>
  <w:abstractNum w:abstractNumId="2">
    <w:nsid w:val="25A70BF7"/>
    <w:multiLevelType w:val="hybridMultilevel"/>
    <w:lvl w:ilvl="0">
      <w:lvlJc w:val="left"/>
      <w:lvlText w:val="☐"/>
      <w:numFmt w:val="bullet"/>
      <w:start w:val="1"/>
    </w:lvl>
  </w:abstractNum>
  <w:abstractNum w:abstractNumId="3">
    <w:nsid w:val="1DBABF00"/>
    <w:multiLevelType w:val="hybridMultilevel"/>
    <w:lvl w:ilvl="0">
      <w:lvlJc w:val="left"/>
      <w:lvlText w:val="☒"/>
      <w:numFmt w:val="bullet"/>
      <w:start w:val="1"/>
    </w:lvl>
  </w:abstractNum>
  <w:abstractNum w:abstractNumId="4">
    <w:nsid w:val="4AD084E9"/>
    <w:multiLevelType w:val="hybridMultilevel"/>
    <w:lvl w:ilvl="0">
      <w:lvlJc w:val="left"/>
      <w:lvlText w:val="☐"/>
      <w:numFmt w:val="bullet"/>
      <w:start w:val="1"/>
    </w:lvl>
    <w:lvl w:ilvl="1">
      <w:lvlJc w:val="left"/>
      <w:lvlText w:val="(%2)"/>
      <w:numFmt w:val="decimal"/>
      <w:start w:val="1"/>
    </w:lvl>
  </w:abstractNum>
  <w:abstractNum w:abstractNumId="5">
    <w:nsid w:val="1F48EAA1"/>
    <w:multiLevelType w:val="hybridMultilevel"/>
    <w:lvl w:ilvl="0">
      <w:lvlJc w:val="left"/>
      <w:lvlText w:val="•"/>
      <w:numFmt w:val="bullet"/>
      <w:start w:val="1"/>
    </w:lvl>
  </w:abstractNum>
  <w:abstractNum w:abstractNumId="6">
    <w:nsid w:val="1381823A"/>
    <w:multiLevelType w:val="hybridMultilevel"/>
    <w:lvl w:ilvl="0">
      <w:lvlJc w:val="left"/>
      <w:lvlText w:val="•"/>
      <w:numFmt w:val="bullet"/>
      <w:start w:val="1"/>
    </w:lvl>
  </w:abstractNum>
  <w:abstractNum w:abstractNumId="7">
    <w:nsid w:val="5DB70AE5"/>
    <w:multiLevelType w:val="hybridMultilevel"/>
    <w:lvl w:ilvl="0">
      <w:lvlJc w:val="left"/>
      <w:lvlText w:val="•"/>
      <w:numFmt w:val="bullet"/>
      <w:start w:val="1"/>
    </w:lvl>
  </w:abstractNum>
  <w:abstractNum w:abstractNumId="8">
    <w:nsid w:val="100F8FCA"/>
    <w:multiLevelType w:val="hybridMultilevel"/>
    <w:lvl w:ilvl="0">
      <w:lvlJc w:val="left"/>
      <w:lvlText w:val="•"/>
      <w:numFmt w:val="bullet"/>
      <w:start w:val="1"/>
    </w:lvl>
  </w:abstractNum>
  <w:abstractNum w:abstractNumId="9">
    <w:nsid w:val="6590700B"/>
    <w:multiLevelType w:val="hybridMultilevel"/>
    <w:lvl w:ilvl="0">
      <w:lvlJc w:val="left"/>
      <w:lvlText w:val="•"/>
      <w:numFmt w:val="bullet"/>
      <w:start w:val="1"/>
    </w:lvl>
  </w:abstractNum>
  <w:abstractNum w:abstractNumId="10">
    <w:nsid w:val="15014ACB"/>
    <w:multiLevelType w:val="hybridMultilevel"/>
    <w:lvl w:ilvl="0">
      <w:lvlJc w:val="left"/>
      <w:lvlText w:val="•"/>
      <w:numFmt w:val="bullet"/>
      <w:start w:val="1"/>
    </w:lvl>
  </w:abstractNum>
  <w:abstractNum w:abstractNumId="11">
    <w:nsid w:val="5F5E7FD0"/>
    <w:multiLevelType w:val="hybridMultilevel"/>
    <w:lvl w:ilvl="0">
      <w:lvlJc w:val="left"/>
      <w:lvlText w:val="•"/>
      <w:numFmt w:val="bullet"/>
      <w:start w:val="1"/>
    </w:lvl>
  </w:abstractNum>
  <w:abstractNum w:abstractNumId="12">
    <w:nsid w:val="98A3148"/>
    <w:multiLevelType w:val="hybridMultilevel"/>
    <w:lvl w:ilvl="0">
      <w:lvlJc w:val="left"/>
      <w:lvlText w:val="•"/>
      <w:numFmt w:val="bullet"/>
      <w:start w:val="1"/>
    </w:lvl>
  </w:abstractNum>
  <w:abstractNum w:abstractNumId="13">
    <w:nsid w:val="799D0247"/>
    <w:multiLevelType w:val="hybridMultilevel"/>
    <w:lvl w:ilvl="0">
      <w:lvlJc w:val="left"/>
      <w:lvlText w:val="•"/>
      <w:numFmt w:val="bullet"/>
      <w:start w:val="1"/>
    </w:lvl>
  </w:abstractNum>
  <w:abstractNum w:abstractNumId="14">
    <w:nsid w:val="6B94764"/>
    <w:multiLevelType w:val="hybridMultilevel"/>
    <w:lvl w:ilvl="0">
      <w:lvlJc w:val="left"/>
      <w:lvlText w:val="•"/>
      <w:numFmt w:val="bullet"/>
      <w:start w:val="1"/>
    </w:lvl>
  </w:abstractNum>
  <w:abstractNum w:abstractNumId="15">
    <w:nsid w:val="42C296BD"/>
    <w:multiLevelType w:val="hybridMultilevel"/>
    <w:lvl w:ilvl="0">
      <w:lvlJc w:val="left"/>
      <w:lvlText w:val="•"/>
      <w:numFmt w:val="bullet"/>
      <w:start w:val="1"/>
    </w:lvl>
  </w:abstractNum>
  <w:abstractNum w:abstractNumId="16">
    <w:nsid w:val="168E121F"/>
    <w:multiLevelType w:val="hybridMultilevel"/>
    <w:lvl w:ilvl="0">
      <w:lvlJc w:val="left"/>
      <w:lvlText w:val="•"/>
      <w:numFmt w:val="bullet"/>
      <w:start w:val="1"/>
    </w:lvl>
  </w:abstractNum>
  <w:abstractNum w:abstractNumId="17">
    <w:nsid w:val="1EBA5D23"/>
    <w:multiLevelType w:val="hybridMultilevel"/>
    <w:lvl w:ilvl="0">
      <w:lvlJc w:val="left"/>
      <w:lvlText w:val="•"/>
      <w:numFmt w:val="bullet"/>
      <w:start w:val="1"/>
    </w:lvl>
  </w:abstractNum>
  <w:abstractNum w:abstractNumId="18">
    <w:nsid w:val="661E3F1E"/>
    <w:multiLevelType w:val="hybridMultilevel"/>
    <w:lvl w:ilvl="0">
      <w:lvlJc w:val="left"/>
      <w:lvlText w:val="•"/>
      <w:numFmt w:val="bullet"/>
      <w:start w:val="1"/>
    </w:lvl>
  </w:abstractNum>
  <w:abstractNum w:abstractNumId="19">
    <w:nsid w:val="5DC79EA8"/>
    <w:multiLevelType w:val="hybridMultilevel"/>
    <w:lvl w:ilvl="0">
      <w:lvlJc w:val="left"/>
      <w:lvlText w:val="•"/>
      <w:numFmt w:val="bullet"/>
      <w:start w:val="1"/>
    </w:lvl>
    <w:lvl w:ilvl="1">
      <w:lvlJc w:val="left"/>
      <w:lvlText w:val="•"/>
      <w:numFmt w:val="bullet"/>
      <w:start w:val="1"/>
    </w:lvl>
  </w:abstractNum>
  <w:abstractNum w:abstractNumId="20">
    <w:nsid w:val="540A471C"/>
    <w:multiLevelType w:val="hybridMultilevel"/>
    <w:lvl w:ilvl="0">
      <w:lvlJc w:val="left"/>
      <w:lvlText w:val="•"/>
      <w:numFmt w:val="bullet"/>
      <w:start w:val="1"/>
    </w:lvl>
  </w:abstractNum>
  <w:abstractNum w:abstractNumId="21">
    <w:nsid w:val="7BD3EE7B"/>
    <w:multiLevelType w:val="hybridMultilevel"/>
    <w:lvl w:ilvl="0">
      <w:lvlJc w:val="left"/>
      <w:lvlText w:val="•"/>
      <w:numFmt w:val="bullet"/>
      <w:start w:val="1"/>
    </w:lvl>
  </w:abstractNum>
  <w:abstractNum w:abstractNumId="22">
    <w:nsid w:val="51D9C564"/>
    <w:multiLevelType w:val="hybridMultilevel"/>
    <w:lvl w:ilvl="0">
      <w:lvlJc w:val="left"/>
      <w:lvlText w:val="•"/>
      <w:numFmt w:val="bullet"/>
      <w:start w:val="1"/>
    </w:lvl>
  </w:abstractNum>
  <w:abstractNum w:abstractNumId="23">
    <w:nsid w:val="613EFDC5"/>
    <w:multiLevelType w:val="hybridMultilevel"/>
    <w:lvl w:ilvl="0">
      <w:lvlJc w:val="left"/>
      <w:lvlText w:val="•"/>
      <w:numFmt w:val="bullet"/>
      <w:start w:val="1"/>
    </w:lvl>
  </w:abstractNum>
  <w:abstractNum w:abstractNumId="24">
    <w:nsid w:val="BF72B14"/>
    <w:multiLevelType w:val="hybridMultilevel"/>
    <w:lvl w:ilvl="0">
      <w:lvlJc w:val="left"/>
      <w:lvlText w:val="•"/>
      <w:numFmt w:val="bullet"/>
      <w:start w:val="1"/>
    </w:lvl>
  </w:abstractNum>
  <w:abstractNum w:abstractNumId="25">
    <w:nsid w:val="11447B73"/>
    <w:multiLevelType w:val="hybridMultilevel"/>
    <w:lvl w:ilvl="0">
      <w:lvlJc w:val="left"/>
      <w:lvlText w:val="•"/>
      <w:numFmt w:val="bullet"/>
      <w:start w:val="1"/>
    </w:lvl>
  </w:abstractNum>
  <w:abstractNum w:abstractNumId="26">
    <w:nsid w:val="42963E5A"/>
    <w:multiLevelType w:val="hybridMultilevel"/>
    <w:lvl w:ilvl="0">
      <w:lvlJc w:val="left"/>
      <w:lvlText w:val="•"/>
      <w:numFmt w:val="bullet"/>
      <w:start w:val="1"/>
    </w:lvl>
  </w:abstractNum>
  <w:abstractNum w:abstractNumId="27">
    <w:nsid w:val="A0382C5"/>
    <w:multiLevelType w:val="hybridMultilevel"/>
    <w:lvl w:ilvl="0">
      <w:lvlJc w:val="left"/>
      <w:lvlText w:val="•"/>
      <w:numFmt w:val="bullet"/>
      <w:start w:val="1"/>
    </w:lvl>
  </w:abstractNum>
  <w:abstractNum w:abstractNumId="28">
    <w:nsid w:val="8F2B15E"/>
    <w:multiLevelType w:val="hybridMultilevel"/>
    <w:lvl w:ilvl="0">
      <w:lvlJc w:val="left"/>
      <w:lvlText w:val="•"/>
      <w:numFmt w:val="bullet"/>
      <w:start w:val="1"/>
    </w:lvl>
  </w:abstractNum>
  <w:abstractNum w:abstractNumId="29">
    <w:nsid w:val="1A32234B"/>
    <w:multiLevelType w:val="hybridMultilevel"/>
    <w:lvl w:ilvl="0">
      <w:lvlJc w:val="left"/>
      <w:lvlText w:val="•"/>
      <w:numFmt w:val="bullet"/>
      <w:start w:val="1"/>
    </w:lvl>
  </w:abstractNum>
  <w:abstractNum w:abstractNumId="30">
    <w:nsid w:val="3B0FD379"/>
    <w:multiLevelType w:val="hybridMultilevel"/>
    <w:lvl w:ilvl="0">
      <w:lvlJc w:val="left"/>
      <w:lvlText w:val="•"/>
      <w:numFmt w:val="bullet"/>
      <w:start w:val="1"/>
    </w:lvl>
  </w:abstractNum>
  <w:abstractNum w:abstractNumId="31">
    <w:nsid w:val="68EB2F63"/>
    <w:multiLevelType w:val="hybridMultilevel"/>
    <w:lvl w:ilvl="0">
      <w:lvlJc w:val="left"/>
      <w:lvlText w:val="•"/>
      <w:numFmt w:val="bullet"/>
      <w:start w:val="1"/>
    </w:lvl>
  </w:abstractNum>
  <w:abstractNum w:abstractNumId="32">
    <w:nsid w:val="4962813B"/>
    <w:multiLevelType w:val="hybridMultilevel"/>
    <w:lvl w:ilvl="0">
      <w:lvlJc w:val="left"/>
      <w:lvlText w:val="•"/>
      <w:numFmt w:val="bullet"/>
      <w:start w:val="1"/>
    </w:lvl>
  </w:abstractNum>
  <w:abstractNum w:abstractNumId="33">
    <w:nsid w:val="60B6DF70"/>
    <w:multiLevelType w:val="hybridMultilevel"/>
    <w:lvl w:ilvl="0">
      <w:lvlJc w:val="left"/>
      <w:lvlText w:val="•"/>
      <w:numFmt w:val="bullet"/>
      <w:start w:val="1"/>
    </w:lvl>
  </w:abstractNum>
  <w:abstractNum w:abstractNumId="34">
    <w:nsid w:val="6A5EE64"/>
    <w:multiLevelType w:val="hybridMultilevel"/>
    <w:lvl w:ilvl="0">
      <w:lvlJc w:val="left"/>
      <w:lvlText w:val="•"/>
      <w:numFmt w:val="bullet"/>
      <w:start w:val="1"/>
    </w:lvl>
  </w:abstractNum>
  <w:abstractNum w:abstractNumId="35">
    <w:nsid w:val="14330624"/>
    <w:multiLevelType w:val="hybridMultilevel"/>
    <w:lvl w:ilvl="0">
      <w:lvlJc w:val="left"/>
      <w:lvlText w:val="•"/>
      <w:numFmt w:val="bullet"/>
      <w:start w:val="1"/>
    </w:lvl>
  </w:abstractNum>
  <w:abstractNum w:abstractNumId="36">
    <w:nsid w:val="7FFFCA11"/>
    <w:multiLevelType w:val="hybridMultilevel"/>
    <w:lvl w:ilvl="0">
      <w:lvlJc w:val="left"/>
      <w:lvlText w:val="•"/>
      <w:numFmt w:val="bullet"/>
      <w:start w:val="1"/>
    </w:lvl>
  </w:abstractNum>
  <w:abstractNum w:abstractNumId="37">
    <w:nsid w:val="1A27709E"/>
    <w:multiLevelType w:val="hybridMultilevel"/>
    <w:lvl w:ilvl="0">
      <w:lvlJc w:val="left"/>
      <w:lvlText w:val="•"/>
      <w:numFmt w:val="bullet"/>
      <w:start w:val="1"/>
    </w:lvl>
  </w:abstractNum>
  <w:abstractNum w:abstractNumId="38">
    <w:nsid w:val="71EA1109"/>
    <w:multiLevelType w:val="hybridMultilevel"/>
    <w:lvl w:ilvl="0">
      <w:lvlJc w:val="left"/>
      <w:lvlText w:val="•"/>
      <w:numFmt w:val="bullet"/>
      <w:start w:val="1"/>
    </w:lvl>
  </w:abstractNum>
  <w:abstractNum w:abstractNumId="39">
    <w:nsid w:val="100F59DC"/>
    <w:multiLevelType w:val="hybridMultilevel"/>
    <w:lvl w:ilvl="0">
      <w:lvlJc w:val="left"/>
      <w:lvlText w:val="•"/>
      <w:numFmt w:val="bullet"/>
      <w:start w:val="1"/>
    </w:lvl>
  </w:abstractNum>
  <w:abstractNum w:abstractNumId="40">
    <w:nsid w:val="7FB7E0AA"/>
    <w:multiLevelType w:val="hybridMultilevel"/>
    <w:lvl w:ilvl="0">
      <w:lvlJc w:val="left"/>
      <w:lvlText w:val="•"/>
      <w:numFmt w:val="bullet"/>
      <w:start w:val="1"/>
    </w:lvl>
  </w:abstractNum>
  <w:abstractNum w:abstractNumId="41">
    <w:nsid w:val="6EB5BD4"/>
    <w:multiLevelType w:val="hybridMultilevel"/>
    <w:lvl w:ilvl="0">
      <w:lvlJc w:val="left"/>
      <w:lvlText w:val="•"/>
      <w:numFmt w:val="bullet"/>
      <w:start w:val="1"/>
    </w:lvl>
  </w:abstractNum>
  <w:abstractNum w:abstractNumId="42">
    <w:nsid w:val="6F6DD9AC"/>
    <w:multiLevelType w:val="hybridMultilevel"/>
    <w:lvl w:ilvl="0">
      <w:lvlJc w:val="left"/>
      <w:lvlText w:val="•"/>
      <w:numFmt w:val="bullet"/>
      <w:start w:val="1"/>
    </w:lvl>
  </w:abstractNum>
  <w:abstractNum w:abstractNumId="43">
    <w:nsid w:val="94211F2"/>
    <w:multiLevelType w:val="hybridMultilevel"/>
    <w:lvl w:ilvl="0">
      <w:lvlJc w:val="left"/>
      <w:lvlText w:val="•"/>
      <w:numFmt w:val="bullet"/>
      <w:start w:val="1"/>
    </w:lvl>
  </w:abstractNum>
  <w:abstractNum w:abstractNumId="44">
    <w:nsid w:val="885E1B"/>
    <w:multiLevelType w:val="hybridMultilevel"/>
    <w:lvl w:ilvl="0">
      <w:lvlJc w:val="left"/>
      <w:lvlText w:val="•"/>
      <w:numFmt w:val="bullet"/>
      <w:start w:val="1"/>
    </w:lvl>
  </w:abstractNum>
  <w:abstractNum w:abstractNumId="45">
    <w:nsid w:val="76272110"/>
    <w:multiLevelType w:val="hybridMultilevel"/>
    <w:lvl w:ilvl="0">
      <w:lvlJc w:val="left"/>
      <w:lvlText w:val="•"/>
      <w:numFmt w:val="bullet"/>
      <w:start w:val="1"/>
    </w:lvl>
  </w:abstractNum>
  <w:abstractNum w:abstractNumId="46">
    <w:nsid w:val="4C04A8AF"/>
    <w:multiLevelType w:val="hybridMultilevel"/>
    <w:lvl w:ilvl="0">
      <w:lvlJc w:val="left"/>
      <w:lvlText w:val="•"/>
      <w:numFmt w:val="bullet"/>
      <w:start w:val="1"/>
    </w:lvl>
  </w:abstractNum>
  <w:abstractNum w:abstractNumId="47">
    <w:nsid w:val="1716703B"/>
    <w:multiLevelType w:val="hybridMultilevel"/>
    <w:lvl w:ilvl="0">
      <w:lvlJc w:val="left"/>
      <w:lvlText w:val="•"/>
      <w:numFmt w:val="bullet"/>
      <w:start w:val="1"/>
    </w:lvl>
  </w:abstractNum>
  <w:abstractNum w:abstractNumId="48">
    <w:nsid w:val="14E17E33"/>
    <w:multiLevelType w:val="hybridMultilevel"/>
    <w:lvl w:ilvl="0">
      <w:lvlJc w:val="left"/>
      <w:lvlText w:val="•"/>
      <w:numFmt w:val="bullet"/>
      <w:start w:val="1"/>
    </w:lvl>
  </w:abstractNum>
  <w:abstractNum w:abstractNumId="49">
    <w:nsid w:val="3222E7CD"/>
    <w:multiLevelType w:val="hybridMultilevel"/>
    <w:lvl w:ilvl="0">
      <w:lvlJc w:val="left"/>
      <w:lvlText w:val="•"/>
      <w:numFmt w:val="bullet"/>
      <w:start w:val="1"/>
    </w:lvl>
  </w:abstractNum>
  <w:abstractNum w:abstractNumId="50">
    <w:nsid w:val="74DE0EE3"/>
    <w:multiLevelType w:val="hybridMultilevel"/>
    <w:lvl w:ilvl="0">
      <w:lvlJc w:val="left"/>
      <w:lvlText w:val="•"/>
      <w:numFmt w:val="bullet"/>
      <w:start w:val="1"/>
    </w:lvl>
  </w:abstractNum>
  <w:abstractNum w:abstractNumId="51">
    <w:nsid w:val="68EBC550"/>
    <w:multiLevelType w:val="hybridMultilevel"/>
    <w:lvl w:ilvl="0">
      <w:lvlJc w:val="left"/>
      <w:lvlText w:val="•"/>
      <w:numFmt w:val="bullet"/>
      <w:start w:val="1"/>
    </w:lvl>
  </w:abstractNum>
  <w:abstractNum w:abstractNumId="52">
    <w:nsid w:val="2DF6D648"/>
    <w:multiLevelType w:val="hybridMultilevel"/>
    <w:lvl w:ilvl="0">
      <w:lvlJc w:val="left"/>
      <w:lvlText w:val="•"/>
      <w:numFmt w:val="bullet"/>
      <w:start w:val="1"/>
    </w:lvl>
  </w:abstractNum>
  <w:abstractNum w:abstractNumId="53">
    <w:nsid w:val="46B7D447"/>
    <w:multiLevelType w:val="hybridMultilevel"/>
    <w:lvl w:ilvl="0">
      <w:lvlJc w:val="left"/>
      <w:lvlText w:val="•"/>
      <w:numFmt w:val="bullet"/>
      <w:start w:val="1"/>
    </w:lvl>
  </w:abstractNum>
  <w:abstractNum w:abstractNumId="54">
    <w:nsid w:val="4A2AC315"/>
    <w:multiLevelType w:val="hybridMultilevel"/>
    <w:lvl w:ilvl="0">
      <w:lvlJc w:val="left"/>
      <w:lvlText w:val="•"/>
      <w:numFmt w:val="bullet"/>
      <w:start w:val="1"/>
    </w:lvl>
  </w:abstractNum>
  <w:abstractNum w:abstractNumId="55">
    <w:nsid w:val="39EE015C"/>
    <w:multiLevelType w:val="hybridMultilevel"/>
    <w:lvl w:ilvl="0">
      <w:lvlJc w:val="left"/>
      <w:lvlText w:val="•"/>
      <w:numFmt w:val="bullet"/>
      <w:start w:val="1"/>
    </w:lvl>
  </w:abstractNum>
  <w:abstractNum w:abstractNumId="56">
    <w:nsid w:val="57FC4FBB"/>
    <w:multiLevelType w:val="hybridMultilevel"/>
    <w:lvl w:ilvl="0">
      <w:lvlJc w:val="left"/>
      <w:lvlText w:val="•"/>
      <w:numFmt w:val="bullet"/>
      <w:start w:val="1"/>
    </w:lvl>
  </w:abstractNum>
  <w:abstractNum w:abstractNumId="57">
    <w:nsid w:val="CC1016F"/>
    <w:multiLevelType w:val="hybridMultilevel"/>
    <w:lvl w:ilvl="0">
      <w:lvlJc w:val="left"/>
      <w:lvlText w:val="•"/>
      <w:numFmt w:val="bullet"/>
      <w:start w:val="1"/>
    </w:lvl>
  </w:abstractNum>
  <w:abstractNum w:abstractNumId="58">
    <w:nsid w:val="43F18422"/>
    <w:multiLevelType w:val="hybridMultilevel"/>
    <w:lvl w:ilvl="0">
      <w:lvlJc w:val="left"/>
      <w:lvlText w:val="•"/>
      <w:numFmt w:val="bullet"/>
      <w:start w:val="1"/>
    </w:lvl>
  </w:abstractNum>
  <w:abstractNum w:abstractNumId="59">
    <w:nsid w:val="60EF0119"/>
    <w:multiLevelType w:val="hybridMultilevel"/>
    <w:lvl w:ilvl="0">
      <w:lvlJc w:val="left"/>
      <w:lvlText w:val="•"/>
      <w:numFmt w:val="bullet"/>
      <w:start w:val="1"/>
    </w:lvl>
  </w:abstractNum>
  <w:abstractNum w:abstractNumId="60">
    <w:nsid w:val="26F324BA"/>
    <w:multiLevelType w:val="hybridMultilevel"/>
    <w:lvl w:ilvl="0">
      <w:lvlJc w:val="left"/>
      <w:lvlText w:val="•"/>
      <w:numFmt w:val="bullet"/>
      <w:start w:val="1"/>
    </w:lvl>
  </w:abstractNum>
  <w:abstractNum w:abstractNumId="61">
    <w:nsid w:val="7F01579B"/>
    <w:multiLevelType w:val="hybridMultilevel"/>
    <w:lvl w:ilvl="0">
      <w:lvlJc w:val="left"/>
      <w:lvlText w:val="•"/>
      <w:numFmt w:val="bullet"/>
      <w:start w:val="1"/>
    </w:lvl>
  </w:abstractNum>
  <w:abstractNum w:abstractNumId="62">
    <w:nsid w:val="49DA307D"/>
    <w:multiLevelType w:val="hybridMultilevel"/>
    <w:lvl w:ilvl="0">
      <w:lvlJc w:val="left"/>
      <w:lvlText w:val="(%1)"/>
      <w:numFmt w:val="decimal"/>
      <w:start w:val="1"/>
    </w:lvl>
  </w:abstractNum>
  <w:abstractNum w:abstractNumId="63">
    <w:nsid w:val="7055A5F5"/>
    <w:multiLevelType w:val="hybridMultilevel"/>
    <w:lvl w:ilvl="0">
      <w:lvlJc w:val="left"/>
      <w:lvlText w:val="•"/>
      <w:numFmt w:val="bullet"/>
      <w:start w:val="1"/>
    </w:lvl>
  </w:abstractNum>
  <w:abstractNum w:abstractNumId="64">
    <w:nsid w:val="5FB8370B"/>
    <w:multiLevelType w:val="hybridMultilevel"/>
    <w:lvl w:ilvl="0">
      <w:lvlJc w:val="left"/>
      <w:lvlText w:val="•"/>
      <w:numFmt w:val="bullet"/>
      <w:start w:val="1"/>
    </w:lvl>
  </w:abstractNum>
  <w:abstractNum w:abstractNumId="65">
    <w:nsid w:val="50801EE1"/>
    <w:multiLevelType w:val="hybridMultilevel"/>
    <w:lvl w:ilvl="0">
      <w:lvlJc w:val="left"/>
      <w:lvlText w:val="•"/>
      <w:numFmt w:val="bullet"/>
      <w:start w:val="1"/>
    </w:lvl>
  </w:abstractNum>
  <w:abstractNum w:abstractNumId="66">
    <w:nsid w:val="488AC1A"/>
    <w:multiLevelType w:val="hybridMultilevel"/>
    <w:lvl w:ilvl="0">
      <w:lvlJc w:val="left"/>
      <w:lvlText w:val="•"/>
      <w:numFmt w:val="bullet"/>
      <w:start w:val="1"/>
    </w:lvl>
  </w:abstractNum>
  <w:abstractNum w:abstractNumId="67">
    <w:nsid w:val="5FB8011C"/>
    <w:multiLevelType w:val="hybridMultilevel"/>
    <w:lvl w:ilvl="0">
      <w:lvlJc w:val="left"/>
      <w:lvlText w:val="•"/>
      <w:numFmt w:val="bullet"/>
      <w:start w:val="1"/>
    </w:lvl>
  </w:abstractNum>
  <w:abstractNum w:abstractNumId="68">
    <w:nsid w:val="6AA78F7F"/>
    <w:multiLevelType w:val="hybridMultilevel"/>
    <w:lvl w:ilvl="0">
      <w:lvlJc w:val="left"/>
      <w:lvlText w:val="•"/>
      <w:numFmt w:val="bullet"/>
      <w:start w:val="1"/>
    </w:lvl>
  </w:abstractNum>
  <w:abstractNum w:abstractNumId="69">
    <w:nsid w:val="7672BD23"/>
    <w:multiLevelType w:val="hybridMultilevel"/>
    <w:lvl w:ilvl="0">
      <w:lvlJc w:val="left"/>
      <w:lvlText w:val="•"/>
      <w:numFmt w:val="bullet"/>
      <w:start w:val="1"/>
    </w:lvl>
  </w:abstractNum>
  <w:abstractNum w:abstractNumId="70">
    <w:nsid w:val="6FC75AF8"/>
    <w:multiLevelType w:val="hybridMultilevel"/>
    <w:lvl w:ilvl="0">
      <w:lvlJc w:val="left"/>
      <w:lvlText w:val="•"/>
      <w:numFmt w:val="bullet"/>
      <w:start w:val="1"/>
    </w:lvl>
  </w:abstractNum>
  <w:abstractNum w:abstractNumId="71">
    <w:nsid w:val="6A5F7029"/>
    <w:multiLevelType w:val="hybridMultilevel"/>
    <w:lvl w:ilvl="0">
      <w:lvlJc w:val="left"/>
      <w:lvlText w:val="•"/>
      <w:numFmt w:val="bullet"/>
      <w:start w:val="1"/>
    </w:lvl>
  </w:abstractNum>
  <w:abstractNum w:abstractNumId="72">
    <w:nsid w:val="7D5E18F8"/>
    <w:multiLevelType w:val="hybridMultilevel"/>
    <w:lvl w:ilvl="0">
      <w:lvlJc w:val="left"/>
      <w:lvlText w:val="•"/>
      <w:numFmt w:val="bullet"/>
      <w:start w:val="1"/>
    </w:lvl>
  </w:abstractNum>
  <w:abstractNum w:abstractNumId="73">
    <w:nsid w:val="5F3534A4"/>
    <w:multiLevelType w:val="hybridMultilevel"/>
    <w:lvl w:ilvl="0">
      <w:lvlJc w:val="left"/>
      <w:lvlText w:val="•"/>
      <w:numFmt w:val="bullet"/>
      <w:start w:val="1"/>
    </w:lvl>
  </w:abstractNum>
  <w:abstractNum w:abstractNumId="74">
    <w:nsid w:val="73A1821B"/>
    <w:multiLevelType w:val="hybridMultilevel"/>
    <w:lvl w:ilvl="0">
      <w:lvlJc w:val="left"/>
      <w:lvlText w:val="•"/>
      <w:numFmt w:val="bullet"/>
      <w:start w:val="1"/>
    </w:lvl>
  </w:abstractNum>
  <w:abstractNum w:abstractNumId="75">
    <w:nsid w:val="7DE67713"/>
    <w:multiLevelType w:val="hybridMultilevel"/>
    <w:lvl w:ilvl="0">
      <w:lvlJc w:val="left"/>
      <w:lvlText w:val="•"/>
      <w:numFmt w:val="bullet"/>
      <w:start w:val="1"/>
    </w:lvl>
  </w:abstractNum>
  <w:abstractNum w:abstractNumId="76">
    <w:nsid w:val="555C55B5"/>
    <w:multiLevelType w:val="hybridMultilevel"/>
    <w:lvl w:ilvl="0">
      <w:lvlJc w:val="left"/>
      <w:lvlText w:val="*"/>
      <w:numFmt w:val="bullet"/>
      <w:start w:val="1"/>
    </w:lvl>
  </w:abstractNum>
  <w:abstractNum w:abstractNumId="77">
    <w:nsid w:val="3FA62ACA"/>
    <w:multiLevelType w:val="hybridMultilevel"/>
    <w:lvl w:ilvl="0">
      <w:lvlJc w:val="left"/>
      <w:lvlText w:val="(%1)"/>
      <w:numFmt w:val="decimal"/>
      <w:start w:val="1"/>
    </w:lvl>
  </w:abstractNum>
  <w:abstractNum w:abstractNumId="78">
    <w:nsid w:val="14FCE74E"/>
    <w:multiLevelType w:val="hybridMultilevel"/>
    <w:lvl w:ilvl="0">
      <w:lvlJc w:val="left"/>
      <w:lvlText w:val="(%1)"/>
      <w:numFmt w:val="decimal"/>
      <w:start w:val="1"/>
    </w:lvl>
  </w:abstractNum>
  <w:abstractNum w:abstractNumId="79">
    <w:nsid w:val="6A3DD3E8"/>
    <w:multiLevelType w:val="hybridMultilevel"/>
    <w:lvl w:ilvl="0">
      <w:lvlJc w:val="left"/>
      <w:lvlText w:val="•"/>
      <w:numFmt w:val="bullet"/>
      <w:start w:val="1"/>
    </w:lvl>
  </w:abstractNum>
  <w:abstractNum w:abstractNumId="80">
    <w:nsid w:val="71C91298"/>
    <w:multiLevelType w:val="hybridMultilevel"/>
    <w:lvl w:ilvl="0">
      <w:lvlJc w:val="left"/>
      <w:lvlText w:val="•"/>
      <w:numFmt w:val="bullet"/>
      <w:start w:val="1"/>
    </w:lvl>
  </w:abstractNum>
  <w:abstractNum w:abstractNumId="81">
    <w:nsid w:val="9DAF632"/>
    <w:multiLevelType w:val="hybridMultilevel"/>
    <w:lvl w:ilvl="0">
      <w:lvlJc w:val="left"/>
      <w:lvlText w:val="(%1)"/>
      <w:numFmt w:val="decimal"/>
      <w:start w:val="1"/>
    </w:lvl>
  </w:abstractNum>
  <w:abstractNum w:abstractNumId="82">
    <w:nsid w:val="53299938"/>
    <w:multiLevelType w:val="hybridMultilevel"/>
    <w:lvl w:ilvl="0">
      <w:lvlJc w:val="left"/>
      <w:lvlText w:val="%1"/>
      <w:numFmt w:val="decimal"/>
      <w:start w:val="1"/>
    </w:lvl>
    <w:lvl w:ilvl="1">
      <w:lvlJc w:val="left"/>
      <w:lvlText w:val="(%2)"/>
      <w:numFmt w:val="upperLetter"/>
      <w:start w:val="1"/>
    </w:lvl>
  </w:abstractNum>
  <w:abstractNum w:abstractNumId="83">
    <w:nsid w:val="1FBFE8E0"/>
    <w:multiLevelType w:val="hybridMultilevel"/>
    <w:lvl w:ilvl="0">
      <w:lvlJc w:val="left"/>
      <w:lvlText w:val="(%1)"/>
      <w:numFmt w:val="decimal"/>
      <w:start w:val="5"/>
    </w:lvl>
    <w:lvl w:ilvl="1">
      <w:lvlJc w:val="left"/>
      <w:lvlText w:val="%2"/>
      <w:numFmt w:val="upperLetter"/>
      <w:start w:val="1"/>
    </w:lvl>
  </w:abstractNum>
  <w:abstractNum w:abstractNumId="84">
    <w:nsid w:val="5092CA79"/>
    <w:multiLevelType w:val="hybridMultilevel"/>
    <w:lvl w:ilvl="0">
      <w:lvlJc w:val="left"/>
      <w:lvlText w:val="(%1)"/>
      <w:numFmt w:val="decimal"/>
      <w:start w:val="1"/>
    </w:lvl>
  </w:abstractNum>
  <w:abstractNum w:abstractNumId="85">
    <w:nsid w:val="1D545C4D"/>
    <w:multiLevelType w:val="hybridMultilevel"/>
    <w:lvl w:ilvl="0">
      <w:lvlJc w:val="left"/>
      <w:lvlText w:val="(%1)"/>
      <w:numFmt w:val="decimal"/>
      <w:start w:val="1"/>
    </w:lvl>
  </w:abstractNum>
  <w:abstractNum w:abstractNumId="86">
    <w:nsid w:val="59ADEA3D"/>
    <w:multiLevelType w:val="hybridMultilevel"/>
    <w:lvl w:ilvl="0">
      <w:lvlJc w:val="left"/>
      <w:lvlText w:val="(%1)"/>
      <w:numFmt w:val="decimal"/>
      <w:start w:val="1"/>
    </w:lvl>
  </w:abstractNum>
  <w:abstractNum w:abstractNumId="87">
    <w:nsid w:val="288F1A34"/>
    <w:multiLevelType w:val="hybridMultilevel"/>
    <w:lvl w:ilvl="0">
      <w:lvlJc w:val="left"/>
      <w:lvlText w:val="(%1)"/>
      <w:numFmt w:val="decimal"/>
      <w:start w:val="1"/>
    </w:lvl>
  </w:abstractNum>
  <w:abstractNum w:abstractNumId="88">
    <w:nsid w:val="2A155DBC"/>
    <w:multiLevelType w:val="hybridMultilevel"/>
    <w:lvl w:ilvl="0">
      <w:lvlJc w:val="left"/>
      <w:lvlText w:val="*"/>
      <w:numFmt w:val="bullet"/>
      <w:start w:val="1"/>
    </w:lvl>
  </w:abstractNum>
  <w:abstractNum w:abstractNumId="89">
    <w:nsid w:val="1D9F6E5F"/>
    <w:multiLevelType w:val="hybridMultilevel"/>
    <w:lvl w:ilvl="0">
      <w:lvlJc w:val="left"/>
      <w:lvlText w:val="(%1)"/>
      <w:numFmt w:val="decimal"/>
      <w:start w:val="1"/>
    </w:lvl>
  </w:abstractNum>
  <w:abstractNum w:abstractNumId="90">
    <w:nsid w:val="97E1B4E"/>
    <w:multiLevelType w:val="hybridMultilevel"/>
    <w:lvl w:ilvl="0">
      <w:lvlJc w:val="left"/>
      <w:lvlText w:val="(%1)"/>
      <w:numFmt w:val="decimal"/>
      <w:start w:val="1"/>
    </w:lvl>
  </w:abstractNum>
  <w:abstractNum w:abstractNumId="91">
    <w:nsid w:val="51088277"/>
    <w:multiLevelType w:val="hybridMultilevel"/>
    <w:lvl w:ilvl="0">
      <w:lvlJc w:val="left"/>
      <w:lvlText w:val="•"/>
      <w:numFmt w:val="bullet"/>
      <w:start w:val="1"/>
    </w:lvl>
  </w:abstractNum>
  <w:abstractNum w:abstractNumId="92">
    <w:nsid w:val="1CA0C5FA"/>
    <w:multiLevelType w:val="hybridMultilevel"/>
    <w:lvl w:ilvl="0">
      <w:lvlJc w:val="left"/>
      <w:lvlText w:val="•"/>
      <w:numFmt w:val="bullet"/>
      <w:start w:val="1"/>
    </w:lvl>
  </w:abstractNum>
  <w:abstractNum w:abstractNumId="93">
    <w:nsid w:val="53584BCB"/>
    <w:multiLevelType w:val="hybridMultilevel"/>
    <w:lvl w:ilvl="0">
      <w:lvlJc w:val="left"/>
      <w:lvlText w:val="•"/>
      <w:numFmt w:val="bullet"/>
      <w:start w:val="1"/>
    </w:lvl>
  </w:abstractNum>
  <w:abstractNum w:abstractNumId="94">
    <w:nsid w:val="415E286C"/>
    <w:multiLevelType w:val="hybridMultilevel"/>
    <w:lvl w:ilvl="0">
      <w:lvlJc w:val="left"/>
      <w:lvlText w:val="•"/>
      <w:numFmt w:val="bullet"/>
      <w:start w:val="1"/>
    </w:lvl>
  </w:abstractNum>
  <w:abstractNum w:abstractNumId="95">
    <w:nsid w:val="7C58FD05"/>
    <w:multiLevelType w:val="hybridMultilevel"/>
    <w:lvl w:ilvl="0">
      <w:lvlJc w:val="left"/>
      <w:lvlText w:val="%1."/>
      <w:numFmt w:val="decimal"/>
      <w:start w:val="4"/>
    </w:lvl>
  </w:abstractNum>
  <w:abstractNum w:abstractNumId="96">
    <w:nsid w:val="23D86AAC"/>
    <w:multiLevelType w:val="hybridMultilevel"/>
    <w:lvl w:ilvl="0">
      <w:lvlJc w:val="left"/>
      <w:lvlText w:val="•"/>
      <w:numFmt w:val="bullet"/>
      <w:start w:val="1"/>
    </w:lvl>
  </w:abstractNum>
  <w:abstractNum w:abstractNumId="97">
    <w:nsid w:val="45E6D486"/>
    <w:multiLevelType w:val="hybridMultilevel"/>
    <w:lvl w:ilvl="0">
      <w:lvlJc w:val="left"/>
      <w:lvlText w:val="•"/>
      <w:numFmt w:val="bullet"/>
      <w:start w:val="1"/>
    </w:lvl>
  </w:abstractNum>
  <w:abstractNum w:abstractNumId="98">
    <w:nsid w:val="5C10FE21"/>
    <w:multiLevelType w:val="hybridMultilevel"/>
    <w:lvl w:ilvl="0">
      <w:lvlJc w:val="left"/>
      <w:lvlText w:val="•"/>
      <w:numFmt w:val="bullet"/>
      <w:start w:val="1"/>
    </w:lvl>
  </w:abstractNum>
  <w:abstractNum w:abstractNumId="99">
    <w:nsid w:val="E7FFA2B"/>
    <w:multiLevelType w:val="hybridMultilevel"/>
    <w:lvl w:ilvl="0">
      <w:lvlJc w:val="left"/>
      <w:lvlText w:val="•"/>
      <w:numFmt w:val="bullet"/>
      <w:start w:val="1"/>
    </w:lvl>
  </w:abstractNum>
  <w:abstractNum w:abstractNumId="100">
    <w:nsid w:val="3C5991AA"/>
    <w:multiLevelType w:val="hybridMultilevel"/>
    <w:lvl w:ilvl="0">
      <w:lvlJc w:val="left"/>
      <w:lvlText w:val="•"/>
      <w:numFmt w:val="bullet"/>
      <w:start w:val="1"/>
    </w:lvl>
  </w:abstractNum>
  <w:abstractNum w:abstractNumId="101">
    <w:nsid w:val="4BD8591A"/>
    <w:multiLevelType w:val="hybridMultilevel"/>
    <w:lvl w:ilvl="0">
      <w:lvlJc w:val="left"/>
      <w:lvlText w:val="•"/>
      <w:numFmt w:val="bullet"/>
      <w:start w:val="1"/>
    </w:lvl>
  </w:abstractNum>
  <w:abstractNum w:abstractNumId="102">
    <w:nsid w:val="78DF6A55"/>
    <w:multiLevelType w:val="hybridMultilevel"/>
    <w:lvl w:ilvl="0">
      <w:lvlJc w:val="left"/>
      <w:lvlText w:val="•"/>
      <w:numFmt w:val="bullet"/>
      <w:start w:val="1"/>
    </w:lvl>
  </w:abstractNum>
  <w:abstractNum w:abstractNumId="103">
    <w:nsid w:val="39B7AAA2"/>
    <w:multiLevelType w:val="hybridMultilevel"/>
    <w:lvl w:ilvl="0">
      <w:lvlJc w:val="left"/>
      <w:lvlText w:val="•"/>
      <w:numFmt w:val="bullet"/>
      <w:start w:val="1"/>
    </w:lvl>
  </w:abstractNum>
  <w:abstractNum w:abstractNumId="104">
    <w:nsid w:val="2B0D8DBE"/>
    <w:multiLevelType w:val="hybridMultilevel"/>
    <w:lvl w:ilvl="0">
      <w:lvlJc w:val="left"/>
      <w:lvlText w:val="•"/>
      <w:numFmt w:val="bullet"/>
      <w:start w:val="1"/>
    </w:lvl>
  </w:abstractNum>
  <w:abstractNum w:abstractNumId="105">
    <w:nsid w:val="6C80EC70"/>
    <w:multiLevelType w:val="hybridMultilevel"/>
    <w:lvl w:ilvl="0">
      <w:lvlJc w:val="left"/>
      <w:lvlText w:val="(%1)"/>
      <w:numFmt w:val="lowerRoman"/>
      <w:start w:val="2"/>
    </w:lvl>
  </w:abstractNum>
  <w:abstractNum w:abstractNumId="106">
    <w:nsid w:val="379E21B5"/>
    <w:multiLevelType w:val="hybridMultilevel"/>
    <w:lvl w:ilvl="0">
      <w:lvlJc w:val="left"/>
      <w:lvlText w:val="(%1)"/>
      <w:numFmt w:val="lowerRoman"/>
      <w:start w:val="4"/>
    </w:lvl>
  </w:abstractNum>
  <w:abstractNum w:abstractNumId="107">
    <w:nsid w:val="69E373"/>
    <w:multiLevelType w:val="hybridMultilevel"/>
    <w:lvl w:ilvl="0">
      <w:lvlJc w:val="left"/>
      <w:lvlText w:val="%1."/>
      <w:numFmt w:val="decimal"/>
      <w:start w:val="1"/>
    </w:lvl>
  </w:abstractNum>
  <w:abstractNum w:abstractNumId="108">
    <w:nsid w:val="2C27173B"/>
    <w:multiLevelType w:val="hybridMultilevel"/>
    <w:lvl w:ilvl="0">
      <w:lvlJc w:val="left"/>
      <w:lvlText w:val="•"/>
      <w:numFmt w:val="bullet"/>
      <w:start w:val="1"/>
    </w:lvl>
  </w:abstractNum>
  <w:abstractNum w:abstractNumId="109">
    <w:nsid w:val="4C9B0904"/>
    <w:multiLevelType w:val="hybridMultilevel"/>
    <w:lvl w:ilvl="0">
      <w:lvlJc w:val="left"/>
      <w:lvlText w:val="•"/>
      <w:numFmt w:val="bullet"/>
      <w:start w:val="1"/>
    </w:lvl>
  </w:abstractNum>
  <w:abstractNum w:abstractNumId="110">
    <w:nsid w:val="6AA7B75C"/>
    <w:multiLevelType w:val="hybridMultilevel"/>
    <w:lvl w:ilvl="0">
      <w:lvlJc w:val="left"/>
      <w:lvlText w:val="-"/>
      <w:numFmt w:val="bullet"/>
      <w:start w:val="1"/>
    </w:lvl>
  </w:abstractNum>
  <w:abstractNum w:abstractNumId="111">
    <w:nsid w:val="1DF029D3"/>
    <w:multiLevelType w:val="hybridMultilevel"/>
    <w:lvl w:ilvl="0">
      <w:lvlJc w:val="left"/>
      <w:lvlText w:val="•"/>
      <w:numFmt w:val="bullet"/>
      <w:start w:val="1"/>
    </w:lvl>
  </w:abstractNum>
  <w:abstractNum w:abstractNumId="112">
    <w:nsid w:val="5675FF36"/>
    <w:multiLevelType w:val="hybridMultilevel"/>
    <w:lvl w:ilvl="0">
      <w:lvlJc w:val="left"/>
      <w:lvlText w:val="(%1)"/>
      <w:numFmt w:val="decimal"/>
      <w:start w:val="1"/>
    </w:lvl>
  </w:abstractNum>
  <w:abstractNum w:abstractNumId="113">
    <w:nsid w:val="3DD15094"/>
    <w:multiLevelType w:val="hybridMultilevel"/>
    <w:lvl w:ilvl="0">
      <w:lvlJc w:val="left"/>
      <w:lvlText w:val="•"/>
      <w:numFmt w:val="bullet"/>
      <w:start w:val="1"/>
    </w:lvl>
  </w:abstractNum>
  <w:abstractNum w:abstractNumId="114">
    <w:nsid w:val="3DB012B3"/>
    <w:multiLevelType w:val="hybridMultilevel"/>
    <w:lvl w:ilvl="0">
      <w:lvlJc w:val="left"/>
      <w:lvlText w:val="%1."/>
      <w:numFmt w:val="decimal"/>
      <w:start w:val="1"/>
    </w:lvl>
  </w:abstractNum>
  <w:abstractNum w:abstractNumId="115">
    <w:nsid w:val="2708C9AF"/>
    <w:multiLevelType w:val="hybridMultilevel"/>
    <w:lvl w:ilvl="0">
      <w:lvlJc w:val="left"/>
      <w:lvlText w:val="•"/>
      <w:numFmt w:val="bullet"/>
      <w:start w:val="1"/>
    </w:lvl>
  </w:abstractNum>
  <w:abstractNum w:abstractNumId="116">
    <w:nsid w:val="5B25ACE2"/>
    <w:multiLevelType w:val="hybridMultilevel"/>
    <w:lvl w:ilvl="0">
      <w:lvlJc w:val="left"/>
      <w:lvlText w:val="(%1)"/>
      <w:numFmt w:val="decimal"/>
      <w:start w:val="1"/>
    </w:lvl>
  </w:abstractNum>
  <w:abstractNum w:abstractNumId="117">
    <w:nsid w:val="175DFCF0"/>
    <w:multiLevelType w:val="hybridMultilevel"/>
    <w:lvl w:ilvl="0">
      <w:lvlJc w:val="left"/>
      <w:lvlText w:val="•"/>
      <w:numFmt w:val="bullet"/>
      <w:start w:val="1"/>
    </w:lvl>
  </w:abstractNum>
  <w:abstractNum w:abstractNumId="118">
    <w:nsid w:val="4F97E3E4"/>
    <w:multiLevelType w:val="hybridMultilevel"/>
    <w:lvl w:ilvl="0">
      <w:lvlJc w:val="left"/>
      <w:lvlText w:val="(%1)"/>
      <w:numFmt w:val="decimal"/>
      <w:start w:val="2"/>
    </w:lvl>
  </w:abstractNum>
  <w:abstractNum w:abstractNumId="119">
    <w:nsid w:val="53B0A9E"/>
    <w:multiLevelType w:val="hybridMultilevel"/>
    <w:lvl w:ilvl="0">
      <w:lvlJc w:val="left"/>
      <w:lvlText w:val="•"/>
      <w:numFmt w:val="bullet"/>
      <w:start w:val="1"/>
    </w:lvl>
  </w:abstractNum>
  <w:abstractNum w:abstractNumId="120">
    <w:nsid w:val="34FD6B4F"/>
    <w:multiLevelType w:val="hybridMultilevel"/>
    <w:lvl w:ilvl="0">
      <w:lvlJc w:val="left"/>
      <w:lvlText w:val="%1."/>
      <w:numFmt w:val="decimal"/>
      <w:start w:val="3"/>
    </w:lvl>
  </w:abstractNum>
  <w:abstractNum w:abstractNumId="121">
    <w:nsid w:val="5915FF32"/>
    <w:multiLevelType w:val="hybridMultilevel"/>
    <w:lvl w:ilvl="0">
      <w:lvlJc w:val="left"/>
      <w:lvlText w:val="%1."/>
      <w:numFmt w:val="decimal"/>
      <w:start w:val="10"/>
    </w:lvl>
  </w:abstractNum>
  <w:abstractNum w:abstractNumId="122">
    <w:nsid w:val="56438D15"/>
    <w:multiLevelType w:val="hybridMultilevel"/>
    <w:lvl w:ilvl="0">
      <w:lvlJc w:val="left"/>
      <w:lvlText w:val="%1."/>
      <w:numFmt w:val="decimal"/>
      <w:start w:val="17"/>
    </w:lvl>
  </w:abstractNum>
  <w:abstractNum w:abstractNumId="123">
    <w:nsid w:val="519E3149"/>
    <w:multiLevelType w:val="hybridMultilevel"/>
    <w:lvl w:ilvl="0">
      <w:lvlJc w:val="left"/>
      <w:lvlText w:val="%1."/>
      <w:numFmt w:val="decimal"/>
      <w:start w:val="20"/>
    </w:lvl>
  </w:abstractNum>
  <w:abstractNum w:abstractNumId="124">
    <w:nsid w:val="2C6E4AFD"/>
    <w:multiLevelType w:val="hybridMultilevel"/>
    <w:lvl w:ilvl="0">
      <w:lvlJc w:val="left"/>
      <w:lvlText w:val="(%1)"/>
      <w:numFmt w:val="lowerRoman"/>
      <w:start w:val="1"/>
    </w:lvl>
  </w:abstractNum>
  <w:abstractNum w:abstractNumId="125">
    <w:nsid w:val="17A1B582"/>
    <w:multiLevelType w:val="hybridMultilevel"/>
    <w:lvl w:ilvl="0">
      <w:lvlJc w:val="left"/>
      <w:lvlText w:val="%1."/>
      <w:numFmt w:val="decimal"/>
      <w:start w:val="23"/>
    </w:lvl>
  </w:abstractNum>
  <w:abstractNum w:abstractNumId="126">
    <w:nsid w:val="4DF72E4E"/>
    <w:multiLevelType w:val="hybridMultilevel"/>
    <w:lvl w:ilvl="0">
      <w:lvlJc w:val="left"/>
      <w:lvlText w:val="(%1)"/>
      <w:numFmt w:val="lowerLetter"/>
      <w:start w:val="1"/>
    </w:lvl>
  </w:abstractNum>
  <w:abstractNum w:abstractNumId="127">
    <w:nsid w:val="5046B5A9"/>
    <w:multiLevelType w:val="hybridMultilevel"/>
    <w:lvl w:ilvl="0">
      <w:lvlJc w:val="left"/>
      <w:lvlText w:val="%1."/>
      <w:numFmt w:val="decimal"/>
      <w:start w:val="2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jpe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jpeg"/><Relationship Id="rId259" Type="http://schemas.openxmlformats.org/officeDocument/2006/relationships/image" Target="media/image252.jpe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2021-10-14T15:10:34Z</dcterms:created>
  <dcterms:modified xsi:type="dcterms:W3CDTF">2021-10-14T15:10:34Z</dcterms:modified>
</cp:coreProperties>
</file>