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6" w:space="1" w:color="000000"/>
        </w:pBdr>
        <w:bidi w:val="0"/>
        <w:spacing w:before="20" w:after="283"/>
        <w:jc w:val="left"/>
        <w:rPr/>
      </w:pPr>
      <w:bookmarkStart w:id="0" w:name="msft-20260729.htm"/>
      <w:bookmarkStart w:id="1" w:name="ksmsft20260729"/>
      <w:bookmarkEnd w:id="0"/>
      <w:bookmarkEnd w:id="1"/>
      <w:r>
        <w:rPr/>
        <w:t> </w:t>
      </w:r>
    </w:p>
    <w:p>
      <w:pPr>
        <w:pStyle w:val="TextBody"/>
        <w:bidi w:val="0"/>
        <w:spacing w:before="60" w:after="283"/>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bidi w:val="0"/>
        <w:spacing w:before="180" w:after="283"/>
        <w:jc w:val="center"/>
        <w:rPr>
          <w:rFonts w:ascii="Times New Roman" w:hAnsi="Times New Roman"/>
          <w:sz w:val="20"/>
        </w:rPr>
      </w:pPr>
      <w:r>
        <w:rPr>
          <w:rFonts w:ascii="Arial" w:hAnsi="Arial"/>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Arial" w:hAnsi="Arial"/>
          <w:b/>
          <w:color w:val="000000"/>
          <w:sz w:val="24"/>
        </w:rPr>
      </w:pPr>
      <w:r>
        <w:rPr>
          <w:rFonts w:ascii="Arial" w:hAnsi="Arial"/>
          <w:b/>
          <w:color w:val="000000"/>
          <w:sz w:val="24"/>
        </w:rPr>
        <w:t>CURRENT REPORT</w:t>
      </w:r>
    </w:p>
    <w:p>
      <w:pPr>
        <w:pStyle w:val="TextBody"/>
        <w:bidi w:val="0"/>
        <w:jc w:val="center"/>
        <w:rPr>
          <w:rFonts w:ascii="Arial" w:hAnsi="Arial"/>
          <w:b/>
          <w:color w:val="000000"/>
          <w:sz w:val="24"/>
        </w:rPr>
      </w:pPr>
      <w:r>
        <w:rPr>
          <w:rFonts w:ascii="Arial" w:hAnsi="Arial"/>
          <w:b/>
          <w:color w:val="000000"/>
          <w:sz w:val="24"/>
        </w:rPr>
        <w:t>PURSUANT TO SECTION 13 OR 15(D)</w:t>
      </w:r>
    </w:p>
    <w:p>
      <w:pPr>
        <w:pStyle w:val="TextBody"/>
        <w:bidi w:val="0"/>
        <w:jc w:val="center"/>
        <w:rPr>
          <w:rFonts w:ascii="Arial" w:hAnsi="Arial"/>
          <w:b/>
          <w:color w:val="000000"/>
          <w:sz w:val="24"/>
        </w:rPr>
      </w:pPr>
      <w:r>
        <w:rPr>
          <w:rFonts w:ascii="Arial" w:hAnsi="Arial"/>
          <w:b/>
          <w:color w:val="000000"/>
          <w:sz w:val="24"/>
        </w:rPr>
        <w:t>OF THE SECURITIES EXCHANGE ACT OF 1934</w:t>
      </w:r>
    </w:p>
    <w:p>
      <w:pPr>
        <w:pStyle w:val="TextBody"/>
        <w:bidi w:val="0"/>
        <w:spacing w:before="180" w:after="283"/>
        <w:jc w:val="center"/>
        <w:rPr>
          <w:rFonts w:ascii="Arial" w:hAnsi="Arial"/>
          <w:b/>
          <w:color w:val="000000"/>
          <w:sz w:val="24"/>
        </w:rPr>
      </w:pPr>
      <w:r>
        <w:rPr>
          <w:rFonts w:ascii="Arial" w:hAnsi="Arial"/>
          <w:b/>
          <w:color w:val="000000"/>
          <w:sz w:val="24"/>
        </w:rPr>
        <w:t>Date of Report (Date of earliest event reported) July 29, 2026</w:t>
      </w:r>
    </w:p>
    <w:p>
      <w:pPr>
        <w:pStyle w:val="TextBody"/>
        <w:bidi w:val="0"/>
        <w:spacing w:before="180" w:after="283"/>
        <w:jc w:val="center"/>
        <w:rPr>
          <w:rFonts w:ascii="Arial" w:hAnsi="Arial"/>
          <w:b/>
          <w:color w:val="000000"/>
          <w:sz w:val="48"/>
        </w:rPr>
      </w:pPr>
      <w:r>
        <w:rPr>
          <w:rFonts w:ascii="Arial" w:hAnsi="Arial"/>
          <w:b/>
          <w:color w:val="000000"/>
          <w:sz w:val="48"/>
        </w:rPr>
        <w:t>Microsoft Corporation</w:t>
      </w:r>
    </w:p>
    <w:p>
      <w:pPr>
        <w:pStyle w:val="Normal"/>
        <w:bidi w:val="0"/>
        <w:spacing w:before="0" w:after="0"/>
        <w:jc w:val="left"/>
        <w:rPr>
          <w:sz w:val="4"/>
          <w:szCs w:val="4"/>
        </w:rPr>
      </w:pPr>
      <w:r>
        <w:rPr>
          <w:sz w:val="4"/>
          <w:szCs w:val="4"/>
        </w:rPr>
      </w:r>
      <w:bookmarkStart w:id="2" w:name="fis_unidentified_table"/>
      <w:bookmarkStart w:id="3" w:name="fis_unidentified_table"/>
      <w:bookmarkEnd w:id="3"/>
    </w:p>
    <w:tbl>
      <w:tblPr>
        <w:tblW w:w="4885" w:type="dxa"/>
        <w:jc w:val="left"/>
        <w:tblInd w:w="0" w:type="dxa"/>
        <w:tblLayout w:type="fixed"/>
        <w:tblCellMar>
          <w:top w:w="28" w:type="dxa"/>
          <w:left w:w="28" w:type="dxa"/>
          <w:bottom w:w="28" w:type="dxa"/>
          <w:right w:w="28" w:type="dxa"/>
        </w:tblCellMar>
      </w:tblPr>
      <w:tblGrid>
        <w:gridCol w:w="2101"/>
        <w:gridCol w:w="146"/>
        <w:gridCol w:w="1066"/>
        <w:gridCol w:w="146"/>
        <w:gridCol w:w="142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Washington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001-37845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91-1144442</w:t>
            </w:r>
          </w:p>
        </w:tc>
      </w:tr>
      <w:tr>
        <w:trPr/>
        <w:tc>
          <w:tcPr>
            <w:tcW w:w="2101"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(State or Other Jurisdiction</w:t>
            </w:r>
          </w:p>
          <w:p>
            <w:pPr>
              <w:pStyle w:val="TableContents"/>
              <w:bidi w:val="0"/>
              <w:spacing w:before="0" w:after="283"/>
              <w:jc w:val="center"/>
              <w:rPr>
                <w:rFonts w:ascii="Arial" w:hAnsi="Arial"/>
                <w:b/>
                <w:color w:val="000000"/>
                <w:sz w:val="15"/>
              </w:rPr>
            </w:pPr>
            <w:r>
              <w:rPr>
                <w:rFonts w:ascii="Arial" w:hAnsi="Arial"/>
                <w:b/>
                <w:color w:val="000000"/>
                <w:sz w:val="15"/>
              </w:rPr>
              <w:t>of Incorporation)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(Commission</w:t>
            </w:r>
          </w:p>
          <w:p>
            <w:pPr>
              <w:pStyle w:val="TableContents"/>
              <w:bidi w:val="0"/>
              <w:spacing w:before="0" w:after="283"/>
              <w:jc w:val="center"/>
              <w:rPr>
                <w:rFonts w:ascii="Arial" w:hAnsi="Arial"/>
                <w:b/>
                <w:color w:val="000000"/>
                <w:sz w:val="15"/>
              </w:rPr>
            </w:pPr>
            <w:r>
              <w:rPr>
                <w:rFonts w:ascii="Arial" w:hAnsi="Arial"/>
                <w:b/>
                <w:color w:val="000000"/>
                <w:sz w:val="15"/>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(IRS Employer</w:t>
            </w:r>
          </w:p>
          <w:p>
            <w:pPr>
              <w:pStyle w:val="TableContents"/>
              <w:bidi w:val="0"/>
              <w:spacing w:before="0" w:after="283"/>
              <w:jc w:val="center"/>
              <w:rPr>
                <w:rFonts w:ascii="Arial" w:hAnsi="Arial"/>
                <w:b/>
                <w:color w:val="000000"/>
                <w:sz w:val="15"/>
              </w:rPr>
            </w:pPr>
            <w:r>
              <w:rPr>
                <w:rFonts w:ascii="Arial" w:hAnsi="Arial"/>
                <w:b/>
                <w:color w:val="000000"/>
                <w:sz w:val="15"/>
              </w:rPr>
              <w:t>Identification No.)</w:t>
            </w:r>
          </w:p>
        </w:tc>
      </w:tr>
    </w:tbl>
    <w:tbl>
      <w:tblPr>
        <w:tblW w:w="5221" w:type="dxa"/>
        <w:jc w:val="left"/>
        <w:tblInd w:w="0" w:type="dxa"/>
        <w:tblLayout w:type="fixed"/>
        <w:tblCellMar>
          <w:top w:w="28" w:type="dxa"/>
          <w:left w:w="28" w:type="dxa"/>
          <w:bottom w:w="28" w:type="dxa"/>
          <w:right w:w="28" w:type="dxa"/>
        </w:tblCellMar>
      </w:tblPr>
      <w:tblGrid>
        <w:gridCol w:w="5221"/>
      </w:tblGrid>
      <w:tr>
        <w:trPr/>
        <w:tc>
          <w:tcPr>
            <w:tcW w:w="5221" w:type="dxa"/>
            <w:tcBorders/>
            <w:vAlign w:val="center"/>
          </w:tcPr>
          <w:p>
            <w:pPr>
              <w:pStyle w:val="TableContents"/>
              <w:bidi w:val="0"/>
              <w:spacing w:before="0" w:after="283"/>
              <w:jc w:val="left"/>
              <w:rPr>
                <w:sz w:val="4"/>
                <w:szCs w:val="4"/>
              </w:rPr>
            </w:pPr>
            <w:r>
              <w:rPr>
                <w:sz w:val="4"/>
                <w:szCs w:val="4"/>
              </w:rPr>
            </w:r>
          </w:p>
        </w:tc>
      </w:tr>
      <w:tr>
        <w:trPr/>
        <w:tc>
          <w:tcPr>
            <w:tcW w:w="5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One Microsoft Way, Redmond, Washington</w:t>
            </w:r>
            <w:r>
              <w:rPr>
                <w:rFonts w:ascii="Times New Roman" w:hAnsi="Times New Roman"/>
                <w:color w:val="000000"/>
                <w:sz w:val="20"/>
              </w:rPr>
              <w:t xml:space="preserve"> </w:t>
            </w:r>
            <w:r>
              <w:rPr>
                <w:rFonts w:ascii="Arial" w:hAnsi="Arial"/>
                <w:b/>
                <w:color w:val="000000"/>
                <w:sz w:val="20"/>
              </w:rPr>
              <w:t>98052-6399</w:t>
            </w:r>
          </w:p>
        </w:tc>
      </w:tr>
    </w:tbl>
    <w:p>
      <w:pPr>
        <w:pStyle w:val="TextBody"/>
        <w:bidi w:val="0"/>
        <w:spacing w:before="180" w:after="283"/>
        <w:jc w:val="center"/>
        <w:rPr>
          <w:rFonts w:ascii="Arial" w:hAnsi="Arial"/>
          <w:b/>
          <w:color w:val="000000"/>
          <w:sz w:val="20"/>
        </w:rPr>
      </w:pPr>
      <w:r>
        <w:rPr>
          <w:rFonts w:ascii="Arial" w:hAnsi="Arial"/>
          <w:b/>
          <w:color w:val="000000"/>
          <w:sz w:val="20"/>
        </w:rPr>
        <w:t>(425) 882-8080</w:t>
      </w:r>
    </w:p>
    <w:p>
      <w:pPr>
        <w:pStyle w:val="TextBody"/>
        <w:bidi w:val="0"/>
        <w:jc w:val="center"/>
        <w:rPr>
          <w:rFonts w:ascii="Arial" w:hAnsi="Arial"/>
          <w:b/>
          <w:color w:val="000000"/>
          <w:sz w:val="15"/>
        </w:rPr>
      </w:pPr>
      <w:r>
        <w:rPr>
          <w:rFonts w:ascii="Arial" w:hAnsi="Arial"/>
          <w:b/>
          <w:color w:val="000000"/>
          <w:sz w:val="15"/>
        </w:rPr>
        <w:t>www.microsoft.com/investor</w:t>
      </w:r>
    </w:p>
    <w:p>
      <w:pPr>
        <w:pStyle w:val="TextBody"/>
        <w:bidi w:val="0"/>
        <w:spacing w:before="180" w:after="283"/>
        <w:jc w:val="both"/>
        <w:rPr>
          <w:rFonts w:ascii="Arial" w:hAnsi="Arial"/>
          <w:color w:val="000000"/>
          <w:sz w:val="20"/>
        </w:rPr>
      </w:pPr>
      <w:r>
        <w:rPr>
          <w:rFonts w:ascii="Arial" w:hAnsi="Arial"/>
          <w:color w:val="000000"/>
          <w:sz w:val="20"/>
        </w:rPr>
        <w:t>Check the appropriate box below if the Form 8-K filing is intended to simultaneously satisfy the filing obligation of the registrant under any of the following provisions (see General Instruction A.2. below):</w:t>
      </w:r>
    </w:p>
    <w:tbl>
      <w:tblPr>
        <w:tblW w:w="8252" w:type="dxa"/>
        <w:jc w:val="left"/>
        <w:tblInd w:w="0" w:type="dxa"/>
        <w:tblLayout w:type="fixed"/>
        <w:tblCellMar>
          <w:top w:w="28" w:type="dxa"/>
          <w:left w:w="28" w:type="dxa"/>
          <w:bottom w:w="28" w:type="dxa"/>
          <w:right w:w="28" w:type="dxa"/>
        </w:tblCellMar>
      </w:tblPr>
      <w:tblGrid>
        <w:gridCol w:w="391"/>
        <w:gridCol w:w="7861"/>
      </w:tblGrid>
      <w:tr>
        <w:trPr/>
        <w:tc>
          <w:tcPr>
            <w:tcW w:w="391" w:type="dxa"/>
            <w:tcBorders/>
            <w:vAlign w:val="center"/>
          </w:tcPr>
          <w:p>
            <w:pPr>
              <w:pStyle w:val="TableContents"/>
              <w:bidi w:val="0"/>
              <w:spacing w:before="0" w:after="283"/>
              <w:jc w:val="left"/>
              <w:rPr>
                <w:sz w:val="4"/>
                <w:szCs w:val="4"/>
              </w:rPr>
            </w:pPr>
            <w:r>
              <w:rPr>
                <w:sz w:val="4"/>
                <w:szCs w:val="4"/>
              </w:rPr>
            </w:r>
          </w:p>
        </w:tc>
        <w:tc>
          <w:tcPr>
            <w:tcW w:w="7861" w:type="dxa"/>
            <w:tcBorders/>
            <w:vAlign w:val="center"/>
          </w:tcPr>
          <w:p>
            <w:pPr>
              <w:pStyle w:val="TableContents"/>
              <w:bidi w:val="0"/>
              <w:spacing w:before="0" w:after="283"/>
              <w:jc w:val="left"/>
              <w:rPr>
                <w:sz w:val="4"/>
                <w:szCs w:val="4"/>
              </w:rPr>
            </w:pPr>
            <w:r>
              <w:rPr>
                <w:sz w:val="4"/>
                <w:szCs w:val="4"/>
              </w:rPr>
            </w:r>
          </w:p>
        </w:tc>
      </w:tr>
      <w:tr>
        <w:trPr/>
        <w:tc>
          <w:tcPr>
            <w:tcW w:w="3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7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Written communications pursuant to Rule 425 under the Securities Act (17 CFR 230.425)</w:t>
            </w:r>
          </w:p>
        </w:tc>
      </w:tr>
    </w:tbl>
    <w:tbl>
      <w:tblPr>
        <w:tblW w:w="8237" w:type="dxa"/>
        <w:jc w:val="left"/>
        <w:tblInd w:w="0" w:type="dxa"/>
        <w:tblLayout w:type="fixed"/>
        <w:tblCellMar>
          <w:top w:w="28" w:type="dxa"/>
          <w:left w:w="28" w:type="dxa"/>
          <w:bottom w:w="28" w:type="dxa"/>
          <w:right w:w="28" w:type="dxa"/>
        </w:tblCellMar>
      </w:tblPr>
      <w:tblGrid>
        <w:gridCol w:w="391"/>
        <w:gridCol w:w="7846"/>
      </w:tblGrid>
      <w:tr>
        <w:trPr/>
        <w:tc>
          <w:tcPr>
            <w:tcW w:w="391"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r>
      <w:tr>
        <w:trPr/>
        <w:tc>
          <w:tcPr>
            <w:tcW w:w="3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78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Soliciting material pursuant to Rule 14a-12 under the Exchange Act (17 CFR 240.14a-12)</w:t>
            </w:r>
          </w:p>
        </w:tc>
      </w:tr>
    </w:tbl>
    <w:tbl>
      <w:tblPr>
        <w:tblW w:w="10172" w:type="dxa"/>
        <w:jc w:val="left"/>
        <w:tblInd w:w="0" w:type="dxa"/>
        <w:tblLayout w:type="fixed"/>
        <w:tblCellMar>
          <w:top w:w="28" w:type="dxa"/>
          <w:left w:w="28" w:type="dxa"/>
          <w:bottom w:w="28" w:type="dxa"/>
          <w:right w:w="28" w:type="dxa"/>
        </w:tblCellMar>
      </w:tblPr>
      <w:tblGrid>
        <w:gridCol w:w="391"/>
        <w:gridCol w:w="9781"/>
      </w:tblGrid>
      <w:tr>
        <w:trPr/>
        <w:tc>
          <w:tcPr>
            <w:tcW w:w="391" w:type="dxa"/>
            <w:tcBorders/>
            <w:vAlign w:val="center"/>
          </w:tcPr>
          <w:p>
            <w:pPr>
              <w:pStyle w:val="TableContents"/>
              <w:bidi w:val="0"/>
              <w:spacing w:before="0" w:after="283"/>
              <w:jc w:val="left"/>
              <w:rPr>
                <w:sz w:val="4"/>
                <w:szCs w:val="4"/>
              </w:rPr>
            </w:pPr>
            <w:r>
              <w:rPr>
                <w:sz w:val="4"/>
                <w:szCs w:val="4"/>
              </w:rPr>
            </w:r>
          </w:p>
        </w:tc>
        <w:tc>
          <w:tcPr>
            <w:tcW w:w="9781" w:type="dxa"/>
            <w:tcBorders/>
            <w:vAlign w:val="center"/>
          </w:tcPr>
          <w:p>
            <w:pPr>
              <w:pStyle w:val="TableContents"/>
              <w:bidi w:val="0"/>
              <w:spacing w:before="0" w:after="283"/>
              <w:jc w:val="left"/>
              <w:rPr>
                <w:sz w:val="4"/>
                <w:szCs w:val="4"/>
              </w:rPr>
            </w:pPr>
            <w:r>
              <w:rPr>
                <w:sz w:val="4"/>
                <w:szCs w:val="4"/>
              </w:rPr>
            </w:r>
          </w:p>
        </w:tc>
      </w:tr>
      <w:tr>
        <w:trPr/>
        <w:tc>
          <w:tcPr>
            <w:tcW w:w="3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9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Pre-commencement communications pursuant to Rule 14d-2(b) under the Exchange Act (17 CFR 240.14d-2(b))</w:t>
            </w:r>
          </w:p>
        </w:tc>
      </w:tr>
    </w:tbl>
    <w:tbl>
      <w:tblPr>
        <w:tblW w:w="10172" w:type="dxa"/>
        <w:jc w:val="left"/>
        <w:tblInd w:w="0" w:type="dxa"/>
        <w:tblLayout w:type="fixed"/>
        <w:tblCellMar>
          <w:top w:w="28" w:type="dxa"/>
          <w:left w:w="28" w:type="dxa"/>
          <w:bottom w:w="28" w:type="dxa"/>
          <w:right w:w="28" w:type="dxa"/>
        </w:tblCellMar>
      </w:tblPr>
      <w:tblGrid>
        <w:gridCol w:w="391"/>
        <w:gridCol w:w="9781"/>
      </w:tblGrid>
      <w:tr>
        <w:trPr/>
        <w:tc>
          <w:tcPr>
            <w:tcW w:w="391" w:type="dxa"/>
            <w:tcBorders/>
            <w:vAlign w:val="center"/>
          </w:tcPr>
          <w:p>
            <w:pPr>
              <w:pStyle w:val="TableContents"/>
              <w:bidi w:val="0"/>
              <w:spacing w:before="0" w:after="283"/>
              <w:jc w:val="left"/>
              <w:rPr>
                <w:sz w:val="4"/>
                <w:szCs w:val="4"/>
              </w:rPr>
            </w:pPr>
            <w:r>
              <w:rPr>
                <w:sz w:val="4"/>
                <w:szCs w:val="4"/>
              </w:rPr>
            </w:r>
          </w:p>
        </w:tc>
        <w:tc>
          <w:tcPr>
            <w:tcW w:w="9781" w:type="dxa"/>
            <w:tcBorders/>
            <w:vAlign w:val="center"/>
          </w:tcPr>
          <w:p>
            <w:pPr>
              <w:pStyle w:val="TableContents"/>
              <w:bidi w:val="0"/>
              <w:spacing w:before="0" w:after="283"/>
              <w:jc w:val="left"/>
              <w:rPr>
                <w:sz w:val="4"/>
                <w:szCs w:val="4"/>
              </w:rPr>
            </w:pPr>
            <w:r>
              <w:rPr>
                <w:sz w:val="4"/>
                <w:szCs w:val="4"/>
              </w:rPr>
            </w:r>
          </w:p>
        </w:tc>
      </w:tr>
      <w:tr>
        <w:trPr/>
        <w:tc>
          <w:tcPr>
            <w:tcW w:w="3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9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Pre-commencement communications pursuant to Rule 13e-4(c) under the Exchange Act (17 CFR 240.13e-4(c))</w:t>
            </w:r>
          </w:p>
        </w:tc>
      </w:tr>
    </w:tbl>
    <w:p>
      <w:pPr>
        <w:pStyle w:val="TextBody"/>
        <w:bidi w:val="0"/>
        <w:spacing w:before="180" w:after="283"/>
        <w:jc w:val="both"/>
        <w:rPr/>
      </w:pPr>
      <w:r>
        <w:rPr/>
        <w:t> </w:t>
      </w:r>
    </w:p>
    <w:tbl>
      <w:tblPr>
        <w:tblW w:w="9895" w:type="dxa"/>
        <w:jc w:val="left"/>
        <w:tblInd w:w="0" w:type="dxa"/>
        <w:tblLayout w:type="fixed"/>
        <w:tblCellMar>
          <w:top w:w="28" w:type="dxa"/>
          <w:left w:w="28" w:type="dxa"/>
          <w:bottom w:w="28" w:type="dxa"/>
          <w:right w:w="28" w:type="dxa"/>
        </w:tblCellMar>
      </w:tblPr>
      <w:tblGrid>
        <w:gridCol w:w="4606"/>
        <w:gridCol w:w="146"/>
        <w:gridCol w:w="1471"/>
        <w:gridCol w:w="146"/>
        <w:gridCol w:w="3526"/>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9895" w:type="dxa"/>
            <w:gridSpan w:val="5"/>
            <w:tcBorders/>
            <w:tcMar>
              <w:top w:w="0" w:type="dxa"/>
              <w:left w:w="0" w:type="dxa"/>
              <w:bottom w:w="0" w:type="dxa"/>
              <w:right w:w="0" w:type="dxa"/>
            </w:tcMar>
            <w:vAlign w:val="center"/>
          </w:tcPr>
          <w:p>
            <w:pPr>
              <w:pStyle w:val="TableContents"/>
              <w:bidi w:val="0"/>
              <w:spacing w:before="40" w:after="283"/>
              <w:jc w:val="left"/>
              <w:rPr>
                <w:rFonts w:ascii="Times New Roman" w:hAnsi="Times New Roman"/>
                <w:sz w:val="20"/>
              </w:rPr>
            </w:pPr>
            <w:r>
              <w:rPr>
                <w:rFonts w:ascii="Arial" w:hAnsi="Arial"/>
                <w:color w:val="000000"/>
                <w:sz w:val="20"/>
              </w:rPr>
              <w:t>Securities registered pursuant to Section 12(b) of the Act:</w:t>
            </w:r>
            <w:r>
              <w:rPr>
                <w:rFonts w:ascii="Times New Roman" w:hAnsi="Times New Roman"/>
                <w:color w:val="000000"/>
                <w:sz w:val="20"/>
              </w:rPr>
              <w:t xml:space="preserve"> </w:t>
            </w:r>
          </w:p>
        </w:tc>
      </w:tr>
      <w:tr>
        <w:trPr/>
        <w:tc>
          <w:tcPr>
            <w:tcW w:w="460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40" w:after="283"/>
              <w:jc w:val="left"/>
              <w:rPr/>
            </w:pPr>
            <w:r>
              <w:rPr/>
              <w:t> </w:t>
            </w:r>
          </w:p>
        </w:tc>
      </w:tr>
      <w:tr>
        <w:trPr/>
        <w:tc>
          <w:tcPr>
            <w:tcW w:w="4606" w:type="dxa"/>
            <w:tcBorders/>
            <w:tcMar>
              <w:top w:w="0" w:type="dxa"/>
              <w:left w:w="0" w:type="dxa"/>
              <w:bottom w:w="0" w:type="dxa"/>
              <w:right w:w="0" w:type="dxa"/>
            </w:tcMar>
            <w:vAlign w:val="center"/>
          </w:tcPr>
          <w:p>
            <w:pPr>
              <w:pStyle w:val="TableContents"/>
              <w:bidi w:val="0"/>
              <w:spacing w:before="40" w:after="283"/>
              <w:jc w:val="left"/>
              <w:rPr>
                <w:rFonts w:ascii="Arial" w:hAnsi="Arial"/>
                <w:color w:val="000000"/>
                <w:sz w:val="20"/>
              </w:rPr>
            </w:pPr>
            <w:r>
              <w:rPr>
                <w:rFonts w:ascii="Arial" w:hAnsi="Arial"/>
                <w:color w:val="000000"/>
                <w:sz w:val="20"/>
              </w:rPr>
              <w:t>Title of each class</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Trading Symbol</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Name of exchange on which registered</w:t>
            </w:r>
          </w:p>
        </w:tc>
      </w:tr>
      <w:tr>
        <w:trPr/>
        <w:tc>
          <w:tcPr>
            <w:tcW w:w="460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4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40" w:after="283"/>
              <w:jc w:val="center"/>
              <w:rPr/>
            </w:pPr>
            <w:r>
              <w:rPr/>
              <w:t> </w:t>
            </w:r>
          </w:p>
        </w:tc>
      </w:tr>
      <w:tr>
        <w:trPr/>
        <w:tc>
          <w:tcPr>
            <w:tcW w:w="4606" w:type="dxa"/>
            <w:tcBorders/>
            <w:tcMar>
              <w:top w:w="0" w:type="dxa"/>
              <w:left w:w="0" w:type="dxa"/>
              <w:bottom w:w="0" w:type="dxa"/>
              <w:right w:w="0" w:type="dxa"/>
            </w:tcMar>
            <w:vAlign w:val="center"/>
          </w:tcPr>
          <w:p>
            <w:pPr>
              <w:pStyle w:val="TableContents"/>
              <w:bidi w:val="0"/>
              <w:spacing w:before="40" w:after="283"/>
              <w:jc w:val="left"/>
              <w:rPr>
                <w:rFonts w:ascii="Arial" w:hAnsi="Arial"/>
                <w:b/>
                <w:color w:val="000000"/>
                <w:sz w:val="20"/>
              </w:rPr>
            </w:pPr>
            <w:r>
              <w:rPr>
                <w:rFonts w:ascii="Arial" w:hAnsi="Arial"/>
                <w:b/>
                <w:color w:val="000000"/>
                <w:sz w:val="20"/>
              </w:rPr>
              <w:t>Common stock, $0.00000625 par value per share</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MSFT</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Nasdaq</w:t>
            </w:r>
          </w:p>
        </w:tc>
      </w:tr>
      <w:tr>
        <w:trPr/>
        <w:tc>
          <w:tcPr>
            <w:tcW w:w="4606" w:type="dxa"/>
            <w:tcBorders/>
            <w:tcMar>
              <w:top w:w="0" w:type="dxa"/>
              <w:left w:w="0" w:type="dxa"/>
              <w:bottom w:w="0" w:type="dxa"/>
              <w:right w:w="0" w:type="dxa"/>
            </w:tcMar>
            <w:vAlign w:val="center"/>
          </w:tcPr>
          <w:p>
            <w:pPr>
              <w:pStyle w:val="TableContents"/>
              <w:bidi w:val="0"/>
              <w:spacing w:before="40" w:after="283"/>
              <w:jc w:val="left"/>
              <w:rPr>
                <w:rFonts w:ascii="Arial" w:hAnsi="Arial"/>
                <w:b/>
                <w:color w:val="000000"/>
                <w:sz w:val="20"/>
              </w:rPr>
            </w:pPr>
            <w:r>
              <w:rPr>
                <w:rFonts w:ascii="Arial" w:hAnsi="Arial"/>
                <w:b/>
                <w:color w:val="000000"/>
                <w:sz w:val="20"/>
              </w:rPr>
              <w:t>3.125% Notes due 2028</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MSFT</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Nasdaq</w:t>
            </w:r>
          </w:p>
        </w:tc>
      </w:tr>
      <w:tr>
        <w:trPr/>
        <w:tc>
          <w:tcPr>
            <w:tcW w:w="4606" w:type="dxa"/>
            <w:tcBorders/>
            <w:tcMar>
              <w:top w:w="0" w:type="dxa"/>
              <w:left w:w="0" w:type="dxa"/>
              <w:bottom w:w="0" w:type="dxa"/>
              <w:right w:w="0" w:type="dxa"/>
            </w:tcMar>
            <w:vAlign w:val="center"/>
          </w:tcPr>
          <w:p>
            <w:pPr>
              <w:pStyle w:val="TableContents"/>
              <w:bidi w:val="0"/>
              <w:spacing w:before="40" w:after="283"/>
              <w:jc w:val="left"/>
              <w:rPr>
                <w:rFonts w:ascii="Arial" w:hAnsi="Arial"/>
                <w:b/>
                <w:color w:val="000000"/>
                <w:sz w:val="20"/>
              </w:rPr>
            </w:pPr>
            <w:r>
              <w:rPr>
                <w:rFonts w:ascii="Arial" w:hAnsi="Arial"/>
                <w:b/>
                <w:color w:val="000000"/>
                <w:sz w:val="20"/>
              </w:rPr>
              <w:t>2.625% Notes due 2033</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MSFT</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Nasdaq</w:t>
            </w:r>
          </w:p>
        </w:tc>
      </w:tr>
    </w:tbl>
    <w:p>
      <w:pPr>
        <w:pStyle w:val="TextBody"/>
        <w:bidi w:val="0"/>
        <w:spacing w:before="180" w:after="283"/>
        <w:jc w:val="both"/>
        <w:rPr>
          <w:rFonts w:ascii="Times New Roman" w:hAnsi="Times New Roman"/>
          <w:sz w:val="20"/>
        </w:rPr>
      </w:pPr>
      <w:r>
        <w:rPr>
          <w:rFonts w:ascii="Arial" w:hAnsi="Arial"/>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Times New Roman" w:hAnsi="Times New Roman"/>
          <w:color w:val="000000"/>
          <w:sz w:val="20"/>
        </w:rPr>
        <w:t>☐</w:t>
      </w:r>
    </w:p>
    <w:p>
      <w:pPr>
        <w:pStyle w:val="TextBody"/>
        <w:pBdr>
          <w:bottom w:val="single" w:sz="4" w:space="1" w:color="000000"/>
        </w:pBdr>
        <w:bidi w:val="0"/>
        <w:spacing w:before="180" w:after="283"/>
        <w:jc w:val="both"/>
        <w:rPr>
          <w:rFonts w:ascii="Times New Roman" w:hAnsi="Times New Roman"/>
          <w:sz w:val="20"/>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477" w:type="dxa"/>
        <w:jc w:val="left"/>
        <w:tblInd w:w="0" w:type="dxa"/>
        <w:tblLayout w:type="fixed"/>
        <w:tblCellMar>
          <w:top w:w="28" w:type="dxa"/>
          <w:left w:w="28" w:type="dxa"/>
          <w:bottom w:w="28" w:type="dxa"/>
          <w:right w:w="28" w:type="dxa"/>
        </w:tblCellMar>
      </w:tblPr>
      <w:tblGrid>
        <w:gridCol w:w="1021"/>
        <w:gridCol w:w="4456"/>
      </w:tblGrid>
      <w:tr>
        <w:trPr/>
        <w:tc>
          <w:tcPr>
            <w:tcW w:w="1021"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bookmarkStart w:id="4" w:name="fis_section_2_financial_information"/>
            <w:bookmarkStart w:id="5" w:name="fis_results_of_operations"/>
            <w:bookmarkEnd w:id="4"/>
            <w:bookmarkEnd w:id="5"/>
            <w:r>
              <w:rPr>
                <w:rFonts w:ascii="Arial" w:hAnsi="Arial"/>
                <w:b/>
                <w:color w:val="000000"/>
                <w:sz w:val="20"/>
              </w:rPr>
              <w:t>Item 2.02.</w:t>
            </w:r>
          </w:p>
        </w:tc>
        <w:tc>
          <w:tcPr>
            <w:tcW w:w="44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Results of Operations and Financial Condition</w:t>
            </w:r>
          </w:p>
        </w:tc>
      </w:tr>
    </w:tbl>
    <w:p>
      <w:pPr>
        <w:pStyle w:val="TextBody"/>
        <w:bidi w:val="0"/>
        <w:spacing w:before="90" w:after="283"/>
        <w:jc w:val="both"/>
        <w:rPr>
          <w:rFonts w:ascii="Arial" w:hAnsi="Arial"/>
          <w:color w:val="000000"/>
          <w:sz w:val="20"/>
        </w:rPr>
      </w:pPr>
      <w:r>
        <w:rPr>
          <w:rFonts w:ascii="Arial" w:hAnsi="Arial"/>
          <w:color w:val="000000"/>
          <w:sz w:val="20"/>
        </w:rPr>
        <w:t>On July 29, 2026, Microsoft Corporation issued a press release announcing its financial results for the fiscal quarter and year ended June 30, 2026. A copy of the press release is furnished as Exhibit 99.1 to this report.</w:t>
      </w:r>
    </w:p>
    <w:p>
      <w:pPr>
        <w:pStyle w:val="TextBody"/>
        <w:bidi w:val="0"/>
        <w:spacing w:before="180" w:after="283"/>
        <w:jc w:val="both"/>
        <w:rPr>
          <w:rFonts w:ascii="Arial" w:hAnsi="Arial"/>
          <w:color w:val="000000"/>
          <w:sz w:val="20"/>
        </w:rPr>
      </w:pPr>
      <w:r>
        <w:rPr>
          <w:rFonts w:ascii="Arial" w:hAnsi="Arial"/>
          <w:color w:val="000000"/>
          <w:sz w:val="20"/>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Normal"/>
        <w:bidi w:val="0"/>
        <w:spacing w:before="0" w:after="0"/>
        <w:jc w:val="left"/>
        <w:rPr>
          <w:sz w:val="4"/>
          <w:szCs w:val="4"/>
        </w:rPr>
      </w:pPr>
      <w:r>
        <w:rPr>
          <w:sz w:val="4"/>
          <w:szCs w:val="4"/>
        </w:rPr>
      </w:r>
      <w:bookmarkStart w:id="6" w:name="fis_section_9_financial_statements_and_e"/>
      <w:bookmarkStart w:id="7" w:name="fis_financial_statements_and_exhibits"/>
      <w:bookmarkStart w:id="8" w:name="fis_section_9_financial_statements_and_e"/>
      <w:bookmarkStart w:id="9" w:name="fis_financial_statements_and_exhibits"/>
      <w:bookmarkEnd w:id="8"/>
      <w:bookmarkEnd w:id="9"/>
    </w:p>
    <w:tbl>
      <w:tblPr>
        <w:tblW w:w="4352" w:type="dxa"/>
        <w:jc w:val="left"/>
        <w:tblInd w:w="0" w:type="dxa"/>
        <w:tblLayout w:type="fixed"/>
        <w:tblCellMar>
          <w:top w:w="28" w:type="dxa"/>
          <w:left w:w="28" w:type="dxa"/>
          <w:bottom w:w="28" w:type="dxa"/>
          <w:right w:w="28" w:type="dxa"/>
        </w:tblCellMar>
      </w:tblPr>
      <w:tblGrid>
        <w:gridCol w:w="1021"/>
        <w:gridCol w:w="3331"/>
      </w:tblGrid>
      <w:tr>
        <w:trPr/>
        <w:tc>
          <w:tcPr>
            <w:tcW w:w="1021"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9.01.</w:t>
            </w:r>
          </w:p>
        </w:tc>
        <w:tc>
          <w:tcPr>
            <w:tcW w:w="33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Statements and Exhibits</w:t>
            </w:r>
          </w:p>
        </w:tc>
      </w:tr>
    </w:tbl>
    <w:p>
      <w:pPr>
        <w:pStyle w:val="TextBody"/>
        <w:bidi w:val="0"/>
        <w:spacing w:before="90" w:after="283"/>
        <w:jc w:val="left"/>
        <w:rPr>
          <w:rFonts w:ascii="Arial" w:hAnsi="Arial"/>
          <w:color w:val="000000"/>
          <w:sz w:val="20"/>
        </w:rPr>
      </w:pPr>
      <w:r>
        <w:rPr>
          <w:rFonts w:ascii="Arial" w:hAnsi="Arial"/>
          <w:color w:val="000000"/>
          <w:sz w:val="20"/>
        </w:rPr>
        <w:t>(d) Exhibits:</w:t>
      </w:r>
    </w:p>
    <w:tbl>
      <w:tblPr>
        <w:tblW w:w="7603" w:type="dxa"/>
        <w:jc w:val="left"/>
        <w:tblInd w:w="0" w:type="dxa"/>
        <w:tblLayout w:type="fixed"/>
        <w:tblCellMar>
          <w:top w:w="28" w:type="dxa"/>
          <w:left w:w="28" w:type="dxa"/>
          <w:bottom w:w="28" w:type="dxa"/>
          <w:right w:w="28" w:type="dxa"/>
        </w:tblCellMar>
      </w:tblPr>
      <w:tblGrid>
        <w:gridCol w:w="161"/>
        <w:gridCol w:w="481"/>
        <w:gridCol w:w="6961"/>
      </w:tblGrid>
      <w:tr>
        <w:trPr/>
        <w:tc>
          <w:tcPr>
            <w:tcW w:w="16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9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99.1</w:t>
            </w:r>
          </w:p>
        </w:tc>
        <w:tc>
          <w:tcPr>
            <w:tcW w:w="6961" w:type="dxa"/>
            <w:tcBorders/>
            <w:tcMar>
              <w:top w:w="0" w:type="dxa"/>
              <w:left w:w="0" w:type="dxa"/>
              <w:bottom w:w="0" w:type="dxa"/>
              <w:right w:w="0" w:type="dxa"/>
            </w:tcMar>
            <w:vAlign w:val="center"/>
          </w:tcPr>
          <w:p>
            <w:pPr>
              <w:pStyle w:val="TableContents"/>
              <w:bidi w:val="0"/>
              <w:spacing w:before="0" w:after="283"/>
              <w:jc w:val="left"/>
              <w:rPr/>
            </w:pPr>
            <w:hyperlink w:anchor="msft-ex99_1.htm">
              <w:r>
                <w:rPr>
                  <w:rStyle w:val="InternetLink"/>
                  <w:rFonts w:ascii="Arial" w:hAnsi="Arial"/>
                  <w:color w:val="0000FF"/>
                  <w:sz w:val="20"/>
                  <w:u w:val="single"/>
                </w:rPr>
                <w:t>Press release, dated July 29, 2026 issued by Microsoft Corporation</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69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0" w:name="eolpage3"/>
      <w:bookmarkEnd w:id="10"/>
      <w:r>
        <w:rPr/>
        <w:t> </w:t>
      </w:r>
    </w:p>
    <w:p>
      <w:pPr>
        <w:pStyle w:val="TextBody"/>
        <w:bidi w:val="0"/>
        <w:jc w:val="center"/>
        <w:rPr>
          <w:rFonts w:ascii="Arial" w:hAnsi="Arial"/>
          <w:b/>
          <w:color w:val="000000"/>
          <w:sz w:val="20"/>
        </w:rPr>
      </w:pPr>
      <w:bookmarkStart w:id="11" w:name="fis_signatures"/>
      <w:bookmarkEnd w:id="11"/>
      <w:r>
        <w:rPr>
          <w:rFonts w:ascii="Arial" w:hAnsi="Arial"/>
          <w:b/>
          <w:color w:val="000000"/>
          <w:sz w:val="20"/>
        </w:rPr>
        <w:t>SIGNATURE</w:t>
      </w:r>
    </w:p>
    <w:p>
      <w:pPr>
        <w:pStyle w:val="TextBody"/>
        <w:bidi w:val="0"/>
        <w:spacing w:before="180" w:after="283"/>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hereunto duly authorized.</w:t>
      </w:r>
    </w:p>
    <w:tbl>
      <w:tblPr>
        <w:tblW w:w="4783" w:type="dxa"/>
        <w:jc w:val="left"/>
        <w:tblInd w:w="0" w:type="dxa"/>
        <w:tblLayout w:type="fixed"/>
        <w:tblCellMar>
          <w:top w:w="28" w:type="dxa"/>
          <w:left w:w="28" w:type="dxa"/>
          <w:bottom w:w="28" w:type="dxa"/>
          <w:right w:w="28" w:type="dxa"/>
        </w:tblCellMar>
      </w:tblPr>
      <w:tblGrid>
        <w:gridCol w:w="1816"/>
        <w:gridCol w:w="146"/>
        <w:gridCol w:w="282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MICROSOFT CORPORATION</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(Registrant)</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296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July 29,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sz w:val="22"/>
              </w:rPr>
            </w:pPr>
            <w:r>
              <w:rPr>
                <w:rFonts w:ascii="Arial" w:hAnsi="Arial"/>
                <w:color w:val="000000"/>
                <w:sz w:val="20"/>
              </w:rPr>
              <w:t>/s/ A</w:t>
            </w:r>
            <w:r>
              <w:rPr>
                <w:rFonts w:ascii="Arial" w:hAnsi="Arial"/>
                <w:color w:val="000000"/>
                <w:sz w:val="15"/>
              </w:rPr>
              <w:t>LICE</w:t>
            </w:r>
            <w:r>
              <w:rPr>
                <w:rFonts w:ascii="Times New Roman" w:hAnsi="Times New Roman"/>
                <w:color w:val="000000"/>
                <w:sz w:val="22"/>
              </w:rPr>
              <w:t xml:space="preserve"> </w:t>
            </w:r>
            <w:r>
              <w:rPr>
                <w:rFonts w:ascii="Arial" w:hAnsi="Arial"/>
                <w:color w:val="000000"/>
                <w:sz w:val="20"/>
              </w:rPr>
              <w:t>L</w:t>
            </w:r>
            <w:r>
              <w:rPr>
                <w:rFonts w:ascii="Arial" w:hAnsi="Arial"/>
                <w:color w:val="000000"/>
                <w:sz w:val="22"/>
              </w:rPr>
              <w:t xml:space="preserve">. </w:t>
            </w:r>
            <w:r>
              <w:rPr>
                <w:rFonts w:ascii="Arial" w:hAnsi="Arial"/>
                <w:color w:val="000000"/>
                <w:sz w:val="20"/>
              </w:rPr>
              <w:t>J</w:t>
            </w:r>
            <w:r>
              <w:rPr>
                <w:rFonts w:ascii="Arial" w:hAnsi="Arial"/>
                <w:color w:val="000000"/>
                <w:sz w:val="15"/>
              </w:rPr>
              <w:t>OLLA</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Alice L. Jolla</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Arial" w:hAnsi="Arial"/>
                <w:color w:val="000000"/>
                <w:sz w:val="20"/>
              </w:rPr>
              <w:t>Corporate Vice President and</w:t>
            </w:r>
            <w:r>
              <w:rPr>
                <w:rFonts w:ascii="Times New Roman" w:hAnsi="Times New Roman"/>
                <w:color w:val="000000"/>
                <w:sz w:val="20"/>
              </w:rPr>
              <w:t xml:space="preserve"> </w:t>
            </w:r>
          </w:p>
          <w:p>
            <w:pPr>
              <w:pStyle w:val="TableContents"/>
              <w:bidi w:val="0"/>
              <w:spacing w:before="0" w:after="283"/>
              <w:jc w:val="center"/>
              <w:rPr>
                <w:rFonts w:ascii="Arial" w:hAnsi="Arial"/>
                <w:color w:val="000000"/>
                <w:sz w:val="20"/>
              </w:rPr>
            </w:pPr>
            <w:r>
              <w:rPr>
                <w:rFonts w:ascii="Arial" w:hAnsi="Arial"/>
                <w:color w:val="000000"/>
                <w:sz w:val="20"/>
              </w:rPr>
              <w:t>Chief Accounting Officer</w:t>
            </w:r>
          </w:p>
        </w:tc>
      </w:tr>
    </w:tbl>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rPr>
      </w:pPr>
      <w:bookmarkStart w:id="12" w:name="msft-ex99_1.htm"/>
      <w:bookmarkStart w:id="13" w:name="ksmsftex99_1"/>
      <w:bookmarkEnd w:id="12"/>
      <w:bookmarkEnd w:id="13"/>
      <w:r>
        <w:rPr>
          <w:rFonts w:ascii="Arial" w:hAnsi="Arial"/>
          <w:color w:val="000000"/>
          <w:sz w:val="20"/>
        </w:rPr>
        <w:t>Exhibit 99.1</w:t>
      </w:r>
      <w:r>
        <w:br w:type="page"/>
      </w:r>
    </w:p>
    <w:p>
      <w:pPr>
        <w:pStyle w:val="TextBody"/>
        <w:bidi w:val="0"/>
        <w:spacing w:before="240" w:after="283"/>
        <w:jc w:val="left"/>
        <w:rPr>
          <w:rFonts w:ascii="Times New Roman" w:hAnsi="Times New Roman"/>
          <w:sz w:val="20"/>
        </w:rPr>
      </w:pPr>
      <w:r>
        <w:rPr>
          <w:rFonts w:ascii="Arial" w:hAnsi="Arial"/>
          <w:b/>
          <w:color w:val="666666"/>
          <w:sz w:val="26"/>
        </w:rPr>
        <w:t>Microsoft Cloud and AI Strength Fuels Fourth Quarter Results</w:t>
      </w:r>
      <w:r>
        <w:rPr>
          <w:rFonts w:ascii="Times New Roman" w:hAnsi="Times New Roman"/>
          <w:color w:val="666666"/>
          <w:sz w:val="20"/>
        </w:rPr>
        <w:t xml:space="preserve"> </w:t>
      </w:r>
    </w:p>
    <w:p>
      <w:pPr>
        <w:pStyle w:val="TextBody"/>
        <w:bidi w:val="0"/>
        <w:spacing w:before="240" w:after="283"/>
        <w:jc w:val="left"/>
        <w:rPr>
          <w:rFonts w:ascii="Times New Roman" w:hAnsi="Times New Roman"/>
          <w:sz w:val="20"/>
        </w:rPr>
      </w:pPr>
      <w:r>
        <w:rPr>
          <w:rFonts w:ascii="Arial" w:hAnsi="Arial"/>
          <w:b/>
          <w:color w:val="666666"/>
          <w:sz w:val="20"/>
        </w:rPr>
        <w:t xml:space="preserve">REDMOND, Wash. — July 29, 2026 — </w:t>
      </w:r>
      <w:r>
        <w:rPr>
          <w:rFonts w:ascii="Arial" w:hAnsi="Arial"/>
          <w:color w:val="666666"/>
          <w:sz w:val="20"/>
        </w:rPr>
        <w:t>Microsoft Corp. today announced the following results for the quarter ended June 30, 2026, as compared to the corresponding period of last fiscal year:</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Revenue was $90.0 billion and increased 18% (up 17% in constant currency)</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Operating income was $40.6 billion and increased 18%</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Net income was $35.8 billion and increased 31% on a GAAP basis, and was $35.3 billion and increased 22% on a non-GAAP basis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Diluted earnings per share was $4.81 and increased 32% on a GAAP basis, and was $4.74 and increased 23% on a non-GAAP basis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Non-GAAP results exclude the impact from investments in OpenAI, explained in the Non-GAAP Definition section below</w:t>
      </w:r>
    </w:p>
    <w:p>
      <w:pPr>
        <w:pStyle w:val="TextBody"/>
        <w:bidi w:val="0"/>
        <w:spacing w:before="240" w:after="283"/>
        <w:jc w:val="left"/>
        <w:rPr>
          <w:rFonts w:ascii="Arial" w:hAnsi="Arial"/>
          <w:color w:val="666666"/>
          <w:sz w:val="20"/>
        </w:rPr>
      </w:pPr>
      <w:r>
        <w:rPr>
          <w:rFonts w:ascii="Arial" w:hAnsi="Arial"/>
          <w:color w:val="666666"/>
          <w:sz w:val="20"/>
        </w:rPr>
        <w:t>Several discrete items impacted our financial results in the quarter when compared to our forward-looking guidance provided on April 29, 2026, resulting in a benefit of $0.27 on diluted earnings per share. These include a $3.2 billion gain from our investment in Anthropic and lower-than-expected expenses related to the Voluntary Retirement Program which were partially offset by severance expense and impairment charges in XBOX. When adjusting for these items, we exceeded expectations across revenue, operating income, and diluted earnings per share.</w:t>
      </w:r>
    </w:p>
    <w:p>
      <w:pPr>
        <w:pStyle w:val="TextBody"/>
        <w:bidi w:val="0"/>
        <w:spacing w:before="240" w:after="283"/>
        <w:jc w:val="left"/>
        <w:rPr>
          <w:color w:val="666666"/>
        </w:rPr>
      </w:pPr>
      <w:r>
        <w:rPr>
          <w:color w:val="666666"/>
        </w:rPr>
        <w:t>“</w:t>
      </w:r>
      <w:r>
        <w:rPr>
          <w:rFonts w:ascii="Arial" w:hAnsi="Arial"/>
          <w:color w:val="666666"/>
          <w:sz w:val="20"/>
        </w:rPr>
        <w:t>We are advancing the frontier on the cost-to-outcome curve, ensuring every customer can turn tokens into business results,” said Satya Nadella, chairman and chief executive officer of Microsoft. “This year, Azure revenue surpassed $100 billion for the first time, and Microsoft 365 Copilot reached over 30 million paid seats, reflecting the confidence customers are placing in us to power their AI transformation.”</w:t>
      </w:r>
    </w:p>
    <w:p>
      <w:pPr>
        <w:pStyle w:val="TextBody"/>
        <w:bidi w:val="0"/>
        <w:spacing w:before="240" w:after="283"/>
        <w:jc w:val="left"/>
        <w:rPr>
          <w:color w:val="666666"/>
        </w:rPr>
      </w:pPr>
      <w:r>
        <w:rPr>
          <w:color w:val="666666"/>
        </w:rPr>
        <w:t>“</w:t>
      </w:r>
      <w:r>
        <w:rPr>
          <w:rFonts w:ascii="Arial" w:hAnsi="Arial"/>
          <w:color w:val="666666"/>
          <w:sz w:val="20"/>
        </w:rPr>
        <w:t>We delivered a strong quarter to close out the fiscal year, highlighted by Microsoft Cloud revenue of $59.3 billion, up 27% year-over-year,” said Amy Hood, executive vice president and chief financial officer of Microsoft.</w:t>
      </w:r>
    </w:p>
    <w:p>
      <w:pPr>
        <w:pStyle w:val="TextBody"/>
        <w:bidi w:val="0"/>
        <w:spacing w:before="240" w:after="240"/>
        <w:jc w:val="left"/>
        <w:rPr>
          <w:rFonts w:ascii="Times New Roman" w:hAnsi="Times New Roman"/>
          <w:sz w:val="20"/>
        </w:rPr>
      </w:pPr>
      <w:r>
        <w:rPr>
          <w:rFonts w:ascii="Arial" w:hAnsi="Arial"/>
          <w:color w:val="666666"/>
          <w:sz w:val="20"/>
        </w:rPr>
        <w:t>The following table adjusts for the impact from investments in OpenAI and reconciles our financial results reported in accordance with generally accepted accounting principles (GAAP) to non-GAAP financial results. Additional information regarding our non-GAAP definition is provided below. All growth comparisons relate to the corresponding period in the last fiscal year.</w:t>
      </w:r>
      <w:r>
        <w:rPr>
          <w:rFonts w:ascii="Times New Roman" w:hAnsi="Times New Roman"/>
          <w:color w:val="666666"/>
          <w:sz w:val="20"/>
        </w:rPr>
        <w:t xml:space="preserve"> </w:t>
      </w:r>
    </w:p>
    <w:tbl>
      <w:tblPr>
        <w:tblW w:w="10205" w:type="dxa"/>
        <w:jc w:val="left"/>
        <w:tblInd w:w="0" w:type="dxa"/>
        <w:tblLayout w:type="fixed"/>
        <w:tblCellMar>
          <w:top w:w="28" w:type="dxa"/>
          <w:left w:w="28" w:type="dxa"/>
          <w:bottom w:w="28" w:type="dxa"/>
          <w:right w:w="28" w:type="dxa"/>
        </w:tblCellMar>
      </w:tblPr>
      <w:tblGrid>
        <w:gridCol w:w="1047"/>
        <w:gridCol w:w="816"/>
        <w:gridCol w:w="720"/>
        <w:gridCol w:w="947"/>
        <w:gridCol w:w="146"/>
        <w:gridCol w:w="816"/>
        <w:gridCol w:w="744"/>
        <w:gridCol w:w="947"/>
        <w:gridCol w:w="146"/>
        <w:gridCol w:w="481"/>
        <w:gridCol w:w="767"/>
        <w:gridCol w:w="834"/>
        <w:gridCol w:w="766"/>
        <w:gridCol w:w="1028"/>
      </w:tblGrid>
      <w:tr>
        <w:trPr/>
        <w:tc>
          <w:tcPr>
            <w:tcW w:w="104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1020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Three Months Ended June 30,</w:t>
            </w:r>
          </w:p>
        </w:tc>
      </w:tr>
      <w:tr>
        <w:trPr/>
        <w:tc>
          <w:tcPr>
            <w:tcW w:w="1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666666"/>
                <w:sz w:val="13"/>
              </w:rPr>
            </w:pPr>
            <w:r>
              <w:rPr>
                <w:rFonts w:ascii="Arial" w:hAnsi="Arial"/>
                <w:b/>
                <w:color w:val="666666"/>
                <w:sz w:val="13"/>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666666"/>
                <w:sz w:val="13"/>
              </w:rPr>
            </w:pPr>
            <w:r>
              <w:rPr>
                <w:rFonts w:ascii="Arial" w:hAnsi="Arial"/>
                <w:b/>
                <w:color w:val="666666"/>
                <w:sz w:val="13"/>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666666"/>
                <w:sz w:val="12"/>
              </w:rPr>
            </w:pPr>
            <w:r>
              <w:rPr>
                <w:rFonts w:ascii="Arial" w:hAnsi="Arial"/>
                <w:color w:val="666666"/>
                <w:sz w:val="12"/>
              </w:rPr>
              <w:t>Percentage Change Y/Y</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666666"/>
                <w:sz w:val="12"/>
              </w:rPr>
            </w:pPr>
            <w:r>
              <w:rPr>
                <w:rFonts w:ascii="Arial" w:hAnsi="Arial"/>
                <w:color w:val="666666"/>
                <w:sz w:val="12"/>
              </w:rPr>
              <w:t>Percentage Change Y/Y</w:t>
            </w:r>
          </w:p>
        </w:tc>
      </w:tr>
      <w:tr>
        <w:trPr/>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666666"/>
              </w:rPr>
            </w:pPr>
            <w:r>
              <w:rPr>
                <w:color w:val="666666"/>
              </w:rPr>
              <w:t> </w:t>
            </w:r>
            <w:r>
              <w:rPr>
                <w:rFonts w:ascii="Arial" w:hAnsi="Arial"/>
                <w:color w:val="666666"/>
                <w:sz w:val="13"/>
              </w:rPr>
              <w:t>($ in millions, except per share amounts)</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Reported (GAAP)</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Impact from OpenAI*</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Adjusted (non-GAAP)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Reported (GAAP)</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Impact from OpenAI*</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Adjusted (non-GAAP)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GAAP</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Constant Currency</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Net Impact from OpenAI*</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Non-GAAP</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Non-GAAP Constant Currency</w:t>
            </w:r>
          </w:p>
        </w:tc>
      </w:tr>
      <w:tr>
        <w:trPr/>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Net Income</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$35,766</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$(480)</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$35,286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$27,233</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$1,575</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$28,808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31%</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31%</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$(2,055)</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22%</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22%</w:t>
            </w:r>
          </w:p>
        </w:tc>
      </w:tr>
      <w:tr>
        <w:trPr/>
        <w:tc>
          <w:tcPr>
            <w:tcW w:w="1047"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Diluted Earnings per Share</w:t>
            </w:r>
          </w:p>
        </w:tc>
        <w:tc>
          <w:tcPr>
            <w:tcW w:w="81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$4.81</w:t>
            </w:r>
          </w:p>
        </w:tc>
        <w:tc>
          <w:tcPr>
            <w:tcW w:w="720"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$(0.07)</w:t>
            </w:r>
          </w:p>
        </w:tc>
        <w:tc>
          <w:tcPr>
            <w:tcW w:w="947"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$4.74</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$3.65</w:t>
            </w:r>
          </w:p>
        </w:tc>
        <w:tc>
          <w:tcPr>
            <w:tcW w:w="744"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$0.21</w:t>
            </w:r>
          </w:p>
        </w:tc>
        <w:tc>
          <w:tcPr>
            <w:tcW w:w="947"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$3.86</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32%</w:t>
            </w:r>
          </w:p>
        </w:tc>
        <w:tc>
          <w:tcPr>
            <w:tcW w:w="767"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32%</w:t>
            </w:r>
          </w:p>
        </w:tc>
        <w:tc>
          <w:tcPr>
            <w:tcW w:w="834"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$(0.28)</w:t>
            </w:r>
          </w:p>
        </w:tc>
        <w:tc>
          <w:tcPr>
            <w:tcW w:w="76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23%</w:t>
            </w:r>
          </w:p>
        </w:tc>
        <w:tc>
          <w:tcPr>
            <w:tcW w:w="102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23%</w:t>
            </w:r>
          </w:p>
        </w:tc>
      </w:tr>
    </w:tbl>
    <w:p>
      <w:pPr>
        <w:pStyle w:val="TextBody"/>
        <w:bidi w:val="0"/>
        <w:spacing w:before="120" w:after="283"/>
        <w:jc w:val="left"/>
        <w:rPr>
          <w:rFonts w:ascii="Times New Roman" w:hAnsi="Times New Roman"/>
          <w:sz w:val="20"/>
        </w:rPr>
      </w:pPr>
      <w:r>
        <w:rPr>
          <w:rFonts w:ascii="Arial" w:hAnsi="Arial"/>
          <w:color w:val="666666"/>
          <w:sz w:val="13"/>
        </w:rPr>
        <w:t>*Impact from OpenAI adjusts for the impact from investments in OpenAI</w:t>
      </w:r>
      <w:r>
        <w:rPr>
          <w:rFonts w:ascii="Times New Roman" w:hAnsi="Times New Roman"/>
          <w:color w:val="666666"/>
          <w:sz w:val="20"/>
        </w:rPr>
        <w:t xml:space="preserve"> </w:t>
      </w:r>
    </w:p>
    <w:p>
      <w:pPr>
        <w:pStyle w:val="TextBody"/>
        <w:bidi w:val="0"/>
        <w:spacing w:before="240" w:after="283"/>
        <w:jc w:val="left"/>
        <w:rPr>
          <w:rFonts w:ascii="Arial" w:hAnsi="Arial"/>
          <w:b/>
          <w:color w:val="666666"/>
          <w:sz w:val="20"/>
        </w:rPr>
      </w:pPr>
      <w:r>
        <w:rPr>
          <w:rFonts w:ascii="Arial" w:hAnsi="Arial"/>
          <w:b/>
          <w:color w:val="666666"/>
          <w:sz w:val="20"/>
        </w:rPr>
        <w:t>Business Highlights</w:t>
      </w:r>
    </w:p>
    <w:p>
      <w:pPr>
        <w:pStyle w:val="TextBody"/>
        <w:bidi w:val="0"/>
        <w:spacing w:before="240" w:after="240"/>
        <w:jc w:val="left"/>
        <w:rPr>
          <w:rFonts w:ascii="Arial" w:hAnsi="Arial"/>
          <w:color w:val="666666"/>
          <w:sz w:val="20"/>
        </w:rPr>
      </w:pPr>
      <w:r>
        <w:rPr>
          <w:rFonts w:ascii="Arial" w:hAnsi="Arial"/>
          <w:color w:val="666666"/>
          <w:sz w:val="20"/>
        </w:rPr>
        <w:t>Microsoft Cloud revenue was $59.3 billion and increased 27%, and commercial remaining performance obligation increased 84% to $678 billion.</w:t>
      </w:r>
    </w:p>
    <w:p>
      <w:pPr>
        <w:pStyle w:val="TextBody"/>
        <w:bidi w:val="0"/>
        <w:jc w:val="left"/>
        <w:rPr>
          <w:rFonts w:ascii="Times New Roman" w:hAnsi="Times New Roman"/>
          <w:sz w:val="20"/>
        </w:rPr>
      </w:pPr>
      <w:r>
        <w:rPr>
          <w:rFonts w:ascii="Arial" w:hAnsi="Arial"/>
          <w:color w:val="666666"/>
          <w:sz w:val="20"/>
        </w:rPr>
        <w:t>Revenue in Productivity and Business Processes was $37.8</w:t>
      </w:r>
      <w:r>
        <w:rPr>
          <w:rFonts w:ascii="Times New Roman" w:hAnsi="Times New Roman"/>
          <w:color w:val="EE0000"/>
          <w:sz w:val="20"/>
        </w:rPr>
        <w:t xml:space="preserve"> </w:t>
      </w:r>
      <w:r>
        <w:rPr>
          <w:rFonts w:ascii="Arial" w:hAnsi="Arial"/>
          <w:color w:val="666666"/>
          <w:sz w:val="20"/>
        </w:rPr>
        <w:t>billion and increased 14%, with the following business highlights:</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Microsoft 365 Commercial cloud revenue increased 16% when adjusted for the prior year comparable that benefited from 2 points of in-period revenue recognition. On a reported basis, Microsoft 365 Commercial cloud revenue increased 14%.</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Microsoft 365 Consumer cloud revenue increased 24% (up 22% in constant currency)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LinkedIn revenue increased 12% (up 10% in constant currency)</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Dynamics 365 revenue increased 13% (up 12% in constant currency)</w:t>
      </w:r>
    </w:p>
    <w:p>
      <w:pPr>
        <w:pStyle w:val="TextBody"/>
        <w:bidi w:val="0"/>
        <w:spacing w:before="240" w:after="283"/>
        <w:jc w:val="left"/>
        <w:rPr>
          <w:rFonts w:ascii="Arial" w:hAnsi="Arial"/>
          <w:color w:val="666666"/>
          <w:sz w:val="20"/>
        </w:rPr>
      </w:pPr>
      <w:r>
        <w:rPr>
          <w:rFonts w:ascii="Arial" w:hAnsi="Arial"/>
          <w:color w:val="666666"/>
          <w:sz w:val="20"/>
        </w:rPr>
        <w:t>Revenue in Intelligent Cloud was $39.3 billion and increased 32% (up 31% in constant currency), with the following business highlights:</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Azure and other cloud services revenue increased 43%</w:t>
      </w:r>
    </w:p>
    <w:p>
      <w:pPr>
        <w:pStyle w:val="TextBody"/>
        <w:bidi w:val="0"/>
        <w:spacing w:before="240" w:after="283"/>
        <w:jc w:val="left"/>
        <w:rPr>
          <w:rFonts w:ascii="Arial" w:hAnsi="Arial"/>
          <w:color w:val="666666"/>
          <w:sz w:val="20"/>
        </w:rPr>
      </w:pPr>
      <w:r>
        <w:rPr>
          <w:rFonts w:ascii="Arial" w:hAnsi="Arial"/>
          <w:color w:val="666666"/>
          <w:sz w:val="20"/>
        </w:rPr>
        <w:t>Revenue in More Personal Computing was $12.9 billion and decreased 4% (down 5% in constant currency), with the following business highlights:</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 xml:space="preserve">Windows OEM and Devices revenue decreased 7%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XBOX content and services revenue decreased 10%</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Search advertising revenue excluding traffic acquisition costs increased 10% (up 9% in constant currency)</w:t>
      </w:r>
    </w:p>
    <w:p>
      <w:pPr>
        <w:pStyle w:val="TextBody"/>
        <w:bidi w:val="0"/>
        <w:spacing w:before="240" w:after="283"/>
        <w:jc w:val="left"/>
        <w:rPr>
          <w:rFonts w:ascii="Arial" w:hAnsi="Arial"/>
          <w:color w:val="666666"/>
          <w:sz w:val="20"/>
        </w:rPr>
      </w:pPr>
      <w:r>
        <w:rPr>
          <w:rFonts w:ascii="Arial" w:hAnsi="Arial"/>
          <w:color w:val="666666"/>
          <w:sz w:val="20"/>
        </w:rPr>
        <w:t>Microsoft returned $10.2 billion to shareholders in the form of dividends and share repurchases in the fourth quarter of fiscal year 2026.</w:t>
      </w:r>
    </w:p>
    <w:p>
      <w:pPr>
        <w:pStyle w:val="TextBody"/>
        <w:bidi w:val="0"/>
        <w:spacing w:before="240" w:after="283"/>
        <w:jc w:val="left"/>
        <w:rPr>
          <w:rFonts w:ascii="Arial" w:hAnsi="Arial"/>
          <w:b/>
          <w:color w:val="666666"/>
          <w:sz w:val="20"/>
        </w:rPr>
      </w:pPr>
      <w:r>
        <w:rPr>
          <w:rFonts w:ascii="Arial" w:hAnsi="Arial"/>
          <w:b/>
          <w:color w:val="666666"/>
          <w:sz w:val="20"/>
        </w:rPr>
        <w:t>Fiscal Year 2026 Results</w:t>
      </w:r>
    </w:p>
    <w:p>
      <w:pPr>
        <w:pStyle w:val="TextBody"/>
        <w:bidi w:val="0"/>
        <w:spacing w:before="240" w:after="283"/>
        <w:jc w:val="left"/>
        <w:rPr>
          <w:rFonts w:ascii="Arial" w:hAnsi="Arial"/>
          <w:color w:val="666666"/>
          <w:sz w:val="20"/>
        </w:rPr>
      </w:pPr>
      <w:r>
        <w:rPr>
          <w:rFonts w:ascii="Arial" w:hAnsi="Arial"/>
          <w:color w:val="666666"/>
          <w:sz w:val="20"/>
        </w:rPr>
        <w:t>Microsoft Corp. today announced the following results for the fiscal year ended June 30, 2026, as compared to the corresponding period of last fiscal year:</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Revenue was $331.8 billion and increased 18% (up 16% in constant currency)</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Operating income was $155.2 billion and increased 21% (up 19% in constant currency)</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Net income was $133.7 billion and increased 31% on a GAAP basis, and increased 22% (up 20% in constant currency) on a non-GAAP basis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Diluted earnings per share was $17.95 and increased 32% on a GAAP basis, and increased 22% (up 21% in constant currency) on a non-GAAP basis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Non-GAAP results exclude the impact from investments in OpenAI, explained in the Non-GAAP Definition section below</w:t>
      </w:r>
    </w:p>
    <w:p>
      <w:pPr>
        <w:pStyle w:val="TextBody"/>
        <w:bidi w:val="0"/>
        <w:spacing w:before="240" w:after="240"/>
        <w:jc w:val="left"/>
        <w:rPr>
          <w:rFonts w:ascii="Arial" w:hAnsi="Arial"/>
          <w:color w:val="666666"/>
          <w:sz w:val="20"/>
        </w:rPr>
      </w:pPr>
      <w:r>
        <w:rPr>
          <w:rFonts w:ascii="Arial" w:hAnsi="Arial"/>
          <w:color w:val="666666"/>
          <w:sz w:val="20"/>
        </w:rPr>
        <w:t>The following table adjusts for the impact from investments in OpenAI and reconciles our financial results reported in accordance with GAAP to non-GAAP financial results. Additional information regarding our non-GAAP definition is provided below. All growth comparisons relate to the corresponding period in the last fiscal year.</w:t>
      </w:r>
    </w:p>
    <w:tbl>
      <w:tblPr>
        <w:tblW w:w="10205" w:type="dxa"/>
        <w:jc w:val="left"/>
        <w:tblInd w:w="0" w:type="dxa"/>
        <w:tblLayout w:type="fixed"/>
        <w:tblCellMar>
          <w:top w:w="28" w:type="dxa"/>
          <w:left w:w="28" w:type="dxa"/>
          <w:bottom w:w="28" w:type="dxa"/>
          <w:right w:w="28" w:type="dxa"/>
        </w:tblCellMar>
      </w:tblPr>
      <w:tblGrid>
        <w:gridCol w:w="1002"/>
        <w:gridCol w:w="876"/>
        <w:gridCol w:w="764"/>
        <w:gridCol w:w="928"/>
        <w:gridCol w:w="146"/>
        <w:gridCol w:w="876"/>
        <w:gridCol w:w="726"/>
        <w:gridCol w:w="928"/>
        <w:gridCol w:w="146"/>
        <w:gridCol w:w="481"/>
        <w:gridCol w:w="754"/>
        <w:gridCol w:w="811"/>
        <w:gridCol w:w="766"/>
        <w:gridCol w:w="1001"/>
      </w:tblGrid>
      <w:tr>
        <w:trPr/>
        <w:tc>
          <w:tcPr>
            <w:tcW w:w="1002"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020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Twelve Months Ended June 30,</w:t>
            </w:r>
          </w:p>
        </w:tc>
      </w:tr>
      <w:tr>
        <w:trPr/>
        <w:tc>
          <w:tcPr>
            <w:tcW w:w="10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666666"/>
                <w:sz w:val="13"/>
              </w:rPr>
            </w:pPr>
            <w:r>
              <w:rPr>
                <w:rFonts w:ascii="Arial" w:hAnsi="Arial"/>
                <w:b/>
                <w:color w:val="666666"/>
                <w:sz w:val="13"/>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666666"/>
                <w:sz w:val="13"/>
              </w:rPr>
            </w:pPr>
            <w:r>
              <w:rPr>
                <w:rFonts w:ascii="Arial" w:hAnsi="Arial"/>
                <w:b/>
                <w:color w:val="666666"/>
                <w:sz w:val="13"/>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666666"/>
                <w:sz w:val="12"/>
              </w:rPr>
            </w:pPr>
            <w:r>
              <w:rPr>
                <w:rFonts w:ascii="Arial" w:hAnsi="Arial"/>
                <w:color w:val="666666"/>
                <w:sz w:val="12"/>
              </w:rPr>
              <w:t>Percentage Change Y/Y</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666666"/>
                <w:sz w:val="12"/>
              </w:rPr>
            </w:pPr>
            <w:r>
              <w:rPr>
                <w:rFonts w:ascii="Arial" w:hAnsi="Arial"/>
                <w:color w:val="666666"/>
                <w:sz w:val="12"/>
              </w:rPr>
              <w:t>Percentage Change Y/Y</w:t>
            </w:r>
          </w:p>
        </w:tc>
      </w:tr>
      <w:tr>
        <w:trPr/>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666666"/>
              </w:rPr>
            </w:pPr>
            <w:r>
              <w:rPr>
                <w:color w:val="666666"/>
              </w:rPr>
              <w:t> </w:t>
            </w:r>
            <w:r>
              <w:rPr>
                <w:rFonts w:ascii="Arial" w:hAnsi="Arial"/>
                <w:color w:val="666666"/>
                <w:sz w:val="13"/>
              </w:rPr>
              <w:t>($ in millions, except per share amounts)</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Reported (GAAP)</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Impact from OpenAI*</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Adjusted (non-GAAP)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Reported (GAAP)</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Impact from OpenAI*</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Adjusted (non-GAAP)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GAAP</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Constant Currency</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Net Impact from OpenAI*</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Non-GAAP</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Non-GAAP Constant Currency</w:t>
            </w:r>
          </w:p>
        </w:tc>
      </w:tr>
      <w:tr>
        <w:trPr/>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Net Income</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$133,749</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$(4,963)</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$128,786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$101,832</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$3,620</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$105,452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31%</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$(8,583)</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22%</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20%</w:t>
            </w:r>
          </w:p>
        </w:tc>
      </w:tr>
      <w:tr>
        <w:trPr/>
        <w:tc>
          <w:tcPr>
            <w:tcW w:w="100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Diluted Earnings per Share</w:t>
            </w:r>
          </w:p>
        </w:tc>
        <w:tc>
          <w:tcPr>
            <w:tcW w:w="87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$17.95</w:t>
            </w:r>
          </w:p>
        </w:tc>
        <w:tc>
          <w:tcPr>
            <w:tcW w:w="764"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$(0.67)</w:t>
            </w:r>
          </w:p>
        </w:tc>
        <w:tc>
          <w:tcPr>
            <w:tcW w:w="92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$17.28</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$13.64</w:t>
            </w:r>
          </w:p>
        </w:tc>
        <w:tc>
          <w:tcPr>
            <w:tcW w:w="72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$0.49</w:t>
            </w:r>
          </w:p>
        </w:tc>
        <w:tc>
          <w:tcPr>
            <w:tcW w:w="92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$14.13</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32%</w:t>
            </w:r>
          </w:p>
        </w:tc>
        <w:tc>
          <w:tcPr>
            <w:tcW w:w="754"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30%</w:t>
            </w:r>
          </w:p>
        </w:tc>
        <w:tc>
          <w:tcPr>
            <w:tcW w:w="81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$(1.16)</w:t>
            </w:r>
          </w:p>
        </w:tc>
        <w:tc>
          <w:tcPr>
            <w:tcW w:w="76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22%</w:t>
            </w:r>
          </w:p>
        </w:tc>
        <w:tc>
          <w:tcPr>
            <w:tcW w:w="10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21%</w:t>
            </w:r>
          </w:p>
        </w:tc>
      </w:tr>
    </w:tbl>
    <w:p>
      <w:pPr>
        <w:pStyle w:val="TextBody"/>
        <w:bidi w:val="0"/>
        <w:spacing w:before="120" w:after="283"/>
        <w:jc w:val="left"/>
        <w:rPr>
          <w:rFonts w:ascii="Times New Roman" w:hAnsi="Times New Roman"/>
          <w:sz w:val="20"/>
        </w:rPr>
      </w:pPr>
      <w:r>
        <w:rPr>
          <w:rFonts w:ascii="Arial" w:hAnsi="Arial"/>
          <w:color w:val="666666"/>
          <w:sz w:val="13"/>
        </w:rPr>
        <w:t>*Impact from OpenAI adjusts for the impact from investments in OpenAI</w:t>
      </w:r>
      <w:r>
        <w:rPr>
          <w:rFonts w:ascii="Times New Roman" w:hAnsi="Times New Roman"/>
          <w:color w:val="666666"/>
          <w:sz w:val="20"/>
        </w:rPr>
        <w:t xml:space="preserve"> </w:t>
      </w:r>
    </w:p>
    <w:p>
      <w:pPr>
        <w:pStyle w:val="TextBody"/>
        <w:bidi w:val="0"/>
        <w:spacing w:before="240" w:after="283"/>
        <w:jc w:val="left"/>
        <w:rPr>
          <w:rFonts w:ascii="Arial" w:hAnsi="Arial"/>
          <w:b/>
          <w:color w:val="666666"/>
          <w:sz w:val="20"/>
        </w:rPr>
      </w:pPr>
      <w:r>
        <w:rPr>
          <w:rFonts w:ascii="Arial" w:hAnsi="Arial"/>
          <w:b/>
          <w:color w:val="666666"/>
          <w:sz w:val="20"/>
        </w:rPr>
        <w:t>Business Outlook</w:t>
      </w:r>
    </w:p>
    <w:p>
      <w:pPr>
        <w:pStyle w:val="TextBody"/>
        <w:bidi w:val="0"/>
        <w:spacing w:before="240" w:after="283"/>
        <w:jc w:val="left"/>
        <w:rPr>
          <w:rFonts w:ascii="Arial" w:hAnsi="Arial"/>
          <w:color w:val="666666"/>
          <w:sz w:val="20"/>
        </w:rPr>
      </w:pPr>
      <w:r>
        <w:rPr>
          <w:rFonts w:ascii="Arial" w:hAnsi="Arial"/>
          <w:color w:val="666666"/>
          <w:sz w:val="20"/>
        </w:rPr>
        <w:t>Microsoft will provide forward-looking guidance in connection with this quarterly earnings announcement on its earnings conference call and webcast.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b/>
          <w:color w:val="666666"/>
          <w:sz w:val="20"/>
        </w:rPr>
        <w:t>Quarterly Highlights, Product Releases, and Customer Stories</w:t>
      </w:r>
      <w:r>
        <w:rPr>
          <w:rFonts w:ascii="Times New Roman" w:hAnsi="Times New Roman"/>
          <w:color w:val="666666"/>
          <w:sz w:val="20"/>
        </w:rPr>
        <w:t xml:space="preserve"> </w:t>
      </w:r>
    </w:p>
    <w:p>
      <w:pPr>
        <w:pStyle w:val="TextBody"/>
        <w:bidi w:val="0"/>
        <w:spacing w:before="240" w:after="283"/>
        <w:jc w:val="left"/>
        <w:rPr>
          <w:rFonts w:ascii="Times New Roman" w:hAnsi="Times New Roman"/>
          <w:sz w:val="20"/>
        </w:rPr>
      </w:pPr>
      <w:r>
        <w:rPr>
          <w:rFonts w:ascii="Arial" w:hAnsi="Arial"/>
          <w:color w:val="666666"/>
          <w:sz w:val="20"/>
        </w:rPr>
        <w:t>Every quarter Microsoft delivers hundreds of products, services, and enhancements. These releases are driven by years of significant research and development investments, to empower customers with greater productivity, security, and differentiated value.</w:t>
      </w:r>
      <w:r>
        <w:rPr>
          <w:rFonts w:ascii="Times New Roman" w:hAnsi="Times New Roman"/>
          <w:color w:val="666666"/>
          <w:sz w:val="20"/>
        </w:rPr>
        <w:t xml:space="preserve"> </w:t>
      </w:r>
    </w:p>
    <w:p>
      <w:pPr>
        <w:pStyle w:val="TextBody"/>
        <w:bidi w:val="0"/>
        <w:spacing w:before="240" w:after="283"/>
        <w:jc w:val="left"/>
        <w:rPr>
          <w:rFonts w:ascii="Times New Roman" w:hAnsi="Times New Roman"/>
          <w:sz w:val="20"/>
        </w:rPr>
      </w:pPr>
      <w:r>
        <w:rPr>
          <w:rFonts w:ascii="Arial" w:hAnsi="Arial"/>
          <w:color w:val="666666"/>
          <w:sz w:val="20"/>
        </w:rPr>
        <w:t xml:space="preserve">This momentum is reflected in stories that showcase how our technology is </w:t>
      </w:r>
      <w:r>
        <w:rPr>
          <w:rFonts w:ascii="Arial" w:hAnsi="Arial"/>
          <w:color w:val="666666"/>
          <w:sz w:val="20"/>
          <w:u w:val="single"/>
        </w:rPr>
        <w:t>shaping industries and driving customer success</w:t>
      </w:r>
      <w:r>
        <w:rPr>
          <w:rFonts w:ascii="Arial" w:hAnsi="Arial"/>
          <w:color w:val="666666"/>
          <w:sz w:val="20"/>
        </w:rPr>
        <w:t xml:space="preserve">. We share innovation updates on our product blogs across </w:t>
      </w:r>
      <w:r>
        <w:rPr>
          <w:rFonts w:ascii="Arial" w:hAnsi="Arial"/>
          <w:color w:val="666666"/>
          <w:sz w:val="20"/>
          <w:u w:val="single"/>
        </w:rPr>
        <w:t>Azure</w:t>
      </w:r>
      <w:r>
        <w:rPr>
          <w:rFonts w:ascii="Arial" w:hAnsi="Arial"/>
          <w:color w:val="666666"/>
          <w:sz w:val="20"/>
        </w:rPr>
        <w:t xml:space="preserve">, </w:t>
      </w:r>
      <w:r>
        <w:rPr>
          <w:rFonts w:ascii="Arial" w:hAnsi="Arial"/>
          <w:color w:val="666666"/>
          <w:sz w:val="20"/>
          <w:u w:val="single"/>
        </w:rPr>
        <w:t>Microsoft 365</w:t>
      </w:r>
      <w:r>
        <w:rPr>
          <w:rFonts w:ascii="Arial" w:hAnsi="Arial"/>
          <w:color w:val="666666"/>
          <w:sz w:val="20"/>
        </w:rPr>
        <w:t xml:space="preserve">, and more on our </w:t>
      </w:r>
      <w:r>
        <w:rPr>
          <w:rFonts w:ascii="Arial" w:hAnsi="Arial"/>
          <w:color w:val="666666"/>
          <w:sz w:val="20"/>
          <w:u w:val="single"/>
        </w:rPr>
        <w:t>Official Microsoft blog</w:t>
      </w:r>
      <w:r>
        <w:rPr>
          <w:rFonts w:ascii="Arial" w:hAnsi="Arial"/>
          <w:color w:val="666666"/>
          <w:sz w:val="20"/>
        </w:rPr>
        <w:t>.</w:t>
      </w:r>
    </w:p>
    <w:p>
      <w:pPr>
        <w:pStyle w:val="TextBody"/>
        <w:bidi w:val="0"/>
        <w:spacing w:before="240" w:after="283"/>
        <w:jc w:val="left"/>
        <w:rPr>
          <w:rFonts w:ascii="Arial" w:hAnsi="Arial"/>
          <w:b/>
          <w:color w:val="666666"/>
          <w:sz w:val="20"/>
        </w:rPr>
      </w:pPr>
      <w:r>
        <w:rPr>
          <w:rFonts w:ascii="Arial" w:hAnsi="Arial"/>
          <w:b/>
          <w:color w:val="666666"/>
          <w:sz w:val="20"/>
        </w:rPr>
        <w:t>Webcast Details</w:t>
      </w:r>
    </w:p>
    <w:p>
      <w:pPr>
        <w:pStyle w:val="TextBody"/>
        <w:bidi w:val="0"/>
        <w:spacing w:before="240" w:after="283"/>
        <w:jc w:val="left"/>
        <w:rPr>
          <w:rFonts w:ascii="Times New Roman" w:hAnsi="Times New Roman"/>
          <w:sz w:val="20"/>
        </w:rPr>
      </w:pPr>
      <w:r>
        <w:rPr>
          <w:rFonts w:ascii="Arial" w:hAnsi="Arial"/>
          <w:color w:val="666666"/>
          <w:sz w:val="20"/>
        </w:rPr>
        <w:t xml:space="preserve">Satya Nadella, chairman and chief executive officer, Amy Hood, executive vice president and chief financial officer, Alice Jolla, chief accounting officer, Brian DeFoe, deputy general counsel and corporate secretary, and Jonathan Neilson, vice president of investor relations, will host a conference call and webcast at 2:30 p.m. Pacific time (5:30 p.m. Eastern time) today to discuss details of the company’s performance for the quarter and certain forward-looking information. The session may be accessed at </w:t>
      </w:r>
      <w:r>
        <w:rPr>
          <w:rFonts w:ascii="Arial" w:hAnsi="Arial"/>
          <w:color w:val="666666"/>
          <w:sz w:val="20"/>
          <w:u w:val="single"/>
        </w:rPr>
        <w:t>http://www.microsoft.com/en-us/investor</w:t>
      </w:r>
      <w:r>
        <w:rPr>
          <w:rFonts w:ascii="Arial" w:hAnsi="Arial"/>
          <w:color w:val="666666"/>
          <w:sz w:val="20"/>
        </w:rPr>
        <w:t>. Participants can also dial into the conference call at (877) 407-0666 or +1 (201) 689-8023 for international, no password required. The webcast will be available for replay through the close of business on July 29, 2027.</w:t>
      </w:r>
    </w:p>
    <w:p>
      <w:pPr>
        <w:pStyle w:val="TextBody"/>
        <w:bidi w:val="0"/>
        <w:spacing w:before="240" w:after="240"/>
        <w:jc w:val="left"/>
        <w:rPr>
          <w:rFonts w:ascii="Arial" w:hAnsi="Arial"/>
          <w:b/>
          <w:color w:val="666666"/>
          <w:sz w:val="20"/>
        </w:rPr>
      </w:pPr>
      <w:r>
        <w:rPr>
          <w:rFonts w:ascii="Arial" w:hAnsi="Arial"/>
          <w:b/>
          <w:color w:val="666666"/>
          <w:sz w:val="20"/>
        </w:rPr>
        <w:t>Non-GAAP Definition</w:t>
      </w:r>
    </w:p>
    <w:p>
      <w:pPr>
        <w:pStyle w:val="TextBody"/>
        <w:bidi w:val="0"/>
        <w:spacing w:before="0" w:after="240"/>
        <w:jc w:val="left"/>
        <w:rPr>
          <w:rFonts w:ascii="Times New Roman" w:hAnsi="Times New Roman"/>
          <w:sz w:val="20"/>
        </w:rPr>
      </w:pPr>
      <w:r>
        <w:rPr>
          <w:rFonts w:ascii="Arial" w:hAnsi="Arial"/>
          <w:i/>
          <w:color w:val="666666"/>
          <w:sz w:val="20"/>
        </w:rPr>
        <w:t>Impact from investments in OpenAI.</w:t>
      </w:r>
      <w:r>
        <w:rPr>
          <w:rFonts w:ascii="Times New Roman" w:hAnsi="Times New Roman"/>
          <w:color w:val="666666"/>
          <w:sz w:val="20"/>
        </w:rPr>
        <w:t xml:space="preserve"> </w:t>
      </w:r>
      <w:r>
        <w:rPr>
          <w:rFonts w:ascii="Arial" w:hAnsi="Arial"/>
          <w:color w:val="666666"/>
          <w:sz w:val="20"/>
        </w:rPr>
        <w:t>In fiscal year 2026, net income and diluted earnings per share were impacted by net gains from investments in OpenAI, which resulted in an increase in net income and diluted earnings per share of $480 million and $0.07, respectively, in the fourth quarter, and $4,963 million and $0.67, respectively, for the full fiscal year. In fiscal year 2025, net income and diluted earnings per share were impacted by net losses from investments in OpenAI, which resulted in a decrease in net income and diluted earnings per share of $1,575 million and $0.21, respectively, in the fourth quarter, and $3,620 million and $0.49, respectively, for the full fiscal year.</w:t>
      </w:r>
    </w:p>
    <w:p>
      <w:pPr>
        <w:pStyle w:val="TextBody"/>
        <w:bidi w:val="0"/>
        <w:spacing w:before="0" w:after="240"/>
        <w:jc w:val="left"/>
        <w:rPr>
          <w:rFonts w:ascii="Arial" w:hAnsi="Arial"/>
          <w:color w:val="666666"/>
          <w:sz w:val="20"/>
        </w:rPr>
      </w:pPr>
      <w:r>
        <w:rPr>
          <w:rFonts w:ascii="Arial" w:hAnsi="Arial"/>
          <w:color w:val="666666"/>
          <w:sz w:val="20"/>
        </w:rPr>
        <w:t>Microsoft has provided non-GAAP financial measures related to the impact from investments in OpenAI to aid investors in better understanding our performance. Microsoft believes these non-GAAP measures assist investors by providing additional insight into its operational performance and help clarify trends affecting its business. For comparability of reporting, management considers non-GAAP measures in conjunction with GAAP financial results in evaluating business performance. The non-GAAP financial measures presented in this release should not be considered as a substitute for, or superior to, the measures of financial performance prepared in accordance with GAAP.</w:t>
      </w:r>
    </w:p>
    <w:p>
      <w:pPr>
        <w:pStyle w:val="TextBody"/>
        <w:bidi w:val="0"/>
        <w:jc w:val="left"/>
        <w:rPr>
          <w:rFonts w:ascii="Arial" w:hAnsi="Arial"/>
          <w:b/>
          <w:color w:val="666666"/>
          <w:sz w:val="20"/>
        </w:rPr>
      </w:pPr>
      <w:r>
        <w:rPr>
          <w:rFonts w:ascii="Arial" w:hAnsi="Arial"/>
          <w:b/>
          <w:color w:val="666666"/>
          <w:sz w:val="20"/>
        </w:rPr>
        <w:t>Constant Currency</w:t>
      </w:r>
    </w:p>
    <w:p>
      <w:pPr>
        <w:pStyle w:val="TextBody"/>
        <w:bidi w:val="0"/>
        <w:spacing w:before="240" w:after="283"/>
        <w:jc w:val="left"/>
        <w:rPr>
          <w:rFonts w:ascii="Arial" w:hAnsi="Arial"/>
          <w:color w:val="666666"/>
          <w:sz w:val="20"/>
        </w:rPr>
      </w:pPr>
      <w:r>
        <w:rPr>
          <w:rFonts w:ascii="Arial" w:hAnsi="Arial"/>
          <w:color w:val="666666"/>
          <w:sz w:val="20"/>
        </w:rPr>
        <w:t>Microsoft presents constant currency information to provide a framework for assessing how our underlying businesses performed excluding the effect of foreign currency rate fluctuations. To present this information, current and comparative prior period results for entities reporting in currencies other than United States dollars are converted into United States dollars using the average exchange rates from the comparative period rather than the actual exchange rates in effect during the respective periods. All growth comparisons relate to the corresponding period in the last fiscal year. Microsoft has provided this non-GAAP financial information to aid investors in better understanding our performance. The non-GAAP financial measures presented in this release should not be considered as a substitute for, or superior to, the measures of financial performance prepared in accordance with GAAP.</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Arial" w:hAnsi="Arial"/>
          <w:b/>
          <w:color w:val="666666"/>
          <w:sz w:val="20"/>
        </w:rPr>
      </w:pPr>
      <w:r>
        <w:rPr>
          <w:rFonts w:ascii="Arial" w:hAnsi="Arial"/>
          <w:b/>
          <w:color w:val="666666"/>
          <w:sz w:val="20"/>
        </w:rPr>
        <w:t>Financial Performance Constant Currency Reconciliation</w:t>
      </w:r>
    </w:p>
    <w:tbl>
      <w:tblPr>
        <w:tblW w:w="10205" w:type="dxa"/>
        <w:jc w:val="left"/>
        <w:tblInd w:w="0" w:type="dxa"/>
        <w:tblLayout w:type="fixed"/>
        <w:tblCellMar>
          <w:top w:w="28" w:type="dxa"/>
          <w:left w:w="28" w:type="dxa"/>
          <w:bottom w:w="28" w:type="dxa"/>
          <w:right w:w="28" w:type="dxa"/>
        </w:tblCellMar>
      </w:tblPr>
      <w:tblGrid>
        <w:gridCol w:w="1427"/>
        <w:gridCol w:w="935"/>
        <w:gridCol w:w="1092"/>
        <w:gridCol w:w="146"/>
        <w:gridCol w:w="935"/>
        <w:gridCol w:w="1092"/>
        <w:gridCol w:w="146"/>
        <w:gridCol w:w="488"/>
        <w:gridCol w:w="778"/>
        <w:gridCol w:w="1065"/>
        <w:gridCol w:w="869"/>
        <w:gridCol w:w="1232"/>
      </w:tblGrid>
      <w:tr>
        <w:trPr/>
        <w:tc>
          <w:tcPr>
            <w:tcW w:w="142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Three Months Ended June 30,</w:t>
            </w:r>
          </w:p>
        </w:tc>
      </w:tr>
      <w:tr>
        <w:trPr/>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666666"/>
                <w:sz w:val="13"/>
              </w:rPr>
            </w:pPr>
            <w:r>
              <w:rPr>
                <w:rFonts w:ascii="Arial" w:hAnsi="Arial"/>
                <w:b/>
                <w:color w:val="666666"/>
                <w:sz w:val="13"/>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666666"/>
                <w:sz w:val="13"/>
              </w:rPr>
            </w:pPr>
            <w:r>
              <w:rPr>
                <w:rFonts w:ascii="Arial" w:hAnsi="Arial"/>
                <w:b/>
                <w:color w:val="666666"/>
                <w:sz w:val="13"/>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666666"/>
                <w:sz w:val="12"/>
              </w:rPr>
            </w:pPr>
            <w:r>
              <w:rPr>
                <w:rFonts w:ascii="Arial" w:hAnsi="Arial"/>
                <w:color w:val="666666"/>
                <w:sz w:val="12"/>
              </w:rPr>
              <w:t>Percentage Change Y/Y</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666666"/>
                <w:sz w:val="12"/>
              </w:rPr>
            </w:pPr>
            <w:r>
              <w:rPr>
                <w:rFonts w:ascii="Arial" w:hAnsi="Arial"/>
                <w:color w:val="666666"/>
                <w:sz w:val="12"/>
              </w:rPr>
              <w:t>Percentage Change Y/Y</w:t>
            </w:r>
          </w:p>
        </w:tc>
      </w:tr>
      <w:tr>
        <w:trPr/>
        <w:tc>
          <w:tcPr>
            <w:tcW w:w="1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666666"/>
              </w:rPr>
            </w:pPr>
            <w:r>
              <w:rPr>
                <w:color w:val="666666"/>
              </w:rPr>
              <w:t> </w:t>
            </w:r>
            <w:r>
              <w:rPr>
                <w:rFonts w:ascii="Arial" w:hAnsi="Arial"/>
                <w:color w:val="666666"/>
                <w:sz w:val="13"/>
              </w:rPr>
              <w:t>($ in millions, except per share amounts)</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Reported (GAAP)</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Adjusted (non-GAAP)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Reported (GAAP)</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Adjusted (non-GAAP)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GAAP</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Non-GAAP</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Constant Currency Impact</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Constant Currency</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Non-GAAP Constant Currency</w:t>
            </w:r>
          </w:p>
        </w:tc>
      </w:tr>
      <w:tr>
        <w:trPr/>
        <w:tc>
          <w:tcPr>
            <w:tcW w:w="1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Revenue</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$90,007</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$76,441</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18%</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$391</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17%</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w:t>
            </w:r>
          </w:p>
        </w:tc>
      </w:tr>
      <w:tr>
        <w:trPr/>
        <w:tc>
          <w:tcPr>
            <w:tcW w:w="1427"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Operating Income</w:t>
            </w:r>
          </w:p>
        </w:tc>
        <w:tc>
          <w:tcPr>
            <w:tcW w:w="93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$40,603</w:t>
            </w:r>
          </w:p>
        </w:tc>
        <w:tc>
          <w:tcPr>
            <w:tcW w:w="109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pPr>
            <w:r>
              <w:rPr/>
              <w:t> </w:t>
            </w:r>
          </w:p>
        </w:tc>
        <w:tc>
          <w:tcPr>
            <w:tcW w:w="93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$34,323</w:t>
            </w:r>
          </w:p>
        </w:tc>
        <w:tc>
          <w:tcPr>
            <w:tcW w:w="109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pPr>
            <w:r>
              <w:rPr/>
              <w:t> </w:t>
            </w:r>
          </w:p>
        </w:tc>
        <w:tc>
          <w:tcPr>
            <w:tcW w:w="48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18%</w:t>
            </w:r>
          </w:p>
        </w:tc>
        <w:tc>
          <w:tcPr>
            <w:tcW w:w="77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w:t>
            </w:r>
          </w:p>
        </w:tc>
        <w:tc>
          <w:tcPr>
            <w:tcW w:w="106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$269</w:t>
            </w:r>
          </w:p>
        </w:tc>
        <w:tc>
          <w:tcPr>
            <w:tcW w:w="869"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18%</w:t>
            </w:r>
          </w:p>
        </w:tc>
        <w:tc>
          <w:tcPr>
            <w:tcW w:w="123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w:t>
            </w:r>
          </w:p>
        </w:tc>
      </w:tr>
      <w:tr>
        <w:trPr/>
        <w:tc>
          <w:tcPr>
            <w:tcW w:w="1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Net Income</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$35,766</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$35,286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$27,233</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$28,808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31%</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22%</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$40</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31%</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22%</w:t>
            </w:r>
          </w:p>
        </w:tc>
      </w:tr>
      <w:tr>
        <w:trPr/>
        <w:tc>
          <w:tcPr>
            <w:tcW w:w="1427"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Diluted Earnings per Share</w:t>
            </w:r>
          </w:p>
        </w:tc>
        <w:tc>
          <w:tcPr>
            <w:tcW w:w="93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$4.81</w:t>
            </w:r>
          </w:p>
        </w:tc>
        <w:tc>
          <w:tcPr>
            <w:tcW w:w="109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$4.74</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pPr>
            <w:r>
              <w:rPr/>
              <w:t> </w:t>
            </w:r>
          </w:p>
        </w:tc>
        <w:tc>
          <w:tcPr>
            <w:tcW w:w="93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$3.65</w:t>
            </w:r>
          </w:p>
        </w:tc>
        <w:tc>
          <w:tcPr>
            <w:tcW w:w="109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$3.86</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pPr>
            <w:r>
              <w:rPr/>
              <w:t> </w:t>
            </w:r>
          </w:p>
        </w:tc>
        <w:tc>
          <w:tcPr>
            <w:tcW w:w="48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32%</w:t>
            </w:r>
          </w:p>
        </w:tc>
        <w:tc>
          <w:tcPr>
            <w:tcW w:w="77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23%</w:t>
            </w:r>
          </w:p>
        </w:tc>
        <w:tc>
          <w:tcPr>
            <w:tcW w:w="106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$0.01</w:t>
            </w:r>
          </w:p>
        </w:tc>
        <w:tc>
          <w:tcPr>
            <w:tcW w:w="869"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32%</w:t>
            </w:r>
          </w:p>
        </w:tc>
        <w:tc>
          <w:tcPr>
            <w:tcW w:w="123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23%</w:t>
            </w:r>
          </w:p>
        </w:tc>
      </w:tr>
    </w:tbl>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398"/>
        <w:gridCol w:w="985"/>
        <w:gridCol w:w="1079"/>
        <w:gridCol w:w="146"/>
        <w:gridCol w:w="985"/>
        <w:gridCol w:w="1079"/>
        <w:gridCol w:w="146"/>
        <w:gridCol w:w="488"/>
        <w:gridCol w:w="777"/>
        <w:gridCol w:w="1049"/>
        <w:gridCol w:w="860"/>
        <w:gridCol w:w="1213"/>
      </w:tblGrid>
      <w:tr>
        <w:trPr/>
        <w:tc>
          <w:tcPr>
            <w:tcW w:w="139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Twelve Months Ended June 30,</w:t>
            </w:r>
          </w:p>
        </w:tc>
      </w:tr>
      <w:tr>
        <w:trPr/>
        <w:tc>
          <w:tcPr>
            <w:tcW w:w="1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666666"/>
                <w:sz w:val="13"/>
              </w:rPr>
            </w:pPr>
            <w:r>
              <w:rPr>
                <w:rFonts w:ascii="Arial" w:hAnsi="Arial"/>
                <w:b/>
                <w:color w:val="666666"/>
                <w:sz w:val="13"/>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666666"/>
                <w:sz w:val="13"/>
              </w:rPr>
            </w:pPr>
            <w:r>
              <w:rPr>
                <w:rFonts w:ascii="Arial" w:hAnsi="Arial"/>
                <w:b/>
                <w:color w:val="666666"/>
                <w:sz w:val="13"/>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666666"/>
                <w:sz w:val="12"/>
              </w:rPr>
            </w:pPr>
            <w:r>
              <w:rPr>
                <w:rFonts w:ascii="Arial" w:hAnsi="Arial"/>
                <w:color w:val="666666"/>
                <w:sz w:val="12"/>
              </w:rPr>
              <w:t>Percentage Change Y/Y</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666666"/>
                <w:sz w:val="12"/>
              </w:rPr>
            </w:pPr>
            <w:r>
              <w:rPr>
                <w:rFonts w:ascii="Arial" w:hAnsi="Arial"/>
                <w:color w:val="666666"/>
                <w:sz w:val="12"/>
              </w:rPr>
              <w:t>Percentage Change Y/Y</w:t>
            </w:r>
          </w:p>
        </w:tc>
      </w:tr>
      <w:tr>
        <w:trPr/>
        <w:tc>
          <w:tcPr>
            <w:tcW w:w="1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666666"/>
              </w:rPr>
            </w:pPr>
            <w:r>
              <w:rPr>
                <w:color w:val="666666"/>
              </w:rPr>
              <w:t> </w:t>
            </w:r>
            <w:r>
              <w:rPr>
                <w:rFonts w:ascii="Arial" w:hAnsi="Arial"/>
                <w:color w:val="666666"/>
                <w:sz w:val="13"/>
              </w:rPr>
              <w:t>($ in millions, except per share amounts)</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Reported (GAAP)</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Adjusted (non-GAAP)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Reported (GAAP)</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Adjusted (non-GAAP)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GAAP</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Non-GAAP</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Constant Currency Impact</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Constant Currency</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Non-GAAP Constant Currency</w:t>
            </w:r>
          </w:p>
        </w:tc>
      </w:tr>
      <w:tr>
        <w:trPr/>
        <w:tc>
          <w:tcPr>
            <w:tcW w:w="1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Revenue</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$331,839</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$281,724</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18%</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$4,445</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16%</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w:t>
            </w:r>
          </w:p>
        </w:tc>
      </w:tr>
      <w:tr>
        <w:trPr/>
        <w:tc>
          <w:tcPr>
            <w:tcW w:w="139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Operating Income</w:t>
            </w:r>
          </w:p>
        </w:tc>
        <w:tc>
          <w:tcPr>
            <w:tcW w:w="98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$155,237</w:t>
            </w:r>
          </w:p>
        </w:tc>
        <w:tc>
          <w:tcPr>
            <w:tcW w:w="1079"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pPr>
            <w:r>
              <w:rPr/>
              <w:t> </w:t>
            </w:r>
          </w:p>
        </w:tc>
        <w:tc>
          <w:tcPr>
            <w:tcW w:w="98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$128,528</w:t>
            </w:r>
          </w:p>
        </w:tc>
        <w:tc>
          <w:tcPr>
            <w:tcW w:w="1079"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pPr>
            <w:r>
              <w:rPr/>
              <w:t> </w:t>
            </w:r>
          </w:p>
        </w:tc>
        <w:tc>
          <w:tcPr>
            <w:tcW w:w="48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21%</w:t>
            </w:r>
          </w:p>
        </w:tc>
        <w:tc>
          <w:tcPr>
            <w:tcW w:w="777"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w:t>
            </w:r>
          </w:p>
        </w:tc>
        <w:tc>
          <w:tcPr>
            <w:tcW w:w="1049"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$2,896</w:t>
            </w:r>
          </w:p>
        </w:tc>
        <w:tc>
          <w:tcPr>
            <w:tcW w:w="860"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19%</w:t>
            </w:r>
          </w:p>
        </w:tc>
        <w:tc>
          <w:tcPr>
            <w:tcW w:w="1213"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w:t>
            </w:r>
          </w:p>
        </w:tc>
      </w:tr>
      <w:tr>
        <w:trPr/>
        <w:tc>
          <w:tcPr>
            <w:tcW w:w="1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Net Income</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$133,749</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$128,786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$101,832</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$105,452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31%</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22%</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$1,772</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30%</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20%</w:t>
            </w:r>
          </w:p>
        </w:tc>
      </w:tr>
      <w:tr>
        <w:trPr/>
        <w:tc>
          <w:tcPr>
            <w:tcW w:w="139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Diluted Earnings per Share</w:t>
            </w:r>
          </w:p>
        </w:tc>
        <w:tc>
          <w:tcPr>
            <w:tcW w:w="98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$17.95</w:t>
            </w:r>
          </w:p>
        </w:tc>
        <w:tc>
          <w:tcPr>
            <w:tcW w:w="1079"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$17.28</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pPr>
            <w:r>
              <w:rPr/>
              <w:t> </w:t>
            </w:r>
          </w:p>
        </w:tc>
        <w:tc>
          <w:tcPr>
            <w:tcW w:w="98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$13.64</w:t>
            </w:r>
          </w:p>
        </w:tc>
        <w:tc>
          <w:tcPr>
            <w:tcW w:w="1079"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$14.13</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pPr>
            <w:r>
              <w:rPr/>
              <w:t> </w:t>
            </w:r>
          </w:p>
        </w:tc>
        <w:tc>
          <w:tcPr>
            <w:tcW w:w="48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32%</w:t>
            </w:r>
          </w:p>
        </w:tc>
        <w:tc>
          <w:tcPr>
            <w:tcW w:w="777"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22%</w:t>
            </w:r>
          </w:p>
        </w:tc>
        <w:tc>
          <w:tcPr>
            <w:tcW w:w="1049"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$0.24</w:t>
            </w:r>
          </w:p>
        </w:tc>
        <w:tc>
          <w:tcPr>
            <w:tcW w:w="860"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30%</w:t>
            </w:r>
          </w:p>
        </w:tc>
        <w:tc>
          <w:tcPr>
            <w:tcW w:w="1213"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21%</w:t>
            </w:r>
          </w:p>
        </w:tc>
      </w:tr>
    </w:tbl>
    <w:p>
      <w:pPr>
        <w:pStyle w:val="TextBody"/>
        <w:bidi w:val="0"/>
        <w:spacing w:before="240" w:after="240"/>
        <w:jc w:val="left"/>
        <w:rPr>
          <w:rFonts w:ascii="Arial" w:hAnsi="Arial"/>
          <w:b/>
          <w:color w:val="666666"/>
          <w:sz w:val="20"/>
        </w:rPr>
      </w:pPr>
      <w:r>
        <w:rPr>
          <w:rFonts w:ascii="Arial" w:hAnsi="Arial"/>
          <w:b/>
          <w:color w:val="666666"/>
          <w:sz w:val="20"/>
        </w:rPr>
        <w:t>Segment Revenue Constant Currency Reconciliation</w:t>
      </w:r>
    </w:p>
    <w:tbl>
      <w:tblPr>
        <w:tblW w:w="10033" w:type="dxa"/>
        <w:jc w:val="left"/>
        <w:tblInd w:w="0" w:type="dxa"/>
        <w:tblLayout w:type="fixed"/>
        <w:tblCellMar>
          <w:top w:w="28" w:type="dxa"/>
          <w:left w:w="28" w:type="dxa"/>
          <w:bottom w:w="28" w:type="dxa"/>
          <w:right w:w="28" w:type="dxa"/>
        </w:tblCellMar>
      </w:tblPr>
      <w:tblGrid>
        <w:gridCol w:w="2521"/>
        <w:gridCol w:w="1396"/>
        <w:gridCol w:w="146"/>
        <w:gridCol w:w="1396"/>
        <w:gridCol w:w="146"/>
        <w:gridCol w:w="1306"/>
        <w:gridCol w:w="1771"/>
        <w:gridCol w:w="1351"/>
      </w:tblGrid>
      <w:tr>
        <w:trPr/>
        <w:tc>
          <w:tcPr>
            <w:tcW w:w="252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6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Three Months Ended June 30,</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666666"/>
                <w:sz w:val="12"/>
              </w:rPr>
            </w:pPr>
            <w:r>
              <w:rPr>
                <w:rFonts w:ascii="Arial" w:hAnsi="Arial"/>
                <w:color w:val="666666"/>
                <w:sz w:val="12"/>
              </w:rPr>
              <w:t>Percentage Change Y/Y</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666666"/>
                <w:sz w:val="12"/>
              </w:rPr>
            </w:pPr>
            <w:r>
              <w:rPr>
                <w:rFonts w:ascii="Arial" w:hAnsi="Arial"/>
                <w:color w:val="666666"/>
                <w:sz w:val="12"/>
              </w:rPr>
              <w:t>Percentage Change Y/Y</w:t>
            </w:r>
          </w:p>
        </w:tc>
      </w:tr>
      <w:tr>
        <w:trPr/>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666666"/>
                <w:sz w:val="13"/>
              </w:rPr>
            </w:pPr>
            <w:r>
              <w:rPr>
                <w:rFonts w:ascii="Arial" w:hAnsi="Arial"/>
                <w:color w:val="666666"/>
                <w:sz w:val="13"/>
              </w:rPr>
              <w:t>($ in millions)</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Reported (GAAP)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As Reported (GAAP)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GAAP</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Constant Currency Impact</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3"/>
              </w:rPr>
            </w:pPr>
            <w:r>
              <w:rPr>
                <w:rFonts w:ascii="Arial" w:hAnsi="Arial"/>
                <w:color w:val="666666"/>
                <w:sz w:val="13"/>
              </w:rPr>
              <w:t>Constant Currency</w:t>
            </w:r>
          </w:p>
        </w:tc>
      </w:tr>
      <w:tr>
        <w:trPr/>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Productivity and Business Processes</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$37,847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$33,112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14%</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$244</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14%</w:t>
            </w:r>
          </w:p>
        </w:tc>
      </w:tr>
      <w:tr>
        <w:trPr/>
        <w:tc>
          <w:tcPr>
            <w:tcW w:w="252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Intelligent Cloud</w:t>
            </w:r>
          </w:p>
        </w:tc>
        <w:tc>
          <w:tcPr>
            <w:tcW w:w="139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$39,306</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$29,878</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32%</w:t>
            </w:r>
          </w:p>
        </w:tc>
        <w:tc>
          <w:tcPr>
            <w:tcW w:w="177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$80</w:t>
            </w:r>
          </w:p>
        </w:tc>
        <w:tc>
          <w:tcPr>
            <w:tcW w:w="135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31%</w:t>
            </w:r>
          </w:p>
        </w:tc>
      </w:tr>
      <w:tr>
        <w:trPr/>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More Personal Computing</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$12,854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$13,451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(4)%</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$67</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15"/>
              </w:rPr>
            </w:pPr>
            <w:r>
              <w:rPr>
                <w:rFonts w:ascii="Arial" w:hAnsi="Arial"/>
                <w:color w:val="666666"/>
                <w:sz w:val="15"/>
              </w:rPr>
              <w:t>(5)%</w:t>
            </w:r>
          </w:p>
        </w:tc>
      </w:tr>
    </w:tbl>
    <w:p>
      <w:pPr>
        <w:pStyle w:val="TextBody"/>
        <w:bidi w:val="0"/>
        <w:spacing w:before="240" w:after="240"/>
        <w:jc w:val="left"/>
        <w:rPr>
          <w:rFonts w:ascii="Arial" w:hAnsi="Arial"/>
          <w:b/>
          <w:color w:val="666666"/>
          <w:sz w:val="20"/>
        </w:rPr>
      </w:pPr>
      <w:r>
        <w:rPr>
          <w:rFonts w:ascii="Arial" w:hAnsi="Arial"/>
          <w:b/>
          <w:color w:val="666666"/>
          <w:sz w:val="20"/>
        </w:rPr>
        <w:t>Selected Product and Service Information Constant Currency Reconciliation</w:t>
      </w:r>
    </w:p>
    <w:tbl>
      <w:tblPr>
        <w:tblW w:w="10205" w:type="dxa"/>
        <w:jc w:val="left"/>
        <w:tblInd w:w="0" w:type="dxa"/>
        <w:tblLayout w:type="fixed"/>
        <w:tblCellMar>
          <w:top w:w="28" w:type="dxa"/>
          <w:left w:w="28" w:type="dxa"/>
          <w:bottom w:w="28" w:type="dxa"/>
          <w:right w:w="28" w:type="dxa"/>
        </w:tblCellMar>
      </w:tblPr>
      <w:tblGrid>
        <w:gridCol w:w="4086"/>
        <w:gridCol w:w="1846"/>
        <w:gridCol w:w="1757"/>
        <w:gridCol w:w="2516"/>
      </w:tblGrid>
      <w:tr>
        <w:trPr/>
        <w:tc>
          <w:tcPr>
            <w:tcW w:w="408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r>
      <w:tr>
        <w:trPr/>
        <w:tc>
          <w:tcPr>
            <w:tcW w:w="4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Three Months Ended June 30, 2026</w:t>
            </w:r>
          </w:p>
        </w:tc>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2"/>
              </w:rPr>
            </w:pPr>
            <w:r>
              <w:rPr>
                <w:rFonts w:ascii="Arial" w:hAnsi="Arial"/>
                <w:b/>
                <w:color w:val="666666"/>
                <w:sz w:val="12"/>
              </w:rPr>
              <w:t>Percentage Change Y/Y (GAAP)</w:t>
            </w:r>
          </w:p>
        </w:tc>
        <w:tc>
          <w:tcPr>
            <w:tcW w:w="1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3"/>
              </w:rPr>
            </w:pPr>
            <w:r>
              <w:rPr>
                <w:rFonts w:ascii="Arial" w:hAnsi="Arial"/>
                <w:b/>
                <w:color w:val="666666"/>
                <w:sz w:val="13"/>
              </w:rPr>
              <w:t>Constant Currency Impact</w:t>
            </w:r>
          </w:p>
        </w:tc>
        <w:tc>
          <w:tcPr>
            <w:tcW w:w="2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2"/>
              </w:rPr>
            </w:pPr>
            <w:r>
              <w:rPr>
                <w:rFonts w:ascii="Arial" w:hAnsi="Arial"/>
                <w:b/>
                <w:color w:val="666666"/>
                <w:sz w:val="12"/>
              </w:rPr>
              <w:t>Percentage Change Y/Y Constant Currency</w:t>
            </w:r>
          </w:p>
        </w:tc>
      </w:tr>
      <w:tr>
        <w:trPr/>
        <w:tc>
          <w:tcPr>
            <w:tcW w:w="408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Microsoft Cloud revenue</w:t>
            </w:r>
          </w:p>
        </w:tc>
        <w:tc>
          <w:tcPr>
            <w:tcW w:w="18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27%</w:t>
            </w:r>
          </w:p>
        </w:tc>
        <w:tc>
          <w:tcPr>
            <w:tcW w:w="1757"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0%</w:t>
            </w:r>
          </w:p>
        </w:tc>
        <w:tc>
          <w:tcPr>
            <w:tcW w:w="251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27%</w:t>
            </w:r>
          </w:p>
        </w:tc>
      </w:tr>
      <w:tr>
        <w:trPr/>
        <w:tc>
          <w:tcPr>
            <w:tcW w:w="4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Commercial remaining performance obligation</w:t>
            </w:r>
          </w:p>
        </w:tc>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84%</w:t>
            </w:r>
          </w:p>
        </w:tc>
        <w:tc>
          <w:tcPr>
            <w:tcW w:w="1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0%</w:t>
            </w:r>
          </w:p>
        </w:tc>
        <w:tc>
          <w:tcPr>
            <w:tcW w:w="2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84%</w:t>
            </w:r>
          </w:p>
        </w:tc>
      </w:tr>
      <w:tr>
        <w:trPr/>
        <w:tc>
          <w:tcPr>
            <w:tcW w:w="408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Microsoft 365 Commercial cloud revenue</w:t>
            </w:r>
          </w:p>
        </w:tc>
        <w:tc>
          <w:tcPr>
            <w:tcW w:w="18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14%</w:t>
            </w:r>
          </w:p>
        </w:tc>
        <w:tc>
          <w:tcPr>
            <w:tcW w:w="1757"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0%</w:t>
            </w:r>
          </w:p>
        </w:tc>
        <w:tc>
          <w:tcPr>
            <w:tcW w:w="251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14%</w:t>
            </w:r>
          </w:p>
        </w:tc>
      </w:tr>
      <w:tr>
        <w:trPr/>
        <w:tc>
          <w:tcPr>
            <w:tcW w:w="4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Microsoft 365 Consumer cloud revenue</w:t>
            </w:r>
          </w:p>
        </w:tc>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24%</w:t>
            </w:r>
          </w:p>
        </w:tc>
        <w:tc>
          <w:tcPr>
            <w:tcW w:w="1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w:t>
            </w:r>
          </w:p>
        </w:tc>
        <w:tc>
          <w:tcPr>
            <w:tcW w:w="2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22%</w:t>
            </w:r>
          </w:p>
        </w:tc>
      </w:tr>
      <w:tr>
        <w:trPr/>
        <w:tc>
          <w:tcPr>
            <w:tcW w:w="408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LinkedIn revenue</w:t>
            </w:r>
          </w:p>
        </w:tc>
        <w:tc>
          <w:tcPr>
            <w:tcW w:w="18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12%</w:t>
            </w:r>
          </w:p>
        </w:tc>
        <w:tc>
          <w:tcPr>
            <w:tcW w:w="1757"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(2)%</w:t>
            </w:r>
          </w:p>
        </w:tc>
        <w:tc>
          <w:tcPr>
            <w:tcW w:w="251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10%</w:t>
            </w:r>
          </w:p>
        </w:tc>
      </w:tr>
      <w:tr>
        <w:trPr/>
        <w:tc>
          <w:tcPr>
            <w:tcW w:w="4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Dynamics 365 revenue</w:t>
            </w:r>
          </w:p>
        </w:tc>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13%</w:t>
            </w:r>
          </w:p>
        </w:tc>
        <w:tc>
          <w:tcPr>
            <w:tcW w:w="1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w:t>
            </w:r>
          </w:p>
        </w:tc>
        <w:tc>
          <w:tcPr>
            <w:tcW w:w="2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12%</w:t>
            </w:r>
          </w:p>
        </w:tc>
      </w:tr>
      <w:tr>
        <w:trPr/>
        <w:tc>
          <w:tcPr>
            <w:tcW w:w="408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Azure and other cloud services revenue</w:t>
            </w:r>
          </w:p>
        </w:tc>
        <w:tc>
          <w:tcPr>
            <w:tcW w:w="18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43%</w:t>
            </w:r>
          </w:p>
        </w:tc>
        <w:tc>
          <w:tcPr>
            <w:tcW w:w="1757"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0%</w:t>
            </w:r>
          </w:p>
        </w:tc>
        <w:tc>
          <w:tcPr>
            <w:tcW w:w="251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43%</w:t>
            </w:r>
          </w:p>
        </w:tc>
      </w:tr>
      <w:tr>
        <w:trPr/>
        <w:tc>
          <w:tcPr>
            <w:tcW w:w="4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Windows OEM and Devices revenue</w:t>
            </w:r>
          </w:p>
        </w:tc>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(7)%</w:t>
            </w:r>
          </w:p>
        </w:tc>
        <w:tc>
          <w:tcPr>
            <w:tcW w:w="1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0%</w:t>
            </w:r>
          </w:p>
        </w:tc>
        <w:tc>
          <w:tcPr>
            <w:tcW w:w="2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(7)%</w:t>
            </w:r>
          </w:p>
        </w:tc>
      </w:tr>
      <w:tr>
        <w:trPr/>
        <w:tc>
          <w:tcPr>
            <w:tcW w:w="408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XBOX content and services revenue</w:t>
            </w:r>
          </w:p>
        </w:tc>
        <w:tc>
          <w:tcPr>
            <w:tcW w:w="18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(10)%</w:t>
            </w:r>
          </w:p>
        </w:tc>
        <w:tc>
          <w:tcPr>
            <w:tcW w:w="1757"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0%</w:t>
            </w:r>
          </w:p>
        </w:tc>
        <w:tc>
          <w:tcPr>
            <w:tcW w:w="251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(10)%</w:t>
            </w:r>
          </w:p>
        </w:tc>
      </w:tr>
      <w:tr>
        <w:trPr/>
        <w:tc>
          <w:tcPr>
            <w:tcW w:w="4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13"/>
              </w:rPr>
            </w:pPr>
            <w:r>
              <w:rPr>
                <w:rFonts w:ascii="Arial" w:hAnsi="Arial"/>
                <w:b/>
                <w:color w:val="666666"/>
                <w:sz w:val="13"/>
              </w:rPr>
              <w:t>Search advertising revenue excluding traffic acquisition costs</w:t>
            </w:r>
          </w:p>
        </w:tc>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10%</w:t>
            </w:r>
          </w:p>
        </w:tc>
        <w:tc>
          <w:tcPr>
            <w:tcW w:w="1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(1)%</w:t>
            </w:r>
          </w:p>
        </w:tc>
        <w:tc>
          <w:tcPr>
            <w:tcW w:w="2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15"/>
              </w:rPr>
            </w:pPr>
            <w:r>
              <w:rPr>
                <w:rFonts w:ascii="Arial" w:hAnsi="Arial"/>
                <w:b/>
                <w:color w:val="666666"/>
                <w:sz w:val="15"/>
              </w:rPr>
              <w:t>9%</w:t>
            </w:r>
          </w:p>
        </w:tc>
      </w:tr>
    </w:tbl>
    <w:p>
      <w:pPr>
        <w:pStyle w:val="TextBody"/>
        <w:bidi w:val="0"/>
        <w:spacing w:before="240" w:after="283"/>
        <w:jc w:val="left"/>
        <w:rPr>
          <w:rFonts w:ascii="Arial" w:hAnsi="Arial"/>
          <w:b/>
          <w:color w:val="666666"/>
          <w:sz w:val="20"/>
        </w:rPr>
      </w:pPr>
      <w:r>
        <w:rPr>
          <w:rFonts w:ascii="Arial" w:hAnsi="Arial"/>
          <w:b/>
          <w:color w:val="666666"/>
          <w:sz w:val="20"/>
        </w:rPr>
        <w:t>About Microsoft</w:t>
      </w:r>
    </w:p>
    <w:p>
      <w:pPr>
        <w:pStyle w:val="TextBody"/>
        <w:bidi w:val="0"/>
        <w:spacing w:before="240" w:after="283"/>
        <w:jc w:val="left"/>
        <w:rPr>
          <w:rFonts w:ascii="Arial" w:hAnsi="Arial"/>
          <w:color w:val="666666"/>
          <w:sz w:val="20"/>
        </w:rPr>
      </w:pPr>
      <w:r>
        <w:rPr>
          <w:rFonts w:ascii="Arial" w:hAnsi="Arial"/>
          <w:color w:val="666666"/>
          <w:sz w:val="20"/>
        </w:rPr>
        <w:t>Microsoft (Nasdaq “MSFT” @microsoft) creates platforms and tools powered by AI to deliver innovative solutions that meet the evolving needs of our customers. The technology company is committed to making AI available broadly and doing so responsibly, with a mission to empower every person and every organization on the planet to achieve more.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b/>
          <w:color w:val="666666"/>
          <w:sz w:val="20"/>
        </w:rPr>
      </w:pPr>
      <w:r>
        <w:rPr>
          <w:rFonts w:ascii="Arial" w:hAnsi="Arial"/>
          <w:b/>
          <w:color w:val="666666"/>
          <w:sz w:val="20"/>
        </w:rPr>
        <w:t>Forward-Looking Statements</w:t>
      </w:r>
    </w:p>
    <w:p>
      <w:pPr>
        <w:pStyle w:val="TextBody"/>
        <w:bidi w:val="0"/>
        <w:spacing w:before="240" w:after="283"/>
        <w:jc w:val="left"/>
        <w:rPr>
          <w:rFonts w:ascii="Times New Roman" w:hAnsi="Times New Roman"/>
          <w:sz w:val="20"/>
        </w:rPr>
      </w:pPr>
      <w:r>
        <w:rPr>
          <w:rFonts w:ascii="Arial" w:hAnsi="Arial"/>
          <w:color w:val="666666"/>
          <w:sz w:val="20"/>
        </w:rPr>
        <w:t>Statements in this release that are “forward-looking statements” are based on current expectations and assumptions that are subject to risks and uncertainties. Actual results could differ materially because of factors such as:</w:t>
      </w:r>
      <w:r>
        <w:rPr>
          <w:rFonts w:ascii="Times New Roman" w:hAnsi="Times New Roman"/>
          <w:color w:val="666666"/>
          <w:sz w:val="20"/>
        </w:rPr>
        <w:t xml:space="preserve"> </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intense competition in all of our markets that could adversely affect our results of operations;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substantial investments in cloud and AI strategy that depend on customer demand, technological developments, competitive dynamics, and regulatory condition;</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development, delivery, and maintenance of competitive cloud-based and AI products and services that achieve broad customer adoption and sustainable revenue growth;</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significant investments in products and services that may not achieve expected returns;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acquisitions, joint ventures, and strategic alliances that could have an adverse effect on our business;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cyberattacks and security vulnerabilities that could lead to reduced revenue, increased costs, liability claims, or harm to our reputation or competitive position;</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disclosure and misuse of personal data that could cause liability and harm to our reputation;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the possibility that we may not be able to protect information in our products and services from use by others;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abuse of our platforms that may harm our reputation or user engagement;</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products and services, how they are used by customers, and how third-party products and services interact with them, presenting security, privacy, and execution risks;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issues about the development, deployment, and use of AI that may result in reputational or competitive harm, or liability;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inability to develop and expand adequate infrastructure;</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supply or other quality problems;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excessive outages, disruptions, or capacity constraints of our services if we fail to maintain an adequate operations infrastructure or secure resources necessary to support it;</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potential consequences of new, existing, and evolving legal and regulatory requirements;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claims against us that could result in adverse outcomes in legal disputes;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uncertainties relating to our business with government customers;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additional tax liabilities;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an inability to protect and utilize our intellectual property may harm our business and operating results;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claims that Microsoft has infringed the intellectual property rights of others;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damage to our reputation or our brands that may harm our business and results of operations;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adverse economic or market conditions that could harm our business;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catastrophic events or geopolitical conditions that could disrupt our business;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exposure to increased economic and operational uncertainties from operating a global business, including the effects of foreign currency exchange; and</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the dependence of our business on our ability to attract and retain talented employees.</w:t>
      </w:r>
    </w:p>
    <w:p>
      <w:pPr>
        <w:pStyle w:val="TextBody"/>
        <w:bidi w:val="0"/>
        <w:spacing w:before="240" w:after="283"/>
        <w:jc w:val="left"/>
        <w:rPr>
          <w:rFonts w:ascii="Times New Roman" w:hAnsi="Times New Roman"/>
          <w:sz w:val="20"/>
        </w:rPr>
      </w:pPr>
      <w:r>
        <w:rPr>
          <w:rFonts w:ascii="Arial" w:hAnsi="Arial"/>
          <w:color w:val="666666"/>
          <w:sz w:val="20"/>
        </w:rPr>
        <w:t xml:space="preserve">For more information about risks and uncertainties associated with Microsoft’s business, please refer to the “Management’s Discussion and Analysis of Financial Condition and Results of Operations” and “Risk Factors” sections of Microsoft’s SEC filings, including, but not limited to, its annual report on Form 10-K and quarterly reports on Form 10-Q, copies of which may be obtained by contacting Microsoft’s Investor Relations department at (800) 285-7772 or at Microsoft’s Investor Relations website at </w:t>
      </w:r>
      <w:r>
        <w:rPr>
          <w:rFonts w:ascii="Arial" w:hAnsi="Arial"/>
          <w:color w:val="666666"/>
          <w:sz w:val="20"/>
          <w:u w:val="single"/>
        </w:rPr>
        <w:t>http://www.microsoft.com/en-us/investor</w:t>
      </w:r>
      <w:r>
        <w:rPr>
          <w:rFonts w:ascii="Arial" w:hAnsi="Arial"/>
          <w:color w:val="666666"/>
          <w:sz w:val="20"/>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color w:val="666666"/>
          <w:sz w:val="20"/>
        </w:rPr>
      </w:pPr>
      <w:r>
        <w:rPr>
          <w:rFonts w:ascii="Arial" w:hAnsi="Arial"/>
          <w:color w:val="666666"/>
          <w:sz w:val="20"/>
        </w:rPr>
        <w:t>All information in this release is as of June 30, 2026. The company undertakes no duty to update any forward-looking statement to conform the statement to actual results or changes in the company’s expectations.</w:t>
      </w:r>
    </w:p>
    <w:p>
      <w:pPr>
        <w:pStyle w:val="TextBody"/>
        <w:bidi w:val="0"/>
        <w:spacing w:before="240" w:after="283"/>
        <w:jc w:val="left"/>
        <w:rPr>
          <w:rFonts w:ascii="Times New Roman" w:hAnsi="Times New Roman"/>
          <w:sz w:val="20"/>
        </w:rPr>
      </w:pPr>
      <w:r>
        <w:rPr>
          <w:rFonts w:ascii="Arial" w:hAnsi="Arial"/>
          <w:b/>
          <w:color w:val="666666"/>
          <w:sz w:val="20"/>
        </w:rPr>
        <w:t>For more information, press only:</w:t>
      </w:r>
      <w:r>
        <w:rPr>
          <w:rFonts w:ascii="Times New Roman" w:hAnsi="Times New Roman"/>
          <w:color w:val="666666"/>
          <w:sz w:val="20"/>
        </w:rPr>
        <w:t xml:space="preserve"> </w:t>
      </w:r>
    </w:p>
    <w:p>
      <w:pPr>
        <w:pStyle w:val="TextBody"/>
        <w:bidi w:val="0"/>
        <w:spacing w:before="240" w:after="283"/>
        <w:jc w:val="left"/>
        <w:rPr>
          <w:rFonts w:ascii="Times New Roman" w:hAnsi="Times New Roman"/>
          <w:sz w:val="20"/>
        </w:rPr>
      </w:pPr>
      <w:r>
        <w:rPr>
          <w:rFonts w:ascii="Arial" w:hAnsi="Arial"/>
          <w:color w:val="666666"/>
          <w:sz w:val="20"/>
        </w:rPr>
        <w:t>Microsoft Media Relations, WE Communications for Microsoft, (425) 638-7777,</w:t>
      </w:r>
      <w:r>
        <w:rPr>
          <w:rFonts w:ascii="Times New Roman" w:hAnsi="Times New Roman"/>
          <w:color w:val="000000"/>
          <w:sz w:val="20"/>
        </w:rPr>
        <w:t xml:space="preserve"> </w:t>
      </w:r>
      <w:r>
        <w:rPr>
          <w:rFonts w:ascii="Arial" w:hAnsi="Arial"/>
          <w:color w:val="666666"/>
          <w:sz w:val="20"/>
          <w:u w:val="single"/>
        </w:rPr>
        <w:t>rrt@we-worldwide.com</w:t>
      </w:r>
      <w:r>
        <w:rPr>
          <w:rFonts w:ascii="Times New Roman" w:hAnsi="Times New Roman"/>
          <w:color w:val="4472C4"/>
          <w:sz w:val="20"/>
        </w:rPr>
        <w:t xml:space="preserve"> </w:t>
      </w:r>
    </w:p>
    <w:p>
      <w:pPr>
        <w:pStyle w:val="TextBody"/>
        <w:bidi w:val="0"/>
        <w:spacing w:before="240" w:after="283"/>
        <w:jc w:val="left"/>
        <w:rPr>
          <w:rFonts w:ascii="Times New Roman" w:hAnsi="Times New Roman"/>
          <w:sz w:val="20"/>
        </w:rPr>
      </w:pPr>
      <w:r>
        <w:rPr>
          <w:rFonts w:ascii="Arial" w:hAnsi="Arial"/>
          <w:b/>
          <w:color w:val="666666"/>
          <w:sz w:val="20"/>
        </w:rPr>
        <w:t>For more information, financial analysts and investors only:</w:t>
      </w:r>
      <w:r>
        <w:rPr>
          <w:rFonts w:ascii="Times New Roman" w:hAnsi="Times New Roman"/>
          <w:color w:val="666666"/>
          <w:sz w:val="20"/>
        </w:rPr>
        <w:t xml:space="preserve"> </w:t>
      </w:r>
    </w:p>
    <w:p>
      <w:pPr>
        <w:pStyle w:val="TextBody"/>
        <w:bidi w:val="0"/>
        <w:spacing w:before="240" w:after="283"/>
        <w:jc w:val="left"/>
        <w:rPr>
          <w:rFonts w:ascii="Arial" w:hAnsi="Arial"/>
          <w:color w:val="666666"/>
          <w:sz w:val="20"/>
        </w:rPr>
      </w:pPr>
      <w:r>
        <w:rPr>
          <w:rFonts w:ascii="Arial" w:hAnsi="Arial"/>
          <w:color w:val="666666"/>
          <w:sz w:val="20"/>
        </w:rPr>
        <w:t>Jonathan Neilson, Vice President, Investor Relations, (425) 706-4400</w:t>
      </w:r>
    </w:p>
    <w:p>
      <w:pPr>
        <w:pStyle w:val="TextBody"/>
        <w:bidi w:val="0"/>
        <w:spacing w:before="240" w:after="283"/>
        <w:jc w:val="left"/>
        <w:rPr>
          <w:rFonts w:ascii="Times New Roman" w:hAnsi="Times New Roman"/>
          <w:sz w:val="20"/>
        </w:rPr>
      </w:pPr>
      <w:r>
        <w:rPr>
          <w:rFonts w:ascii="Arial" w:hAnsi="Arial"/>
          <w:color w:val="666666"/>
          <w:sz w:val="20"/>
        </w:rPr>
        <w:t xml:space="preserve">Note to editors: For more information, news and perspectives from Microsoft, please visit the Microsoft News Center at </w:t>
      </w:r>
      <w:r>
        <w:rPr>
          <w:rFonts w:ascii="Arial" w:hAnsi="Arial"/>
          <w:color w:val="666666"/>
          <w:sz w:val="20"/>
          <w:u w:val="single"/>
        </w:rPr>
        <w:t>http://www.microsoft.com/news</w:t>
      </w:r>
      <w:r>
        <w:rPr>
          <w:rFonts w:ascii="Arial" w:hAnsi="Arial"/>
          <w:color w:val="666666"/>
          <w:sz w:val="20"/>
        </w:rPr>
        <w:t xml:space="preserve">. Web links, telephone numbers, and titles were correct at time of publication, but may since have changed. Shareholder and financial information, as well as today’s 2:30 p.m. Pacific time conference call with investors and analysts, is available at </w:t>
      </w:r>
      <w:r>
        <w:rPr>
          <w:rFonts w:ascii="Arial" w:hAnsi="Arial"/>
          <w:color w:val="666666"/>
          <w:sz w:val="20"/>
          <w:u w:val="single"/>
        </w:rPr>
        <w:t>http://www.microsoft.com/en-us/investor</w:t>
      </w:r>
      <w:r>
        <w:rPr>
          <w:rFonts w:ascii="Arial" w:hAnsi="Arial"/>
          <w:color w:val="666666"/>
          <w:sz w:val="20"/>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666666"/>
          <w:sz w:val="20"/>
        </w:rPr>
      </w:pPr>
      <w:r>
        <w:rPr>
          <w:rFonts w:ascii="Arial" w:hAnsi="Arial"/>
          <w:b/>
          <w:color w:val="666666"/>
          <w:sz w:val="20"/>
        </w:rPr>
        <w:t>MICROSOFT CORPORATION</w:t>
      </w:r>
    </w:p>
    <w:p>
      <w:pPr>
        <w:pStyle w:val="TextBody"/>
        <w:bidi w:val="0"/>
        <w:jc w:val="left"/>
        <w:rPr/>
      </w:pPr>
      <w:r>
        <w:rPr/>
        <w:t> </w:t>
      </w:r>
    </w:p>
    <w:p>
      <w:pPr>
        <w:pStyle w:val="TextBody"/>
        <w:bidi w:val="0"/>
        <w:jc w:val="center"/>
        <w:rPr>
          <w:rFonts w:ascii="Arial" w:hAnsi="Arial"/>
          <w:color w:val="666666"/>
          <w:sz w:val="20"/>
        </w:rPr>
      </w:pPr>
      <w:r>
        <w:rPr>
          <w:rFonts w:ascii="Arial" w:hAnsi="Arial"/>
          <w:color w:val="666666"/>
          <w:sz w:val="20"/>
        </w:rPr>
        <w:t>INCOME STATEMENTS</w:t>
      </w:r>
    </w:p>
    <w:p>
      <w:pPr>
        <w:pStyle w:val="TextBody"/>
        <w:bidi w:val="0"/>
        <w:spacing w:before="120" w:after="283"/>
        <w:jc w:val="center"/>
        <w:rPr>
          <w:rFonts w:ascii="Arial" w:hAnsi="Arial"/>
          <w:color w:val="666666"/>
          <w:sz w:val="20"/>
        </w:rPr>
      </w:pPr>
      <w:r>
        <w:rPr>
          <w:rFonts w:ascii="Arial" w:hAnsi="Arial"/>
          <w:color w:val="666666"/>
          <w:sz w:val="20"/>
        </w:rPr>
        <w:t>(In millions, except per share amounts) (Unaudited)</w:t>
      </w:r>
    </w:p>
    <w:p>
      <w:pPr>
        <w:pStyle w:val="TextBody"/>
        <w:bidi w:val="0"/>
        <w:jc w:val="center"/>
        <w:rPr/>
      </w:pPr>
      <w:r>
        <w:rPr/>
        <w:t> </w:t>
      </w:r>
    </w:p>
    <w:tbl>
      <w:tblPr>
        <w:tblW w:w="7986" w:type="dxa"/>
        <w:jc w:val="left"/>
        <w:tblInd w:w="0" w:type="dxa"/>
        <w:tblLayout w:type="fixed"/>
        <w:tblCellMar>
          <w:top w:w="28" w:type="dxa"/>
          <w:left w:w="28" w:type="dxa"/>
          <w:bottom w:w="28" w:type="dxa"/>
          <w:right w:w="28" w:type="dxa"/>
        </w:tblCellMar>
      </w:tblPr>
      <w:tblGrid>
        <w:gridCol w:w="3451"/>
        <w:gridCol w:w="146"/>
        <w:gridCol w:w="934"/>
        <w:gridCol w:w="171"/>
        <w:gridCol w:w="934"/>
        <w:gridCol w:w="146"/>
        <w:gridCol w:w="916"/>
        <w:gridCol w:w="148"/>
        <w:gridCol w:w="1140"/>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Three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Twelve Months Ended</w:t>
              <w:br/>
              <w:t>June 30,</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$17,234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$17,136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$64,696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$63,946</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Service and 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72,773</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59,305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267,143</w:t>
            </w:r>
          </w:p>
        </w:tc>
        <w:tc>
          <w:tcPr>
            <w:tcW w:w="14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217,778</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90,007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76,441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331,839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281,724</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Cost of 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2,938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12,098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13,501</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Service and 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26,587</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20,700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94,276</w:t>
            </w:r>
          </w:p>
        </w:tc>
        <w:tc>
          <w:tcPr>
            <w:tcW w:w="14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74,330</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29,525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24,014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106,374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87,831</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Gross margin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60,482</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52,427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225,465</w:t>
            </w:r>
          </w:p>
        </w:tc>
        <w:tc>
          <w:tcPr>
            <w:tcW w:w="14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193,893</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9,997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8,829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35,562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32,488</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Sales and marketing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7,595</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7,285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26,710</w:t>
            </w:r>
          </w:p>
        </w:tc>
        <w:tc>
          <w:tcPr>
            <w:tcW w:w="14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25,654</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2,287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7,956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7,223</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Operating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40,603</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34,323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155,237</w:t>
            </w:r>
          </w:p>
        </w:tc>
        <w:tc>
          <w:tcPr>
            <w:tcW w:w="14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128,528</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3,444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10,697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(4,901)</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Income before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44,047</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32,616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165,934</w:t>
            </w:r>
          </w:p>
        </w:tc>
        <w:tc>
          <w:tcPr>
            <w:tcW w:w="14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123,627</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8,281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32,185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21,795</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Net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$35,766</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$27,233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$133,749</w:t>
            </w:r>
          </w:p>
        </w:tc>
        <w:tc>
          <w:tcPr>
            <w:tcW w:w="14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$101,832</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Basic</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$4.82</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$3.66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$18.00</w:t>
            </w:r>
          </w:p>
        </w:tc>
        <w:tc>
          <w:tcPr>
            <w:tcW w:w="14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$13.70</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$4.81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$17.95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$13.64</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Weighted average shares outstanding: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7,427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7,429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7,433</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Diluted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7,443</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7,461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7,453</w:t>
            </w:r>
          </w:p>
        </w:tc>
        <w:tc>
          <w:tcPr>
            <w:tcW w:w="14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7,465</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666666"/>
          <w:sz w:val="20"/>
        </w:rPr>
      </w:pPr>
      <w:r>
        <w:rPr>
          <w:rFonts w:ascii="Arial" w:hAnsi="Arial"/>
          <w:color w:val="666666"/>
          <w:sz w:val="20"/>
        </w:rPr>
        <w:t>COMPREHENSIVE INCOME STATEMENTS</w:t>
      </w:r>
    </w:p>
    <w:p>
      <w:pPr>
        <w:pStyle w:val="TextBody"/>
        <w:bidi w:val="0"/>
        <w:spacing w:before="120" w:after="283"/>
        <w:jc w:val="center"/>
        <w:rPr>
          <w:rFonts w:ascii="Arial" w:hAnsi="Arial"/>
          <w:color w:val="666666"/>
          <w:sz w:val="20"/>
        </w:rPr>
      </w:pPr>
      <w:r>
        <w:rPr>
          <w:rFonts w:ascii="Arial" w:hAnsi="Arial"/>
          <w:color w:val="666666"/>
          <w:sz w:val="20"/>
        </w:rPr>
        <w:t>(In millions) (Unaudited)</w:t>
      </w:r>
    </w:p>
    <w:p>
      <w:pPr>
        <w:pStyle w:val="TextBody"/>
        <w:bidi w:val="0"/>
        <w:jc w:val="left"/>
        <w:rPr/>
      </w:pPr>
      <w:r>
        <w:rPr/>
        <w:t> </w:t>
      </w:r>
    </w:p>
    <w:tbl>
      <w:tblPr>
        <w:tblW w:w="8752" w:type="dxa"/>
        <w:jc w:val="left"/>
        <w:tblInd w:w="0" w:type="dxa"/>
        <w:tblLayout w:type="fixed"/>
        <w:tblCellMar>
          <w:top w:w="28" w:type="dxa"/>
          <w:left w:w="28" w:type="dxa"/>
          <w:bottom w:w="28" w:type="dxa"/>
          <w:right w:w="28" w:type="dxa"/>
        </w:tblCellMar>
      </w:tblPr>
      <w:tblGrid>
        <w:gridCol w:w="4216"/>
        <w:gridCol w:w="146"/>
        <w:gridCol w:w="934"/>
        <w:gridCol w:w="171"/>
        <w:gridCol w:w="934"/>
        <w:gridCol w:w="146"/>
        <w:gridCol w:w="997"/>
        <w:gridCol w:w="161"/>
        <w:gridCol w:w="1047"/>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Twelve Months Ended</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June 30,</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r>
      <w:tr>
        <w:trPr/>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Net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$35,766</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$27,233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$133,749</w:t>
            </w:r>
          </w:p>
        </w:tc>
        <w:tc>
          <w:tcPr>
            <w:tcW w:w="1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$101,832</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21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Net change related to derivatives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14</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8</w:t>
            </w:r>
          </w:p>
        </w:tc>
        <w:tc>
          <w:tcPr>
            <w:tcW w:w="1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(5)</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Net change related to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215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1,574</w:t>
            </w:r>
          </w:p>
        </w:tc>
      </w:tr>
      <w:tr>
        <w:trPr/>
        <w:tc>
          <w:tcPr>
            <w:tcW w:w="421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Translation adjustments and 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1,051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(160)</w:t>
            </w:r>
          </w:p>
        </w:tc>
        <w:tc>
          <w:tcPr>
            <w:tcW w:w="1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674</w:t>
            </w:r>
          </w:p>
        </w:tc>
      </w:tr>
      <w:tr>
        <w:trPr/>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2,243</w:t>
            </w:r>
          </w:p>
        </w:tc>
      </w:tr>
      <w:tr>
        <w:trPr/>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Comprehensive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$35,710</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$28,719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$133,812</w:t>
            </w:r>
          </w:p>
        </w:tc>
        <w:tc>
          <w:tcPr>
            <w:tcW w:w="1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$104,075</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666666"/>
          <w:sz w:val="20"/>
        </w:rPr>
      </w:pPr>
      <w:r>
        <w:rPr>
          <w:rFonts w:ascii="Arial" w:hAnsi="Arial"/>
          <w:color w:val="666666"/>
          <w:sz w:val="20"/>
        </w:rPr>
        <w:t>BALANCE SHEETS</w:t>
      </w:r>
    </w:p>
    <w:p>
      <w:pPr>
        <w:pStyle w:val="TextBody"/>
        <w:bidi w:val="0"/>
        <w:spacing w:before="120" w:after="283"/>
        <w:jc w:val="center"/>
        <w:rPr>
          <w:rFonts w:ascii="Arial" w:hAnsi="Arial"/>
          <w:color w:val="666666"/>
          <w:sz w:val="20"/>
        </w:rPr>
      </w:pPr>
      <w:r>
        <w:rPr>
          <w:rFonts w:ascii="Arial" w:hAnsi="Arial"/>
          <w:color w:val="666666"/>
          <w:sz w:val="20"/>
        </w:rPr>
        <w:t>(In millions)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01"/>
        <w:gridCol w:w="986"/>
        <w:gridCol w:w="901"/>
        <w:gridCol w:w="146"/>
        <w:gridCol w:w="1171"/>
      </w:tblGrid>
      <w:tr>
        <w:trPr/>
        <w:tc>
          <w:tcPr>
            <w:tcW w:w="700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June 30,</w:t>
              <w:b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June 30,</w:t>
              <w:br/>
              <w:t>2025</w:t>
            </w:r>
          </w:p>
        </w:tc>
      </w:tr>
      <w:tr>
        <w:trPr/>
        <w:tc>
          <w:tcPr>
            <w:tcW w:w="7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0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Assets</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Current assets:</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700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Cash and cash equivalents</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$20,935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$30,242</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Short-term investments</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55,908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64,323</w:t>
            </w:r>
          </w:p>
        </w:tc>
      </w:tr>
      <w:tr>
        <w:trPr/>
        <w:tc>
          <w:tcPr>
            <w:tcW w:w="7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7001"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cash, cash equivalents, and short-term investments</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76,843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94,565</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666666"/>
                <w:sz w:val="20"/>
              </w:rPr>
              <w:t xml:space="preserve">Accounts receivable, net of allowance for doubtful accounts of </w:t>
            </w:r>
            <w:r>
              <w:rPr>
                <w:rFonts w:ascii="Arial" w:hAnsi="Arial"/>
                <w:b/>
                <w:color w:val="666666"/>
                <w:sz w:val="20"/>
              </w:rPr>
              <w:t>$1,040</w:t>
            </w:r>
            <w:r>
              <w:rPr>
                <w:rFonts w:ascii="Times New Roman" w:hAnsi="Times New Roman"/>
                <w:color w:val="666666"/>
                <w:sz w:val="20"/>
              </w:rPr>
              <w:t> </w:t>
            </w:r>
            <w:r>
              <w:rPr>
                <w:rFonts w:ascii="Arial" w:hAnsi="Arial"/>
                <w:color w:val="666666"/>
                <w:sz w:val="20"/>
              </w:rPr>
              <w:t>and $944</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80,876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69,905</w:t>
            </w:r>
          </w:p>
        </w:tc>
      </w:tr>
      <w:tr>
        <w:trPr/>
        <w:tc>
          <w:tcPr>
            <w:tcW w:w="700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Inventories</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1,397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938</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Other current assets</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48,594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25,723</w:t>
            </w:r>
          </w:p>
        </w:tc>
      </w:tr>
      <w:tr>
        <w:trPr/>
        <w:tc>
          <w:tcPr>
            <w:tcW w:w="7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7001"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current assets</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207,710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191,131</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666666"/>
                <w:sz w:val="20"/>
              </w:rPr>
              <w:t xml:space="preserve">Property and equipment, net of accumulated depreciation of </w:t>
            </w:r>
            <w:r>
              <w:rPr>
                <w:rFonts w:ascii="Arial" w:hAnsi="Arial"/>
                <w:b/>
                <w:color w:val="666666"/>
                <w:sz w:val="20"/>
              </w:rPr>
              <w:t xml:space="preserve">$118,691 </w:t>
            </w:r>
            <w:r>
              <w:rPr>
                <w:rFonts w:ascii="Arial" w:hAnsi="Arial"/>
                <w:color w:val="666666"/>
                <w:sz w:val="20"/>
              </w:rPr>
              <w:t>and $93,653</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313,076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204,966</w:t>
            </w:r>
          </w:p>
        </w:tc>
      </w:tr>
      <w:tr>
        <w:trPr/>
        <w:tc>
          <w:tcPr>
            <w:tcW w:w="700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Operating lease right-of-use assets</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24,177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24,823</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Equity and other investments</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36,348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15,405</w:t>
            </w:r>
          </w:p>
        </w:tc>
      </w:tr>
      <w:tr>
        <w:trPr/>
        <w:tc>
          <w:tcPr>
            <w:tcW w:w="700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Goodwill</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119,651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119,509</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Intangible assets, net</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18,609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22,604</w:t>
            </w:r>
          </w:p>
        </w:tc>
      </w:tr>
      <w:tr>
        <w:trPr/>
        <w:tc>
          <w:tcPr>
            <w:tcW w:w="700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Other long-term assets</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38,805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40,565</w:t>
            </w:r>
          </w:p>
        </w:tc>
      </w:tr>
      <w:tr>
        <w:trPr/>
        <w:tc>
          <w:tcPr>
            <w:tcW w:w="7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666666"/>
                <w:sz w:val="20"/>
              </w:rPr>
            </w:pPr>
            <w:r>
              <w:rPr>
                <w:rFonts w:ascii="Arial" w:hAnsi="Arial"/>
                <w:color w:val="666666"/>
                <w:sz w:val="20"/>
              </w:rPr>
              <w:t>Total assets</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$758,376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$619,003</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0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Liabilities and stockholders' equity</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Current liabilities:</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700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Accounts payable</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$42,416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$27,724</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Current portion of long-term debt</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2,999</w:t>
            </w:r>
          </w:p>
        </w:tc>
      </w:tr>
      <w:tr>
        <w:trPr/>
        <w:tc>
          <w:tcPr>
            <w:tcW w:w="700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Accrued compensation</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14,945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13,709</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Short-term income taxes</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7,211</w:t>
            </w:r>
          </w:p>
        </w:tc>
      </w:tr>
      <w:tr>
        <w:trPr/>
        <w:tc>
          <w:tcPr>
            <w:tcW w:w="700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Short-term unearned revenue</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72,965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64,555</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Other current liabilities</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26,738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25,020</w:t>
            </w:r>
          </w:p>
        </w:tc>
      </w:tr>
      <w:tr>
        <w:trPr/>
        <w:tc>
          <w:tcPr>
            <w:tcW w:w="7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7001"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current liabilities</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168,825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141,218</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Long-term debt</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31,067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40,152</w:t>
            </w:r>
          </w:p>
        </w:tc>
      </w:tr>
      <w:tr>
        <w:trPr/>
        <w:tc>
          <w:tcPr>
            <w:tcW w:w="700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Long-term income taxes</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28,647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25,986</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Long-term unearned revenue</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2,710</w:t>
            </w:r>
          </w:p>
        </w:tc>
      </w:tr>
      <w:tr>
        <w:trPr/>
        <w:tc>
          <w:tcPr>
            <w:tcW w:w="700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Deferred income taxes</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3,054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2,835</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Operating lease liabilities</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16,532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17,437</w:t>
            </w:r>
          </w:p>
        </w:tc>
      </w:tr>
      <w:tr>
        <w:trPr/>
        <w:tc>
          <w:tcPr>
            <w:tcW w:w="700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Other long-term liabilities</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65,117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45,186</w:t>
            </w:r>
          </w:p>
        </w:tc>
      </w:tr>
      <w:tr>
        <w:trPr/>
        <w:tc>
          <w:tcPr>
            <w:tcW w:w="7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righ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666666"/>
                <w:sz w:val="20"/>
              </w:rPr>
            </w:pPr>
            <w:r>
              <w:rPr>
                <w:rFonts w:ascii="Arial" w:hAnsi="Arial"/>
                <w:color w:val="666666"/>
                <w:sz w:val="20"/>
              </w:rPr>
              <w:t>Total liabilities</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315,989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275,524</w:t>
            </w:r>
          </w:p>
        </w:tc>
      </w:tr>
      <w:tr>
        <w:trPr/>
        <w:tc>
          <w:tcPr>
            <w:tcW w:w="7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0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Commitments and contingencies</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Stockholders' equity:</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700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666666"/>
                <w:sz w:val="20"/>
              </w:rPr>
              <w:t xml:space="preserve">Common stock and paid-in capital - shares authorized 24,000; outstanding </w:t>
            </w:r>
            <w:r>
              <w:rPr>
                <w:rFonts w:ascii="Arial" w:hAnsi="Arial"/>
                <w:b/>
                <w:color w:val="595959"/>
                <w:sz w:val="20"/>
              </w:rPr>
              <w:t>7,427</w:t>
            </w:r>
            <w:r>
              <w:rPr>
                <w:rFonts w:ascii="Times New Roman" w:hAnsi="Times New Roman"/>
                <w:color w:val="666666"/>
                <w:sz w:val="20"/>
              </w:rPr>
              <w:t> </w:t>
            </w:r>
            <w:r>
              <w:rPr>
                <w:rFonts w:ascii="Arial" w:hAnsi="Arial"/>
                <w:color w:val="666666"/>
                <w:sz w:val="20"/>
              </w:rPr>
              <w:t>and 7,434</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117,406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109,095</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Retained earnings</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328,265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237,731</w:t>
            </w:r>
          </w:p>
        </w:tc>
      </w:tr>
      <w:tr>
        <w:trPr/>
        <w:tc>
          <w:tcPr>
            <w:tcW w:w="700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Accumulated other comprehensive loss</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(3,284)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(3,347)</w:t>
            </w:r>
          </w:p>
        </w:tc>
      </w:tr>
      <w:tr>
        <w:trPr/>
        <w:tc>
          <w:tcPr>
            <w:tcW w:w="7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righ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stockholders' equity</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442,387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343,479</w:t>
            </w:r>
          </w:p>
        </w:tc>
      </w:tr>
      <w:tr>
        <w:trPr/>
        <w:tc>
          <w:tcPr>
            <w:tcW w:w="7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pPr>
            <w:r>
              <w:rPr/>
              <w:t> </w:t>
            </w:r>
          </w:p>
        </w:tc>
      </w:tr>
      <w:tr>
        <w:trPr/>
        <w:tc>
          <w:tcPr>
            <w:tcW w:w="7001" w:type="dxa"/>
            <w:tcBorders/>
            <w:shd w:fill="E5E5E5"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666666"/>
                <w:sz w:val="20"/>
              </w:rPr>
            </w:pPr>
            <w:r>
              <w:rPr>
                <w:rFonts w:ascii="Arial" w:hAnsi="Arial"/>
                <w:color w:val="666666"/>
                <w:sz w:val="20"/>
              </w:rPr>
              <w:t>Total liabilities and stockholders' equity</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c>
          <w:tcPr>
            <w:tcW w:w="90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$758,376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$619,003</w:t>
            </w:r>
          </w:p>
        </w:tc>
      </w:tr>
      <w:tr>
        <w:trPr/>
        <w:tc>
          <w:tcPr>
            <w:tcW w:w="7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666666"/>
          <w:sz w:val="20"/>
        </w:rPr>
      </w:pPr>
      <w:r>
        <w:rPr>
          <w:rFonts w:ascii="Arial" w:hAnsi="Arial"/>
          <w:color w:val="666666"/>
          <w:sz w:val="20"/>
        </w:rPr>
        <w:t>CASH FLOWS STATEMENTS</w:t>
      </w:r>
    </w:p>
    <w:p>
      <w:pPr>
        <w:pStyle w:val="TextBody"/>
        <w:bidi w:val="0"/>
        <w:spacing w:before="120" w:after="283"/>
        <w:jc w:val="center"/>
        <w:rPr>
          <w:rFonts w:ascii="Arial" w:hAnsi="Arial"/>
          <w:color w:val="666666"/>
          <w:sz w:val="20"/>
        </w:rPr>
      </w:pPr>
      <w:r>
        <w:rPr>
          <w:rFonts w:ascii="Arial" w:hAnsi="Arial"/>
          <w:color w:val="666666"/>
          <w:sz w:val="20"/>
        </w:rPr>
        <w:t>(In millions)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91"/>
        <w:gridCol w:w="146"/>
        <w:gridCol w:w="862"/>
        <w:gridCol w:w="156"/>
        <w:gridCol w:w="862"/>
        <w:gridCol w:w="146"/>
        <w:gridCol w:w="908"/>
        <w:gridCol w:w="146"/>
        <w:gridCol w:w="1388"/>
      </w:tblGrid>
      <w:tr>
        <w:trPr/>
        <w:tc>
          <w:tcPr>
            <w:tcW w:w="5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2"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Twelve Months Ended</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2"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June 30,</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r>
      <w:tr>
        <w:trPr/>
        <w:tc>
          <w:tcPr>
            <w:tcW w:w="5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Operations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$35,766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$27,233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$133,749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$101,832</w:t>
            </w:r>
          </w:p>
        </w:tc>
      </w:tr>
      <w:tr>
        <w:trPr/>
        <w:tc>
          <w:tcPr>
            <w:tcW w:w="55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Adjustments to reconcile net income to net cash from operations: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Depreciation, amortization,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11,022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9,317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38,534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29,433</w:t>
            </w:r>
          </w:p>
        </w:tc>
      </w:tr>
      <w:tr>
        <w:trPr/>
        <w:tc>
          <w:tcPr>
            <w:tcW w:w="559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Stock-based compensation expense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3,122</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3,073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12,405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11,974</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Net recognized losses (gains) on investments and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(3,743)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5,329</w:t>
            </w:r>
          </w:p>
        </w:tc>
      </w:tr>
      <w:tr>
        <w:trPr/>
        <w:tc>
          <w:tcPr>
            <w:tcW w:w="559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Deferred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4,650</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(2,221)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14,189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(7,056)</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5591"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Accounts receivable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(21,084)</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(16,179)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(12,737)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(10,581)</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309</w:t>
            </w:r>
          </w:p>
        </w:tc>
      </w:tr>
      <w:tr>
        <w:trPr/>
        <w:tc>
          <w:tcPr>
            <w:tcW w:w="5591"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Other current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(2,842)</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(3,686)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(2,627)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(3,044)</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(2,950)</w:t>
            </w:r>
          </w:p>
        </w:tc>
      </w:tr>
      <w:tr>
        <w:trPr/>
        <w:tc>
          <w:tcPr>
            <w:tcW w:w="5591"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Accounts payable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2,365</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(652)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5,268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569</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Unearned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22,428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18,361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5,438</w:t>
            </w:r>
          </w:p>
        </w:tc>
      </w:tr>
      <w:tr>
        <w:trPr/>
        <w:tc>
          <w:tcPr>
            <w:tcW w:w="5591"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(307)</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1,043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(1,875)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(38)</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7,013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5,922</w:t>
            </w:r>
          </w:p>
        </w:tc>
      </w:tr>
      <w:tr>
        <w:trPr/>
        <w:tc>
          <w:tcPr>
            <w:tcW w:w="5591"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Other long-term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(1,421)</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(1,267)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(4,707)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(975)</w:t>
            </w:r>
          </w:p>
        </w:tc>
      </w:tr>
      <w:tr>
        <w:trPr/>
        <w:tc>
          <w:tcPr>
            <w:tcW w:w="5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666666"/>
                <w:sz w:val="20"/>
              </w:rPr>
            </w:pPr>
            <w:r>
              <w:rPr>
                <w:rFonts w:ascii="Arial" w:hAnsi="Arial"/>
                <w:color w:val="666666"/>
                <w:sz w:val="20"/>
              </w:rPr>
              <w:t>Net cash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55,441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42,647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182,935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136,162</w:t>
            </w:r>
          </w:p>
        </w:tc>
      </w:tr>
      <w:tr>
        <w:trPr/>
        <w:tc>
          <w:tcPr>
            <w:tcW w:w="5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Financing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Repayments of debt, maturities of 90 days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(5,746)</w:t>
            </w:r>
          </w:p>
        </w:tc>
      </w:tr>
      <w:tr>
        <w:trPr/>
        <w:tc>
          <w:tcPr>
            <w:tcW w:w="55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Repayments of debt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(3,000)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(3,216)</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Common stock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2,056</w:t>
            </w:r>
          </w:p>
        </w:tc>
      </w:tr>
      <w:tr>
        <w:trPr/>
        <w:tc>
          <w:tcPr>
            <w:tcW w:w="55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Common stock repurchased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(4,579)</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(4,546)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(22,271)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(18,420)</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Common stock cash 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(6,758)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(26,445)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(24,082)</w:t>
            </w:r>
          </w:p>
        </w:tc>
      </w:tr>
      <w:tr>
        <w:trPr/>
        <w:tc>
          <w:tcPr>
            <w:tcW w:w="55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Other, net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(962)</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(677)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(2,839)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(2,291)</w:t>
            </w:r>
          </w:p>
        </w:tc>
      </w:tr>
      <w:tr>
        <w:trPr/>
        <w:tc>
          <w:tcPr>
            <w:tcW w:w="5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666666"/>
                <w:sz w:val="20"/>
              </w:rPr>
            </w:pPr>
            <w:r>
              <w:rPr>
                <w:rFonts w:ascii="Arial" w:hAnsi="Arial"/>
                <w:color w:val="666666"/>
                <w:sz w:val="20"/>
              </w:rPr>
              <w:t>Net cash used in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(11,779)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(10,844)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(52,546)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(51,699)</w:t>
            </w:r>
          </w:p>
        </w:tc>
      </w:tr>
      <w:tr>
        <w:trPr/>
        <w:tc>
          <w:tcPr>
            <w:tcW w:w="5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Investing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Additions to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(35,802)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(17,079)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(115,948)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(64,551)</w:t>
            </w:r>
          </w:p>
        </w:tc>
      </w:tr>
      <w:tr>
        <w:trPr/>
        <w:tc>
          <w:tcPr>
            <w:tcW w:w="55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Acquisition of companies, net of cash acquired and divestitures, and purchases of intangible and other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(452)</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(1,743)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(1,743)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(5,978)</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Purchases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(18,829)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(21,631)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(58,351)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(29,775)</w:t>
            </w:r>
          </w:p>
        </w:tc>
      </w:tr>
      <w:tr>
        <w:trPr/>
        <w:tc>
          <w:tcPr>
            <w:tcW w:w="55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Maturities of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4,181</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4,618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34,605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16,079</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Sales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6,487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21,798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9,309</w:t>
            </w:r>
          </w:p>
        </w:tc>
      </w:tr>
      <w:tr>
        <w:trPr/>
        <w:tc>
          <w:tcPr>
            <w:tcW w:w="55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Other, net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(10,416)</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2,642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(19,861)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2,317</w:t>
            </w:r>
          </w:p>
        </w:tc>
      </w:tr>
      <w:tr>
        <w:trPr/>
        <w:tc>
          <w:tcPr>
            <w:tcW w:w="5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666666"/>
                <w:sz w:val="20"/>
              </w:rPr>
            </w:pPr>
            <w:r>
              <w:rPr>
                <w:rFonts w:ascii="Arial" w:hAnsi="Arial"/>
                <w:color w:val="666666"/>
                <w:sz w:val="20"/>
              </w:rPr>
              <w:t>Net cash used in investing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(54,831)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(30,572)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(139,500)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(72,599)</w:t>
            </w:r>
          </w:p>
        </w:tc>
      </w:tr>
      <w:tr>
        <w:trPr/>
        <w:tc>
          <w:tcPr>
            <w:tcW w:w="5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Effect of foreign exchange rates on cash and cash equivalents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183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(196)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63</w:t>
            </w:r>
          </w:p>
        </w:tc>
      </w:tr>
      <w:tr>
        <w:trPr/>
        <w:tc>
          <w:tcPr>
            <w:tcW w:w="5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(11,170)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11,927</w:t>
            </w:r>
          </w:p>
        </w:tc>
      </w:tr>
      <w:tr>
        <w:trPr/>
        <w:tc>
          <w:tcPr>
            <w:tcW w:w="55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Cash and cash equivalents,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32,105</w:t>
            </w:r>
          </w:p>
        </w:tc>
        <w:tc>
          <w:tcPr>
            <w:tcW w:w="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28,828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30,242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18,315</w:t>
            </w:r>
          </w:p>
        </w:tc>
      </w:tr>
      <w:tr>
        <w:trPr/>
        <w:tc>
          <w:tcPr>
            <w:tcW w:w="5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$20,935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$30,242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$30,242</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Arial" w:hAnsi="Arial"/>
          <w:color w:val="666666"/>
          <w:sz w:val="20"/>
        </w:rPr>
      </w:pPr>
      <w:r>
        <w:rPr>
          <w:rFonts w:ascii="Arial" w:hAnsi="Arial"/>
          <w:color w:val="666666"/>
          <w:sz w:val="20"/>
        </w:rPr>
        <w:t>We have recast certain prior period amounts to conform to the current period presentation.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666666"/>
          <w:sz w:val="20"/>
        </w:rPr>
      </w:pPr>
      <w:r>
        <w:rPr>
          <w:rFonts w:ascii="Arial" w:hAnsi="Arial"/>
          <w:color w:val="666666"/>
          <w:sz w:val="20"/>
        </w:rPr>
        <w:t>SEGMENT RESULTS</w:t>
      </w:r>
    </w:p>
    <w:p>
      <w:pPr>
        <w:pStyle w:val="TextBody"/>
        <w:bidi w:val="0"/>
        <w:spacing w:before="120" w:after="240"/>
        <w:jc w:val="center"/>
        <w:rPr>
          <w:rFonts w:ascii="Arial" w:hAnsi="Arial"/>
          <w:color w:val="666666"/>
          <w:sz w:val="20"/>
        </w:rPr>
      </w:pPr>
      <w:r>
        <w:rPr>
          <w:rFonts w:ascii="Arial" w:hAnsi="Arial"/>
          <w:color w:val="666666"/>
          <w:sz w:val="20"/>
        </w:rPr>
        <w:t>(In millions) (Unaudited)</w:t>
      </w:r>
    </w:p>
    <w:tbl>
      <w:tblPr>
        <w:tblW w:w="8122" w:type="dxa"/>
        <w:jc w:val="left"/>
        <w:tblInd w:w="0" w:type="dxa"/>
        <w:tblLayout w:type="fixed"/>
        <w:tblCellMar>
          <w:top w:w="28" w:type="dxa"/>
          <w:left w:w="28" w:type="dxa"/>
          <w:bottom w:w="28" w:type="dxa"/>
          <w:right w:w="28" w:type="dxa"/>
        </w:tblCellMar>
      </w:tblPr>
      <w:tblGrid>
        <w:gridCol w:w="3586"/>
        <w:gridCol w:w="146"/>
        <w:gridCol w:w="934"/>
        <w:gridCol w:w="171"/>
        <w:gridCol w:w="934"/>
        <w:gridCol w:w="146"/>
        <w:gridCol w:w="997"/>
        <w:gridCol w:w="161"/>
        <w:gridCol w:w="1047"/>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Twelve Months Ended</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June,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June 30,</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Productivity and Business Processes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$37,847</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$33,112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$139,996</w:t>
            </w:r>
          </w:p>
        </w:tc>
        <w:tc>
          <w:tcPr>
            <w:tcW w:w="1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$120,810</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6,989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25,017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22,422</w:t>
            </w:r>
          </w:p>
        </w:tc>
      </w:tr>
      <w:tr>
        <w:trPr/>
        <w:tc>
          <w:tcPr>
            <w:tcW w:w="358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8,958</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8,077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31,100</w:t>
            </w:r>
          </w:p>
        </w:tc>
        <w:tc>
          <w:tcPr>
            <w:tcW w:w="1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28,615</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$21,900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$18,993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$83,879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Arial" w:hAnsi="Arial"/>
                <w:color w:val="666666"/>
                <w:sz w:val="20"/>
              </w:rPr>
            </w:pPr>
            <w:r>
              <w:rPr>
                <w:rFonts w:ascii="Arial" w:hAnsi="Arial"/>
                <w:color w:val="666666"/>
                <w:sz w:val="20"/>
              </w:rPr>
              <w:t>$69,773</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Intelligent Cloud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$39,306</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$29,878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$137,791</w:t>
            </w:r>
          </w:p>
        </w:tc>
        <w:tc>
          <w:tcPr>
            <w:tcW w:w="1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$106,265</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16,876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11,845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57,876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40,171</w:t>
            </w:r>
          </w:p>
        </w:tc>
      </w:tr>
      <w:tr>
        <w:trPr/>
        <w:tc>
          <w:tcPr>
            <w:tcW w:w="358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6,475</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5,893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22,943</w:t>
            </w:r>
          </w:p>
        </w:tc>
        <w:tc>
          <w:tcPr>
            <w:tcW w:w="1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21,505</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$15,955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$12,140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$56,972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Arial" w:hAnsi="Arial"/>
                <w:color w:val="666666"/>
                <w:sz w:val="20"/>
              </w:rPr>
            </w:pPr>
            <w:r>
              <w:rPr>
                <w:rFonts w:ascii="Arial" w:hAnsi="Arial"/>
                <w:color w:val="666666"/>
                <w:sz w:val="20"/>
              </w:rPr>
              <w:t>$44,589</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More Personal Computing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$12,854</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$13,451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$54,052</w:t>
            </w:r>
          </w:p>
        </w:tc>
        <w:tc>
          <w:tcPr>
            <w:tcW w:w="1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$54,649</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5,660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23,481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25,238</w:t>
            </w:r>
          </w:p>
        </w:tc>
      </w:tr>
      <w:tr>
        <w:trPr/>
        <w:tc>
          <w:tcPr>
            <w:tcW w:w="358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4,446</w:t>
            </w:r>
          </w:p>
        </w:tc>
        <w:tc>
          <w:tcPr>
            <w:tcW w:w="1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4,134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16,185</w:t>
            </w:r>
          </w:p>
        </w:tc>
        <w:tc>
          <w:tcPr>
            <w:tcW w:w="1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15,245</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$2,748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$14,386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$14,166</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E7E6E6"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Revenue</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7E6E6"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$90,007</w:t>
            </w:r>
          </w:p>
        </w:tc>
        <w:tc>
          <w:tcPr>
            <w:tcW w:w="171"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7E6E6"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$76,441</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E7E6E6"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$331,839</w:t>
            </w:r>
          </w:p>
        </w:tc>
        <w:tc>
          <w:tcPr>
            <w:tcW w:w="161"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E7E6E6"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$281,724</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29,525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24,014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106,374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87,831</w:t>
            </w:r>
          </w:p>
        </w:tc>
      </w:tr>
      <w:tr>
        <w:trPr/>
        <w:tc>
          <w:tcPr>
            <w:tcW w:w="3586" w:type="dxa"/>
            <w:tcBorders/>
            <w:shd w:fill="E7E6E6"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Operating expenses</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7E6E6"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19,879</w:t>
            </w:r>
          </w:p>
        </w:tc>
        <w:tc>
          <w:tcPr>
            <w:tcW w:w="171"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E7E6E6"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18,104</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E7E6E6"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70,228</w:t>
            </w:r>
          </w:p>
        </w:tc>
        <w:tc>
          <w:tcPr>
            <w:tcW w:w="161"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E7E6E6"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65,365</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$40,603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$34,323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$155,237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$128,528</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3871</Words>
  <Characters>22482</Characters>
  <CharactersWithSpaces>26792</CharactersWithSpaces>
  <Paragraphs>2396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