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722630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2659380</wp:posOffset>
            </wp:positionH>
            <wp:positionV relativeFrom="paragraph">
              <wp:posOffset>66040</wp:posOffset>
            </wp:positionV>
            <wp:extent cx="1823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2659380</wp:posOffset>
            </wp:positionH>
            <wp:positionV relativeFrom="paragraph">
              <wp:posOffset>83820</wp:posOffset>
            </wp:positionV>
            <wp:extent cx="18237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line="201" w:lineRule="exact"/>
        <w:rPr>
          <w:sz w:val="24"/>
          <w:szCs w:val="24"/>
          <w:color w:val="auto"/>
        </w:rPr>
      </w:pPr>
    </w:p>
    <w:p>
      <w:pPr>
        <w:ind w:left="540" w:hanging="519"/>
        <w:spacing w:after="0"/>
        <w:tabs>
          <w:tab w:leader="none" w:pos="54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51" w:lineRule="exact"/>
        <w:rPr>
          <w:sz w:val="24"/>
          <w:szCs w:val="24"/>
          <w:color w:val="auto"/>
        </w:rPr>
      </w:pPr>
    </w:p>
    <w:p>
      <w:pPr>
        <w:ind w:left="540"/>
        <w:spacing w:after="0"/>
        <w:rPr>
          <w:sz w:val="20"/>
          <w:szCs w:val="20"/>
          <w:color w:val="auto"/>
        </w:rPr>
      </w:pPr>
      <w:r>
        <w:rPr>
          <w:rFonts w:ascii="Arial" w:cs="Arial" w:eastAsia="Arial" w:hAnsi="Arial"/>
          <w:sz w:val="14"/>
          <w:szCs w:val="14"/>
          <w:b w:val="1"/>
          <w:bCs w:val="1"/>
          <w:color w:val="auto"/>
        </w:rPr>
        <w:t>For the Quarterly Period Ended September 30, 2024</w:t>
      </w:r>
    </w:p>
    <w:p>
      <w:pPr>
        <w:spacing w:after="0" w:line="126" w:lineRule="exact"/>
        <w:rPr>
          <w:sz w:val="24"/>
          <w:szCs w:val="24"/>
          <w:color w:val="auto"/>
        </w:rPr>
      </w:pPr>
    </w:p>
    <w:p>
      <w:pPr>
        <w:jc w:val="center"/>
        <w:ind w:left="500"/>
        <w:spacing w:after="0"/>
        <w:rPr>
          <w:sz w:val="20"/>
          <w:szCs w:val="20"/>
          <w:color w:val="auto"/>
        </w:rPr>
      </w:pPr>
      <w:r>
        <w:rPr>
          <w:rFonts w:ascii="Arial" w:cs="Arial" w:eastAsia="Arial" w:hAnsi="Arial"/>
          <w:sz w:val="18"/>
          <w:szCs w:val="18"/>
          <w:b w:val="1"/>
          <w:bCs w:val="1"/>
          <w:color w:val="auto"/>
        </w:rPr>
        <w:t>OR</w:t>
      </w:r>
    </w:p>
    <w:p>
      <w:pPr>
        <w:spacing w:after="0" w:line="130" w:lineRule="exact"/>
        <w:rPr>
          <w:sz w:val="24"/>
          <w:szCs w:val="24"/>
          <w:color w:val="auto"/>
        </w:rPr>
      </w:pPr>
    </w:p>
    <w:p>
      <w:pPr>
        <w:ind w:left="540" w:hanging="519"/>
        <w:spacing w:after="0"/>
        <w:tabs>
          <w:tab w:leader="none" w:pos="54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51" w:lineRule="exact"/>
        <w:rPr>
          <w:sz w:val="24"/>
          <w:szCs w:val="24"/>
          <w:color w:val="auto"/>
        </w:rPr>
      </w:pPr>
    </w:p>
    <w:p>
      <w:pPr>
        <w:ind w:left="540"/>
        <w:spacing w:after="0"/>
        <w:tabs>
          <w:tab w:leader="none" w:pos="33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2659380</wp:posOffset>
            </wp:positionH>
            <wp:positionV relativeFrom="paragraph">
              <wp:posOffset>77470</wp:posOffset>
            </wp:positionV>
            <wp:extent cx="18237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2659380</wp:posOffset>
            </wp:positionH>
            <wp:positionV relativeFrom="paragraph">
              <wp:posOffset>90170</wp:posOffset>
            </wp:positionV>
            <wp:extent cx="1823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ectPr>
          <w:pgSz w:w="11900" w:h="16838" w:orient="portrait"/>
          <w:cols w:equalWidth="0" w:num="1">
            <w:col w:w="11240"/>
          </w:cols>
          <w:pgMar w:left="320" w:top="1177" w:right="339" w:bottom="1440" w:gutter="0" w:footer="0" w:header="0"/>
        </w:sectPr>
      </w:pPr>
    </w:p>
    <w:p>
      <w:pPr>
        <w:spacing w:after="0" w:line="231" w:lineRule="exact"/>
        <w:rPr>
          <w:sz w:val="24"/>
          <w:szCs w:val="24"/>
          <w:color w:val="auto"/>
        </w:rPr>
      </w:pPr>
    </w:p>
    <w:p>
      <w:pPr>
        <w:ind w:left="2240"/>
        <w:spacing w:after="0"/>
        <w:rPr>
          <w:sz w:val="20"/>
          <w:szCs w:val="20"/>
          <w:color w:val="auto"/>
        </w:rPr>
      </w:pPr>
      <w:r>
        <w:rPr>
          <w:rFonts w:ascii="Arial" w:cs="Arial" w:eastAsia="Arial" w:hAnsi="Arial"/>
          <w:sz w:val="15"/>
          <w:szCs w:val="15"/>
          <w:b w:val="1"/>
          <w:bCs w:val="1"/>
          <w:color w:val="auto"/>
        </w:rPr>
        <w:t>WASHINGTON</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91-1144442</w:t>
      </w:r>
    </w:p>
    <w:p>
      <w:pPr>
        <w:spacing w:after="0" w:line="38" w:lineRule="exact"/>
        <w:rPr>
          <w:sz w:val="24"/>
          <w:szCs w:val="24"/>
          <w:color w:val="auto"/>
        </w:rPr>
      </w:pPr>
    </w:p>
    <w:p>
      <w:pPr>
        <w:sectPr>
          <w:pgSz w:w="11900" w:h="16838" w:orient="portrait"/>
          <w:cols w:equalWidth="0" w:num="2">
            <w:col w:w="7360" w:space="720"/>
            <w:col w:w="3160"/>
          </w:cols>
          <w:pgMar w:left="320" w:top="1177" w:right="339" w:bottom="1440" w:gutter="0" w:footer="0" w:header="0"/>
          <w:type w:val="continuous"/>
        </w:sectPr>
      </w:pPr>
    </w:p>
    <w:p>
      <w:pPr>
        <w:ind w:left="182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ID)</w:t>
      </w:r>
    </w:p>
    <w:p>
      <w:pPr>
        <w:spacing w:after="0" w:line="72" w:lineRule="exact"/>
        <w:rPr>
          <w:sz w:val="24"/>
          <w:szCs w:val="24"/>
          <w:color w:val="auto"/>
        </w:rPr>
      </w:pPr>
    </w:p>
    <w:p>
      <w:pPr>
        <w:sectPr>
          <w:pgSz w:w="11900" w:h="16838" w:orient="portrait"/>
          <w:cols w:equalWidth="0" w:num="2">
            <w:col w:w="7460" w:space="720"/>
            <w:col w:w="3060"/>
          </w:cols>
          <w:pgMar w:left="320" w:top="1177" w:right="3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ONE MICROSOFT WAY, REDMOND, WASHINGTON 98052-6399</w:t>
      </w:r>
    </w:p>
    <w:p>
      <w:pPr>
        <w:ind w:left="5500" w:hanging="398"/>
        <w:spacing w:after="0" w:line="232" w:lineRule="auto"/>
        <w:tabs>
          <w:tab w:leader="none" w:pos="550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882-8080</w:t>
      </w:r>
    </w:p>
    <w:p>
      <w:pPr>
        <w:ind w:left="4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www.microsoft.com/investor</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200"/>
        </w:trPr>
        <w:tc>
          <w:tcPr>
            <w:tcW w:w="4480" w:type="dxa"/>
            <w:vAlign w:val="bottom"/>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236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97"/>
        </w:trPr>
        <w:tc>
          <w:tcPr>
            <w:tcW w:w="4480" w:type="dxa"/>
            <w:vAlign w:val="bottom"/>
          </w:tcPr>
          <w:p>
            <w:pPr>
              <w:spacing w:after="0"/>
              <w:rPr>
                <w:sz w:val="20"/>
                <w:szCs w:val="20"/>
                <w:color w:val="auto"/>
              </w:rPr>
            </w:pPr>
            <w:r>
              <w:rPr>
                <w:rFonts w:ascii="Arial" w:cs="Arial" w:eastAsia="Arial" w:hAnsi="Arial"/>
                <w:sz w:val="15"/>
                <w:szCs w:val="15"/>
                <w:color w:val="auto"/>
              </w:rPr>
              <w:t>Title of each class</w:t>
            </w:r>
          </w:p>
        </w:tc>
        <w:tc>
          <w:tcPr>
            <w:tcW w:w="2360" w:type="dxa"/>
            <w:vAlign w:val="bottom"/>
          </w:tcPr>
          <w:p>
            <w:pPr>
              <w:jc w:val="center"/>
              <w:ind w:right="24"/>
              <w:spacing w:after="0"/>
              <w:rPr>
                <w:sz w:val="20"/>
                <w:szCs w:val="20"/>
                <w:color w:val="auto"/>
              </w:rPr>
            </w:pPr>
            <w:r>
              <w:rPr>
                <w:rFonts w:ascii="Arial" w:cs="Arial" w:eastAsia="Arial" w:hAnsi="Arial"/>
                <w:sz w:val="15"/>
                <w:szCs w:val="15"/>
                <w:color w:val="auto"/>
              </w:rPr>
              <w:t>Trading Symbol</w:t>
            </w:r>
          </w:p>
        </w:tc>
        <w:tc>
          <w:tcPr>
            <w:tcW w:w="3360" w:type="dxa"/>
            <w:vAlign w:val="bottom"/>
          </w:tcPr>
          <w:p>
            <w:pPr>
              <w:jc w:val="center"/>
              <w:ind w:left="624"/>
              <w:spacing w:after="0"/>
              <w:rPr>
                <w:sz w:val="20"/>
                <w:szCs w:val="20"/>
                <w:color w:val="auto"/>
              </w:rPr>
            </w:pPr>
            <w:r>
              <w:rPr>
                <w:rFonts w:ascii="Arial" w:cs="Arial" w:eastAsia="Arial" w:hAnsi="Arial"/>
                <w:sz w:val="15"/>
                <w:szCs w:val="15"/>
                <w:color w:val="auto"/>
              </w:rPr>
              <w:t>Name of exchange on which registered</w:t>
            </w:r>
          </w:p>
        </w:tc>
      </w:tr>
      <w:tr>
        <w:trPr>
          <w:trHeight w:val="243"/>
        </w:trPr>
        <w:tc>
          <w:tcPr>
            <w:tcW w:w="4480" w:type="dxa"/>
            <w:vAlign w:val="bottom"/>
          </w:tcPr>
          <w:p>
            <w:pPr>
              <w:spacing w:after="0"/>
              <w:rPr>
                <w:sz w:val="20"/>
                <w:szCs w:val="20"/>
                <w:color w:val="auto"/>
              </w:rPr>
            </w:pPr>
            <w:r>
              <w:rPr>
                <w:rFonts w:ascii="Arial" w:cs="Arial" w:eastAsia="Arial" w:hAnsi="Arial"/>
                <w:sz w:val="15"/>
                <w:szCs w:val="15"/>
                <w:b w:val="1"/>
                <w:bCs w:val="1"/>
                <w:color w:val="auto"/>
              </w:rPr>
              <w:t>Common stock, $0.00000625 par value per share</w:t>
            </w:r>
          </w:p>
        </w:tc>
        <w:tc>
          <w:tcPr>
            <w:tcW w:w="2360" w:type="dxa"/>
            <w:vAlign w:val="bottom"/>
          </w:tcPr>
          <w:p>
            <w:pPr>
              <w:jc w:val="center"/>
              <w:ind w:right="24"/>
              <w:spacing w:after="0"/>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624"/>
              <w:spacing w:after="0"/>
              <w:rPr>
                <w:sz w:val="20"/>
                <w:szCs w:val="20"/>
                <w:color w:val="auto"/>
              </w:rPr>
            </w:pPr>
            <w:r>
              <w:rPr>
                <w:rFonts w:ascii="Arial" w:cs="Arial" w:eastAsia="Arial" w:hAnsi="Arial"/>
                <w:sz w:val="15"/>
                <w:szCs w:val="15"/>
                <w:b w:val="1"/>
                <w:bCs w:val="1"/>
                <w:color w:val="auto"/>
              </w:rPr>
              <w:t>NASDAQ</w:t>
            </w:r>
          </w:p>
        </w:tc>
      </w:tr>
      <w:tr>
        <w:trPr>
          <w:trHeight w:val="189"/>
        </w:trPr>
        <w:tc>
          <w:tcPr>
            <w:tcW w:w="4480" w:type="dxa"/>
            <w:vAlign w:val="bottom"/>
          </w:tcPr>
          <w:p>
            <w:pPr>
              <w:spacing w:after="0"/>
              <w:rPr>
                <w:sz w:val="20"/>
                <w:szCs w:val="20"/>
                <w:color w:val="auto"/>
              </w:rPr>
            </w:pPr>
            <w:r>
              <w:rPr>
                <w:rFonts w:ascii="Arial" w:cs="Arial" w:eastAsia="Arial" w:hAnsi="Arial"/>
                <w:sz w:val="15"/>
                <w:szCs w:val="15"/>
                <w:b w:val="1"/>
                <w:bCs w:val="1"/>
                <w:color w:val="auto"/>
              </w:rPr>
              <w:t>3.125% Notes due 2028</w:t>
            </w:r>
          </w:p>
        </w:tc>
        <w:tc>
          <w:tcPr>
            <w:tcW w:w="2360" w:type="dxa"/>
            <w:vAlign w:val="bottom"/>
          </w:tcPr>
          <w:p>
            <w:pPr>
              <w:jc w:val="center"/>
              <w:ind w:right="24"/>
              <w:spacing w:after="0"/>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624"/>
              <w:spacing w:after="0"/>
              <w:rPr>
                <w:sz w:val="20"/>
                <w:szCs w:val="20"/>
                <w:color w:val="auto"/>
              </w:rPr>
            </w:pPr>
            <w:r>
              <w:rPr>
                <w:rFonts w:ascii="Arial" w:cs="Arial" w:eastAsia="Arial" w:hAnsi="Arial"/>
                <w:sz w:val="15"/>
                <w:szCs w:val="15"/>
                <w:b w:val="1"/>
                <w:bCs w:val="1"/>
                <w:color w:val="auto"/>
              </w:rPr>
              <w:t>NASDAQ</w:t>
            </w:r>
          </w:p>
        </w:tc>
      </w:tr>
      <w:tr>
        <w:trPr>
          <w:trHeight w:val="210"/>
        </w:trPr>
        <w:tc>
          <w:tcPr>
            <w:tcW w:w="4480" w:type="dxa"/>
            <w:vAlign w:val="bottom"/>
          </w:tcPr>
          <w:p>
            <w:pPr>
              <w:spacing w:after="0"/>
              <w:rPr>
                <w:sz w:val="20"/>
                <w:szCs w:val="20"/>
                <w:color w:val="auto"/>
              </w:rPr>
            </w:pPr>
            <w:r>
              <w:rPr>
                <w:rFonts w:ascii="Arial" w:cs="Arial" w:eastAsia="Arial" w:hAnsi="Arial"/>
                <w:sz w:val="15"/>
                <w:szCs w:val="15"/>
                <w:b w:val="1"/>
                <w:bCs w:val="1"/>
                <w:color w:val="auto"/>
              </w:rPr>
              <w:t>2.625% Notes due 2033</w:t>
            </w:r>
          </w:p>
        </w:tc>
        <w:tc>
          <w:tcPr>
            <w:tcW w:w="2360" w:type="dxa"/>
            <w:vAlign w:val="bottom"/>
          </w:tcPr>
          <w:p>
            <w:pPr>
              <w:jc w:val="center"/>
              <w:ind w:right="24"/>
              <w:spacing w:after="0"/>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624"/>
              <w:spacing w:after="0"/>
              <w:rPr>
                <w:sz w:val="20"/>
                <w:szCs w:val="20"/>
                <w:color w:val="auto"/>
              </w:rPr>
            </w:pPr>
            <w:r>
              <w:rPr>
                <w:rFonts w:ascii="Arial" w:cs="Arial" w:eastAsia="Arial" w:hAnsi="Arial"/>
                <w:sz w:val="15"/>
                <w:szCs w:val="15"/>
                <w:b w:val="1"/>
                <w:bCs w:val="1"/>
                <w:color w:val="auto"/>
              </w:rPr>
              <w:t>NASDAQ</w:t>
            </w:r>
          </w:p>
        </w:tc>
      </w:tr>
    </w:tbl>
    <w:p>
      <w:pPr>
        <w:spacing w:after="0" w:line="48" w:lineRule="exact"/>
        <w:rPr>
          <w:sz w:val="24"/>
          <w:szCs w:val="24"/>
          <w:color w:val="auto"/>
        </w:rPr>
      </w:pPr>
    </w:p>
    <w:p>
      <w:pPr>
        <w:jc w:val="both"/>
        <w:spacing w:after="0" w:line="241"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73" w:lineRule="exact"/>
        <w:tabs>
          <w:tab w:leader="none" w:pos="740" w:val="left"/>
          <w:tab w:leader="none" w:pos="1380" w:val="left"/>
        </w:tabs>
        <w:rPr>
          <w:sz w:val="20"/>
          <w:szCs w:val="20"/>
          <w:color w:val="auto"/>
        </w:rPr>
      </w:pPr>
      <w:r>
        <w:rPr>
          <w:rFonts w:ascii="Arial" w:cs="Arial" w:eastAsia="Arial" w:hAnsi="Arial"/>
          <w:sz w:val="15"/>
          <w:szCs w:val="15"/>
          <w:color w:val="auto"/>
        </w:rPr>
        <w:t>90 days.</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60" w:lineRule="exact"/>
        <w:rPr>
          <w:sz w:val="24"/>
          <w:szCs w:val="24"/>
          <w:color w:val="auto"/>
        </w:rPr>
      </w:pPr>
    </w:p>
    <w:p>
      <w:pPr>
        <w:jc w:val="both"/>
        <w:spacing w:after="0" w:line="19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1" w:lineRule="exact"/>
        <w:rPr>
          <w:sz w:val="24"/>
          <w:szCs w:val="24"/>
          <w:color w:val="auto"/>
        </w:rPr>
      </w:pPr>
    </w:p>
    <w:p>
      <w:pPr>
        <w:jc w:val="both"/>
        <w:spacing w:after="0" w:line="244"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77" w:right="339" w:bottom="1440" w:gutter="0" w:footer="0" w:header="0"/>
          <w:type w:val="continuous"/>
        </w:sectPr>
      </w:pPr>
    </w:p>
    <w:p>
      <w:pPr>
        <w:spacing w:after="0" w:line="32" w:lineRule="exact"/>
        <w:rPr>
          <w:sz w:val="24"/>
          <w:szCs w:val="24"/>
          <w:color w:val="auto"/>
        </w:rPr>
      </w:pPr>
    </w:p>
    <w:p>
      <w:pPr>
        <w:ind w:left="2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85" w:lineRule="exact"/>
        <w:rPr>
          <w:sz w:val="24"/>
          <w:szCs w:val="24"/>
          <w:color w:val="auto"/>
        </w:rPr>
      </w:pPr>
    </w:p>
    <w:p>
      <w:pPr>
        <w:sectPr>
          <w:pgSz w:w="11900" w:h="16838" w:orient="portrait"/>
          <w:cols w:equalWidth="0" w:num="2">
            <w:col w:w="7640" w:space="720"/>
            <w:col w:w="2880"/>
          </w:cols>
          <w:pgMar w:left="320" w:top="1177" w:right="339" w:bottom="1440" w:gutter="0" w:footer="0" w:header="0"/>
          <w:type w:val="continuous"/>
        </w:sectPr>
      </w:pPr>
    </w:p>
    <w:p>
      <w:pPr>
        <w:ind w:left="2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4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91" w:lineRule="exact"/>
        <w:rPr>
          <w:sz w:val="24"/>
          <w:szCs w:val="24"/>
          <w:color w:val="auto"/>
        </w:rPr>
      </w:pPr>
    </w:p>
    <w:p>
      <w:pPr>
        <w:sectPr>
          <w:pgSz w:w="11900" w:h="16838" w:orient="portrait"/>
          <w:cols w:equalWidth="0" w:num="2">
            <w:col w:w="7640" w:space="720"/>
            <w:col w:w="2880"/>
          </w:cols>
          <w:pgMar w:left="320" w:top="1177" w:right="339" w:bottom="1440" w:gutter="0" w:footer="0" w:header="0"/>
          <w:type w:val="continuous"/>
        </w:sectPr>
      </w:pPr>
    </w:p>
    <w:p>
      <w:pPr>
        <w:spacing w:after="0" w:line="19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3" w:lineRule="exact"/>
        <w:rPr>
          <w:sz w:val="24"/>
          <w:szCs w:val="24"/>
          <w:color w:val="auto"/>
        </w:rPr>
      </w:pPr>
    </w:p>
    <w:p>
      <w:pPr>
        <w:ind w:right="2380"/>
        <w:spacing w:after="0" w:line="239"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the number of shares outstanding of each of the issuer’s classes of common stock, as of the latest practicable date.</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ind w:left="20"/>
              <w:spacing w:after="0"/>
              <w:rPr>
                <w:sz w:val="20"/>
                <w:szCs w:val="20"/>
                <w:color w:val="auto"/>
              </w:rPr>
            </w:pPr>
            <w:r>
              <w:rPr>
                <w:rFonts w:ascii="Arial" w:cs="Arial" w:eastAsia="Arial" w:hAnsi="Arial"/>
                <w:sz w:val="13"/>
                <w:szCs w:val="13"/>
                <w:b w:val="1"/>
                <w:bCs w:val="1"/>
                <w:color w:val="auto"/>
              </w:rPr>
              <w:t>Class</w:t>
            </w:r>
          </w:p>
        </w:tc>
        <w:tc>
          <w:tcPr>
            <w:tcW w:w="5160" w:type="dxa"/>
            <w:vAlign w:val="bottom"/>
          </w:tcPr>
          <w:p>
            <w:pPr>
              <w:jc w:val="right"/>
              <w:ind w:right="148"/>
              <w:spacing w:after="0"/>
              <w:rPr>
                <w:sz w:val="20"/>
                <w:szCs w:val="20"/>
                <w:color w:val="auto"/>
              </w:rPr>
            </w:pPr>
            <w:r>
              <w:rPr>
                <w:rFonts w:ascii="Arial" w:cs="Arial" w:eastAsia="Arial" w:hAnsi="Arial"/>
                <w:sz w:val="13"/>
                <w:szCs w:val="13"/>
                <w:b w:val="1"/>
                <w:bCs w:val="1"/>
                <w:color w:val="auto"/>
              </w:rPr>
              <w:t>Outstanding as of October 24, 2024</w:t>
            </w:r>
          </w:p>
        </w:tc>
      </w:tr>
      <w:tr>
        <w:trPr>
          <w:trHeight w:val="58"/>
        </w:trPr>
        <w:tc>
          <w:tcPr>
            <w:tcW w:w="6080" w:type="dxa"/>
            <w:vAlign w:val="bottom"/>
            <w:tcBorders>
              <w:bottom w:val="single" w:sz="8" w:color="auto"/>
            </w:tcBorders>
          </w:tcPr>
          <w:p>
            <w:pPr>
              <w:spacing w:after="0"/>
              <w:rPr>
                <w:sz w:val="5"/>
                <w:szCs w:val="5"/>
                <w:color w:val="auto"/>
              </w:rPr>
            </w:pPr>
          </w:p>
        </w:tc>
        <w:tc>
          <w:tcPr>
            <w:tcW w:w="5160" w:type="dxa"/>
            <w:vAlign w:val="bottom"/>
            <w:tcBorders>
              <w:bottom w:val="single" w:sz="8" w:color="auto"/>
            </w:tcBorders>
          </w:tcPr>
          <w:p>
            <w:pPr>
              <w:spacing w:after="0"/>
              <w:rPr>
                <w:sz w:val="5"/>
                <w:szCs w:val="5"/>
                <w:color w:val="auto"/>
              </w:rPr>
            </w:pPr>
          </w:p>
        </w:tc>
      </w:tr>
      <w:tr>
        <w:trPr>
          <w:trHeight w:val="250"/>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Common Stock, $0.00000625 par value per share</w:t>
            </w:r>
          </w:p>
        </w:tc>
        <w:tc>
          <w:tcPr>
            <w:tcW w:w="5160" w:type="dxa"/>
            <w:vAlign w:val="bottom"/>
            <w:tcBorders>
              <w:bottom w:val="single" w:sz="8" w:color="auto"/>
            </w:tcBorders>
          </w:tcPr>
          <w:p>
            <w:pPr>
              <w:jc w:val="right"/>
              <w:ind w:right="148"/>
              <w:spacing w:after="0"/>
              <w:rPr>
                <w:sz w:val="20"/>
                <w:szCs w:val="20"/>
                <w:color w:val="auto"/>
              </w:rPr>
            </w:pPr>
            <w:r>
              <w:rPr>
                <w:rFonts w:ascii="Arial" w:cs="Arial" w:eastAsia="Arial" w:hAnsi="Arial"/>
                <w:sz w:val="15"/>
                <w:szCs w:val="15"/>
                <w:color w:val="auto"/>
              </w:rPr>
              <w:t>7,434,880,776 shares</w:t>
            </w:r>
          </w:p>
        </w:tc>
      </w:tr>
      <w:tr>
        <w:trPr>
          <w:trHeight w:val="1201"/>
        </w:trPr>
        <w:tc>
          <w:tcPr>
            <w:tcW w:w="608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7" w:right="3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MICROSOFT CORPORATION</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2024</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2280" w:type="dxa"/>
            <w:vAlign w:val="bottom"/>
            <w:gridSpan w:val="7"/>
            <w:vMerge w:val="restart"/>
          </w:tcPr>
          <w:p>
            <w:pPr>
              <w:spacing w:after="0"/>
              <w:rPr>
                <w:sz w:val="20"/>
                <w:szCs w:val="20"/>
                <w:color w:val="auto"/>
              </w:rPr>
            </w:pPr>
            <w:r>
              <w:rPr>
                <w:rFonts w:ascii="Arial" w:cs="Arial" w:eastAsia="Arial" w:hAnsi="Arial"/>
                <w:sz w:val="18"/>
                <w:szCs w:val="18"/>
                <w:b w:val="1"/>
                <w:bCs w:val="1"/>
                <w:color w:val="auto"/>
                <w:w w:val="98"/>
              </w:rPr>
              <w:t>FINANCIAL INFORMATION</w:t>
            </w:r>
          </w:p>
        </w:tc>
        <w:tc>
          <w:tcPr>
            <w:tcW w:w="7140" w:type="dxa"/>
            <w:vAlign w:val="bottom"/>
            <w:gridSpan w:val="15"/>
            <w:vMerge w:val="restart"/>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280" w:type="dxa"/>
            <w:vAlign w:val="bottom"/>
            <w:tcBorders>
              <w:bottom w:val="single" w:sz="8" w:color="0000EE"/>
            </w:tcBorders>
            <w:gridSpan w:val="7"/>
            <w:vMerge w:val="continue"/>
          </w:tcPr>
          <w:p>
            <w:pPr>
              <w:spacing w:after="0"/>
              <w:rPr>
                <w:sz w:val="15"/>
                <w:szCs w:val="15"/>
                <w:color w:val="auto"/>
              </w:rPr>
            </w:pPr>
          </w:p>
        </w:tc>
        <w:tc>
          <w:tcPr>
            <w:tcW w:w="7140" w:type="dxa"/>
            <w:vAlign w:val="bottom"/>
            <w:gridSpan w:val="15"/>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520" w:type="dxa"/>
            <w:vAlign w:val="bottom"/>
            <w:gridSpan w:val="20"/>
          </w:tcPr>
          <w:p>
            <w:pPr>
              <w:spacing w:after="0"/>
              <w:rPr>
                <w:sz w:val="20"/>
                <w:szCs w:val="20"/>
                <w:color w:val="auto"/>
              </w:rPr>
            </w:pPr>
            <w:r>
              <w:rPr>
                <w:rFonts w:ascii="Arial" w:cs="Arial" w:eastAsia="Arial" w:hAnsi="Arial"/>
                <w:sz w:val="18"/>
                <w:szCs w:val="18"/>
                <w:color w:val="auto"/>
              </w:rPr>
              <w:t>Financial Statements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20" w:type="dxa"/>
            <w:vAlign w:val="bottom"/>
            <w:gridSpan w:val="20"/>
          </w:tcPr>
          <w:p>
            <w:pPr>
              <w:spacing w:after="0"/>
              <w:rPr>
                <w:sz w:val="20"/>
                <w:szCs w:val="20"/>
                <w:color w:val="auto"/>
              </w:rPr>
            </w:pPr>
            <w:r>
              <w:rPr>
                <w:rFonts w:ascii="Arial" w:cs="Arial" w:eastAsia="Arial" w:hAnsi="Arial"/>
                <w:sz w:val="18"/>
                <w:szCs w:val="18"/>
                <w:color w:val="auto"/>
              </w:rPr>
              <w:t>a)  Income Statements for the Three Months Ended September 30, 2024 and 2023</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20" w:type="dxa"/>
            <w:vAlign w:val="bottom"/>
            <w:gridSpan w:val="20"/>
          </w:tcPr>
          <w:p>
            <w:pPr>
              <w:spacing w:after="0"/>
              <w:rPr>
                <w:sz w:val="20"/>
                <w:szCs w:val="20"/>
                <w:color w:val="auto"/>
              </w:rPr>
            </w:pPr>
            <w:r>
              <w:rPr>
                <w:rFonts w:ascii="Arial" w:cs="Arial" w:eastAsia="Arial" w:hAnsi="Arial"/>
                <w:sz w:val="18"/>
                <w:szCs w:val="18"/>
                <w:color w:val="auto"/>
              </w:rPr>
              <w:t>b)  Comprehensive Income Statements for the Three Months Ended September 30, 2024 and 2023</w:t>
            </w: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20" w:type="dxa"/>
            <w:vAlign w:val="bottom"/>
            <w:gridSpan w:val="20"/>
          </w:tcPr>
          <w:p>
            <w:pPr>
              <w:spacing w:after="0"/>
              <w:rPr>
                <w:sz w:val="20"/>
                <w:szCs w:val="20"/>
                <w:color w:val="auto"/>
              </w:rPr>
            </w:pPr>
            <w:r>
              <w:rPr>
                <w:rFonts w:ascii="Arial" w:cs="Arial" w:eastAsia="Arial" w:hAnsi="Arial"/>
                <w:sz w:val="18"/>
                <w:szCs w:val="18"/>
                <w:color w:val="auto"/>
              </w:rPr>
              <w:t>c)  Balance Sheets as of September 30, 2024 and June 30, 2024</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20" w:type="dxa"/>
            <w:vAlign w:val="bottom"/>
            <w:gridSpan w:val="20"/>
          </w:tcPr>
          <w:p>
            <w:pPr>
              <w:spacing w:after="0"/>
              <w:rPr>
                <w:sz w:val="20"/>
                <w:szCs w:val="20"/>
                <w:color w:val="auto"/>
              </w:rPr>
            </w:pPr>
            <w:r>
              <w:rPr>
                <w:rFonts w:ascii="Arial" w:cs="Arial" w:eastAsia="Arial" w:hAnsi="Arial"/>
                <w:sz w:val="18"/>
                <w:szCs w:val="18"/>
                <w:color w:val="auto"/>
              </w:rPr>
              <w:t>d)  Cash Flows Statements for the Three Months Ended September 30, 2024 and 2023</w:t>
            </w: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20" w:type="dxa"/>
            <w:vAlign w:val="bottom"/>
            <w:gridSpan w:val="20"/>
          </w:tcPr>
          <w:p>
            <w:pPr>
              <w:spacing w:after="0"/>
              <w:rPr>
                <w:sz w:val="20"/>
                <w:szCs w:val="20"/>
                <w:color w:val="auto"/>
              </w:rPr>
            </w:pPr>
            <w:r>
              <w:rPr>
                <w:rFonts w:ascii="Arial" w:cs="Arial" w:eastAsia="Arial" w:hAnsi="Arial"/>
                <w:sz w:val="18"/>
                <w:szCs w:val="18"/>
                <w:color w:val="auto"/>
              </w:rPr>
              <w:t>e)  Stockholders’ Equity Statements for the Three Months Ended September 30, 2024 and 2023</w:t>
            </w: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20" w:type="dxa"/>
            <w:vAlign w:val="bottom"/>
            <w:gridSpan w:val="20"/>
          </w:tcPr>
          <w:p>
            <w:pPr>
              <w:spacing w:after="0"/>
              <w:rPr>
                <w:sz w:val="20"/>
                <w:szCs w:val="20"/>
                <w:color w:val="auto"/>
              </w:rPr>
            </w:pPr>
            <w:r>
              <w:rPr>
                <w:rFonts w:ascii="Arial" w:cs="Arial" w:eastAsia="Arial" w:hAnsi="Arial"/>
                <w:sz w:val="18"/>
                <w:szCs w:val="18"/>
                <w:color w:val="auto"/>
              </w:rPr>
              <w:t>f)   Notes to Financial Statements</w:t>
            </w: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20" w:type="dxa"/>
            <w:vAlign w:val="bottom"/>
            <w:gridSpan w:val="20"/>
          </w:tcPr>
          <w:p>
            <w:pPr>
              <w:spacing w:after="0"/>
              <w:rPr>
                <w:sz w:val="20"/>
                <w:szCs w:val="20"/>
                <w:color w:val="auto"/>
              </w:rPr>
            </w:pPr>
            <w:r>
              <w:rPr>
                <w:rFonts w:ascii="Arial" w:cs="Arial" w:eastAsia="Arial" w:hAnsi="Arial"/>
                <w:sz w:val="18"/>
                <w:szCs w:val="18"/>
                <w:color w:val="auto"/>
              </w:rPr>
              <w:t>g)  Report of Independent Registered Public Accounting Firm</w:t>
            </w: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auto"/>
                <w:w w:val="99"/>
              </w:rPr>
              <w:t>Management’s Discussion and Analysis of Financial Condition and Results of Operations</w:t>
            </w:r>
          </w:p>
        </w:tc>
        <w:tc>
          <w:tcPr>
            <w:tcW w:w="144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7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auto"/>
                <w:w w:val="99"/>
              </w:rPr>
              <w:t>Quantitative and Qualitative Disclosures About Market Risk</w:t>
            </w:r>
          </w:p>
        </w:tc>
        <w:tc>
          <w:tcPr>
            <w:tcW w:w="380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auto"/>
                <w:w w:val="99"/>
              </w:rPr>
              <w:t>Controls and Procedures</w:t>
            </w:r>
          </w:p>
        </w:tc>
        <w:tc>
          <w:tcPr>
            <w:tcW w:w="652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b w:val="1"/>
                <w:bCs w:val="1"/>
                <w:color w:val="auto"/>
                <w:w w:val="98"/>
              </w:rPr>
              <w:t>OTHER INFORMATION</w:t>
            </w:r>
          </w:p>
        </w:tc>
        <w:tc>
          <w:tcPr>
            <w:tcW w:w="7480" w:type="dxa"/>
            <w:vAlign w:val="bottom"/>
            <w:gridSpan w:val="16"/>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auto"/>
                <w:w w:val="99"/>
              </w:rPr>
              <w:t>Legal Proceedings</w:t>
            </w:r>
          </w:p>
        </w:tc>
        <w:tc>
          <w:tcPr>
            <w:tcW w:w="702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520" w:type="dxa"/>
            <w:vAlign w:val="bottom"/>
            <w:gridSpan w:val="20"/>
          </w:tcPr>
          <w:p>
            <w:pPr>
              <w:spacing w:after="0"/>
              <w:rPr>
                <w:sz w:val="20"/>
                <w:szCs w:val="20"/>
                <w:color w:val="auto"/>
              </w:rPr>
            </w:pPr>
            <w:r>
              <w:rPr>
                <w:rFonts w:ascii="Arial" w:cs="Arial" w:eastAsia="Arial" w:hAnsi="Arial"/>
                <w:sz w:val="18"/>
                <w:szCs w:val="18"/>
                <w:color w:val="auto"/>
              </w:rPr>
              <w:t>Risk Factors</w:t>
            </w: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366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auto"/>
                <w:w w:val="99"/>
              </w:rPr>
              <w:t>Unregistered Sales of Equity Securities and Use of Proceeds</w:t>
            </w:r>
          </w:p>
        </w:tc>
        <w:tc>
          <w:tcPr>
            <w:tcW w:w="366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520" w:type="dxa"/>
            <w:vAlign w:val="bottom"/>
            <w:gridSpan w:val="20"/>
          </w:tcPr>
          <w:p>
            <w:pPr>
              <w:spacing w:after="0"/>
              <w:rPr>
                <w:sz w:val="20"/>
                <w:szCs w:val="20"/>
                <w:color w:val="auto"/>
              </w:rPr>
            </w:pPr>
            <w:r>
              <w:rPr>
                <w:rFonts w:ascii="Arial" w:cs="Arial" w:eastAsia="Arial" w:hAnsi="Arial"/>
                <w:sz w:val="18"/>
                <w:szCs w:val="18"/>
                <w:color w:val="auto"/>
              </w:rPr>
              <w:t>Other Information</w:t>
            </w: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40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Exhibits</w:t>
            </w:r>
          </w:p>
        </w:tc>
        <w:tc>
          <w:tcPr>
            <w:tcW w:w="712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1800" w:type="dxa"/>
            <w:vAlign w:val="bottom"/>
            <w:gridSpan w:val="3"/>
          </w:tcPr>
          <w:p>
            <w:pPr>
              <w:spacing w:after="0"/>
              <w:rPr>
                <w:sz w:val="20"/>
                <w:szCs w:val="20"/>
                <w:color w:val="auto"/>
              </w:rPr>
            </w:pPr>
            <w:r>
              <w:rPr>
                <w:rFonts w:ascii="Arial" w:cs="Arial" w:eastAsia="Arial" w:hAnsi="Arial"/>
                <w:sz w:val="18"/>
                <w:szCs w:val="18"/>
                <w:b w:val="1"/>
                <w:bCs w:val="1"/>
                <w:color w:val="auto"/>
              </w:rPr>
              <w:t>SIGNATURE</w:t>
            </w: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633"/>
        </w:trPr>
        <w:tc>
          <w:tcPr>
            <w:tcW w:w="2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720" w:type="dxa"/>
            <w:vAlign w:val="bottom"/>
            <w:gridSpan w:val="11"/>
          </w:tcPr>
          <w:p>
            <w:pPr>
              <w:ind w:left="3760"/>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3"/>
        </w:trPr>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2" w:name="page3"/>
    <w:bookmarkEnd w:id="2"/>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FINANCIAL STATEMENTS</w:t>
      </w:r>
    </w:p>
    <w:p>
      <w:pPr>
        <w:spacing w:after="0" w:line="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INCOME STATEMENTS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0294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ind w:left="20"/>
              <w:spacing w:after="0"/>
              <w:rPr>
                <w:sz w:val="20"/>
                <w:szCs w:val="20"/>
                <w:color w:val="auto"/>
              </w:rPr>
            </w:pPr>
            <w:r>
              <w:rPr>
                <w:rFonts w:ascii="Arial" w:cs="Arial" w:eastAsia="Arial" w:hAnsi="Arial"/>
                <w:sz w:val="13"/>
                <w:szCs w:val="13"/>
                <w:b w:val="1"/>
                <w:bCs w:val="1"/>
                <w:color w:val="auto"/>
              </w:rPr>
              <w:t>Three Months Ended September 30,</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80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Revenue:</w:t>
            </w:r>
          </w:p>
        </w:tc>
        <w:tc>
          <w:tcPr>
            <w:tcW w:w="520" w:type="dxa"/>
            <w:vAlign w:val="bottom"/>
            <w:shd w:val="clear" w:color="auto" w:fill="E5E5E5"/>
          </w:tcPr>
          <w:p>
            <w:pPr>
              <w:spacing w:after="0"/>
              <w:rPr>
                <w:sz w:val="19"/>
                <w:szCs w:val="19"/>
                <w:color w:val="auto"/>
              </w:rPr>
            </w:pPr>
          </w:p>
        </w:tc>
        <w:tc>
          <w:tcPr>
            <w:tcW w:w="96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48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40"/>
              <w:spacing w:after="0"/>
              <w:rPr>
                <w:sz w:val="20"/>
                <w:szCs w:val="20"/>
                <w:color w:val="auto"/>
              </w:rPr>
            </w:pPr>
            <w:r>
              <w:rPr>
                <w:rFonts w:ascii="Arial" w:cs="Arial" w:eastAsia="Arial" w:hAnsi="Arial"/>
                <w:sz w:val="18"/>
                <w:szCs w:val="18"/>
                <w:color w:val="auto"/>
              </w:rPr>
              <w:t>Product</w:t>
            </w:r>
          </w:p>
        </w:tc>
        <w:tc>
          <w:tcPr>
            <w:tcW w:w="5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15,272</w:t>
            </w:r>
          </w:p>
        </w:tc>
        <w:tc>
          <w:tcPr>
            <w:tcW w:w="2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15,535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Service and other</w:t>
            </w:r>
          </w:p>
        </w:tc>
        <w:tc>
          <w:tcPr>
            <w:tcW w:w="52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50,313</w:t>
            </w:r>
          </w:p>
        </w:tc>
        <w:tc>
          <w:tcPr>
            <w:tcW w:w="200" w:type="dxa"/>
            <w:vAlign w:val="bottom"/>
            <w:shd w:val="clear" w:color="auto" w:fill="E5E5E5"/>
          </w:tcPr>
          <w:p>
            <w:pPr>
              <w:spacing w:after="0"/>
              <w:rPr>
                <w:sz w:val="19"/>
                <w:szCs w:val="19"/>
                <w:color w:val="auto"/>
              </w:rPr>
            </w:pPr>
          </w:p>
        </w:tc>
        <w:tc>
          <w:tcPr>
            <w:tcW w:w="48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40,982</w:t>
            </w:r>
          </w:p>
        </w:tc>
        <w:tc>
          <w:tcPr>
            <w:tcW w:w="16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0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800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65,585</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56,517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80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0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Cost of revenue:</w:t>
            </w:r>
          </w:p>
        </w:tc>
        <w:tc>
          <w:tcPr>
            <w:tcW w:w="520" w:type="dxa"/>
            <w:vAlign w:val="bottom"/>
            <w:shd w:val="clear" w:color="auto" w:fill="E5E5E5"/>
          </w:tcPr>
          <w:p>
            <w:pPr>
              <w:spacing w:after="0"/>
              <w:rPr>
                <w:sz w:val="19"/>
                <w:szCs w:val="19"/>
                <w:color w:val="auto"/>
              </w:rPr>
            </w:pPr>
          </w:p>
        </w:tc>
        <w:tc>
          <w:tcPr>
            <w:tcW w:w="96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48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40"/>
              <w:spacing w:after="0"/>
              <w:rPr>
                <w:sz w:val="20"/>
                <w:szCs w:val="20"/>
                <w:color w:val="auto"/>
              </w:rPr>
            </w:pPr>
            <w:r>
              <w:rPr>
                <w:rFonts w:ascii="Arial" w:cs="Arial" w:eastAsia="Arial" w:hAnsi="Arial"/>
                <w:sz w:val="18"/>
                <w:szCs w:val="18"/>
                <w:color w:val="auto"/>
              </w:rPr>
              <w:t>Product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3,294</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3,531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Service and other</w:t>
            </w:r>
          </w:p>
        </w:tc>
        <w:tc>
          <w:tcPr>
            <w:tcW w:w="52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16,805</w:t>
            </w:r>
          </w:p>
        </w:tc>
        <w:tc>
          <w:tcPr>
            <w:tcW w:w="200" w:type="dxa"/>
            <w:vAlign w:val="bottom"/>
            <w:shd w:val="clear" w:color="auto" w:fill="E5E5E5"/>
          </w:tcPr>
          <w:p>
            <w:pPr>
              <w:spacing w:after="0"/>
              <w:rPr>
                <w:sz w:val="19"/>
                <w:szCs w:val="19"/>
                <w:color w:val="auto"/>
              </w:rPr>
            </w:pPr>
          </w:p>
        </w:tc>
        <w:tc>
          <w:tcPr>
            <w:tcW w:w="48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12,771</w:t>
            </w:r>
          </w:p>
        </w:tc>
        <w:tc>
          <w:tcPr>
            <w:tcW w:w="16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0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8000" w:type="dxa"/>
            <w:vAlign w:val="bottom"/>
          </w:tcPr>
          <w:p>
            <w:pPr>
              <w:ind w:left="440"/>
              <w:spacing w:after="0"/>
              <w:rPr>
                <w:sz w:val="20"/>
                <w:szCs w:val="20"/>
                <w:color w:val="auto"/>
              </w:rPr>
            </w:pPr>
            <w:r>
              <w:rPr>
                <w:rFonts w:ascii="Arial" w:cs="Arial" w:eastAsia="Arial" w:hAnsi="Arial"/>
                <w:sz w:val="18"/>
                <w:szCs w:val="18"/>
                <w:color w:val="auto"/>
              </w:rPr>
              <w:t>Total cost of revenue</w:t>
            </w: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20,099</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16,302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80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0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Gross margin</w:t>
            </w:r>
          </w:p>
        </w:tc>
        <w:tc>
          <w:tcPr>
            <w:tcW w:w="52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45,486</w:t>
            </w:r>
          </w:p>
        </w:tc>
        <w:tc>
          <w:tcPr>
            <w:tcW w:w="200" w:type="dxa"/>
            <w:vAlign w:val="bottom"/>
            <w:shd w:val="clear" w:color="auto" w:fill="E5E5E5"/>
          </w:tcPr>
          <w:p>
            <w:pPr>
              <w:spacing w:after="0"/>
              <w:rPr>
                <w:sz w:val="19"/>
                <w:szCs w:val="19"/>
                <w:color w:val="auto"/>
              </w:rPr>
            </w:pPr>
          </w:p>
        </w:tc>
        <w:tc>
          <w:tcPr>
            <w:tcW w:w="48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40,215</w:t>
            </w:r>
          </w:p>
        </w:tc>
        <w:tc>
          <w:tcPr>
            <w:tcW w:w="16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7,544</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6,659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Sales and marketing</w:t>
            </w:r>
          </w:p>
        </w:tc>
        <w:tc>
          <w:tcPr>
            <w:tcW w:w="52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5,717</w:t>
            </w:r>
          </w:p>
        </w:tc>
        <w:tc>
          <w:tcPr>
            <w:tcW w:w="200" w:type="dxa"/>
            <w:vAlign w:val="bottom"/>
            <w:shd w:val="clear" w:color="auto" w:fill="E5E5E5"/>
          </w:tcPr>
          <w:p>
            <w:pPr>
              <w:spacing w:after="0"/>
              <w:rPr>
                <w:sz w:val="19"/>
                <w:szCs w:val="19"/>
                <w:color w:val="auto"/>
              </w:rPr>
            </w:pPr>
          </w:p>
        </w:tc>
        <w:tc>
          <w:tcPr>
            <w:tcW w:w="48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5,187</w:t>
            </w:r>
          </w:p>
        </w:tc>
        <w:tc>
          <w:tcPr>
            <w:tcW w:w="16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0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1,673</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80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0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Operating income</w:t>
            </w:r>
          </w:p>
        </w:tc>
        <w:tc>
          <w:tcPr>
            <w:tcW w:w="52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30,552</w:t>
            </w:r>
          </w:p>
        </w:tc>
        <w:tc>
          <w:tcPr>
            <w:tcW w:w="200" w:type="dxa"/>
            <w:vAlign w:val="bottom"/>
            <w:shd w:val="clear" w:color="auto" w:fill="E5E5E5"/>
          </w:tcPr>
          <w:p>
            <w:pPr>
              <w:spacing w:after="0"/>
              <w:rPr>
                <w:sz w:val="19"/>
                <w:szCs w:val="19"/>
                <w:color w:val="auto"/>
              </w:rPr>
            </w:pPr>
          </w:p>
        </w:tc>
        <w:tc>
          <w:tcPr>
            <w:tcW w:w="48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26,895</w:t>
            </w:r>
          </w:p>
        </w:tc>
        <w:tc>
          <w:tcPr>
            <w:tcW w:w="16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0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5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(283 )</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80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0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Income before income taxes</w:t>
            </w:r>
          </w:p>
        </w:tc>
        <w:tc>
          <w:tcPr>
            <w:tcW w:w="52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30,269</w:t>
            </w:r>
          </w:p>
        </w:tc>
        <w:tc>
          <w:tcPr>
            <w:tcW w:w="200" w:type="dxa"/>
            <w:vAlign w:val="bottom"/>
            <w:shd w:val="clear" w:color="auto" w:fill="E5E5E5"/>
          </w:tcPr>
          <w:p>
            <w:pPr>
              <w:spacing w:after="0"/>
              <w:rPr>
                <w:sz w:val="19"/>
                <w:szCs w:val="19"/>
                <w:color w:val="auto"/>
              </w:rPr>
            </w:pPr>
          </w:p>
        </w:tc>
        <w:tc>
          <w:tcPr>
            <w:tcW w:w="48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27,284</w:t>
            </w:r>
          </w:p>
        </w:tc>
        <w:tc>
          <w:tcPr>
            <w:tcW w:w="16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0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5,602</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4,993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80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0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E5E5E5"/>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24,667</w:t>
            </w:r>
          </w:p>
        </w:tc>
        <w:tc>
          <w:tcPr>
            <w:tcW w:w="200" w:type="dxa"/>
            <w:vAlign w:val="bottom"/>
            <w:shd w:val="clear" w:color="auto" w:fill="E5E5E5"/>
          </w:tcPr>
          <w:p>
            <w:pPr>
              <w:spacing w:after="0"/>
              <w:rPr>
                <w:sz w:val="19"/>
                <w:szCs w:val="19"/>
                <w:color w:val="auto"/>
              </w:rPr>
            </w:pPr>
          </w:p>
        </w:tc>
        <w:tc>
          <w:tcPr>
            <w:tcW w:w="480" w:type="dxa"/>
            <w:vAlign w:val="bottom"/>
            <w:shd w:val="clear" w:color="auto" w:fill="E5E5E5"/>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22,291</w:t>
            </w:r>
          </w:p>
        </w:tc>
        <w:tc>
          <w:tcPr>
            <w:tcW w:w="16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8000" w:type="dxa"/>
            <w:vAlign w:val="bottom"/>
            <w:vMerge w:val="restart"/>
          </w:tcPr>
          <w:p>
            <w:pPr>
              <w:ind w:left="20"/>
              <w:spacing w:after="0"/>
              <w:rPr>
                <w:sz w:val="20"/>
                <w:szCs w:val="20"/>
                <w:color w:val="auto"/>
              </w:rPr>
            </w:pPr>
            <w:r>
              <w:rPr>
                <w:rFonts w:ascii="Arial" w:cs="Arial" w:eastAsia="Arial" w:hAnsi="Arial"/>
                <w:sz w:val="18"/>
                <w:szCs w:val="18"/>
                <w:color w:val="auto"/>
              </w:rPr>
              <w:t>Earnings per share:</w:t>
            </w:r>
          </w:p>
        </w:tc>
        <w:tc>
          <w:tcPr>
            <w:tcW w:w="5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80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Basic</w:t>
            </w:r>
          </w:p>
        </w:tc>
        <w:tc>
          <w:tcPr>
            <w:tcW w:w="520" w:type="dxa"/>
            <w:vAlign w:val="bottom"/>
            <w:shd w:val="clear" w:color="auto" w:fill="E5E5E5"/>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3.32</w:t>
            </w:r>
          </w:p>
        </w:tc>
        <w:tc>
          <w:tcPr>
            <w:tcW w:w="200" w:type="dxa"/>
            <w:vAlign w:val="bottom"/>
            <w:shd w:val="clear" w:color="auto" w:fill="E5E5E5"/>
          </w:tcPr>
          <w:p>
            <w:pPr>
              <w:spacing w:after="0"/>
              <w:rPr>
                <w:sz w:val="19"/>
                <w:szCs w:val="19"/>
                <w:color w:val="auto"/>
              </w:rPr>
            </w:pPr>
          </w:p>
        </w:tc>
        <w:tc>
          <w:tcPr>
            <w:tcW w:w="480" w:type="dxa"/>
            <w:vAlign w:val="bottom"/>
            <w:shd w:val="clear" w:color="auto" w:fill="E5E5E5"/>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000" w:type="dxa"/>
            <w:vAlign w:val="bottom"/>
          </w:tcPr>
          <w:p>
            <w:pPr>
              <w:ind w:left="240"/>
              <w:spacing w:after="0"/>
              <w:rPr>
                <w:sz w:val="20"/>
                <w:szCs w:val="20"/>
                <w:color w:val="auto"/>
              </w:rPr>
            </w:pPr>
            <w:r>
              <w:rPr>
                <w:rFonts w:ascii="Arial" w:cs="Arial" w:eastAsia="Arial" w:hAnsi="Arial"/>
                <w:sz w:val="18"/>
                <w:szCs w:val="18"/>
                <w:color w:val="auto"/>
              </w:rPr>
              <w:t>Diluted</w:t>
            </w:r>
          </w:p>
        </w:tc>
        <w:tc>
          <w:tcPr>
            <w:tcW w:w="5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3.30</w:t>
            </w:r>
          </w:p>
        </w:tc>
        <w:tc>
          <w:tcPr>
            <w:tcW w:w="2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80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Weighted average shares outstanding:</w:t>
            </w:r>
          </w:p>
        </w:tc>
        <w:tc>
          <w:tcPr>
            <w:tcW w:w="520" w:type="dxa"/>
            <w:vAlign w:val="bottom"/>
            <w:shd w:val="clear" w:color="auto" w:fill="E5E5E5"/>
          </w:tcPr>
          <w:p>
            <w:pPr>
              <w:spacing w:after="0"/>
              <w:rPr>
                <w:sz w:val="19"/>
                <w:szCs w:val="19"/>
                <w:color w:val="auto"/>
              </w:rPr>
            </w:pPr>
          </w:p>
        </w:tc>
        <w:tc>
          <w:tcPr>
            <w:tcW w:w="96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48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40"/>
              <w:spacing w:after="0"/>
              <w:rPr>
                <w:sz w:val="20"/>
                <w:szCs w:val="20"/>
                <w:color w:val="auto"/>
              </w:rPr>
            </w:pPr>
            <w:r>
              <w:rPr>
                <w:rFonts w:ascii="Arial" w:cs="Arial" w:eastAsia="Arial" w:hAnsi="Arial"/>
                <w:sz w:val="18"/>
                <w:szCs w:val="18"/>
                <w:color w:val="auto"/>
              </w:rPr>
              <w:t>Basic</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7,433</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7,429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7,470</w:t>
            </w:r>
          </w:p>
        </w:tc>
        <w:tc>
          <w:tcPr>
            <w:tcW w:w="200" w:type="dxa"/>
            <w:vAlign w:val="bottom"/>
            <w:shd w:val="clear" w:color="auto" w:fill="E5E5E5"/>
          </w:tcPr>
          <w:p>
            <w:pPr>
              <w:spacing w:after="0"/>
              <w:rPr>
                <w:sz w:val="19"/>
                <w:szCs w:val="19"/>
                <w:color w:val="auto"/>
              </w:rPr>
            </w:pPr>
          </w:p>
        </w:tc>
        <w:tc>
          <w:tcPr>
            <w:tcW w:w="48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7,462</w:t>
            </w:r>
          </w:p>
        </w:tc>
        <w:tc>
          <w:tcPr>
            <w:tcW w:w="16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0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3" w:name="page4"/>
    <w:bookmarkEnd w:id="3"/>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STATEMENTS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0465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ind w:left="20"/>
              <w:spacing w:after="0"/>
              <w:rPr>
                <w:sz w:val="20"/>
                <w:szCs w:val="20"/>
                <w:color w:val="auto"/>
              </w:rPr>
            </w:pPr>
            <w:r>
              <w:rPr>
                <w:rFonts w:ascii="Arial" w:cs="Arial" w:eastAsia="Arial" w:hAnsi="Arial"/>
                <w:sz w:val="13"/>
                <w:szCs w:val="13"/>
                <w:b w:val="1"/>
                <w:bCs w:val="1"/>
                <w:color w:val="auto"/>
              </w:rPr>
              <w:t>Three Months Ended September 30,</w:t>
            </w:r>
          </w:p>
        </w:tc>
        <w:tc>
          <w:tcPr>
            <w:tcW w:w="3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4660" w:type="dxa"/>
            <w:vAlign w:val="bottom"/>
          </w:tcPr>
          <w:p>
            <w:pPr>
              <w:spacing w:after="0"/>
              <w:rPr>
                <w:sz w:val="5"/>
                <w:szCs w:val="5"/>
                <w:color w:val="auto"/>
              </w:rPr>
            </w:pPr>
          </w:p>
        </w:tc>
        <w:tc>
          <w:tcPr>
            <w:tcW w:w="3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E5E5E5"/>
          </w:tcPr>
          <w:p>
            <w:pPr>
              <w:ind w:left="20"/>
              <w:spacing w:after="0"/>
              <w:rPr>
                <w:sz w:val="20"/>
                <w:szCs w:val="20"/>
                <w:color w:val="auto"/>
              </w:rPr>
            </w:pPr>
            <w:r>
              <w:rPr>
                <w:rFonts w:ascii="Arial" w:cs="Arial" w:eastAsia="Arial" w:hAnsi="Arial"/>
                <w:sz w:val="18"/>
                <w:szCs w:val="18"/>
                <w:color w:val="auto"/>
              </w:rPr>
              <w:t>Net income</w:t>
            </w:r>
          </w:p>
        </w:tc>
        <w:tc>
          <w:tcPr>
            <w:tcW w:w="3820" w:type="dxa"/>
            <w:vAlign w:val="bottom"/>
            <w:gridSpan w:val="2"/>
            <w:shd w:val="clear" w:color="auto" w:fill="E5E5E5"/>
          </w:tcPr>
          <w:p>
            <w:pPr>
              <w:jc w:val="right"/>
              <w:ind w:right="40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24,667</w:t>
            </w:r>
          </w:p>
        </w:tc>
        <w:tc>
          <w:tcPr>
            <w:tcW w:w="240" w:type="dxa"/>
            <w:vAlign w:val="bottom"/>
            <w:shd w:val="clear" w:color="auto" w:fill="E5E5E5"/>
          </w:tcPr>
          <w:p>
            <w:pPr>
              <w:spacing w:after="0"/>
              <w:rPr>
                <w:sz w:val="19"/>
                <w:szCs w:val="19"/>
                <w:color w:val="auto"/>
              </w:rPr>
            </w:pPr>
          </w:p>
        </w:tc>
        <w:tc>
          <w:tcPr>
            <w:tcW w:w="480" w:type="dxa"/>
            <w:vAlign w:val="bottom"/>
            <w:shd w:val="clear" w:color="auto" w:fill="E5E5E5"/>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22,291</w:t>
            </w:r>
          </w:p>
        </w:tc>
        <w:tc>
          <w:tcPr>
            <w:tcW w:w="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4660" w:type="dxa"/>
            <w:vAlign w:val="bottom"/>
            <w:vMerge w:val="restart"/>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30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4660" w:type="dxa"/>
            <w:vAlign w:val="bottom"/>
            <w:vMerge w:val="continue"/>
          </w:tcPr>
          <w:p>
            <w:pPr>
              <w:spacing w:after="0"/>
              <w:rPr>
                <w:sz w:val="24"/>
                <w:szCs w:val="24"/>
                <w:color w:val="auto"/>
              </w:rPr>
            </w:pPr>
          </w:p>
        </w:tc>
        <w:tc>
          <w:tcPr>
            <w:tcW w:w="3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Net change related to derivatives</w:t>
            </w:r>
          </w:p>
        </w:tc>
        <w:tc>
          <w:tcPr>
            <w:tcW w:w="3300" w:type="dxa"/>
            <w:vAlign w:val="bottom"/>
            <w:shd w:val="clear" w:color="auto" w:fill="E5E5E5"/>
          </w:tcPr>
          <w:p>
            <w:pPr>
              <w:spacing w:after="0"/>
              <w:rPr>
                <w:sz w:val="19"/>
                <w:szCs w:val="19"/>
                <w:color w:val="auto"/>
              </w:rPr>
            </w:pPr>
          </w:p>
        </w:tc>
        <w:tc>
          <w:tcPr>
            <w:tcW w:w="520" w:type="dxa"/>
            <w:vAlign w:val="bottom"/>
            <w:shd w:val="clear" w:color="auto" w:fill="E5E5E5"/>
          </w:tcPr>
          <w:p>
            <w:pPr>
              <w:spacing w:after="0"/>
              <w:rPr>
                <w:sz w:val="19"/>
                <w:szCs w:val="19"/>
                <w:color w:val="auto"/>
              </w:rPr>
            </w:pPr>
          </w:p>
        </w:tc>
        <w:tc>
          <w:tcPr>
            <w:tcW w:w="12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(10 )</w:t>
            </w:r>
          </w:p>
        </w:tc>
        <w:tc>
          <w:tcPr>
            <w:tcW w:w="480" w:type="dxa"/>
            <w:vAlign w:val="bottom"/>
            <w:shd w:val="clear" w:color="auto" w:fill="E5E5E5"/>
          </w:tcPr>
          <w:p>
            <w:pPr>
              <w:spacing w:after="0"/>
              <w:rPr>
                <w:sz w:val="19"/>
                <w:szCs w:val="19"/>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40"/>
              <w:spacing w:after="0"/>
              <w:rPr>
                <w:sz w:val="20"/>
                <w:szCs w:val="20"/>
                <w:color w:val="auto"/>
              </w:rPr>
            </w:pPr>
            <w:r>
              <w:rPr>
                <w:rFonts w:ascii="Arial" w:cs="Arial" w:eastAsia="Arial" w:hAnsi="Arial"/>
                <w:sz w:val="18"/>
                <w:szCs w:val="18"/>
                <w:color w:val="auto"/>
              </w:rPr>
              <w:t>Net change related to investments</w:t>
            </w:r>
          </w:p>
        </w:tc>
        <w:tc>
          <w:tcPr>
            <w:tcW w:w="3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1,114</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(260 )</w:t>
            </w:r>
          </w:p>
        </w:tc>
        <w:tc>
          <w:tcPr>
            <w:tcW w:w="0" w:type="dxa"/>
            <w:vAlign w:val="bottom"/>
          </w:tcPr>
          <w:p>
            <w:pPr>
              <w:spacing w:after="0"/>
              <w:rPr>
                <w:sz w:val="1"/>
                <w:szCs w:val="1"/>
                <w:color w:val="auto"/>
              </w:rPr>
            </w:pPr>
          </w:p>
        </w:tc>
      </w:tr>
      <w:tr>
        <w:trPr>
          <w:trHeight w:val="229"/>
        </w:trPr>
        <w:tc>
          <w:tcPr>
            <w:tcW w:w="46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Translation adjustments and other</w:t>
            </w:r>
          </w:p>
        </w:tc>
        <w:tc>
          <w:tcPr>
            <w:tcW w:w="3300" w:type="dxa"/>
            <w:vAlign w:val="bottom"/>
            <w:shd w:val="clear" w:color="auto" w:fill="E5E5E5"/>
          </w:tcPr>
          <w:p>
            <w:pPr>
              <w:spacing w:after="0"/>
              <w:rPr>
                <w:sz w:val="19"/>
                <w:szCs w:val="19"/>
                <w:color w:val="auto"/>
              </w:rPr>
            </w:pPr>
          </w:p>
        </w:tc>
        <w:tc>
          <w:tcPr>
            <w:tcW w:w="52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304</w:t>
            </w:r>
          </w:p>
        </w:tc>
        <w:tc>
          <w:tcPr>
            <w:tcW w:w="240" w:type="dxa"/>
            <w:vAlign w:val="bottom"/>
            <w:shd w:val="clear" w:color="auto" w:fill="E5E5E5"/>
          </w:tcPr>
          <w:p>
            <w:pPr>
              <w:spacing w:after="0"/>
              <w:rPr>
                <w:sz w:val="19"/>
                <w:szCs w:val="19"/>
                <w:color w:val="auto"/>
              </w:rPr>
            </w:pPr>
          </w:p>
        </w:tc>
        <w:tc>
          <w:tcPr>
            <w:tcW w:w="480" w:type="dxa"/>
            <w:vAlign w:val="bottom"/>
            <w:shd w:val="clear" w:color="auto" w:fill="E5E5E5"/>
          </w:tcPr>
          <w:p>
            <w:pPr>
              <w:spacing w:after="0"/>
              <w:rPr>
                <w:sz w:val="19"/>
                <w:szCs w:val="19"/>
                <w:color w:val="auto"/>
              </w:rPr>
            </w:pPr>
          </w:p>
        </w:tc>
        <w:tc>
          <w:tcPr>
            <w:tcW w:w="10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(355 )</w:t>
            </w:r>
          </w:p>
        </w:tc>
        <w:tc>
          <w:tcPr>
            <w:tcW w:w="0" w:type="dxa"/>
            <w:vAlign w:val="bottom"/>
          </w:tcPr>
          <w:p>
            <w:pPr>
              <w:spacing w:after="0"/>
              <w:rPr>
                <w:sz w:val="1"/>
                <w:szCs w:val="1"/>
                <w:color w:val="auto"/>
              </w:rPr>
            </w:pPr>
          </w:p>
        </w:tc>
      </w:tr>
      <w:tr>
        <w:trPr>
          <w:trHeight w:val="67"/>
        </w:trPr>
        <w:tc>
          <w:tcPr>
            <w:tcW w:w="4660" w:type="dxa"/>
            <w:vAlign w:val="bottom"/>
            <w:tcBorders>
              <w:bottom w:val="single" w:sz="8" w:color="auto"/>
            </w:tcBorders>
          </w:tcPr>
          <w:p>
            <w:pPr>
              <w:spacing w:after="0"/>
              <w:rPr>
                <w:sz w:val="5"/>
                <w:szCs w:val="5"/>
                <w:color w:val="auto"/>
              </w:rPr>
            </w:pPr>
          </w:p>
        </w:tc>
        <w:tc>
          <w:tcPr>
            <w:tcW w:w="33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4660" w:type="dxa"/>
            <w:vAlign w:val="bottom"/>
          </w:tcPr>
          <w:p>
            <w:pPr>
              <w:ind w:left="460"/>
              <w:spacing w:after="0"/>
              <w:rPr>
                <w:sz w:val="20"/>
                <w:szCs w:val="20"/>
                <w:color w:val="auto"/>
              </w:rPr>
            </w:pPr>
            <w:r>
              <w:rPr>
                <w:rFonts w:ascii="Arial" w:cs="Arial" w:eastAsia="Arial" w:hAnsi="Arial"/>
                <w:sz w:val="18"/>
                <w:szCs w:val="18"/>
                <w:color w:val="auto"/>
              </w:rPr>
              <w:t>Other comprehensive income (loss)</w:t>
            </w:r>
          </w:p>
        </w:tc>
        <w:tc>
          <w:tcPr>
            <w:tcW w:w="3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1,408</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(594 )</w:t>
            </w:r>
          </w:p>
        </w:tc>
        <w:tc>
          <w:tcPr>
            <w:tcW w:w="0" w:type="dxa"/>
            <w:vAlign w:val="bottom"/>
          </w:tcPr>
          <w:p>
            <w:pPr>
              <w:spacing w:after="0"/>
              <w:rPr>
                <w:sz w:val="1"/>
                <w:szCs w:val="1"/>
                <w:color w:val="auto"/>
              </w:rPr>
            </w:pPr>
          </w:p>
        </w:tc>
      </w:tr>
      <w:tr>
        <w:trPr>
          <w:trHeight w:val="55"/>
        </w:trPr>
        <w:tc>
          <w:tcPr>
            <w:tcW w:w="466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660" w:type="dxa"/>
            <w:vAlign w:val="bottom"/>
          </w:tcPr>
          <w:p>
            <w:pPr>
              <w:spacing w:after="0"/>
              <w:rPr>
                <w:sz w:val="5"/>
                <w:szCs w:val="5"/>
                <w:color w:val="auto"/>
              </w:rPr>
            </w:pPr>
          </w:p>
        </w:tc>
        <w:tc>
          <w:tcPr>
            <w:tcW w:w="3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E5E5E5"/>
          </w:tcPr>
          <w:p>
            <w:pPr>
              <w:ind w:left="20"/>
              <w:spacing w:after="0"/>
              <w:rPr>
                <w:sz w:val="20"/>
                <w:szCs w:val="20"/>
                <w:color w:val="auto"/>
              </w:rPr>
            </w:pPr>
            <w:r>
              <w:rPr>
                <w:rFonts w:ascii="Arial" w:cs="Arial" w:eastAsia="Arial" w:hAnsi="Arial"/>
                <w:sz w:val="18"/>
                <w:szCs w:val="18"/>
                <w:color w:val="auto"/>
              </w:rPr>
              <w:t>Comprehensive income</w:t>
            </w:r>
          </w:p>
        </w:tc>
        <w:tc>
          <w:tcPr>
            <w:tcW w:w="3820" w:type="dxa"/>
            <w:vAlign w:val="bottom"/>
            <w:gridSpan w:val="2"/>
            <w:shd w:val="clear" w:color="auto" w:fill="E5E5E5"/>
          </w:tcPr>
          <w:p>
            <w:pPr>
              <w:jc w:val="right"/>
              <w:ind w:right="40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26,075</w:t>
            </w:r>
          </w:p>
        </w:tc>
        <w:tc>
          <w:tcPr>
            <w:tcW w:w="240" w:type="dxa"/>
            <w:vAlign w:val="bottom"/>
            <w:shd w:val="clear" w:color="auto" w:fill="E5E5E5"/>
          </w:tcPr>
          <w:p>
            <w:pPr>
              <w:spacing w:after="0"/>
              <w:rPr>
                <w:sz w:val="19"/>
                <w:szCs w:val="19"/>
                <w:color w:val="auto"/>
              </w:rPr>
            </w:pPr>
          </w:p>
        </w:tc>
        <w:tc>
          <w:tcPr>
            <w:tcW w:w="480" w:type="dxa"/>
            <w:vAlign w:val="bottom"/>
            <w:shd w:val="clear" w:color="auto" w:fill="E5E5E5"/>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21,697</w:t>
            </w:r>
          </w:p>
        </w:tc>
        <w:tc>
          <w:tcPr>
            <w:tcW w:w="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4660" w:type="dxa"/>
            <w:vAlign w:val="bottom"/>
            <w:vMerge w:val="restart"/>
          </w:tcPr>
          <w:p>
            <w:pPr>
              <w:spacing w:after="0"/>
              <w:rPr>
                <w:sz w:val="20"/>
                <w:szCs w:val="20"/>
                <w:color w:val="auto"/>
              </w:rPr>
            </w:pPr>
            <w:r>
              <w:rPr>
                <w:rFonts w:ascii="Arial" w:cs="Arial" w:eastAsia="Arial" w:hAnsi="Arial"/>
                <w:sz w:val="18"/>
                <w:szCs w:val="18"/>
                <w:color w:val="auto"/>
              </w:rPr>
              <w:t>Refer to accompanying notes.</w:t>
            </w:r>
          </w:p>
        </w:tc>
        <w:tc>
          <w:tcPr>
            <w:tcW w:w="330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9"/>
        </w:trPr>
        <w:tc>
          <w:tcPr>
            <w:tcW w:w="4660" w:type="dxa"/>
            <w:vAlign w:val="bottom"/>
            <w:vMerge w:val="continue"/>
          </w:tcPr>
          <w:p>
            <w:pPr>
              <w:spacing w:after="0"/>
              <w:rPr>
                <w:sz w:val="24"/>
                <w:szCs w:val="24"/>
                <w:color w:val="auto"/>
              </w:rPr>
            </w:pPr>
          </w:p>
        </w:tc>
        <w:tc>
          <w:tcPr>
            <w:tcW w:w="3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4660" w:type="dxa"/>
            <w:vAlign w:val="bottom"/>
          </w:tcPr>
          <w:p>
            <w:pPr>
              <w:spacing w:after="0"/>
              <w:rPr>
                <w:sz w:val="24"/>
                <w:szCs w:val="24"/>
                <w:color w:val="auto"/>
              </w:rPr>
            </w:pPr>
          </w:p>
        </w:tc>
        <w:tc>
          <w:tcPr>
            <w:tcW w:w="3300" w:type="dxa"/>
            <w:vAlign w:val="bottom"/>
          </w:tcPr>
          <w:p>
            <w:pPr>
              <w:jc w:val="right"/>
              <w:ind w:right="2216"/>
              <w:spacing w:after="0"/>
              <w:rPr>
                <w:sz w:val="20"/>
                <w:szCs w:val="20"/>
                <w:color w:val="auto"/>
              </w:rPr>
            </w:pPr>
            <w:r>
              <w:rPr>
                <w:rFonts w:ascii="Arial" w:cs="Arial" w:eastAsia="Arial" w:hAnsi="Arial"/>
                <w:sz w:val="14"/>
                <w:szCs w:val="14"/>
                <w:color w:val="auto"/>
              </w:rPr>
              <w:t>4</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3"/>
        </w:trPr>
        <w:tc>
          <w:tcPr>
            <w:tcW w:w="466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4" w:name="page5"/>
    <w:bookmarkEnd w:id="4"/>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BALANCE SHEETS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0637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September 30,</w:t>
            </w:r>
          </w:p>
        </w:tc>
        <w:tc>
          <w:tcPr>
            <w:tcW w:w="46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6"/>
        </w:trPr>
        <w:tc>
          <w:tcPr>
            <w:tcW w:w="8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8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E5E5E5"/>
          </w:tcPr>
          <w:p>
            <w:pPr>
              <w:spacing w:after="0"/>
              <w:rPr>
                <w:sz w:val="19"/>
                <w:szCs w:val="19"/>
                <w:color w:val="auto"/>
              </w:rPr>
            </w:pPr>
          </w:p>
        </w:tc>
        <w:tc>
          <w:tcPr>
            <w:tcW w:w="116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20,840</w:t>
            </w:r>
          </w:p>
        </w:tc>
        <w:tc>
          <w:tcPr>
            <w:tcW w:w="200" w:type="dxa"/>
            <w:vAlign w:val="bottom"/>
            <w:shd w:val="clear" w:color="auto" w:fill="E5E5E5"/>
          </w:tcPr>
          <w:p>
            <w:pPr>
              <w:spacing w:after="0"/>
              <w:rPr>
                <w:sz w:val="19"/>
                <w:szCs w:val="19"/>
                <w:color w:val="auto"/>
              </w:rPr>
            </w:pPr>
          </w:p>
        </w:tc>
        <w:tc>
          <w:tcPr>
            <w:tcW w:w="460" w:type="dxa"/>
            <w:vAlign w:val="bottom"/>
            <w:shd w:val="clear" w:color="auto" w:fill="E5E5E5"/>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18,315</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00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57,588</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57,228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80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Total cash, cash equivalents, and short-term investments</w:t>
            </w:r>
          </w:p>
        </w:tc>
        <w:tc>
          <w:tcPr>
            <w:tcW w:w="320" w:type="dxa"/>
            <w:vAlign w:val="bottom"/>
            <w:shd w:val="clear" w:color="auto" w:fill="E5E5E5"/>
          </w:tcPr>
          <w:p>
            <w:pPr>
              <w:spacing w:after="0"/>
              <w:rPr>
                <w:sz w:val="19"/>
                <w:szCs w:val="19"/>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78,428</w:t>
            </w:r>
          </w:p>
        </w:tc>
        <w:tc>
          <w:tcPr>
            <w:tcW w:w="20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75,543</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40"/>
              <w:spacing w:after="0"/>
              <w:rPr>
                <w:sz w:val="20"/>
                <w:szCs w:val="20"/>
                <w:color w:val="auto"/>
              </w:rPr>
            </w:pPr>
            <w:r>
              <w:rPr>
                <w:rFonts w:ascii="Arial" w:cs="Arial" w:eastAsia="Arial" w:hAnsi="Arial"/>
                <w:sz w:val="18"/>
                <w:szCs w:val="18"/>
                <w:color w:val="auto"/>
              </w:rPr>
              <w:t xml:space="preserve">Accounts receivable, net of allowance for doubtful accounts of </w:t>
            </w:r>
            <w:r>
              <w:rPr>
                <w:rFonts w:ascii="Arial" w:cs="Arial" w:eastAsia="Arial" w:hAnsi="Arial"/>
                <w:sz w:val="18"/>
                <w:szCs w:val="18"/>
                <w:b w:val="1"/>
                <w:bCs w:val="1"/>
                <w:color w:val="auto"/>
              </w:rPr>
              <w:t>$647</w:t>
            </w:r>
            <w:r>
              <w:rPr>
                <w:rFonts w:ascii="Arial" w:cs="Arial" w:eastAsia="Arial" w:hAnsi="Arial"/>
                <w:sz w:val="18"/>
                <w:szCs w:val="18"/>
                <w:color w:val="auto"/>
              </w:rPr>
              <w:t xml:space="preserve"> and $830</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44,148</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E5E5E5"/>
          </w:tcPr>
          <w:p>
            <w:pPr>
              <w:spacing w:after="0"/>
              <w:rPr>
                <w:sz w:val="19"/>
                <w:szCs w:val="19"/>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1,626</w:t>
            </w:r>
          </w:p>
        </w:tc>
        <w:tc>
          <w:tcPr>
            <w:tcW w:w="20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1,246</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00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25,724</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80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E5E5E5"/>
          </w:tcPr>
          <w:p>
            <w:pPr>
              <w:spacing w:after="0"/>
              <w:rPr>
                <w:sz w:val="19"/>
                <w:szCs w:val="19"/>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149,926</w:t>
            </w:r>
          </w:p>
        </w:tc>
        <w:tc>
          <w:tcPr>
            <w:tcW w:w="20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159,734</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$80,517</w:t>
            </w:r>
            <w:r>
              <w:rPr>
                <w:rFonts w:ascii="Arial" w:cs="Arial" w:eastAsia="Arial" w:hAnsi="Arial"/>
                <w:sz w:val="18"/>
                <w:szCs w:val="18"/>
                <w:color w:val="auto"/>
              </w:rPr>
              <w:t xml:space="preserve"> and $76,421</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152,863</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shd w:val="clear" w:color="auto" w:fill="E5E5E5"/>
          </w:tcPr>
          <w:p>
            <w:pPr>
              <w:spacing w:after="0"/>
              <w:rPr>
                <w:sz w:val="19"/>
                <w:szCs w:val="19"/>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20,528</w:t>
            </w:r>
          </w:p>
        </w:tc>
        <w:tc>
          <w:tcPr>
            <w:tcW w:w="20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18,961</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Equity and other investments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15,778</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E5E5E5"/>
          </w:tcPr>
          <w:p>
            <w:pPr>
              <w:spacing w:after="0"/>
              <w:rPr>
                <w:sz w:val="19"/>
                <w:szCs w:val="19"/>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119,374</w:t>
            </w:r>
          </w:p>
        </w:tc>
        <w:tc>
          <w:tcPr>
            <w:tcW w:w="20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119,220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26,751</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Other long-term assets</w:t>
            </w:r>
          </w:p>
        </w:tc>
        <w:tc>
          <w:tcPr>
            <w:tcW w:w="320" w:type="dxa"/>
            <w:vAlign w:val="bottom"/>
            <w:shd w:val="clear" w:color="auto" w:fill="E5E5E5"/>
          </w:tcPr>
          <w:p>
            <w:pPr>
              <w:spacing w:after="0"/>
              <w:rPr>
                <w:sz w:val="19"/>
                <w:szCs w:val="19"/>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37,793</w:t>
            </w:r>
          </w:p>
        </w:tc>
        <w:tc>
          <w:tcPr>
            <w:tcW w:w="20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36,460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0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800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523,013</w:t>
            </w:r>
          </w:p>
        </w:tc>
        <w:tc>
          <w:tcPr>
            <w:tcW w:w="2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512,163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80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8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E5E5E5"/>
          </w:tcPr>
          <w:p>
            <w:pPr>
              <w:spacing w:after="0"/>
              <w:rPr>
                <w:sz w:val="19"/>
                <w:szCs w:val="19"/>
                <w:color w:val="auto"/>
              </w:rPr>
            </w:pPr>
          </w:p>
        </w:tc>
        <w:tc>
          <w:tcPr>
            <w:tcW w:w="116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22,768</w:t>
            </w:r>
          </w:p>
        </w:tc>
        <w:tc>
          <w:tcPr>
            <w:tcW w:w="200" w:type="dxa"/>
            <w:vAlign w:val="bottom"/>
            <w:shd w:val="clear" w:color="auto" w:fill="E5E5E5"/>
          </w:tcPr>
          <w:p>
            <w:pPr>
              <w:spacing w:after="0"/>
              <w:rPr>
                <w:sz w:val="19"/>
                <w:szCs w:val="19"/>
                <w:color w:val="auto"/>
              </w:rPr>
            </w:pPr>
          </w:p>
        </w:tc>
        <w:tc>
          <w:tcPr>
            <w:tcW w:w="460" w:type="dxa"/>
            <w:vAlign w:val="bottom"/>
            <w:shd w:val="clear" w:color="auto" w:fill="E5E5E5"/>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21,996</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40"/>
              <w:spacing w:after="0"/>
              <w:rPr>
                <w:sz w:val="20"/>
                <w:szCs w:val="20"/>
                <w:color w:val="auto"/>
              </w:rPr>
            </w:pPr>
            <w:r>
              <w:rPr>
                <w:rFonts w:ascii="Arial" w:cs="Arial" w:eastAsia="Arial" w:hAnsi="Arial"/>
                <w:sz w:val="18"/>
                <w:szCs w:val="18"/>
                <w:color w:val="auto"/>
              </w:rPr>
              <w:t>Short-term debt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shd w:val="clear" w:color="auto" w:fill="E5E5E5"/>
          </w:tcPr>
          <w:p>
            <w:pPr>
              <w:spacing w:after="0"/>
              <w:rPr>
                <w:sz w:val="19"/>
                <w:szCs w:val="19"/>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2,249</w:t>
            </w:r>
          </w:p>
        </w:tc>
        <w:tc>
          <w:tcPr>
            <w:tcW w:w="20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2,249</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8,326</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Short-term income taxes</w:t>
            </w:r>
          </w:p>
        </w:tc>
        <w:tc>
          <w:tcPr>
            <w:tcW w:w="320" w:type="dxa"/>
            <w:vAlign w:val="bottom"/>
            <w:shd w:val="clear" w:color="auto" w:fill="E5E5E5"/>
          </w:tcPr>
          <w:p>
            <w:pPr>
              <w:spacing w:after="0"/>
              <w:rPr>
                <w:sz w:val="19"/>
                <w:szCs w:val="19"/>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9,717</w:t>
            </w:r>
          </w:p>
        </w:tc>
        <w:tc>
          <w:tcPr>
            <w:tcW w:w="20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5,017</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40"/>
              <w:spacing w:after="0"/>
              <w:rPr>
                <w:sz w:val="20"/>
                <w:szCs w:val="20"/>
                <w:color w:val="auto"/>
              </w:rPr>
            </w:pPr>
            <w:r>
              <w:rPr>
                <w:rFonts w:ascii="Arial" w:cs="Arial" w:eastAsia="Arial" w:hAnsi="Arial"/>
                <w:sz w:val="18"/>
                <w:szCs w:val="18"/>
                <w:color w:val="auto"/>
              </w:rPr>
              <w:t>Short-term unearned revenue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53,026</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57,582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Other current liabilities</w:t>
            </w:r>
          </w:p>
        </w:tc>
        <w:tc>
          <w:tcPr>
            <w:tcW w:w="320" w:type="dxa"/>
            <w:vAlign w:val="bottom"/>
            <w:shd w:val="clear" w:color="auto" w:fill="E5E5E5"/>
          </w:tcPr>
          <w:p>
            <w:pPr>
              <w:spacing w:after="0"/>
              <w:rPr>
                <w:sz w:val="19"/>
                <w:szCs w:val="19"/>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19,114</w:t>
            </w:r>
          </w:p>
        </w:tc>
        <w:tc>
          <w:tcPr>
            <w:tcW w:w="20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19,185</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0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00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115,200</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125,286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E5E5E5"/>
          </w:tcPr>
          <w:p>
            <w:pPr>
              <w:spacing w:after="0"/>
              <w:rPr>
                <w:sz w:val="19"/>
                <w:szCs w:val="19"/>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42,868</w:t>
            </w:r>
          </w:p>
        </w:tc>
        <w:tc>
          <w:tcPr>
            <w:tcW w:w="20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42,688</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Long-term income taxes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24,452</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Long-term unearned revenue</w:t>
            </w:r>
          </w:p>
        </w:tc>
        <w:tc>
          <w:tcPr>
            <w:tcW w:w="320" w:type="dxa"/>
            <w:vAlign w:val="bottom"/>
            <w:shd w:val="clear" w:color="auto" w:fill="E5E5E5"/>
          </w:tcPr>
          <w:p>
            <w:pPr>
              <w:spacing w:after="0"/>
              <w:rPr>
                <w:sz w:val="19"/>
                <w:szCs w:val="19"/>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2,663</w:t>
            </w:r>
          </w:p>
        </w:tc>
        <w:tc>
          <w:tcPr>
            <w:tcW w:w="20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2,602</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2,581</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E5E5E5"/>
          </w:tcPr>
          <w:p>
            <w:pPr>
              <w:spacing w:after="0"/>
              <w:rPr>
                <w:sz w:val="19"/>
                <w:szCs w:val="19"/>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16,361</w:t>
            </w:r>
          </w:p>
        </w:tc>
        <w:tc>
          <w:tcPr>
            <w:tcW w:w="20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15,497</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0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31,165</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80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66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E5E5E5"/>
          </w:tcPr>
          <w:p>
            <w:pPr>
              <w:spacing w:after="0"/>
              <w:rPr>
                <w:sz w:val="19"/>
                <w:szCs w:val="19"/>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235,290</w:t>
            </w:r>
          </w:p>
        </w:tc>
        <w:tc>
          <w:tcPr>
            <w:tcW w:w="20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243,686</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0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00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E5E5E5"/>
          </w:tcPr>
          <w:p>
            <w:pPr>
              <w:spacing w:after="0"/>
              <w:rPr>
                <w:sz w:val="19"/>
                <w:szCs w:val="19"/>
                <w:color w:val="auto"/>
              </w:rPr>
            </w:pPr>
          </w:p>
        </w:tc>
        <w:tc>
          <w:tcPr>
            <w:tcW w:w="116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40"/>
              <w:spacing w:after="0"/>
              <w:rPr>
                <w:sz w:val="20"/>
                <w:szCs w:val="20"/>
                <w:color w:val="auto"/>
              </w:rPr>
            </w:pPr>
            <w:r>
              <w:rPr>
                <w:rFonts w:ascii="Arial" w:cs="Arial" w:eastAsia="Arial" w:hAnsi="Arial"/>
                <w:sz w:val="18"/>
                <w:szCs w:val="18"/>
                <w:color w:val="auto"/>
              </w:rPr>
              <w:t xml:space="preserve">Common stock and paid-in capital – shares authorized 24,000; outstanding </w:t>
            </w:r>
            <w:r>
              <w:rPr>
                <w:rFonts w:ascii="Arial" w:cs="Arial" w:eastAsia="Arial" w:hAnsi="Arial"/>
                <w:sz w:val="18"/>
                <w:szCs w:val="18"/>
                <w:b w:val="1"/>
                <w:bCs w:val="1"/>
                <w:color w:val="auto"/>
              </w:rPr>
              <w:t>7,436</w:t>
            </w:r>
            <w:r>
              <w:rPr>
                <w:rFonts w:ascii="Arial" w:cs="Arial" w:eastAsia="Arial" w:hAnsi="Arial"/>
                <w:sz w:val="18"/>
                <w:szCs w:val="18"/>
                <w:color w:val="auto"/>
              </w:rPr>
              <w:t xml:space="preserve"> and 7,434</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102,976</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E5E5E5"/>
          </w:tcPr>
          <w:p>
            <w:pPr>
              <w:spacing w:after="0"/>
              <w:rPr>
                <w:sz w:val="19"/>
                <w:szCs w:val="19"/>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188,929</w:t>
            </w:r>
          </w:p>
        </w:tc>
        <w:tc>
          <w:tcPr>
            <w:tcW w:w="20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173,144</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00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(4,182 )</w:t>
            </w:r>
          </w:p>
        </w:tc>
        <w:tc>
          <w:tcPr>
            <w:tcW w:w="4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(5,590 )</w:t>
            </w:r>
          </w:p>
        </w:tc>
        <w:tc>
          <w:tcPr>
            <w:tcW w:w="0" w:type="dxa"/>
            <w:vAlign w:val="bottom"/>
          </w:tcPr>
          <w:p>
            <w:pPr>
              <w:spacing w:after="0"/>
              <w:rPr>
                <w:sz w:val="1"/>
                <w:szCs w:val="1"/>
                <w:color w:val="auto"/>
              </w:rPr>
            </w:pPr>
          </w:p>
        </w:tc>
      </w:tr>
      <w:tr>
        <w:trPr>
          <w:trHeight w:val="50"/>
        </w:trPr>
        <w:tc>
          <w:tcPr>
            <w:tcW w:w="80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660"/>
              <w:spacing w:after="0"/>
              <w:rPr>
                <w:sz w:val="20"/>
                <w:szCs w:val="20"/>
                <w:color w:val="auto"/>
              </w:rPr>
            </w:pPr>
            <w:r>
              <w:rPr>
                <w:rFonts w:ascii="Arial" w:cs="Arial" w:eastAsia="Arial" w:hAnsi="Arial"/>
                <w:sz w:val="18"/>
                <w:szCs w:val="18"/>
                <w:color w:val="auto"/>
              </w:rPr>
              <w:t>Total stockholders’ equity</w:t>
            </w:r>
          </w:p>
        </w:tc>
        <w:tc>
          <w:tcPr>
            <w:tcW w:w="320" w:type="dxa"/>
            <w:vAlign w:val="bottom"/>
            <w:shd w:val="clear" w:color="auto" w:fill="E5E5E5"/>
          </w:tcPr>
          <w:p>
            <w:pPr>
              <w:spacing w:after="0"/>
              <w:rPr>
                <w:sz w:val="19"/>
                <w:szCs w:val="19"/>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287,723</w:t>
            </w:r>
          </w:p>
        </w:tc>
        <w:tc>
          <w:tcPr>
            <w:tcW w:w="20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268,477</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0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8000" w:type="dxa"/>
            <w:vAlign w:val="bottom"/>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523,013</w:t>
            </w:r>
          </w:p>
        </w:tc>
        <w:tc>
          <w:tcPr>
            <w:tcW w:w="2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512,163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8000" w:type="dxa"/>
            <w:vAlign w:val="bottom"/>
            <w:vMerge w:val="restart"/>
          </w:tcPr>
          <w:p>
            <w:pPr>
              <w:spacing w:after="0"/>
              <w:rPr>
                <w:sz w:val="20"/>
                <w:szCs w:val="20"/>
                <w:color w:val="auto"/>
              </w:rPr>
            </w:pPr>
            <w:r>
              <w:rPr>
                <w:rFonts w:ascii="Arial" w:cs="Arial" w:eastAsia="Arial" w:hAnsi="Arial"/>
                <w:sz w:val="18"/>
                <w:szCs w:val="18"/>
                <w:color w:val="auto"/>
              </w:rPr>
              <w:t>Refer to accompanying notes.</w:t>
            </w: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9"/>
        </w:trPr>
        <w:tc>
          <w:tcPr>
            <w:tcW w:w="8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ectPr>
          <w:pgSz w:w="11900" w:h="16838" w:orient="portrait"/>
          <w:cols w:equalWidth="0" w:num="1">
            <w:col w:w="11240"/>
          </w:cols>
          <w:pgMar w:left="320" w:top="774" w:right="339" w:bottom="1440" w:gutter="0" w:footer="0" w:header="0"/>
        </w:sect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type w:val="continuous"/>
        </w:sectPr>
      </w:pPr>
    </w:p>
    <w:bookmarkStart w:id="5" w:name="page6"/>
    <w:bookmarkEnd w:id="5"/>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FLOWS STATEMENTS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0465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ind w:left="20"/>
              <w:spacing w:after="0"/>
              <w:rPr>
                <w:sz w:val="20"/>
                <w:szCs w:val="20"/>
                <w:color w:val="auto"/>
              </w:rPr>
            </w:pPr>
            <w:r>
              <w:rPr>
                <w:rFonts w:ascii="Arial" w:cs="Arial" w:eastAsia="Arial" w:hAnsi="Arial"/>
                <w:sz w:val="13"/>
                <w:szCs w:val="13"/>
                <w:b w:val="1"/>
                <w:bCs w:val="1"/>
                <w:color w:val="auto"/>
              </w:rPr>
              <w:t>Three Months Ended September 30,</w:t>
            </w: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80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Operations</w:t>
            </w:r>
          </w:p>
        </w:tc>
        <w:tc>
          <w:tcPr>
            <w:tcW w:w="460" w:type="dxa"/>
            <w:vAlign w:val="bottom"/>
            <w:shd w:val="clear" w:color="auto" w:fill="E5E5E5"/>
          </w:tcPr>
          <w:p>
            <w:pPr>
              <w:spacing w:after="0"/>
              <w:rPr>
                <w:sz w:val="19"/>
                <w:szCs w:val="19"/>
                <w:color w:val="auto"/>
              </w:rPr>
            </w:pPr>
          </w:p>
        </w:tc>
        <w:tc>
          <w:tcPr>
            <w:tcW w:w="98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24,667</w:t>
            </w:r>
          </w:p>
        </w:tc>
        <w:tc>
          <w:tcPr>
            <w:tcW w:w="2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22,291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Adjustments to reconcile net income to net cash from operations:</w:t>
            </w:r>
          </w:p>
        </w:tc>
        <w:tc>
          <w:tcPr>
            <w:tcW w:w="460" w:type="dxa"/>
            <w:vAlign w:val="bottom"/>
            <w:shd w:val="clear" w:color="auto" w:fill="E5E5E5"/>
          </w:tcPr>
          <w:p>
            <w:pPr>
              <w:spacing w:after="0"/>
              <w:rPr>
                <w:sz w:val="19"/>
                <w:szCs w:val="19"/>
                <w:color w:val="auto"/>
              </w:rPr>
            </w:pPr>
          </w:p>
        </w:tc>
        <w:tc>
          <w:tcPr>
            <w:tcW w:w="98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40"/>
              <w:spacing w:after="0"/>
              <w:rPr>
                <w:sz w:val="20"/>
                <w:szCs w:val="20"/>
                <w:color w:val="auto"/>
              </w:rPr>
            </w:pPr>
            <w:r>
              <w:rPr>
                <w:rFonts w:ascii="Arial" w:cs="Arial" w:eastAsia="Arial" w:hAnsi="Arial"/>
                <w:sz w:val="18"/>
                <w:szCs w:val="18"/>
                <w:color w:val="auto"/>
              </w:rPr>
              <w:t>Depreciation, amortization, and other</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7,383</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Stock-based compensation expense</w:t>
            </w:r>
          </w:p>
        </w:tc>
        <w:tc>
          <w:tcPr>
            <w:tcW w:w="460" w:type="dxa"/>
            <w:vAlign w:val="bottom"/>
            <w:shd w:val="clear" w:color="auto" w:fill="E5E5E5"/>
          </w:tcPr>
          <w:p>
            <w:pPr>
              <w:spacing w:after="0"/>
              <w:rPr>
                <w:sz w:val="19"/>
                <w:szCs w:val="19"/>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2,832</w:t>
            </w:r>
          </w:p>
        </w:tc>
        <w:tc>
          <w:tcPr>
            <w:tcW w:w="28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2,507</w:t>
            </w:r>
          </w:p>
        </w:tc>
        <w:tc>
          <w:tcPr>
            <w:tcW w:w="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40"/>
              <w:spacing w:after="0"/>
              <w:rPr>
                <w:sz w:val="20"/>
                <w:szCs w:val="20"/>
                <w:color w:val="auto"/>
              </w:rPr>
            </w:pPr>
            <w:r>
              <w:rPr>
                <w:rFonts w:ascii="Arial" w:cs="Arial" w:eastAsia="Arial" w:hAnsi="Arial"/>
                <w:sz w:val="18"/>
                <w:szCs w:val="18"/>
                <w:color w:val="auto"/>
              </w:rPr>
              <w:t>Net recognized losses (gains) on investments and derivatives</w:t>
            </w:r>
          </w:p>
        </w:tc>
        <w:tc>
          <w:tcPr>
            <w:tcW w:w="4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(125 )</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Deferred income taxes</w:t>
            </w:r>
          </w:p>
        </w:tc>
        <w:tc>
          <w:tcPr>
            <w:tcW w:w="460" w:type="dxa"/>
            <w:vAlign w:val="bottom"/>
            <w:shd w:val="clear" w:color="auto" w:fill="E5E5E5"/>
          </w:tcPr>
          <w:p>
            <w:pPr>
              <w:spacing w:after="0"/>
              <w:rPr>
                <w:sz w:val="19"/>
                <w:szCs w:val="19"/>
                <w:color w:val="auto"/>
              </w:rPr>
            </w:pPr>
          </w:p>
        </w:tc>
        <w:tc>
          <w:tcPr>
            <w:tcW w:w="126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(1,433 )</w:t>
            </w:r>
          </w:p>
        </w:tc>
        <w:tc>
          <w:tcPr>
            <w:tcW w:w="460" w:type="dxa"/>
            <w:vAlign w:val="bottom"/>
            <w:shd w:val="clear" w:color="auto" w:fill="E5E5E5"/>
          </w:tcPr>
          <w:p>
            <w:pPr>
              <w:spacing w:after="0"/>
              <w:rPr>
                <w:sz w:val="19"/>
                <w:szCs w:val="19"/>
                <w:color w:val="auto"/>
              </w:rPr>
            </w:pPr>
          </w:p>
        </w:tc>
        <w:tc>
          <w:tcPr>
            <w:tcW w:w="106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(568 )</w:t>
            </w:r>
          </w:p>
        </w:tc>
        <w:tc>
          <w:tcPr>
            <w:tcW w:w="0" w:type="dxa"/>
            <w:vAlign w:val="bottom"/>
          </w:tcPr>
          <w:p>
            <w:pPr>
              <w:spacing w:after="0"/>
              <w:rPr>
                <w:sz w:val="1"/>
                <w:szCs w:val="1"/>
                <w:color w:val="auto"/>
              </w:rPr>
            </w:pPr>
          </w:p>
        </w:tc>
      </w:tr>
      <w:tr>
        <w:trPr>
          <w:trHeight w:val="229"/>
        </w:trPr>
        <w:tc>
          <w:tcPr>
            <w:tcW w:w="800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Accounts receivable</w:t>
            </w:r>
          </w:p>
        </w:tc>
        <w:tc>
          <w:tcPr>
            <w:tcW w:w="460" w:type="dxa"/>
            <w:vAlign w:val="bottom"/>
            <w:shd w:val="clear" w:color="auto" w:fill="E5E5E5"/>
          </w:tcPr>
          <w:p>
            <w:pPr>
              <w:spacing w:after="0"/>
              <w:rPr>
                <w:sz w:val="19"/>
                <w:szCs w:val="19"/>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14,037</w:t>
            </w:r>
          </w:p>
        </w:tc>
        <w:tc>
          <w:tcPr>
            <w:tcW w:w="28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11,034</w:t>
            </w:r>
          </w:p>
        </w:tc>
        <w:tc>
          <w:tcPr>
            <w:tcW w:w="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(373 )</w:t>
            </w:r>
          </w:p>
        </w:tc>
        <w:tc>
          <w:tcPr>
            <w:tcW w:w="4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(505 )</w:t>
            </w: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Other current assets</w:t>
            </w:r>
          </w:p>
        </w:tc>
        <w:tc>
          <w:tcPr>
            <w:tcW w:w="460" w:type="dxa"/>
            <w:vAlign w:val="bottom"/>
            <w:shd w:val="clear" w:color="auto" w:fill="E5E5E5"/>
          </w:tcPr>
          <w:p>
            <w:pPr>
              <w:spacing w:after="0"/>
              <w:rPr>
                <w:sz w:val="19"/>
                <w:szCs w:val="19"/>
                <w:color w:val="auto"/>
              </w:rPr>
            </w:pPr>
          </w:p>
        </w:tc>
        <w:tc>
          <w:tcPr>
            <w:tcW w:w="126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(82 )</w:t>
            </w:r>
          </w:p>
        </w:tc>
        <w:tc>
          <w:tcPr>
            <w:tcW w:w="460" w:type="dxa"/>
            <w:vAlign w:val="bottom"/>
            <w:shd w:val="clear" w:color="auto" w:fill="E5E5E5"/>
          </w:tcPr>
          <w:p>
            <w:pPr>
              <w:spacing w:after="0"/>
              <w:rPr>
                <w:sz w:val="19"/>
                <w:szCs w:val="19"/>
                <w:color w:val="auto"/>
              </w:rPr>
            </w:pPr>
          </w:p>
        </w:tc>
        <w:tc>
          <w:tcPr>
            <w:tcW w:w="106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(796 )</w:t>
            </w:r>
          </w:p>
        </w:tc>
        <w:tc>
          <w:tcPr>
            <w:tcW w:w="0" w:type="dxa"/>
            <w:vAlign w:val="bottom"/>
          </w:tcPr>
          <w:p>
            <w:pPr>
              <w:spacing w:after="0"/>
              <w:rPr>
                <w:sz w:val="1"/>
                <w:szCs w:val="1"/>
                <w:color w:val="auto"/>
              </w:rPr>
            </w:pPr>
          </w:p>
        </w:tc>
      </w:tr>
      <w:tr>
        <w:trPr>
          <w:trHeight w:val="229"/>
        </w:trPr>
        <w:tc>
          <w:tcPr>
            <w:tcW w:w="8000" w:type="dxa"/>
            <w:vAlign w:val="bottom"/>
          </w:tcPr>
          <w:p>
            <w:pPr>
              <w:ind w:left="440"/>
              <w:spacing w:after="0"/>
              <w:rPr>
                <w:sz w:val="20"/>
                <w:szCs w:val="20"/>
                <w:color w:val="auto"/>
              </w:rPr>
            </w:pPr>
            <w:r>
              <w:rPr>
                <w:rFonts w:ascii="Arial" w:cs="Arial" w:eastAsia="Arial" w:hAnsi="Arial"/>
                <w:sz w:val="18"/>
                <w:szCs w:val="18"/>
                <w:color w:val="auto"/>
              </w:rPr>
              <w:t>Other long-term assets</w:t>
            </w:r>
          </w:p>
        </w:tc>
        <w:tc>
          <w:tcPr>
            <w:tcW w:w="4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(1,761 )</w:t>
            </w:r>
          </w:p>
        </w:tc>
        <w:tc>
          <w:tcPr>
            <w:tcW w:w="4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(2,013 )</w:t>
            </w: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Accounts payable</w:t>
            </w:r>
          </w:p>
        </w:tc>
        <w:tc>
          <w:tcPr>
            <w:tcW w:w="460" w:type="dxa"/>
            <w:vAlign w:val="bottom"/>
            <w:shd w:val="clear" w:color="auto" w:fill="E5E5E5"/>
          </w:tcPr>
          <w:p>
            <w:pPr>
              <w:spacing w:after="0"/>
              <w:rPr>
                <w:sz w:val="19"/>
                <w:szCs w:val="19"/>
                <w:color w:val="auto"/>
              </w:rPr>
            </w:pPr>
          </w:p>
        </w:tc>
        <w:tc>
          <w:tcPr>
            <w:tcW w:w="126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(916 )</w:t>
            </w:r>
          </w:p>
        </w:tc>
        <w:tc>
          <w:tcPr>
            <w:tcW w:w="46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1,214</w:t>
            </w:r>
          </w:p>
        </w:tc>
        <w:tc>
          <w:tcPr>
            <w:tcW w:w="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440"/>
              <w:spacing w:after="0"/>
              <w:rPr>
                <w:sz w:val="20"/>
                <w:szCs w:val="20"/>
                <w:color w:val="auto"/>
              </w:rPr>
            </w:pPr>
            <w:r>
              <w:rPr>
                <w:rFonts w:ascii="Arial" w:cs="Arial" w:eastAsia="Arial" w:hAnsi="Arial"/>
                <w:sz w:val="18"/>
                <w:szCs w:val="18"/>
                <w:color w:val="auto"/>
              </w:rPr>
              <w:t>Unearned revenue</w:t>
            </w:r>
          </w:p>
        </w:tc>
        <w:tc>
          <w:tcPr>
            <w:tcW w:w="4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(5,553 )</w:t>
            </w:r>
          </w:p>
        </w:tc>
        <w:tc>
          <w:tcPr>
            <w:tcW w:w="4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(4,126 )</w:t>
            </w: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Income taxes</w:t>
            </w:r>
          </w:p>
        </w:tc>
        <w:tc>
          <w:tcPr>
            <w:tcW w:w="460" w:type="dxa"/>
            <w:vAlign w:val="bottom"/>
            <w:shd w:val="clear" w:color="auto" w:fill="E5E5E5"/>
          </w:tcPr>
          <w:p>
            <w:pPr>
              <w:spacing w:after="0"/>
              <w:rPr>
                <w:sz w:val="19"/>
                <w:szCs w:val="19"/>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1,016</w:t>
            </w:r>
          </w:p>
        </w:tc>
        <w:tc>
          <w:tcPr>
            <w:tcW w:w="28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1,425</w:t>
            </w:r>
          </w:p>
        </w:tc>
        <w:tc>
          <w:tcPr>
            <w:tcW w:w="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440"/>
              <w:spacing w:after="0"/>
              <w:rPr>
                <w:sz w:val="20"/>
                <w:szCs w:val="20"/>
                <w:color w:val="auto"/>
              </w:rPr>
            </w:pPr>
            <w:r>
              <w:rPr>
                <w:rFonts w:ascii="Arial" w:cs="Arial" w:eastAsia="Arial" w:hAnsi="Arial"/>
                <w:sz w:val="18"/>
                <w:szCs w:val="18"/>
                <w:color w:val="auto"/>
              </w:rPr>
              <w:t>Other current liabilities</w:t>
            </w:r>
          </w:p>
        </w:tc>
        <w:tc>
          <w:tcPr>
            <w:tcW w:w="4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(5,479 )</w:t>
            </w:r>
          </w:p>
        </w:tc>
        <w:tc>
          <w:tcPr>
            <w:tcW w:w="4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(4,106 )</w:t>
            </w: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Other long-term liabilities</w:t>
            </w:r>
          </w:p>
        </w:tc>
        <w:tc>
          <w:tcPr>
            <w:tcW w:w="460" w:type="dxa"/>
            <w:vAlign w:val="bottom"/>
            <w:shd w:val="clear" w:color="auto" w:fill="E5E5E5"/>
          </w:tcPr>
          <w:p>
            <w:pPr>
              <w:spacing w:after="0"/>
              <w:rPr>
                <w:sz w:val="19"/>
                <w:szCs w:val="19"/>
                <w:color w:val="auto"/>
              </w:rPr>
            </w:pPr>
          </w:p>
        </w:tc>
        <w:tc>
          <w:tcPr>
            <w:tcW w:w="126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(33 )</w:t>
            </w:r>
          </w:p>
        </w:tc>
        <w:tc>
          <w:tcPr>
            <w:tcW w:w="46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291</w:t>
            </w:r>
          </w:p>
        </w:tc>
        <w:tc>
          <w:tcPr>
            <w:tcW w:w="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0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8000" w:type="dxa"/>
            <w:vAlign w:val="bottom"/>
          </w:tcPr>
          <w:p>
            <w:pPr>
              <w:ind w:left="660"/>
              <w:spacing w:after="0"/>
              <w:rPr>
                <w:sz w:val="20"/>
                <w:szCs w:val="20"/>
                <w:color w:val="auto"/>
              </w:rPr>
            </w:pPr>
            <w:r>
              <w:rPr>
                <w:rFonts w:ascii="Arial" w:cs="Arial" w:eastAsia="Arial" w:hAnsi="Arial"/>
                <w:sz w:val="18"/>
                <w:szCs w:val="18"/>
                <w:color w:val="auto"/>
              </w:rPr>
              <w:t>Net cash from operations</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34,180</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30,583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0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Financing</w:t>
            </w:r>
          </w:p>
        </w:tc>
        <w:tc>
          <w:tcPr>
            <w:tcW w:w="460" w:type="dxa"/>
            <w:vAlign w:val="bottom"/>
            <w:shd w:val="clear" w:color="auto" w:fill="E5E5E5"/>
          </w:tcPr>
          <w:p>
            <w:pPr>
              <w:spacing w:after="0"/>
              <w:rPr>
                <w:sz w:val="19"/>
                <w:szCs w:val="19"/>
                <w:color w:val="auto"/>
              </w:rPr>
            </w:pPr>
          </w:p>
        </w:tc>
        <w:tc>
          <w:tcPr>
            <w:tcW w:w="98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Proceeds from issuance (repayments) of debt, maturities of 90 days or less, net</w:t>
            </w:r>
          </w:p>
        </w:tc>
        <w:tc>
          <w:tcPr>
            <w:tcW w:w="4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(5,746 )</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18,692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Proceeds from issuance of debt</w:t>
            </w:r>
          </w:p>
        </w:tc>
        <w:tc>
          <w:tcPr>
            <w:tcW w:w="460" w:type="dxa"/>
            <w:vAlign w:val="bottom"/>
            <w:shd w:val="clear" w:color="auto" w:fill="E5E5E5"/>
          </w:tcPr>
          <w:p>
            <w:pPr>
              <w:spacing w:after="0"/>
              <w:rPr>
                <w:sz w:val="19"/>
                <w:szCs w:val="19"/>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7,073</w:t>
            </w:r>
          </w:p>
        </w:tc>
        <w:tc>
          <w:tcPr>
            <w:tcW w:w="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Repayments of debt</w:t>
            </w:r>
          </w:p>
        </w:tc>
        <w:tc>
          <w:tcPr>
            <w:tcW w:w="4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(966 )</w:t>
            </w:r>
          </w:p>
        </w:tc>
        <w:tc>
          <w:tcPr>
            <w:tcW w:w="4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(1,500 )</w:t>
            </w: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Common stock issued</w:t>
            </w:r>
          </w:p>
        </w:tc>
        <w:tc>
          <w:tcPr>
            <w:tcW w:w="460" w:type="dxa"/>
            <w:vAlign w:val="bottom"/>
            <w:shd w:val="clear" w:color="auto" w:fill="E5E5E5"/>
          </w:tcPr>
          <w:p>
            <w:pPr>
              <w:spacing w:after="0"/>
              <w:rPr>
                <w:sz w:val="19"/>
                <w:szCs w:val="19"/>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706</w:t>
            </w:r>
          </w:p>
        </w:tc>
        <w:tc>
          <w:tcPr>
            <w:tcW w:w="28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685</w:t>
            </w:r>
          </w:p>
        </w:tc>
        <w:tc>
          <w:tcPr>
            <w:tcW w:w="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Common stock repurchased</w:t>
            </w:r>
          </w:p>
        </w:tc>
        <w:tc>
          <w:tcPr>
            <w:tcW w:w="4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(4,107 )</w:t>
            </w:r>
          </w:p>
        </w:tc>
        <w:tc>
          <w:tcPr>
            <w:tcW w:w="4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(4,831 )</w:t>
            </w: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Common stock cash dividends paid</w:t>
            </w:r>
          </w:p>
        </w:tc>
        <w:tc>
          <w:tcPr>
            <w:tcW w:w="460" w:type="dxa"/>
            <w:vAlign w:val="bottom"/>
            <w:shd w:val="clear" w:color="auto" w:fill="E5E5E5"/>
          </w:tcPr>
          <w:p>
            <w:pPr>
              <w:spacing w:after="0"/>
              <w:rPr>
                <w:sz w:val="19"/>
                <w:szCs w:val="19"/>
                <w:color w:val="auto"/>
              </w:rPr>
            </w:pPr>
          </w:p>
        </w:tc>
        <w:tc>
          <w:tcPr>
            <w:tcW w:w="126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(5,574 )</w:t>
            </w:r>
          </w:p>
        </w:tc>
        <w:tc>
          <w:tcPr>
            <w:tcW w:w="460" w:type="dxa"/>
            <w:vAlign w:val="bottom"/>
            <w:shd w:val="clear" w:color="auto" w:fill="E5E5E5"/>
          </w:tcPr>
          <w:p>
            <w:pPr>
              <w:spacing w:after="0"/>
              <w:rPr>
                <w:sz w:val="19"/>
                <w:szCs w:val="19"/>
                <w:color w:val="auto"/>
              </w:rPr>
            </w:pPr>
          </w:p>
        </w:tc>
        <w:tc>
          <w:tcPr>
            <w:tcW w:w="106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(5,051 )</w:t>
            </w:r>
          </w:p>
        </w:tc>
        <w:tc>
          <w:tcPr>
            <w:tcW w:w="0" w:type="dxa"/>
            <w:vAlign w:val="bottom"/>
          </w:tcPr>
          <w:p>
            <w:pPr>
              <w:spacing w:after="0"/>
              <w:rPr>
                <w:sz w:val="1"/>
                <w:szCs w:val="1"/>
                <w:color w:val="auto"/>
              </w:rPr>
            </w:pPr>
          </w:p>
        </w:tc>
      </w:tr>
      <w:tr>
        <w:trPr>
          <w:trHeight w:val="247"/>
        </w:trPr>
        <w:tc>
          <w:tcPr>
            <w:tcW w:w="8000" w:type="dxa"/>
            <w:vAlign w:val="bottom"/>
          </w:tcPr>
          <w:p>
            <w:pPr>
              <w:ind w:left="20"/>
              <w:spacing w:after="0"/>
              <w:rPr>
                <w:sz w:val="20"/>
                <w:szCs w:val="20"/>
                <w:color w:val="auto"/>
              </w:rPr>
            </w:pPr>
            <w:r>
              <w:rPr>
                <w:rFonts w:ascii="Arial" w:cs="Arial" w:eastAsia="Arial" w:hAnsi="Arial"/>
                <w:sz w:val="18"/>
                <w:szCs w:val="18"/>
                <w:color w:val="auto"/>
              </w:rPr>
              <w:t>Other, net</w:t>
            </w:r>
          </w:p>
        </w:tc>
        <w:tc>
          <w:tcPr>
            <w:tcW w:w="4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(889 )</w:t>
            </w:r>
          </w:p>
        </w:tc>
        <w:tc>
          <w:tcPr>
            <w:tcW w:w="46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(307 )</w:t>
            </w:r>
          </w:p>
        </w:tc>
        <w:tc>
          <w:tcPr>
            <w:tcW w:w="0" w:type="dxa"/>
            <w:vAlign w:val="bottom"/>
          </w:tcPr>
          <w:p>
            <w:pPr>
              <w:spacing w:after="0"/>
              <w:rPr>
                <w:sz w:val="1"/>
                <w:szCs w:val="1"/>
                <w:color w:val="auto"/>
              </w:rPr>
            </w:pPr>
          </w:p>
        </w:tc>
      </w:tr>
      <w:tr>
        <w:trPr>
          <w:trHeight w:val="50"/>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0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660"/>
              <w:spacing w:after="0"/>
              <w:rPr>
                <w:sz w:val="20"/>
                <w:szCs w:val="20"/>
                <w:color w:val="auto"/>
              </w:rPr>
            </w:pPr>
            <w:r>
              <w:rPr>
                <w:rFonts w:ascii="Arial" w:cs="Arial" w:eastAsia="Arial" w:hAnsi="Arial"/>
                <w:sz w:val="18"/>
                <w:szCs w:val="18"/>
                <w:color w:val="auto"/>
              </w:rPr>
              <w:t>Net cash from (used in) financing</w:t>
            </w:r>
          </w:p>
        </w:tc>
        <w:tc>
          <w:tcPr>
            <w:tcW w:w="460" w:type="dxa"/>
            <w:vAlign w:val="bottom"/>
            <w:shd w:val="clear" w:color="auto" w:fill="E5E5E5"/>
          </w:tcPr>
          <w:p>
            <w:pPr>
              <w:spacing w:after="0"/>
              <w:rPr>
                <w:sz w:val="19"/>
                <w:szCs w:val="19"/>
                <w:color w:val="auto"/>
              </w:rPr>
            </w:pPr>
          </w:p>
        </w:tc>
        <w:tc>
          <w:tcPr>
            <w:tcW w:w="126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(16,576 )</w:t>
            </w:r>
          </w:p>
        </w:tc>
        <w:tc>
          <w:tcPr>
            <w:tcW w:w="46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14,761</w:t>
            </w:r>
          </w:p>
        </w:tc>
        <w:tc>
          <w:tcPr>
            <w:tcW w:w="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0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Investing</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Additions to property and equipment</w:t>
            </w:r>
          </w:p>
        </w:tc>
        <w:tc>
          <w:tcPr>
            <w:tcW w:w="460" w:type="dxa"/>
            <w:vAlign w:val="bottom"/>
            <w:shd w:val="clear" w:color="auto" w:fill="E5E5E5"/>
          </w:tcPr>
          <w:p>
            <w:pPr>
              <w:spacing w:after="0"/>
              <w:rPr>
                <w:sz w:val="19"/>
                <w:szCs w:val="19"/>
                <w:color w:val="auto"/>
              </w:rPr>
            </w:pPr>
          </w:p>
        </w:tc>
        <w:tc>
          <w:tcPr>
            <w:tcW w:w="126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(14,923 )</w:t>
            </w:r>
          </w:p>
        </w:tc>
        <w:tc>
          <w:tcPr>
            <w:tcW w:w="460" w:type="dxa"/>
            <w:vAlign w:val="bottom"/>
            <w:shd w:val="clear" w:color="auto" w:fill="E5E5E5"/>
          </w:tcPr>
          <w:p>
            <w:pPr>
              <w:spacing w:after="0"/>
              <w:rPr>
                <w:sz w:val="19"/>
                <w:szCs w:val="19"/>
                <w:color w:val="auto"/>
              </w:rPr>
            </w:pPr>
          </w:p>
        </w:tc>
        <w:tc>
          <w:tcPr>
            <w:tcW w:w="106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(9,917 )</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Acquisition of companies, net of cash acquired, and purchases of intangible and other assets</w:t>
            </w:r>
          </w:p>
        </w:tc>
        <w:tc>
          <w:tcPr>
            <w:tcW w:w="4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(1,849 )</w:t>
            </w:r>
          </w:p>
        </w:tc>
        <w:tc>
          <w:tcPr>
            <w:tcW w:w="4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(1,186 )</w:t>
            </w: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Purchases of investments</w:t>
            </w:r>
          </w:p>
        </w:tc>
        <w:tc>
          <w:tcPr>
            <w:tcW w:w="460" w:type="dxa"/>
            <w:vAlign w:val="bottom"/>
            <w:shd w:val="clear" w:color="auto" w:fill="E5E5E5"/>
          </w:tcPr>
          <w:p>
            <w:pPr>
              <w:spacing w:after="0"/>
              <w:rPr>
                <w:sz w:val="19"/>
                <w:szCs w:val="19"/>
                <w:color w:val="auto"/>
              </w:rPr>
            </w:pPr>
          </w:p>
        </w:tc>
        <w:tc>
          <w:tcPr>
            <w:tcW w:w="126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(1,620 )</w:t>
            </w:r>
          </w:p>
        </w:tc>
        <w:tc>
          <w:tcPr>
            <w:tcW w:w="460" w:type="dxa"/>
            <w:vAlign w:val="bottom"/>
            <w:shd w:val="clear" w:color="auto" w:fill="E5E5E5"/>
          </w:tcPr>
          <w:p>
            <w:pPr>
              <w:spacing w:after="0"/>
              <w:rPr>
                <w:sz w:val="19"/>
                <w:szCs w:val="19"/>
                <w:color w:val="auto"/>
              </w:rPr>
            </w:pPr>
          </w:p>
        </w:tc>
        <w:tc>
          <w:tcPr>
            <w:tcW w:w="106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(8,460 )</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Maturities of investments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2,136</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Sales of investments</w:t>
            </w:r>
          </w:p>
        </w:tc>
        <w:tc>
          <w:tcPr>
            <w:tcW w:w="460" w:type="dxa"/>
            <w:vAlign w:val="bottom"/>
            <w:shd w:val="clear" w:color="auto" w:fill="E5E5E5"/>
          </w:tcPr>
          <w:p>
            <w:pPr>
              <w:spacing w:after="0"/>
              <w:rPr>
                <w:sz w:val="19"/>
                <w:szCs w:val="19"/>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1,968</w:t>
            </w:r>
          </w:p>
        </w:tc>
        <w:tc>
          <w:tcPr>
            <w:tcW w:w="28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5,330</w:t>
            </w:r>
          </w:p>
        </w:tc>
        <w:tc>
          <w:tcPr>
            <w:tcW w:w="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000" w:type="dxa"/>
            <w:vAlign w:val="bottom"/>
          </w:tcPr>
          <w:p>
            <w:pPr>
              <w:ind w:left="20"/>
              <w:spacing w:after="0"/>
              <w:rPr>
                <w:sz w:val="20"/>
                <w:szCs w:val="20"/>
                <w:color w:val="auto"/>
              </w:rPr>
            </w:pPr>
            <w:r>
              <w:rPr>
                <w:rFonts w:ascii="Arial" w:cs="Arial" w:eastAsia="Arial" w:hAnsi="Arial"/>
                <w:sz w:val="18"/>
                <w:szCs w:val="18"/>
                <w:color w:val="auto"/>
              </w:rPr>
              <w:t>Other, net</w:t>
            </w:r>
          </w:p>
        </w:tc>
        <w:tc>
          <w:tcPr>
            <w:tcW w:w="4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(913 )</w:t>
            </w:r>
          </w:p>
        </w:tc>
        <w:tc>
          <w:tcPr>
            <w:tcW w:w="46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(982 )</w:t>
            </w:r>
          </w:p>
        </w:tc>
        <w:tc>
          <w:tcPr>
            <w:tcW w:w="0" w:type="dxa"/>
            <w:vAlign w:val="bottom"/>
          </w:tcPr>
          <w:p>
            <w:pPr>
              <w:spacing w:after="0"/>
              <w:rPr>
                <w:sz w:val="1"/>
                <w:szCs w:val="1"/>
                <w:color w:val="auto"/>
              </w:rPr>
            </w:pPr>
          </w:p>
        </w:tc>
      </w:tr>
      <w:tr>
        <w:trPr>
          <w:trHeight w:val="50"/>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0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660"/>
              <w:spacing w:after="0"/>
              <w:rPr>
                <w:sz w:val="20"/>
                <w:szCs w:val="20"/>
                <w:color w:val="auto"/>
              </w:rPr>
            </w:pPr>
            <w:r>
              <w:rPr>
                <w:rFonts w:ascii="Arial" w:cs="Arial" w:eastAsia="Arial" w:hAnsi="Arial"/>
                <w:sz w:val="18"/>
                <w:szCs w:val="18"/>
                <w:color w:val="auto"/>
              </w:rPr>
              <w:t>Net cash from (used in) investing</w:t>
            </w:r>
          </w:p>
        </w:tc>
        <w:tc>
          <w:tcPr>
            <w:tcW w:w="460" w:type="dxa"/>
            <w:vAlign w:val="bottom"/>
            <w:shd w:val="clear" w:color="auto" w:fill="E5E5E5"/>
          </w:tcPr>
          <w:p>
            <w:pPr>
              <w:spacing w:after="0"/>
              <w:rPr>
                <w:sz w:val="19"/>
                <w:szCs w:val="19"/>
                <w:color w:val="auto"/>
              </w:rPr>
            </w:pPr>
          </w:p>
        </w:tc>
        <w:tc>
          <w:tcPr>
            <w:tcW w:w="126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(15,201 )</w:t>
            </w:r>
          </w:p>
        </w:tc>
        <w:tc>
          <w:tcPr>
            <w:tcW w:w="46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503</w:t>
            </w:r>
          </w:p>
        </w:tc>
        <w:tc>
          <w:tcPr>
            <w:tcW w:w="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0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8000" w:type="dxa"/>
            <w:vAlign w:val="bottom"/>
          </w:tcPr>
          <w:p>
            <w:pPr>
              <w:ind w:left="20"/>
              <w:spacing w:after="0"/>
              <w:rPr>
                <w:sz w:val="20"/>
                <w:szCs w:val="20"/>
                <w:color w:val="auto"/>
              </w:rPr>
            </w:pPr>
            <w:r>
              <w:rPr>
                <w:rFonts w:ascii="Arial" w:cs="Arial" w:eastAsia="Arial" w:hAnsi="Arial"/>
                <w:sz w:val="18"/>
                <w:szCs w:val="18"/>
                <w:color w:val="auto"/>
              </w:rPr>
              <w:t>Effect of foreign exchange rates on cash and cash equivalents</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55"/>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0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460" w:type="dxa"/>
            <w:vAlign w:val="bottom"/>
            <w:shd w:val="clear" w:color="auto" w:fill="E5E5E5"/>
          </w:tcPr>
          <w:p>
            <w:pPr>
              <w:spacing w:after="0"/>
              <w:rPr>
                <w:sz w:val="19"/>
                <w:szCs w:val="19"/>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2,525</w:t>
            </w:r>
          </w:p>
        </w:tc>
        <w:tc>
          <w:tcPr>
            <w:tcW w:w="28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45,748</w:t>
            </w:r>
          </w:p>
        </w:tc>
        <w:tc>
          <w:tcPr>
            <w:tcW w:w="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00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18,315</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34,704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0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460" w:type="dxa"/>
            <w:vAlign w:val="bottom"/>
            <w:shd w:val="clear" w:color="auto" w:fill="E5E5E5"/>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20,840</w:t>
            </w:r>
          </w:p>
        </w:tc>
        <w:tc>
          <w:tcPr>
            <w:tcW w:w="280" w:type="dxa"/>
            <w:vAlign w:val="bottom"/>
            <w:shd w:val="clear" w:color="auto" w:fill="E5E5E5"/>
          </w:tcPr>
          <w:p>
            <w:pPr>
              <w:spacing w:after="0"/>
              <w:rPr>
                <w:sz w:val="19"/>
                <w:szCs w:val="19"/>
                <w:color w:val="auto"/>
              </w:rPr>
            </w:pPr>
          </w:p>
        </w:tc>
        <w:tc>
          <w:tcPr>
            <w:tcW w:w="460" w:type="dxa"/>
            <w:vAlign w:val="bottom"/>
            <w:shd w:val="clear" w:color="auto" w:fill="E5E5E5"/>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80,452</w:t>
            </w:r>
          </w:p>
        </w:tc>
        <w:tc>
          <w:tcPr>
            <w:tcW w:w="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8000" w:type="dxa"/>
            <w:vAlign w:val="bottom"/>
            <w:vMerge w:val="restart"/>
          </w:tcPr>
          <w:p>
            <w:pPr>
              <w:spacing w:after="0"/>
              <w:rPr>
                <w:sz w:val="20"/>
                <w:szCs w:val="20"/>
                <w:color w:val="auto"/>
              </w:rPr>
            </w:pPr>
            <w:r>
              <w:rPr>
                <w:rFonts w:ascii="Arial" w:cs="Arial" w:eastAsia="Arial" w:hAnsi="Arial"/>
                <w:sz w:val="18"/>
                <w:szCs w:val="18"/>
                <w:color w:val="auto"/>
              </w:rPr>
              <w:t>Refer to accompanying notes.</w:t>
            </w:r>
          </w:p>
        </w:tc>
        <w:tc>
          <w:tcPr>
            <w:tcW w:w="4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9"/>
        </w:trPr>
        <w:tc>
          <w:tcPr>
            <w:tcW w:w="80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8000" w:type="dxa"/>
            <w:vAlign w:val="bottom"/>
          </w:tcPr>
          <w:p>
            <w:pPr>
              <w:ind w:left="5580"/>
              <w:spacing w:after="0"/>
              <w:rPr>
                <w:sz w:val="20"/>
                <w:szCs w:val="20"/>
                <w:color w:val="auto"/>
              </w:rPr>
            </w:pPr>
            <w:r>
              <w:rPr>
                <w:rFonts w:ascii="Arial" w:cs="Arial" w:eastAsia="Arial" w:hAnsi="Arial"/>
                <w:sz w:val="14"/>
                <w:szCs w:val="14"/>
                <w:color w:val="auto"/>
              </w:rPr>
              <w:t>6</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3"/>
        </w:trPr>
        <w:tc>
          <w:tcPr>
            <w:tcW w:w="80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6" w:name="page7"/>
    <w:bookmarkEnd w:id="6"/>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STOCKHOLDERS’ EQUITY STATEMENTS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0637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ind w:left="20"/>
              <w:spacing w:after="0"/>
              <w:rPr>
                <w:sz w:val="20"/>
                <w:szCs w:val="20"/>
                <w:color w:val="auto"/>
              </w:rPr>
            </w:pPr>
            <w:r>
              <w:rPr>
                <w:rFonts w:ascii="Arial" w:cs="Arial" w:eastAsia="Arial" w:hAnsi="Arial"/>
                <w:sz w:val="13"/>
                <w:szCs w:val="13"/>
                <w:b w:val="1"/>
                <w:bCs w:val="1"/>
                <w:color w:val="auto"/>
              </w:rPr>
              <w:t>Three Months Ended September 30,</w:t>
            </w:r>
          </w:p>
        </w:tc>
        <w:tc>
          <w:tcPr>
            <w:tcW w:w="3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r>
      <w:tr>
        <w:trPr>
          <w:trHeight w:val="58"/>
        </w:trPr>
        <w:tc>
          <w:tcPr>
            <w:tcW w:w="4560" w:type="dxa"/>
            <w:vAlign w:val="bottom"/>
          </w:tcPr>
          <w:p>
            <w:pPr>
              <w:spacing w:after="0"/>
              <w:rPr>
                <w:sz w:val="5"/>
                <w:szCs w:val="5"/>
                <w:color w:val="auto"/>
              </w:rPr>
            </w:pPr>
          </w:p>
        </w:tc>
        <w:tc>
          <w:tcPr>
            <w:tcW w:w="3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456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Common stock and paid-in capital</w:t>
            </w:r>
          </w:p>
        </w:tc>
        <w:tc>
          <w:tcPr>
            <w:tcW w:w="344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3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100,923</w:t>
            </w:r>
          </w:p>
        </w:tc>
        <w:tc>
          <w:tcPr>
            <w:tcW w:w="2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93,718</w:t>
            </w:r>
          </w:p>
        </w:tc>
        <w:tc>
          <w:tcPr>
            <w:tcW w:w="100" w:type="dxa"/>
            <w:vAlign w:val="bottom"/>
          </w:tcPr>
          <w:p>
            <w:pPr>
              <w:spacing w:after="0"/>
              <w:rPr>
                <w:sz w:val="19"/>
                <w:szCs w:val="19"/>
                <w:color w:val="auto"/>
              </w:rPr>
            </w:pPr>
          </w:p>
        </w:tc>
      </w:tr>
      <w:tr>
        <w:trPr>
          <w:trHeight w:val="229"/>
        </w:trPr>
        <w:tc>
          <w:tcPr>
            <w:tcW w:w="4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Common stock issued</w:t>
            </w:r>
          </w:p>
        </w:tc>
        <w:tc>
          <w:tcPr>
            <w:tcW w:w="344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706</w:t>
            </w:r>
          </w:p>
        </w:tc>
        <w:tc>
          <w:tcPr>
            <w:tcW w:w="20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E5E5E5"/>
          </w:tcPr>
          <w:p>
            <w:pPr>
              <w:spacing w:after="0"/>
              <w:rPr>
                <w:sz w:val="19"/>
                <w:szCs w:val="19"/>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Common stock repurchased</w:t>
            </w:r>
          </w:p>
        </w:tc>
        <w:tc>
          <w:tcPr>
            <w:tcW w:w="3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(1,485 )</w:t>
            </w:r>
          </w:p>
        </w:tc>
        <w:tc>
          <w:tcPr>
            <w:tcW w:w="4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(1,401 )</w:t>
            </w:r>
          </w:p>
        </w:tc>
      </w:tr>
      <w:tr>
        <w:trPr>
          <w:trHeight w:val="229"/>
        </w:trPr>
        <w:tc>
          <w:tcPr>
            <w:tcW w:w="4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Stock-based compensation expense</w:t>
            </w:r>
          </w:p>
        </w:tc>
        <w:tc>
          <w:tcPr>
            <w:tcW w:w="344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2,832</w:t>
            </w:r>
          </w:p>
        </w:tc>
        <w:tc>
          <w:tcPr>
            <w:tcW w:w="20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2,507</w:t>
            </w:r>
          </w:p>
        </w:tc>
        <w:tc>
          <w:tcPr>
            <w:tcW w:w="100" w:type="dxa"/>
            <w:vAlign w:val="bottom"/>
            <w:shd w:val="clear" w:color="auto" w:fill="E5E5E5"/>
          </w:tcPr>
          <w:p>
            <w:pPr>
              <w:spacing w:after="0"/>
              <w:rPr>
                <w:sz w:val="19"/>
                <w:szCs w:val="19"/>
                <w:color w:val="auto"/>
              </w:rPr>
            </w:pPr>
          </w:p>
        </w:tc>
      </w:tr>
      <w:tr>
        <w:trPr>
          <w:trHeight w:val="247"/>
        </w:trPr>
        <w:tc>
          <w:tcPr>
            <w:tcW w:w="4560" w:type="dxa"/>
            <w:vAlign w:val="bottom"/>
          </w:tcPr>
          <w:p>
            <w:pPr>
              <w:ind w:left="20"/>
              <w:spacing w:after="0"/>
              <w:rPr>
                <w:sz w:val="20"/>
                <w:szCs w:val="20"/>
                <w:color w:val="auto"/>
              </w:rPr>
            </w:pPr>
            <w:r>
              <w:rPr>
                <w:rFonts w:ascii="Arial" w:cs="Arial" w:eastAsia="Arial" w:hAnsi="Arial"/>
                <w:sz w:val="18"/>
                <w:szCs w:val="18"/>
                <w:color w:val="auto"/>
              </w:rPr>
              <w:t>Other, net</w:t>
            </w:r>
          </w:p>
        </w:tc>
        <w:tc>
          <w:tcPr>
            <w:tcW w:w="3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r>
      <w:tr>
        <w:trPr>
          <w:trHeight w:val="50"/>
        </w:trPr>
        <w:tc>
          <w:tcPr>
            <w:tcW w:w="456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4560" w:type="dxa"/>
            <w:vAlign w:val="bottom"/>
          </w:tcPr>
          <w:p>
            <w:pPr>
              <w:spacing w:after="0"/>
              <w:rPr>
                <w:sz w:val="5"/>
                <w:szCs w:val="5"/>
                <w:color w:val="auto"/>
              </w:rPr>
            </w:pPr>
          </w:p>
        </w:tc>
        <w:tc>
          <w:tcPr>
            <w:tcW w:w="3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45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Balance, end of period</w:t>
            </w:r>
          </w:p>
        </w:tc>
        <w:tc>
          <w:tcPr>
            <w:tcW w:w="344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102,976</w:t>
            </w:r>
          </w:p>
        </w:tc>
        <w:tc>
          <w:tcPr>
            <w:tcW w:w="20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95,508</w:t>
            </w:r>
          </w:p>
        </w:tc>
        <w:tc>
          <w:tcPr>
            <w:tcW w:w="100" w:type="dxa"/>
            <w:vAlign w:val="bottom"/>
            <w:shd w:val="clear" w:color="auto" w:fill="E5E5E5"/>
          </w:tcPr>
          <w:p>
            <w:pPr>
              <w:spacing w:after="0"/>
              <w:rPr>
                <w:sz w:val="19"/>
                <w:szCs w:val="19"/>
                <w:color w:val="auto"/>
              </w:rPr>
            </w:pPr>
          </w:p>
        </w:tc>
      </w:tr>
      <w:tr>
        <w:trPr>
          <w:trHeight w:val="67"/>
        </w:trPr>
        <w:tc>
          <w:tcPr>
            <w:tcW w:w="4560" w:type="dxa"/>
            <w:vAlign w:val="bottom"/>
            <w:tcBorders>
              <w:bottom w:val="single" w:sz="8" w:color="auto"/>
            </w:tcBorders>
          </w:tcPr>
          <w:p>
            <w:pPr>
              <w:spacing w:after="0"/>
              <w:rPr>
                <w:sz w:val="5"/>
                <w:szCs w:val="5"/>
                <w:color w:val="auto"/>
              </w:rPr>
            </w:pPr>
          </w:p>
        </w:tc>
        <w:tc>
          <w:tcPr>
            <w:tcW w:w="34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90"/>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4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Balance, beginning of period</w:t>
            </w:r>
          </w:p>
        </w:tc>
        <w:tc>
          <w:tcPr>
            <w:tcW w:w="344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173,144</w:t>
            </w:r>
          </w:p>
        </w:tc>
        <w:tc>
          <w:tcPr>
            <w:tcW w:w="20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118,848</w:t>
            </w:r>
          </w:p>
        </w:tc>
        <w:tc>
          <w:tcPr>
            <w:tcW w:w="100" w:type="dxa"/>
            <w:vAlign w:val="bottom"/>
            <w:shd w:val="clear" w:color="auto" w:fill="E5E5E5"/>
          </w:tcPr>
          <w:p>
            <w:pPr>
              <w:spacing w:after="0"/>
              <w:rPr>
                <w:sz w:val="19"/>
                <w:szCs w:val="19"/>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24,667</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22,291</w:t>
            </w:r>
          </w:p>
        </w:tc>
        <w:tc>
          <w:tcPr>
            <w:tcW w:w="100" w:type="dxa"/>
            <w:vAlign w:val="bottom"/>
          </w:tcPr>
          <w:p>
            <w:pPr>
              <w:spacing w:after="0"/>
              <w:rPr>
                <w:sz w:val="19"/>
                <w:szCs w:val="19"/>
                <w:color w:val="auto"/>
              </w:rPr>
            </w:pPr>
          </w:p>
        </w:tc>
      </w:tr>
      <w:tr>
        <w:trPr>
          <w:trHeight w:val="229"/>
        </w:trPr>
        <w:tc>
          <w:tcPr>
            <w:tcW w:w="4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Common stock cash dividends</w:t>
            </w:r>
          </w:p>
        </w:tc>
        <w:tc>
          <w:tcPr>
            <w:tcW w:w="344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2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(6,171 )</w:t>
            </w:r>
          </w:p>
        </w:tc>
        <w:tc>
          <w:tcPr>
            <w:tcW w:w="460" w:type="dxa"/>
            <w:vAlign w:val="bottom"/>
            <w:shd w:val="clear" w:color="auto" w:fill="E5E5E5"/>
          </w:tcPr>
          <w:p>
            <w:pPr>
              <w:spacing w:after="0"/>
              <w:rPr>
                <w:sz w:val="19"/>
                <w:szCs w:val="19"/>
                <w:color w:val="auto"/>
              </w:rPr>
            </w:pPr>
          </w:p>
        </w:tc>
        <w:tc>
          <w:tcPr>
            <w:tcW w:w="110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(5,571 )</w:t>
            </w:r>
          </w:p>
        </w:tc>
      </w:tr>
      <w:tr>
        <w:trPr>
          <w:trHeight w:val="247"/>
        </w:trPr>
        <w:tc>
          <w:tcPr>
            <w:tcW w:w="4560" w:type="dxa"/>
            <w:vAlign w:val="bottom"/>
          </w:tcPr>
          <w:p>
            <w:pPr>
              <w:ind w:left="20"/>
              <w:spacing w:after="0"/>
              <w:rPr>
                <w:sz w:val="20"/>
                <w:szCs w:val="20"/>
                <w:color w:val="auto"/>
              </w:rPr>
            </w:pPr>
            <w:r>
              <w:rPr>
                <w:rFonts w:ascii="Arial" w:cs="Arial" w:eastAsia="Arial" w:hAnsi="Arial"/>
                <w:sz w:val="18"/>
                <w:szCs w:val="18"/>
                <w:color w:val="auto"/>
              </w:rPr>
              <w:t>Common stock repurchased</w:t>
            </w:r>
          </w:p>
        </w:tc>
        <w:tc>
          <w:tcPr>
            <w:tcW w:w="3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(2,711 )</w:t>
            </w:r>
          </w:p>
        </w:tc>
        <w:tc>
          <w:tcPr>
            <w:tcW w:w="4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(3,425 )</w:t>
            </w:r>
          </w:p>
        </w:tc>
      </w:tr>
      <w:tr>
        <w:trPr>
          <w:trHeight w:val="50"/>
        </w:trPr>
        <w:tc>
          <w:tcPr>
            <w:tcW w:w="456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4560" w:type="dxa"/>
            <w:vAlign w:val="bottom"/>
          </w:tcPr>
          <w:p>
            <w:pPr>
              <w:spacing w:after="0"/>
              <w:rPr>
                <w:sz w:val="5"/>
                <w:szCs w:val="5"/>
                <w:color w:val="auto"/>
              </w:rPr>
            </w:pPr>
          </w:p>
        </w:tc>
        <w:tc>
          <w:tcPr>
            <w:tcW w:w="3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45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Balance, end of period</w:t>
            </w:r>
          </w:p>
        </w:tc>
        <w:tc>
          <w:tcPr>
            <w:tcW w:w="344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188,929</w:t>
            </w:r>
          </w:p>
        </w:tc>
        <w:tc>
          <w:tcPr>
            <w:tcW w:w="20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132,143</w:t>
            </w:r>
          </w:p>
        </w:tc>
        <w:tc>
          <w:tcPr>
            <w:tcW w:w="100" w:type="dxa"/>
            <w:vAlign w:val="bottom"/>
            <w:shd w:val="clear" w:color="auto" w:fill="E5E5E5"/>
          </w:tcPr>
          <w:p>
            <w:pPr>
              <w:spacing w:after="0"/>
              <w:rPr>
                <w:sz w:val="19"/>
                <w:szCs w:val="19"/>
                <w:color w:val="auto"/>
              </w:rPr>
            </w:pPr>
          </w:p>
        </w:tc>
      </w:tr>
      <w:tr>
        <w:trPr>
          <w:trHeight w:val="67"/>
        </w:trPr>
        <w:tc>
          <w:tcPr>
            <w:tcW w:w="4560" w:type="dxa"/>
            <w:vAlign w:val="bottom"/>
            <w:tcBorders>
              <w:bottom w:val="single" w:sz="8" w:color="auto"/>
            </w:tcBorders>
          </w:tcPr>
          <w:p>
            <w:pPr>
              <w:spacing w:after="0"/>
              <w:rPr>
                <w:sz w:val="5"/>
                <w:szCs w:val="5"/>
                <w:color w:val="auto"/>
              </w:rPr>
            </w:pPr>
          </w:p>
        </w:tc>
        <w:tc>
          <w:tcPr>
            <w:tcW w:w="34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90"/>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4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Balance, beginning of period</w:t>
            </w:r>
          </w:p>
        </w:tc>
        <w:tc>
          <w:tcPr>
            <w:tcW w:w="344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2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(5,590 )</w:t>
            </w:r>
          </w:p>
        </w:tc>
        <w:tc>
          <w:tcPr>
            <w:tcW w:w="460" w:type="dxa"/>
            <w:vAlign w:val="bottom"/>
            <w:shd w:val="clear" w:color="auto" w:fill="E5E5E5"/>
          </w:tcPr>
          <w:p>
            <w:pPr>
              <w:spacing w:after="0"/>
              <w:rPr>
                <w:sz w:val="19"/>
                <w:szCs w:val="19"/>
                <w:color w:val="auto"/>
              </w:rPr>
            </w:pPr>
          </w:p>
        </w:tc>
        <w:tc>
          <w:tcPr>
            <w:tcW w:w="110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(6,343 )</w:t>
            </w:r>
          </w:p>
        </w:tc>
      </w:tr>
      <w:tr>
        <w:trPr>
          <w:trHeight w:val="247"/>
        </w:trPr>
        <w:tc>
          <w:tcPr>
            <w:tcW w:w="45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1,408</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(594 )</w:t>
            </w:r>
          </w:p>
        </w:tc>
      </w:tr>
      <w:tr>
        <w:trPr>
          <w:trHeight w:val="50"/>
        </w:trPr>
        <w:tc>
          <w:tcPr>
            <w:tcW w:w="456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4560" w:type="dxa"/>
            <w:vAlign w:val="bottom"/>
          </w:tcPr>
          <w:p>
            <w:pPr>
              <w:spacing w:after="0"/>
              <w:rPr>
                <w:sz w:val="5"/>
                <w:szCs w:val="5"/>
                <w:color w:val="auto"/>
              </w:rPr>
            </w:pPr>
          </w:p>
        </w:tc>
        <w:tc>
          <w:tcPr>
            <w:tcW w:w="3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45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Balance, end of period</w:t>
            </w:r>
          </w:p>
        </w:tc>
        <w:tc>
          <w:tcPr>
            <w:tcW w:w="344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2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(4,182 )</w:t>
            </w:r>
          </w:p>
        </w:tc>
        <w:tc>
          <w:tcPr>
            <w:tcW w:w="460" w:type="dxa"/>
            <w:vAlign w:val="bottom"/>
            <w:shd w:val="clear" w:color="auto" w:fill="E5E5E5"/>
          </w:tcPr>
          <w:p>
            <w:pPr>
              <w:spacing w:after="0"/>
              <w:rPr>
                <w:sz w:val="19"/>
                <w:szCs w:val="19"/>
                <w:color w:val="auto"/>
              </w:rPr>
            </w:pPr>
          </w:p>
        </w:tc>
        <w:tc>
          <w:tcPr>
            <w:tcW w:w="110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(6,937 )</w:t>
            </w:r>
          </w:p>
        </w:tc>
      </w:tr>
      <w:tr>
        <w:trPr>
          <w:trHeight w:val="67"/>
        </w:trPr>
        <w:tc>
          <w:tcPr>
            <w:tcW w:w="4560" w:type="dxa"/>
            <w:vAlign w:val="bottom"/>
            <w:tcBorders>
              <w:bottom w:val="single" w:sz="8" w:color="auto"/>
            </w:tcBorders>
          </w:tcPr>
          <w:p>
            <w:pPr>
              <w:spacing w:after="0"/>
              <w:rPr>
                <w:sz w:val="5"/>
                <w:szCs w:val="5"/>
                <w:color w:val="auto"/>
              </w:rPr>
            </w:pPr>
          </w:p>
        </w:tc>
        <w:tc>
          <w:tcPr>
            <w:tcW w:w="34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302"/>
        </w:trPr>
        <w:tc>
          <w:tcPr>
            <w:tcW w:w="45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3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287,723</w:t>
            </w:r>
          </w:p>
        </w:tc>
        <w:tc>
          <w:tcPr>
            <w:tcW w:w="2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220,714</w:t>
            </w:r>
          </w:p>
        </w:tc>
        <w:tc>
          <w:tcPr>
            <w:tcW w:w="100" w:type="dxa"/>
            <w:vAlign w:val="bottom"/>
          </w:tcPr>
          <w:p>
            <w:pPr>
              <w:spacing w:after="0"/>
              <w:rPr>
                <w:sz w:val="24"/>
                <w:szCs w:val="24"/>
                <w:color w:val="auto"/>
              </w:rPr>
            </w:pPr>
          </w:p>
        </w:tc>
      </w:tr>
      <w:tr>
        <w:trPr>
          <w:trHeight w:val="62"/>
        </w:trPr>
        <w:tc>
          <w:tcPr>
            <w:tcW w:w="4560" w:type="dxa"/>
            <w:vAlign w:val="bottom"/>
          </w:tcPr>
          <w:p>
            <w:pPr>
              <w:spacing w:after="0"/>
              <w:rPr>
                <w:sz w:val="5"/>
                <w:szCs w:val="5"/>
                <w:color w:val="auto"/>
              </w:rPr>
            </w:pPr>
          </w:p>
        </w:tc>
        <w:tc>
          <w:tcPr>
            <w:tcW w:w="344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67"/>
        </w:trPr>
        <w:tc>
          <w:tcPr>
            <w:tcW w:w="4560" w:type="dxa"/>
            <w:vAlign w:val="bottom"/>
          </w:tcPr>
          <w:p>
            <w:pPr>
              <w:spacing w:after="0"/>
              <w:rPr>
                <w:sz w:val="5"/>
                <w:szCs w:val="5"/>
                <w:color w:val="auto"/>
              </w:rPr>
            </w:pPr>
          </w:p>
        </w:tc>
        <w:tc>
          <w:tcPr>
            <w:tcW w:w="3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4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3900" w:type="dxa"/>
            <w:vAlign w:val="bottom"/>
            <w:gridSpan w:val="2"/>
            <w:shd w:val="clear" w:color="auto" w:fill="E5E5E5"/>
          </w:tcPr>
          <w:p>
            <w:pPr>
              <w:jc w:val="right"/>
              <w:ind w:right="34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0.83</w:t>
            </w:r>
          </w:p>
        </w:tc>
        <w:tc>
          <w:tcPr>
            <w:tcW w:w="200" w:type="dxa"/>
            <w:vAlign w:val="bottom"/>
            <w:shd w:val="clear" w:color="auto" w:fill="E5E5E5"/>
          </w:tcPr>
          <w:p>
            <w:pPr>
              <w:spacing w:after="0"/>
              <w:rPr>
                <w:sz w:val="19"/>
                <w:szCs w:val="19"/>
                <w:color w:val="auto"/>
              </w:rPr>
            </w:pPr>
          </w:p>
        </w:tc>
        <w:tc>
          <w:tcPr>
            <w:tcW w:w="460" w:type="dxa"/>
            <w:vAlign w:val="bottom"/>
            <w:shd w:val="clear" w:color="auto" w:fill="E5E5E5"/>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E5E5E5"/>
          </w:tcPr>
          <w:p>
            <w:pPr>
              <w:spacing w:after="0"/>
              <w:rPr>
                <w:sz w:val="19"/>
                <w:szCs w:val="19"/>
                <w:color w:val="auto"/>
              </w:rPr>
            </w:pPr>
          </w:p>
        </w:tc>
      </w:tr>
      <w:tr>
        <w:trPr>
          <w:trHeight w:val="67"/>
        </w:trPr>
        <w:tc>
          <w:tcPr>
            <w:tcW w:w="4560" w:type="dxa"/>
            <w:vAlign w:val="bottom"/>
            <w:tcBorders>
              <w:bottom w:val="single" w:sz="8" w:color="auto"/>
            </w:tcBorders>
          </w:tcPr>
          <w:p>
            <w:pPr>
              <w:spacing w:after="0"/>
              <w:rPr>
                <w:sz w:val="5"/>
                <w:szCs w:val="5"/>
                <w:color w:val="auto"/>
              </w:rPr>
            </w:pPr>
          </w:p>
        </w:tc>
        <w:tc>
          <w:tcPr>
            <w:tcW w:w="34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402"/>
        </w:trPr>
        <w:tc>
          <w:tcPr>
            <w:tcW w:w="4560" w:type="dxa"/>
            <w:vAlign w:val="bottom"/>
          </w:tcPr>
          <w:p>
            <w:pPr>
              <w:spacing w:after="0"/>
              <w:rPr>
                <w:sz w:val="20"/>
                <w:szCs w:val="20"/>
                <w:color w:val="auto"/>
              </w:rPr>
            </w:pPr>
            <w:r>
              <w:rPr>
                <w:rFonts w:ascii="Arial" w:cs="Arial" w:eastAsia="Arial" w:hAnsi="Arial"/>
                <w:sz w:val="18"/>
                <w:szCs w:val="18"/>
                <w:color w:val="auto"/>
              </w:rPr>
              <w:t>Refer to accompanying notes.</w:t>
            </w:r>
          </w:p>
        </w:tc>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9"/>
        </w:trPr>
        <w:tc>
          <w:tcPr>
            <w:tcW w:w="4560" w:type="dxa"/>
            <w:vAlign w:val="bottom"/>
          </w:tcPr>
          <w:p>
            <w:pPr>
              <w:spacing w:after="0"/>
              <w:rPr>
                <w:sz w:val="24"/>
                <w:szCs w:val="24"/>
                <w:color w:val="auto"/>
              </w:rPr>
            </w:pPr>
          </w:p>
        </w:tc>
        <w:tc>
          <w:tcPr>
            <w:tcW w:w="3440" w:type="dxa"/>
            <w:vAlign w:val="bottom"/>
          </w:tcPr>
          <w:p>
            <w:pPr>
              <w:jc w:val="right"/>
              <w:ind w:right="2255"/>
              <w:spacing w:after="0"/>
              <w:rPr>
                <w:sz w:val="20"/>
                <w:szCs w:val="20"/>
                <w:color w:val="auto"/>
              </w:rPr>
            </w:pPr>
            <w:r>
              <w:rPr>
                <w:rFonts w:ascii="Arial" w:cs="Arial" w:eastAsia="Arial" w:hAnsi="Arial"/>
                <w:sz w:val="14"/>
                <w:szCs w:val="14"/>
                <w:color w:val="auto"/>
              </w:rPr>
              <w:t>7</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3"/>
        </w:trPr>
        <w:tc>
          <w:tcPr>
            <w:tcW w:w="456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7" w:name="page8"/>
    <w:bookmarkEnd w:id="7"/>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w:t>
      </w:r>
    </w:p>
    <w:p>
      <w:pPr>
        <w:spacing w:after="0" w:line="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(Unaudited)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 — ACCOUNTING POLICIES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unaudited interim consolidated financial statements and accompanying notes are prepared in accordance with accounting principles generally accepted in the United States of America (“GAAP”). In the opinion of management, the unaudited interim consolidated financial statements reflect all adjustments of a normal recurring nature that are necessary for a fair presentation of the results for the interim periods presented. Interim results are not necessarily indicative of results for a full year. The information included in this Form 10-Q should be read in conjunction with information included in the Microsoft Corporation fiscal year 2024 Form 10-K filed with the U.S. Securities and Exchange Commission on July 30, 2024.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consolidated financial statements include the accounts of Microsoft Corporation and its subsidiaries. Intercompany transactions and balances have been eliminated.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Recast of Certain Prior Period Information</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August 2024, we announced changes to the composition of our segments. These changes align our segments with how we currently manage our business, most notably bringing the commercial components of Microsoft 365 together in the Productivity and Business Processes segment. Beginning in fiscal year 2025, the information that our chief operating decision maker is regularly provided and reviews for purposes of allocating resources and assessing performance reflects these segment changes. Prior period segment information has been recast to conform to the way we internally manage and monitor our business during fiscal year 2025. These changes impacted Note 8 – Goodwill, Note 12 – Unearned Revenue, and Note 17 – Segment Information and Geographic Data.</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recast of prior period information had no impact on our consolidated balance sheets, consolidated income statements, or consolidated cash flows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reported amounts of assets, liabilities, revenue, and expenses. Examples of estimates and assumptions include: for revenue recognition, determining the nature and timing of satisfaction of performance obligations, and determining the standalone selling price of performance obligations, variable consideration, and other obligations such as product returns and refunds; loss contingencies; product warranties; the fair value of and/or potential impairment of goodwill and intangible assets for our reporting units; product life cycles; useful lives of our tangible and intangible assets; allowances for doubtful accounts; the market value of, and demand for, our inventory; stock-based compensation forfeiture rates; when technological feasibility is achieved for our products; the potential outcome of uncertain tax positions that have been recognized in our consolidated financial statements or tax returns; and determining the timing and amount of impairments for investments. Actual results and outcomes may differ from management’s estimates and assumptions due to risks and uncertainties.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5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consider all highly liquid interest-earning investments with a maturity of three months or less at the date of purchase to be cash equivalents. The fair values of these investments approximate their carrying values. In general,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8" w:name="page9"/>
    <w:bookmarkEnd w:id="8"/>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Debt investments are classified as available-for-sale and realized gains and losses are recorded using the specific identification method. Changes in fair value, excluding credit losses and impairments, are recorded in other comprehensive income. Fair value is calculated based on publicly available market information or other estimates determined by management. If the cost of an investment exceeds its fair value, we evaluate, among other factors, general market conditions, credit quality of debt instrument issuers, and the extent to which the fair value is less than cost. To determine credit losses, we employ a systematic methodology that considers available quantitative and qualitative evidence.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12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Equity investments with readily determinable fair values are measured at fair value. Equity investments without readily determinable fair values are measured using the equity method or measured at cost with adjustments for observable changes in price or impairments (referred to as the measurement alternative). We perform a qualitative assessment on a periodic basis and recognize an impairment if there are sufficient indicators that the fair value of the investment is less than carrying value. Changes in value are recorded in other income (expense), net.</w:t>
      </w:r>
    </w:p>
    <w:p>
      <w:pPr>
        <w:spacing w:after="0" w:line="12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Investments that are considered variable interest entities (“VIEs”) are evaluated to determine whether we are the primary beneficiary of the VIE, in which case we would be required to consolidate the entity. We evaluate whether we have (1) the power to direct the activities that most significantly impact the VIE’s economic performance, and (2) the obligation to absorb losses or the right to receive benefits from the VIE that could potentially be significant to the VIE. We have determined we are not the primary beneficiary of any of our VIE investments. Therefore, our VIE investments are not consolidated and the majority are accounted for under the equity method of accounting. We have an investment in OpenAI Global, LLC (“OpenAI”) and have made total funding commitments of $13 billion. The investment is accounted for under the equity method of accounting.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Derivative instruments are recognized as either assets or liabilities and measured at fair value. The accounting for changes in the fair value of a derivative depends on the intended use of the derivative and the resulting designation.</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derivative instruments designated as fair value hedges, gains and losses are recognized in other income (expense), net with offsetting gains and losses on the hedged items. Gains and losses representing hedge components excluded from the assessment of effectiveness are recognized in other income (expense), net.</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derivative instruments designated as cash flow hedges, gains and losses are initially reported as a component of other comprehensive income and subsequently recognized in other income (expense), net with the corresponding hedged item. Gains and losses representing hedge components excluded from the assessment of effectiveness are recognized in other income (expense), net.</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derivative instruments that are not designated as hedges, gains and losses from changes in fair values are primarily recognized in other income (expense), net.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account for certain assets and liabilities at fair value. The hierarchy below lists three levels of fair value based on the extent to which inputs used in measuring fair value are observable in the market. We categorize each of our fair value measurements in one of these three levels based on the lowest level input that is significant to the fair value measurement in its entirety. These levels are:</w:t>
      </w:r>
    </w:p>
    <w:p>
      <w:pPr>
        <w:spacing w:after="0" w:line="36" w:lineRule="exact"/>
        <w:rPr>
          <w:sz w:val="20"/>
          <w:szCs w:val="20"/>
          <w:color w:val="auto"/>
        </w:rPr>
      </w:pPr>
    </w:p>
    <w:p>
      <w:pPr>
        <w:jc w:val="both"/>
        <w:ind w:left="1020" w:hanging="368"/>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based upon unadjusted quoted prices for identical instruments in active markets. Our Level 1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U.S. government securities, common and preferred stock, and mutual funds. Our Level 1 derivative assets and liabilities include those actively traded on exchanges.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9" w:name="page10"/>
    <w:bookmarkEnd w:id="9"/>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50" w:lineRule="exact"/>
        <w:rPr>
          <w:sz w:val="20"/>
          <w:szCs w:val="20"/>
          <w:color w:val="auto"/>
        </w:rPr>
      </w:pPr>
    </w:p>
    <w:p>
      <w:pPr>
        <w:jc w:val="both"/>
        <w:ind w:left="1020" w:hanging="368"/>
        <w:spacing w:after="0" w:line="239"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are based upon quoted prices for similar instruments in active markets,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Our Level 2 investments include commercial paper, certificates of deposit, U.S. agency securities, foreign government bonds, mortgage- and asset-backed securities, corporate notes and bonds, and municipal securities. Our Level 2 derivative assets and liabilities include certain cleared swap contracts and over-the-counter forward, option, and swap contracts.</w:t>
      </w:r>
    </w:p>
    <w:p>
      <w:pPr>
        <w:spacing w:after="0" w:line="45" w:lineRule="exact"/>
        <w:rPr>
          <w:rFonts w:ascii="Times New Roman" w:cs="Times New Roman" w:eastAsia="Times New Roman" w:hAnsi="Times New Roman"/>
          <w:sz w:val="18"/>
          <w:szCs w:val="18"/>
          <w:color w:val="auto"/>
        </w:rPr>
      </w:pPr>
    </w:p>
    <w:p>
      <w:pPr>
        <w:jc w:val="both"/>
        <w:ind w:left="1020" w:hanging="368"/>
        <w:spacing w:after="0" w:line="243"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are generally unobservable and typically reflect management’s estimates of assumptions that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 The fair values are therefore determined using model-based techniques, including option pricing models and discounted cash flow models. Our Level 3 assets and liabilities include investments in corporate notes and bonds, municipal securities, and goodwill and intangible assets, when they are recorded at fair value due to an impairment charge. Unobservable inputs used in the models are significant to the fair values of the assets and liabilities.</w:t>
      </w:r>
    </w:p>
    <w:p>
      <w:pPr>
        <w:spacing w:after="0" w:line="1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measure equity investments without readily determinable fair values on a nonrecurring basis. The fair values of these investments are determined based on valuation techniques using the best information available, and may include quoted market prices, market comparables, and discounted cash flow projections.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other current financial assets and current financial liabilities have fair values that approximate their carrying values.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and Other Receivables</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September 30, 2024 and June 30, 2024, long-term accounts receivable, net of allowance for doubtful accounts, was $4.8 billion and $4.9 billion, respectively, and is included in other long-term assets in our consolidated balance sheets.</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September 30, 2024 and June 30, 2024, other receivables related to activities to facilitate the purchase of server components were $11.4 billion and $10.5 billion, respectively, and are included in other current assets in our consolidated balance sheets.</w:t>
      </w:r>
    </w:p>
    <w:p>
      <w:pPr>
        <w:spacing w:after="0" w:line="9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record financing receivables when we offer certain of our customers the option to acquire our software products and services offerings through a financing program in a limited number of countries. As of September 30, 2024 and June 30, 2024, our financing receivables, net were $4.3 billion and $4.5 billion, respectively, for short-term and long-term financing receivables, which are included in other current assets and other long-term assets in our consolidated balance sheets. We record an allowance to cover expected losses based on troubled accounts, historical experience, and other currently available evidence.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March 2024, we entered into an agreement with Inflection AI, Inc. (“Inflection”), pursuant to which we obtained a non-exclusive license to Inflection’s intellectual property. Reid Hoffman, a member of our Board of Directors, is a co-founder of and serves on the board of directors of Inflection. As of the date of the agreement with Inflection, Reprogrammed Interchange LLC (“Reprogrammed”) and entities affiliated with Greylock Ventures (“Greylock”) each held less than a 10% equity interest in Inflection. Mr. Hoffman may be deemed to beneficially own the shares held by Reprogrammed and Greylock by virtue of his relationship with such entities. Mr. Hoffman did not participate in any portions of the meetings of our Board of Directors or any committee thereof to review and approve the transaction with Inflection.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0" w:name="page11"/>
    <w:bookmarkEnd w:id="10"/>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 – Improvements to Reportable Segment Disclosures</w:t>
      </w:r>
    </w:p>
    <w:p>
      <w:pPr>
        <w:spacing w:after="0" w:line="15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November 2023, the Financial Accounting Standards Board (“FASB”) issued a new standard to improve reportable segment disclosures. The guidance expands the disclosures required for reportable segments in our annual and interim consolidated financial statements, primarily through enhanced disclosures about significant segment expenses. The standard will be effective for us beginning with our annual reporting for fiscal year 2025 and interim periods thereafter, with early adoption permitted. We are currently evaluating the impact of this standard on our segment disclosures.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 Improvements to Income Tax Disclosures</w:t>
      </w:r>
    </w:p>
    <w:p>
      <w:pPr>
        <w:spacing w:after="0" w:line="15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December 2023, the FASB issued a new standard to improve income tax disclosures. The guidance requires disclosure of disaggregated income taxes paid, prescribes standardized categories for the components of the effective tax rate reconciliation, and modifies other income tax-related disclosures. The standard will be effective for us beginning with our annual reporting for fiscal year 2026, with early adoption permitted. We are currently evaluating the impact of this standard on our income tax disclosures.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2 — EARNINGS PER SHARE</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Basic earnings per share (“EPS”) is computed based on the weighted average number of shares of common stock outstanding during the period. Diluted EPS is computed based on the weighted average number of shares of common stock plus the effect of dilutive potential common shares outstanding during the period using the treasury stock method. Dilutive potential common shares include outstanding stock options and stock awards.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basic and diluted EPS were as follows: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 except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0465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ind w:left="20"/>
              <w:spacing w:after="0"/>
              <w:rPr>
                <w:sz w:val="20"/>
                <w:szCs w:val="20"/>
                <w:color w:val="auto"/>
              </w:rPr>
            </w:pPr>
            <w:r>
              <w:rPr>
                <w:rFonts w:ascii="Arial" w:cs="Arial" w:eastAsia="Arial" w:hAnsi="Arial"/>
                <w:sz w:val="13"/>
                <w:szCs w:val="13"/>
                <w:b w:val="1"/>
                <w:bCs w:val="1"/>
                <w:color w:val="auto"/>
              </w:rPr>
              <w:t>Three Months Ended September 30,</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7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9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E5E5E5"/>
          </w:tcPr>
          <w:p>
            <w:pPr>
              <w:ind w:left="20"/>
              <w:spacing w:after="0"/>
              <w:rPr>
                <w:sz w:val="20"/>
                <w:szCs w:val="20"/>
                <w:color w:val="auto"/>
              </w:rPr>
            </w:pPr>
            <w:r>
              <w:rPr>
                <w:rFonts w:ascii="Arial" w:cs="Arial" w:eastAsia="Arial" w:hAnsi="Arial"/>
                <w:sz w:val="18"/>
                <w:szCs w:val="18"/>
                <w:color w:val="auto"/>
              </w:rPr>
              <w:t>Net income available for common shareholders (A)</w:t>
            </w:r>
          </w:p>
        </w:tc>
        <w:tc>
          <w:tcPr>
            <w:tcW w:w="520" w:type="dxa"/>
            <w:vAlign w:val="bottom"/>
            <w:shd w:val="clear" w:color="auto" w:fill="E5E5E5"/>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24,667</w:t>
            </w:r>
          </w:p>
        </w:tc>
        <w:tc>
          <w:tcPr>
            <w:tcW w:w="820" w:type="dxa"/>
            <w:vAlign w:val="bottom"/>
            <w:gridSpan w:val="2"/>
            <w:shd w:val="clear" w:color="auto" w:fill="E5E5E5"/>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22,291</w:t>
            </w:r>
          </w:p>
        </w:tc>
        <w:tc>
          <w:tcPr>
            <w:tcW w:w="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784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840" w:type="dxa"/>
            <w:vAlign w:val="bottom"/>
          </w:tcPr>
          <w:p>
            <w:pPr>
              <w:ind w:left="20"/>
              <w:spacing w:after="0"/>
              <w:rPr>
                <w:sz w:val="20"/>
                <w:szCs w:val="20"/>
                <w:color w:val="auto"/>
              </w:rPr>
            </w:pPr>
            <w:r>
              <w:rPr>
                <w:rFonts w:ascii="Arial" w:cs="Arial" w:eastAsia="Arial" w:hAnsi="Arial"/>
                <w:sz w:val="18"/>
                <w:szCs w:val="18"/>
                <w:color w:val="auto"/>
              </w:rPr>
              <w:t>Weighted average outstanding shares of common stock (B)</w:t>
            </w: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7,433</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7,429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E5E5E5"/>
          </w:tcPr>
          <w:p>
            <w:pPr>
              <w:ind w:left="20"/>
              <w:spacing w:after="0"/>
              <w:rPr>
                <w:sz w:val="20"/>
                <w:szCs w:val="20"/>
                <w:color w:val="auto"/>
              </w:rPr>
            </w:pPr>
            <w:r>
              <w:rPr>
                <w:rFonts w:ascii="Arial" w:cs="Arial" w:eastAsia="Arial" w:hAnsi="Arial"/>
                <w:sz w:val="18"/>
                <w:szCs w:val="18"/>
                <w:color w:val="auto"/>
              </w:rPr>
              <w:t>Dilutive effect of stock-based awards</w:t>
            </w:r>
          </w:p>
        </w:tc>
        <w:tc>
          <w:tcPr>
            <w:tcW w:w="52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37</w:t>
            </w:r>
          </w:p>
        </w:tc>
        <w:tc>
          <w:tcPr>
            <w:tcW w:w="300" w:type="dxa"/>
            <w:vAlign w:val="bottom"/>
            <w:shd w:val="clear" w:color="auto" w:fill="E5E5E5"/>
          </w:tcPr>
          <w:p>
            <w:pPr>
              <w:spacing w:after="0"/>
              <w:rPr>
                <w:sz w:val="19"/>
                <w:szCs w:val="19"/>
                <w:color w:val="auto"/>
              </w:rPr>
            </w:pPr>
          </w:p>
        </w:tc>
        <w:tc>
          <w:tcPr>
            <w:tcW w:w="52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7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7840" w:type="dxa"/>
            <w:vAlign w:val="bottom"/>
          </w:tcPr>
          <w:p>
            <w:pPr>
              <w:ind w:left="20"/>
              <w:spacing w:after="0"/>
              <w:rPr>
                <w:sz w:val="20"/>
                <w:szCs w:val="20"/>
                <w:color w:val="auto"/>
              </w:rPr>
            </w:pPr>
            <w:r>
              <w:rPr>
                <w:rFonts w:ascii="Arial" w:cs="Arial" w:eastAsia="Arial" w:hAnsi="Arial"/>
                <w:sz w:val="18"/>
                <w:szCs w:val="18"/>
                <w:color w:val="auto"/>
              </w:rPr>
              <w:t>Common stock and common stock equivalents (C)</w:t>
            </w: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7,470</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7,462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78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Earnings Per Share</w:t>
            </w: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784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7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9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E5E5E5"/>
          </w:tcPr>
          <w:p>
            <w:pPr>
              <w:ind w:left="20"/>
              <w:spacing w:after="0"/>
              <w:rPr>
                <w:sz w:val="20"/>
                <w:szCs w:val="20"/>
                <w:color w:val="auto"/>
              </w:rPr>
            </w:pPr>
            <w:r>
              <w:rPr>
                <w:rFonts w:ascii="Arial" w:cs="Arial" w:eastAsia="Arial" w:hAnsi="Arial"/>
                <w:sz w:val="18"/>
                <w:szCs w:val="18"/>
                <w:color w:val="auto"/>
              </w:rPr>
              <w:t>Basic (A/B)</w:t>
            </w:r>
          </w:p>
        </w:tc>
        <w:tc>
          <w:tcPr>
            <w:tcW w:w="520" w:type="dxa"/>
            <w:vAlign w:val="bottom"/>
            <w:shd w:val="clear" w:color="auto" w:fill="E5E5E5"/>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3.32</w:t>
            </w:r>
          </w:p>
        </w:tc>
        <w:tc>
          <w:tcPr>
            <w:tcW w:w="820" w:type="dxa"/>
            <w:vAlign w:val="bottom"/>
            <w:gridSpan w:val="2"/>
            <w:shd w:val="clear" w:color="auto" w:fill="E5E5E5"/>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840" w:type="dxa"/>
            <w:vAlign w:val="bottom"/>
          </w:tcPr>
          <w:p>
            <w:pPr>
              <w:ind w:left="20"/>
              <w:spacing w:after="0"/>
              <w:rPr>
                <w:sz w:val="20"/>
                <w:szCs w:val="20"/>
                <w:color w:val="auto"/>
              </w:rPr>
            </w:pPr>
            <w:r>
              <w:rPr>
                <w:rFonts w:ascii="Arial" w:cs="Arial" w:eastAsia="Arial" w:hAnsi="Arial"/>
                <w:sz w:val="18"/>
                <w:szCs w:val="18"/>
                <w:color w:val="auto"/>
              </w:rPr>
              <w:t>Diluted (A/C)</w:t>
            </w:r>
          </w:p>
        </w:tc>
        <w:tc>
          <w:tcPr>
            <w:tcW w:w="5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3.30</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78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Anti-dilutive stock-based awards excluded from the calculations of diluted EPS were immaterial during the periods presented.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1" w:name="page12"/>
    <w:bookmarkEnd w:id="11"/>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2" w:lineRule="exact"/>
        <w:rPr>
          <w:sz w:val="20"/>
          <w:szCs w:val="20"/>
          <w:color w:val="auto"/>
        </w:rPr>
      </w:pPr>
    </w:p>
    <w:p>
      <w:pPr>
        <w:ind w:right="3740" w:firstLine="3689"/>
        <w:spacing w:after="0" w:line="448" w:lineRule="auto"/>
        <w:rPr>
          <w:sz w:val="20"/>
          <w:szCs w:val="20"/>
          <w:color w:val="auto"/>
        </w:rPr>
      </w:pPr>
      <w:r>
        <w:rPr>
          <w:rFonts w:ascii="Arial" w:cs="Arial" w:eastAsia="Arial" w:hAnsi="Arial"/>
          <w:sz w:val="18"/>
          <w:szCs w:val="18"/>
          <w:u w:val="single" w:color="auto"/>
          <w:color w:val="auto"/>
        </w:rPr>
        <w:t xml:space="preserve">NOTE 3 — OTHER INCOME (EXPENSE), NET </w:t>
      </w:r>
      <w:r>
        <w:rPr>
          <w:rFonts w:ascii="Arial" w:cs="Arial" w:eastAsia="Arial" w:hAnsi="Arial"/>
          <w:sz w:val="18"/>
          <w:szCs w:val="18"/>
          <w:color w:val="auto"/>
        </w:rPr>
        <w:t>The components of other income (expense), net were as follows:</w:t>
      </w: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0465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ind w:left="20"/>
              <w:spacing w:after="0"/>
              <w:rPr>
                <w:sz w:val="20"/>
                <w:szCs w:val="20"/>
                <w:color w:val="auto"/>
              </w:rPr>
            </w:pPr>
            <w:r>
              <w:rPr>
                <w:rFonts w:ascii="Arial" w:cs="Arial" w:eastAsia="Arial" w:hAnsi="Arial"/>
                <w:sz w:val="13"/>
                <w:szCs w:val="13"/>
                <w:b w:val="1"/>
                <w:bCs w:val="1"/>
                <w:color w:val="auto"/>
              </w:rPr>
              <w:t>Three Months Ended September 30,</w:t>
            </w:r>
          </w:p>
        </w:tc>
        <w:tc>
          <w:tcPr>
            <w:tcW w:w="6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6"/>
                <w:szCs w:val="16"/>
                <w:color w:val="auto"/>
              </w:rPr>
            </w:pPr>
          </w:p>
        </w:tc>
      </w:tr>
      <w:tr>
        <w:trPr>
          <w:trHeight w:val="58"/>
        </w:trPr>
        <w:tc>
          <w:tcPr>
            <w:tcW w:w="78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29"/>
        </w:trPr>
        <w:tc>
          <w:tcPr>
            <w:tcW w:w="7840" w:type="dxa"/>
            <w:vAlign w:val="bottom"/>
            <w:shd w:val="clear" w:color="auto" w:fill="E5E5E5"/>
          </w:tcPr>
          <w:p>
            <w:pPr>
              <w:ind w:left="20"/>
              <w:spacing w:after="0"/>
              <w:rPr>
                <w:sz w:val="20"/>
                <w:szCs w:val="20"/>
                <w:color w:val="auto"/>
              </w:rPr>
            </w:pPr>
            <w:r>
              <w:rPr>
                <w:rFonts w:ascii="Arial" w:cs="Arial" w:eastAsia="Arial" w:hAnsi="Arial"/>
                <w:sz w:val="18"/>
                <w:szCs w:val="18"/>
                <w:color w:val="auto"/>
              </w:rPr>
              <w:t>Interest and dividends income</w:t>
            </w:r>
          </w:p>
        </w:tc>
        <w:tc>
          <w:tcPr>
            <w:tcW w:w="620" w:type="dxa"/>
            <w:vAlign w:val="bottom"/>
            <w:shd w:val="clear" w:color="auto" w:fill="E5E5E5"/>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681</w:t>
            </w:r>
          </w:p>
        </w:tc>
        <w:tc>
          <w:tcPr>
            <w:tcW w:w="300" w:type="dxa"/>
            <w:vAlign w:val="bottom"/>
            <w:shd w:val="clear" w:color="auto" w:fill="E5E5E5"/>
          </w:tcPr>
          <w:p>
            <w:pPr>
              <w:spacing w:after="0"/>
              <w:rPr>
                <w:sz w:val="19"/>
                <w:szCs w:val="19"/>
                <w:color w:val="auto"/>
              </w:rPr>
            </w:pPr>
          </w:p>
        </w:tc>
        <w:tc>
          <w:tcPr>
            <w:tcW w:w="560" w:type="dxa"/>
            <w:vAlign w:val="bottom"/>
            <w:shd w:val="clear" w:color="auto" w:fill="E5E5E5"/>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1,166</w:t>
            </w:r>
          </w:p>
        </w:tc>
        <w:tc>
          <w:tcPr>
            <w:tcW w:w="140" w:type="dxa"/>
            <w:vAlign w:val="bottom"/>
            <w:shd w:val="clear" w:color="auto" w:fill="E5E5E5"/>
          </w:tcPr>
          <w:p>
            <w:pPr>
              <w:spacing w:after="0"/>
              <w:rPr>
                <w:sz w:val="19"/>
                <w:szCs w:val="19"/>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(582 )</w:t>
            </w:r>
          </w:p>
        </w:tc>
        <w:tc>
          <w:tcPr>
            <w:tcW w:w="5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(525 )</w:t>
            </w:r>
          </w:p>
        </w:tc>
      </w:tr>
      <w:tr>
        <w:trPr>
          <w:trHeight w:val="229"/>
        </w:trPr>
        <w:tc>
          <w:tcPr>
            <w:tcW w:w="7840" w:type="dxa"/>
            <w:vAlign w:val="bottom"/>
            <w:shd w:val="clear" w:color="auto" w:fill="E5E5E5"/>
          </w:tcPr>
          <w:p>
            <w:pPr>
              <w:ind w:left="20"/>
              <w:spacing w:after="0"/>
              <w:rPr>
                <w:sz w:val="20"/>
                <w:szCs w:val="20"/>
                <w:color w:val="auto"/>
              </w:rPr>
            </w:pPr>
            <w:r>
              <w:rPr>
                <w:rFonts w:ascii="Arial" w:cs="Arial" w:eastAsia="Arial" w:hAnsi="Arial"/>
                <w:sz w:val="18"/>
                <w:szCs w:val="18"/>
                <w:color w:val="auto"/>
              </w:rPr>
              <w:t>Net recognized gains (losses) on investments</w:t>
            </w:r>
          </w:p>
        </w:tc>
        <w:tc>
          <w:tcPr>
            <w:tcW w:w="62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463</w:t>
            </w:r>
          </w:p>
        </w:tc>
        <w:tc>
          <w:tcPr>
            <w:tcW w:w="300" w:type="dxa"/>
            <w:vAlign w:val="bottom"/>
            <w:shd w:val="clear" w:color="auto" w:fill="E5E5E5"/>
          </w:tcPr>
          <w:p>
            <w:pPr>
              <w:spacing w:after="0"/>
              <w:rPr>
                <w:sz w:val="19"/>
                <w:szCs w:val="19"/>
                <w:color w:val="auto"/>
              </w:rPr>
            </w:pPr>
          </w:p>
        </w:tc>
        <w:tc>
          <w:tcPr>
            <w:tcW w:w="560" w:type="dxa"/>
            <w:vAlign w:val="bottom"/>
            <w:shd w:val="clear" w:color="auto" w:fill="E5E5E5"/>
          </w:tcPr>
          <w:p>
            <w:pPr>
              <w:spacing w:after="0"/>
              <w:rPr>
                <w:sz w:val="19"/>
                <w:szCs w:val="19"/>
                <w:color w:val="auto"/>
              </w:rPr>
            </w:pPr>
          </w:p>
        </w:tc>
        <w:tc>
          <w:tcPr>
            <w:tcW w:w="104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(107 )</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Net gains (losses) on derivatives</w:t>
            </w:r>
          </w:p>
        </w:tc>
        <w:tc>
          <w:tcPr>
            <w:tcW w:w="6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(338 )</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9"/>
                <w:szCs w:val="19"/>
                <w:color w:val="auto"/>
              </w:rPr>
            </w:pPr>
          </w:p>
        </w:tc>
      </w:tr>
      <w:tr>
        <w:trPr>
          <w:trHeight w:val="229"/>
        </w:trPr>
        <w:tc>
          <w:tcPr>
            <w:tcW w:w="7840" w:type="dxa"/>
            <w:vAlign w:val="bottom"/>
            <w:shd w:val="clear" w:color="auto" w:fill="E5E5E5"/>
          </w:tcPr>
          <w:p>
            <w:pPr>
              <w:ind w:left="20"/>
              <w:spacing w:after="0"/>
              <w:rPr>
                <w:sz w:val="20"/>
                <w:szCs w:val="20"/>
                <w:color w:val="auto"/>
              </w:rPr>
            </w:pPr>
            <w:r>
              <w:rPr>
                <w:rFonts w:ascii="Arial" w:cs="Arial" w:eastAsia="Arial" w:hAnsi="Arial"/>
                <w:sz w:val="18"/>
                <w:szCs w:val="18"/>
                <w:color w:val="auto"/>
              </w:rPr>
              <w:t>Net gains (losses) on foreign currency remeasurements</w:t>
            </w:r>
          </w:p>
        </w:tc>
        <w:tc>
          <w:tcPr>
            <w:tcW w:w="62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176</w:t>
            </w:r>
          </w:p>
        </w:tc>
        <w:tc>
          <w:tcPr>
            <w:tcW w:w="300" w:type="dxa"/>
            <w:vAlign w:val="bottom"/>
            <w:shd w:val="clear" w:color="auto" w:fill="E5E5E5"/>
          </w:tcPr>
          <w:p>
            <w:pPr>
              <w:spacing w:after="0"/>
              <w:rPr>
                <w:sz w:val="19"/>
                <w:szCs w:val="19"/>
                <w:color w:val="auto"/>
              </w:rPr>
            </w:pPr>
          </w:p>
        </w:tc>
        <w:tc>
          <w:tcPr>
            <w:tcW w:w="560" w:type="dxa"/>
            <w:vAlign w:val="bottom"/>
            <w:shd w:val="clear" w:color="auto" w:fill="E5E5E5"/>
          </w:tcPr>
          <w:p>
            <w:pPr>
              <w:spacing w:after="0"/>
              <w:rPr>
                <w:sz w:val="19"/>
                <w:szCs w:val="19"/>
                <w:color w:val="auto"/>
              </w:rPr>
            </w:pPr>
          </w:p>
        </w:tc>
        <w:tc>
          <w:tcPr>
            <w:tcW w:w="104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(101 )</w:t>
            </w:r>
          </w:p>
        </w:tc>
      </w:tr>
      <w:tr>
        <w:trPr>
          <w:trHeight w:val="247"/>
        </w:trPr>
        <w:tc>
          <w:tcPr>
            <w:tcW w:w="7840" w:type="dxa"/>
            <w:vAlign w:val="bottom"/>
          </w:tcPr>
          <w:p>
            <w:pPr>
              <w:ind w:left="20"/>
              <w:spacing w:after="0"/>
              <w:rPr>
                <w:sz w:val="20"/>
                <w:szCs w:val="20"/>
                <w:color w:val="auto"/>
              </w:rPr>
            </w:pPr>
            <w:r>
              <w:rPr>
                <w:rFonts w:ascii="Arial" w:cs="Arial" w:eastAsia="Arial" w:hAnsi="Arial"/>
                <w:sz w:val="18"/>
                <w:szCs w:val="18"/>
                <w:color w:val="auto"/>
              </w:rPr>
              <w:t>Other, net</w:t>
            </w:r>
          </w:p>
        </w:tc>
        <w:tc>
          <w:tcPr>
            <w:tcW w:w="6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(683 )</w:t>
            </w:r>
          </w:p>
        </w:tc>
        <w:tc>
          <w:tcPr>
            <w:tcW w:w="56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(137 )</w:t>
            </w:r>
          </w:p>
        </w:tc>
      </w:tr>
      <w:tr>
        <w:trPr>
          <w:trHeight w:val="50"/>
        </w:trPr>
        <w:tc>
          <w:tcPr>
            <w:tcW w:w="78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61"/>
        </w:trPr>
        <w:tc>
          <w:tcPr>
            <w:tcW w:w="78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29"/>
        </w:trPr>
        <w:tc>
          <w:tcPr>
            <w:tcW w:w="784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E5E5E5"/>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(283 )</w:t>
            </w:r>
          </w:p>
        </w:tc>
        <w:tc>
          <w:tcPr>
            <w:tcW w:w="560" w:type="dxa"/>
            <w:vAlign w:val="bottom"/>
            <w:shd w:val="clear" w:color="auto" w:fill="E5E5E5"/>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389</w:t>
            </w:r>
          </w:p>
        </w:tc>
        <w:tc>
          <w:tcPr>
            <w:tcW w:w="140" w:type="dxa"/>
            <w:vAlign w:val="bottom"/>
            <w:shd w:val="clear" w:color="auto" w:fill="E5E5E5"/>
          </w:tcPr>
          <w:p>
            <w:pPr>
              <w:spacing w:after="0"/>
              <w:rPr>
                <w:sz w:val="19"/>
                <w:szCs w:val="19"/>
                <w:color w:val="auto"/>
              </w:rPr>
            </w:pPr>
          </w:p>
        </w:tc>
      </w:tr>
      <w:tr>
        <w:trPr>
          <w:trHeight w:val="74"/>
        </w:trPr>
        <w:tc>
          <w:tcPr>
            <w:tcW w:w="784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net primarily reflects net recognized losses on equity method investments, including OpenAI</w:t>
      </w:r>
      <w:r>
        <w:rPr>
          <w:rFonts w:ascii="Arial" w:cs="Arial" w:eastAsia="Arial" w:hAnsi="Arial"/>
          <w:sz w:val="18"/>
          <w:szCs w:val="18"/>
          <w:i w:val="1"/>
          <w:i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Recognized Gains (Losses) on Investments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Net recognized gains (losses) on debt investments were as follows: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0465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ind w:left="20"/>
              <w:spacing w:after="0"/>
              <w:rPr>
                <w:sz w:val="20"/>
                <w:szCs w:val="20"/>
                <w:color w:val="auto"/>
              </w:rPr>
            </w:pPr>
            <w:r>
              <w:rPr>
                <w:rFonts w:ascii="Arial" w:cs="Arial" w:eastAsia="Arial" w:hAnsi="Arial"/>
                <w:sz w:val="13"/>
                <w:szCs w:val="13"/>
                <w:b w:val="1"/>
                <w:bCs w:val="1"/>
                <w:color w:val="auto"/>
              </w:rPr>
              <w:t>Three Months Ended September 30,</w:t>
            </w:r>
          </w:p>
        </w:tc>
        <w:tc>
          <w:tcPr>
            <w:tcW w:w="2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55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E5E5E5"/>
          </w:tcPr>
          <w:p>
            <w:pPr>
              <w:ind w:left="20"/>
              <w:spacing w:after="0"/>
              <w:rPr>
                <w:sz w:val="20"/>
                <w:szCs w:val="20"/>
                <w:color w:val="auto"/>
              </w:rPr>
            </w:pPr>
            <w:r>
              <w:rPr>
                <w:rFonts w:ascii="Arial" w:cs="Arial" w:eastAsia="Arial" w:hAnsi="Arial"/>
                <w:sz w:val="18"/>
                <w:szCs w:val="18"/>
                <w:color w:val="auto"/>
              </w:rPr>
              <w:t>Realized gains from sales of available-for-sale securities</w:t>
            </w:r>
          </w:p>
        </w:tc>
        <w:tc>
          <w:tcPr>
            <w:tcW w:w="2960" w:type="dxa"/>
            <w:vAlign w:val="bottom"/>
            <w:gridSpan w:val="2"/>
            <w:shd w:val="clear" w:color="auto" w:fill="E5E5E5"/>
          </w:tcPr>
          <w:p>
            <w:pPr>
              <w:jc w:val="right"/>
              <w:ind w:right="5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620" w:type="dxa"/>
            <w:vAlign w:val="bottom"/>
            <w:gridSpan w:val="2"/>
            <w:shd w:val="clear" w:color="auto" w:fill="E5E5E5"/>
          </w:tcPr>
          <w:p>
            <w:pPr>
              <w:jc w:val="right"/>
              <w:ind w:right="50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Realized losses from sales of available-for-sale securities</w:t>
            </w:r>
          </w:p>
        </w:tc>
        <w:tc>
          <w:tcPr>
            <w:tcW w:w="2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(15 )</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9"/>
        </w:trPr>
        <w:tc>
          <w:tcPr>
            <w:tcW w:w="5520" w:type="dxa"/>
            <w:vAlign w:val="bottom"/>
            <w:shd w:val="clear" w:color="auto" w:fill="E5E5E5"/>
          </w:tcPr>
          <w:p>
            <w:pPr>
              <w:ind w:left="20"/>
              <w:spacing w:after="0"/>
              <w:rPr>
                <w:sz w:val="20"/>
                <w:szCs w:val="20"/>
                <w:color w:val="auto"/>
              </w:rPr>
            </w:pPr>
            <w:r>
              <w:rPr>
                <w:rFonts w:ascii="Arial" w:cs="Arial" w:eastAsia="Arial" w:hAnsi="Arial"/>
                <w:sz w:val="18"/>
                <w:szCs w:val="18"/>
                <w:color w:val="auto"/>
              </w:rPr>
              <w:t>Impairments and allowance for credit losses</w:t>
            </w:r>
          </w:p>
        </w:tc>
        <w:tc>
          <w:tcPr>
            <w:tcW w:w="2320" w:type="dxa"/>
            <w:vAlign w:val="bottom"/>
            <w:shd w:val="clear" w:color="auto" w:fill="E5E5E5"/>
          </w:tcPr>
          <w:p>
            <w:pPr>
              <w:spacing w:after="0"/>
              <w:rPr>
                <w:sz w:val="19"/>
                <w:szCs w:val="19"/>
                <w:color w:val="auto"/>
              </w:rPr>
            </w:pPr>
          </w:p>
        </w:tc>
        <w:tc>
          <w:tcPr>
            <w:tcW w:w="64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600" w:type="dxa"/>
            <w:vAlign w:val="bottom"/>
            <w:shd w:val="clear" w:color="auto" w:fill="E5E5E5"/>
          </w:tcPr>
          <w:p>
            <w:pPr>
              <w:spacing w:after="0"/>
              <w:rPr>
                <w:sz w:val="19"/>
                <w:szCs w:val="19"/>
                <w:color w:val="auto"/>
              </w:rPr>
            </w:pPr>
          </w:p>
        </w:tc>
        <w:tc>
          <w:tcPr>
            <w:tcW w:w="10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67"/>
        </w:trPr>
        <w:tc>
          <w:tcPr>
            <w:tcW w:w="5520" w:type="dxa"/>
            <w:vAlign w:val="bottom"/>
            <w:tcBorders>
              <w:bottom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5520" w:type="dxa"/>
            <w:vAlign w:val="bottom"/>
          </w:tcPr>
          <w:p>
            <w:pPr>
              <w:ind w:left="240"/>
              <w:spacing w:after="0"/>
              <w:rPr>
                <w:sz w:val="20"/>
                <w:szCs w:val="20"/>
                <w:color w:val="auto"/>
              </w:rPr>
            </w:pPr>
            <w:r>
              <w:rPr>
                <w:rFonts w:ascii="Arial" w:cs="Arial" w:eastAsia="Arial" w:hAnsi="Arial"/>
                <w:sz w:val="18"/>
                <w:szCs w:val="18"/>
                <w:color w:val="auto"/>
              </w:rPr>
              <w:t>Total</w:t>
            </w:r>
          </w:p>
        </w:tc>
        <w:tc>
          <w:tcPr>
            <w:tcW w:w="29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62"/>
        </w:trPr>
        <w:tc>
          <w:tcPr>
            <w:tcW w:w="5520" w:type="dxa"/>
            <w:vAlign w:val="bottom"/>
            <w:vMerge w:val="restart"/>
          </w:tcPr>
          <w:p>
            <w:pPr>
              <w:spacing w:after="0"/>
              <w:rPr>
                <w:sz w:val="20"/>
                <w:szCs w:val="20"/>
                <w:color w:val="auto"/>
              </w:rPr>
            </w:pPr>
            <w:r>
              <w:rPr>
                <w:rFonts w:ascii="Arial" w:cs="Arial" w:eastAsia="Arial" w:hAnsi="Arial"/>
                <w:sz w:val="18"/>
                <w:szCs w:val="18"/>
                <w:color w:val="auto"/>
              </w:rPr>
              <w:t>Net recognized gains (losses) on equity investments were as follows:</w:t>
            </w:r>
          </w:p>
        </w:tc>
        <w:tc>
          <w:tcPr>
            <w:tcW w:w="23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9"/>
        </w:trPr>
        <w:tc>
          <w:tcPr>
            <w:tcW w:w="5520" w:type="dxa"/>
            <w:vAlign w:val="bottom"/>
            <w:vMerge w:val="continue"/>
          </w:tcPr>
          <w:p>
            <w:pPr>
              <w:spacing w:after="0"/>
              <w:rPr>
                <w:sz w:val="24"/>
                <w:szCs w:val="24"/>
                <w:color w:val="auto"/>
              </w:rPr>
            </w:pPr>
          </w:p>
        </w:tc>
        <w:tc>
          <w:tcPr>
            <w:tcW w:w="2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52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2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5520" w:type="dxa"/>
            <w:vAlign w:val="bottom"/>
            <w:tcBorders>
              <w:bottom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gridSpan w:val="2"/>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5520" w:type="dxa"/>
            <w:vAlign w:val="bottom"/>
          </w:tcPr>
          <w:p>
            <w:pPr>
              <w:ind w:left="20"/>
              <w:spacing w:after="0"/>
              <w:rPr>
                <w:sz w:val="20"/>
                <w:szCs w:val="20"/>
                <w:color w:val="auto"/>
              </w:rPr>
            </w:pPr>
            <w:r>
              <w:rPr>
                <w:rFonts w:ascii="Arial" w:cs="Arial" w:eastAsia="Arial" w:hAnsi="Arial"/>
                <w:sz w:val="13"/>
                <w:szCs w:val="13"/>
                <w:b w:val="1"/>
                <w:bCs w:val="1"/>
                <w:color w:val="auto"/>
              </w:rPr>
              <w:t>Three Months Ended September 30,</w:t>
            </w:r>
          </w:p>
        </w:tc>
        <w:tc>
          <w:tcPr>
            <w:tcW w:w="2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2024</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5520" w:type="dxa"/>
            <w:vAlign w:val="bottom"/>
          </w:tcPr>
          <w:p>
            <w:pPr>
              <w:spacing w:after="0"/>
              <w:rPr>
                <w:sz w:val="5"/>
                <w:szCs w:val="5"/>
                <w:color w:val="auto"/>
              </w:rPr>
            </w:pPr>
          </w:p>
        </w:tc>
        <w:tc>
          <w:tcPr>
            <w:tcW w:w="2960" w:type="dxa"/>
            <w:vAlign w:val="bottom"/>
            <w:gridSpan w:val="2"/>
          </w:tcPr>
          <w:p>
            <w:pPr>
              <w:spacing w:after="0"/>
              <w:rPr>
                <w:sz w:val="5"/>
                <w:szCs w:val="5"/>
                <w:color w:val="auto"/>
              </w:rPr>
            </w:pPr>
          </w:p>
        </w:tc>
        <w:tc>
          <w:tcPr>
            <w:tcW w:w="860" w:type="dxa"/>
            <w:vAlign w:val="bottom"/>
            <w:gridSpan w:val="2"/>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E5E5E5"/>
          </w:tcPr>
          <w:p>
            <w:pPr>
              <w:ind w:left="20"/>
              <w:spacing w:after="0"/>
              <w:rPr>
                <w:sz w:val="20"/>
                <w:szCs w:val="20"/>
                <w:color w:val="auto"/>
              </w:rPr>
            </w:pPr>
            <w:r>
              <w:rPr>
                <w:rFonts w:ascii="Arial" w:cs="Arial" w:eastAsia="Arial" w:hAnsi="Arial"/>
                <w:sz w:val="18"/>
                <w:szCs w:val="18"/>
                <w:color w:val="auto"/>
              </w:rPr>
              <w:t>Net realized gains on investments sold</w:t>
            </w:r>
          </w:p>
        </w:tc>
        <w:tc>
          <w:tcPr>
            <w:tcW w:w="2960" w:type="dxa"/>
            <w:vAlign w:val="bottom"/>
            <w:gridSpan w:val="2"/>
            <w:shd w:val="clear" w:color="auto" w:fill="E5E5E5"/>
          </w:tcPr>
          <w:p>
            <w:pPr>
              <w:jc w:val="right"/>
              <w:ind w:right="5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65</w:t>
            </w:r>
          </w:p>
        </w:tc>
        <w:tc>
          <w:tcPr>
            <w:tcW w:w="280" w:type="dxa"/>
            <w:vAlign w:val="bottom"/>
            <w:shd w:val="clear" w:color="auto" w:fill="E5E5E5"/>
          </w:tcPr>
          <w:p>
            <w:pPr>
              <w:spacing w:after="0"/>
              <w:rPr>
                <w:sz w:val="19"/>
                <w:szCs w:val="19"/>
                <w:color w:val="auto"/>
              </w:rPr>
            </w:pPr>
          </w:p>
        </w:tc>
        <w:tc>
          <w:tcPr>
            <w:tcW w:w="620" w:type="dxa"/>
            <w:vAlign w:val="bottom"/>
            <w:gridSpan w:val="2"/>
            <w:shd w:val="clear" w:color="auto" w:fill="E5E5E5"/>
          </w:tcPr>
          <w:p>
            <w:pPr>
              <w:jc w:val="right"/>
              <w:ind w:right="50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Net unrealized gains (losses) on investments still held</w:t>
            </w:r>
          </w:p>
        </w:tc>
        <w:tc>
          <w:tcPr>
            <w:tcW w:w="2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412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29"/>
        </w:trPr>
        <w:tc>
          <w:tcPr>
            <w:tcW w:w="5520" w:type="dxa"/>
            <w:vAlign w:val="bottom"/>
            <w:shd w:val="clear" w:color="auto" w:fill="E5E5E5"/>
          </w:tcPr>
          <w:p>
            <w:pPr>
              <w:ind w:left="20"/>
              <w:spacing w:after="0"/>
              <w:rPr>
                <w:sz w:val="20"/>
                <w:szCs w:val="20"/>
                <w:color w:val="auto"/>
              </w:rPr>
            </w:pPr>
            <w:r>
              <w:rPr>
                <w:rFonts w:ascii="Arial" w:cs="Arial" w:eastAsia="Arial" w:hAnsi="Arial"/>
                <w:sz w:val="18"/>
                <w:szCs w:val="18"/>
                <w:color w:val="auto"/>
              </w:rPr>
              <w:t>Impairments of investments</w:t>
            </w:r>
          </w:p>
        </w:tc>
        <w:tc>
          <w:tcPr>
            <w:tcW w:w="2320" w:type="dxa"/>
            <w:vAlign w:val="bottom"/>
            <w:shd w:val="clear" w:color="auto" w:fill="E5E5E5"/>
          </w:tcPr>
          <w:p>
            <w:pPr>
              <w:spacing w:after="0"/>
              <w:rPr>
                <w:sz w:val="19"/>
                <w:szCs w:val="19"/>
                <w:color w:val="auto"/>
              </w:rPr>
            </w:pPr>
          </w:p>
        </w:tc>
        <w:tc>
          <w:tcPr>
            <w:tcW w:w="640" w:type="dxa"/>
            <w:vAlign w:val="bottom"/>
            <w:shd w:val="clear" w:color="auto" w:fill="E5E5E5"/>
          </w:tcPr>
          <w:p>
            <w:pPr>
              <w:spacing w:after="0"/>
              <w:rPr>
                <w:sz w:val="19"/>
                <w:szCs w:val="19"/>
                <w:color w:val="auto"/>
              </w:rPr>
            </w:pPr>
          </w:p>
        </w:tc>
        <w:tc>
          <w:tcPr>
            <w:tcW w:w="1140" w:type="dxa"/>
            <w:vAlign w:val="bottom"/>
            <w:gridSpan w:val="3"/>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(19 )</w:t>
            </w:r>
          </w:p>
        </w:tc>
        <w:tc>
          <w:tcPr>
            <w:tcW w:w="20" w:type="dxa"/>
            <w:vAlign w:val="bottom"/>
            <w:shd w:val="clear" w:color="auto" w:fill="E5E5E5"/>
          </w:tcPr>
          <w:p>
            <w:pPr>
              <w:spacing w:after="0"/>
              <w:rPr>
                <w:sz w:val="19"/>
                <w:szCs w:val="19"/>
                <w:color w:val="auto"/>
              </w:rPr>
            </w:pPr>
          </w:p>
        </w:tc>
        <w:tc>
          <w:tcPr>
            <w:tcW w:w="60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5520" w:type="dxa"/>
            <w:vAlign w:val="bottom"/>
            <w:tcBorders>
              <w:bottom w:val="single" w:sz="8" w:color="auto"/>
            </w:tcBorders>
          </w:tcPr>
          <w:p>
            <w:pPr>
              <w:spacing w:after="0"/>
              <w:rPr>
                <w:sz w:val="5"/>
                <w:szCs w:val="5"/>
                <w:color w:val="auto"/>
              </w:rPr>
            </w:pPr>
          </w:p>
        </w:tc>
        <w:tc>
          <w:tcPr>
            <w:tcW w:w="2960" w:type="dxa"/>
            <w:vAlign w:val="bottom"/>
            <w:tcBorders>
              <w:bottom w:val="single" w:sz="8" w:color="auto"/>
            </w:tcBorders>
            <w:gridSpan w:val="2"/>
          </w:tcPr>
          <w:p>
            <w:pPr>
              <w:spacing w:after="0"/>
              <w:rPr>
                <w:sz w:val="5"/>
                <w:szCs w:val="5"/>
                <w:color w:val="auto"/>
              </w:rPr>
            </w:pPr>
          </w:p>
        </w:tc>
        <w:tc>
          <w:tcPr>
            <w:tcW w:w="860" w:type="dxa"/>
            <w:vAlign w:val="bottom"/>
            <w:tcBorders>
              <w:bottom w:val="single" w:sz="8" w:color="auto"/>
            </w:tcBorders>
            <w:gridSpan w:val="2"/>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5520" w:type="dxa"/>
            <w:vAlign w:val="bottom"/>
          </w:tcPr>
          <w:p>
            <w:pPr>
              <w:ind w:left="240"/>
              <w:spacing w:after="0"/>
              <w:rPr>
                <w:sz w:val="20"/>
                <w:szCs w:val="20"/>
                <w:color w:val="auto"/>
              </w:rPr>
            </w:pPr>
            <w:r>
              <w:rPr>
                <w:rFonts w:ascii="Arial" w:cs="Arial" w:eastAsia="Arial" w:hAnsi="Arial"/>
                <w:sz w:val="18"/>
                <w:szCs w:val="18"/>
                <w:color w:val="auto"/>
              </w:rPr>
              <w:t>Total</w:t>
            </w:r>
          </w:p>
        </w:tc>
        <w:tc>
          <w:tcPr>
            <w:tcW w:w="29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458</w:t>
            </w:r>
          </w:p>
        </w:tc>
        <w:tc>
          <w:tcPr>
            <w:tcW w:w="280" w:type="dxa"/>
            <w:vAlign w:val="bottom"/>
          </w:tcPr>
          <w:p>
            <w:pPr>
              <w:spacing w:after="0"/>
              <w:rPr>
                <w:sz w:val="24"/>
                <w:szCs w:val="24"/>
                <w:color w:val="auto"/>
              </w:rPr>
            </w:pPr>
          </w:p>
        </w:tc>
        <w:tc>
          <w:tcPr>
            <w:tcW w:w="6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62"/>
        </w:trPr>
        <w:tc>
          <w:tcPr>
            <w:tcW w:w="5520" w:type="dxa"/>
            <w:vAlign w:val="bottom"/>
          </w:tcPr>
          <w:p>
            <w:pPr>
              <w:spacing w:after="0"/>
              <w:rPr>
                <w:sz w:val="5"/>
                <w:szCs w:val="5"/>
                <w:color w:val="auto"/>
              </w:rPr>
            </w:pPr>
          </w:p>
        </w:tc>
        <w:tc>
          <w:tcPr>
            <w:tcW w:w="2320" w:type="dxa"/>
            <w:vAlign w:val="bottom"/>
            <w:vMerge w:val="restart"/>
          </w:tcPr>
          <w:p>
            <w:pPr>
              <w:jc w:val="right"/>
              <w:ind w:right="2054"/>
              <w:spacing w:after="0"/>
              <w:rPr>
                <w:sz w:val="20"/>
                <w:szCs w:val="20"/>
                <w:color w:val="auto"/>
              </w:rPr>
            </w:pPr>
            <w:r>
              <w:rPr>
                <w:rFonts w:ascii="Arial" w:cs="Arial" w:eastAsia="Arial" w:hAnsi="Arial"/>
                <w:sz w:val="14"/>
                <w:szCs w:val="14"/>
                <w:color w:val="auto"/>
              </w:rPr>
              <w:t>12</w:t>
            </w: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2"/>
        </w:trPr>
        <w:tc>
          <w:tcPr>
            <w:tcW w:w="55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3"/>
        </w:trPr>
        <w:tc>
          <w:tcPr>
            <w:tcW w:w="55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2" w:name="page13"/>
    <w:bookmarkEnd w:id="12"/>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4 — INVESTMENTS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Components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investments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Fair</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Adjusted</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160" w:type="dxa"/>
            <w:vAlign w:val="bottom"/>
          </w:tcPr>
          <w:p>
            <w:pPr>
              <w:spacing w:after="0"/>
              <w:rPr>
                <w:sz w:val="13"/>
                <w:szCs w:val="13"/>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rPr>
              <w:t>Recorded</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Cash</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Short-term</w:t>
            </w:r>
          </w:p>
        </w:tc>
        <w:tc>
          <w:tcPr>
            <w:tcW w:w="160" w:type="dxa"/>
            <w:vAlign w:val="bottom"/>
          </w:tcPr>
          <w:p>
            <w:pPr>
              <w:spacing w:after="0"/>
              <w:rPr>
                <w:sz w:val="13"/>
                <w:szCs w:val="13"/>
                <w:color w:val="auto"/>
              </w:rPr>
            </w:pPr>
          </w:p>
        </w:tc>
        <w:tc>
          <w:tcPr>
            <w:tcW w:w="940" w:type="dxa"/>
            <w:vAlign w:val="bottom"/>
            <w:gridSpan w:val="2"/>
          </w:tcPr>
          <w:p>
            <w:pPr>
              <w:ind w:left="100"/>
              <w:spacing w:after="0"/>
              <w:rPr>
                <w:sz w:val="20"/>
                <w:szCs w:val="20"/>
                <w:color w:val="auto"/>
              </w:rPr>
            </w:pPr>
            <w:r>
              <w:rPr>
                <w:rFonts w:ascii="Arial" w:cs="Arial" w:eastAsia="Arial" w:hAnsi="Arial"/>
                <w:sz w:val="13"/>
                <w:szCs w:val="13"/>
                <w:b w:val="1"/>
                <w:bCs w:val="1"/>
                <w:color w:val="auto"/>
              </w:rPr>
              <w:t>Equity and</w:t>
            </w:r>
          </w:p>
        </w:tc>
        <w:tc>
          <w:tcPr>
            <w:tcW w:w="0" w:type="dxa"/>
            <w:vAlign w:val="bottom"/>
          </w:tcPr>
          <w:p>
            <w:pPr>
              <w:spacing w:after="0"/>
              <w:rPr>
                <w:sz w:val="1"/>
                <w:szCs w:val="1"/>
                <w:color w:val="auto"/>
              </w:rPr>
            </w:pPr>
          </w:p>
        </w:tc>
      </w:tr>
      <w:tr>
        <w:trPr>
          <w:trHeight w:val="148"/>
        </w:trPr>
        <w:tc>
          <w:tcPr>
            <w:tcW w:w="20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020" w:type="dxa"/>
            <w:vAlign w:val="bottom"/>
          </w:tcPr>
          <w:p>
            <w:pPr>
              <w:jc w:val="center"/>
              <w:spacing w:after="0" w:line="149" w:lineRule="exact"/>
              <w:rPr>
                <w:sz w:val="20"/>
                <w:szCs w:val="20"/>
                <w:color w:val="auto"/>
              </w:rPr>
            </w:pPr>
            <w:r>
              <w:rPr>
                <w:rFonts w:ascii="Arial" w:cs="Arial" w:eastAsia="Arial" w:hAnsi="Arial"/>
                <w:sz w:val="13"/>
                <w:szCs w:val="13"/>
                <w:b w:val="1"/>
                <w:bCs w:val="1"/>
                <w:color w:val="auto"/>
                <w:w w:val="97"/>
              </w:rPr>
              <w:t>Value</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Cost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and Cash</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3"/>
                <w:szCs w:val="13"/>
                <w:b w:val="1"/>
                <w:bCs w:val="1"/>
                <w:color w:val="auto"/>
              </w:rPr>
              <w:t>Other</w:t>
            </w:r>
          </w:p>
        </w:tc>
        <w:tc>
          <w:tcPr>
            <w:tcW w:w="0" w:type="dxa"/>
            <w:vAlign w:val="bottom"/>
          </w:tcPr>
          <w:p>
            <w:pPr>
              <w:spacing w:after="0"/>
              <w:rPr>
                <w:sz w:val="1"/>
                <w:szCs w:val="1"/>
                <w:color w:val="auto"/>
              </w:rPr>
            </w:pPr>
          </w:p>
        </w:tc>
      </w:tr>
      <w:tr>
        <w:trPr>
          <w:trHeight w:val="186"/>
        </w:trPr>
        <w:tc>
          <w:tcPr>
            <w:tcW w:w="2040" w:type="dxa"/>
            <w:vAlign w:val="bottom"/>
            <w:vMerge w:val="continue"/>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Level</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Basis</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Gains</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16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Basis</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Equivalents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Investments</w:t>
            </w:r>
          </w:p>
        </w:tc>
        <w:tc>
          <w:tcPr>
            <w:tcW w:w="16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Investments</w:t>
            </w:r>
          </w:p>
        </w:tc>
        <w:tc>
          <w:tcPr>
            <w:tcW w:w="0" w:type="dxa"/>
            <w:vAlign w:val="bottom"/>
          </w:tcPr>
          <w:p>
            <w:pPr>
              <w:spacing w:after="0"/>
              <w:rPr>
                <w:sz w:val="1"/>
                <w:szCs w:val="1"/>
                <w:color w:val="auto"/>
              </w:rPr>
            </w:pPr>
          </w:p>
        </w:tc>
      </w:tr>
      <w:tr>
        <w:trPr>
          <w:trHeight w:val="58"/>
        </w:trPr>
        <w:tc>
          <w:tcPr>
            <w:tcW w:w="20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13"/>
                <w:szCs w:val="13"/>
                <w:b w:val="1"/>
                <w:bCs w:val="1"/>
                <w:color w:val="auto"/>
              </w:rPr>
              <w:t>September 30, 2024</w:t>
            </w: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40" w:type="dxa"/>
            <w:vAlign w:val="bottom"/>
          </w:tcPr>
          <w:p>
            <w:pPr>
              <w:ind w:left="20"/>
              <w:spacing w:after="0"/>
              <w:rPr>
                <w:sz w:val="20"/>
                <w:szCs w:val="20"/>
                <w:color w:val="auto"/>
              </w:rPr>
            </w:pPr>
            <w:r>
              <w:rPr>
                <w:rFonts w:ascii="Arial" w:cs="Arial" w:eastAsia="Arial" w:hAnsi="Arial"/>
                <w:sz w:val="13"/>
                <w:szCs w:val="13"/>
                <w:b w:val="1"/>
                <w:bCs w:val="1"/>
                <w:color w:val="auto"/>
              </w:rPr>
              <w:t>Changes in Fair Value</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40"/>
              <w:spacing w:after="0" w:line="149" w:lineRule="exact"/>
              <w:rPr>
                <w:sz w:val="20"/>
                <w:szCs w:val="20"/>
                <w:color w:val="auto"/>
              </w:rPr>
            </w:pPr>
            <w:r>
              <w:rPr>
                <w:rFonts w:ascii="Arial" w:cs="Arial" w:eastAsia="Arial" w:hAnsi="Arial"/>
                <w:sz w:val="13"/>
                <w:szCs w:val="13"/>
                <w:b w:val="1"/>
                <w:bCs w:val="1"/>
                <w:color w:val="auto"/>
              </w:rPr>
              <w:t>Recorded in Other</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40" w:type="dxa"/>
            <w:vAlign w:val="bottom"/>
          </w:tcPr>
          <w:p>
            <w:pPr>
              <w:ind w:left="240"/>
              <w:spacing w:after="0"/>
              <w:rPr>
                <w:sz w:val="20"/>
                <w:szCs w:val="20"/>
                <w:color w:val="auto"/>
              </w:rPr>
            </w:pPr>
            <w:r>
              <w:rPr>
                <w:rFonts w:ascii="Arial" w:cs="Arial" w:eastAsia="Arial" w:hAnsi="Arial"/>
                <w:sz w:val="13"/>
                <w:szCs w:val="13"/>
                <w:b w:val="1"/>
                <w:bCs w:val="1"/>
                <w:color w:val="auto"/>
              </w:rPr>
              <w:t>Comprehensive Income</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E5E5E5"/>
          </w:tcPr>
          <w:p>
            <w:pPr>
              <w:ind w:left="20"/>
              <w:spacing w:after="0"/>
              <w:rPr>
                <w:sz w:val="20"/>
                <w:szCs w:val="20"/>
                <w:color w:val="auto"/>
              </w:rPr>
            </w:pPr>
            <w:r>
              <w:rPr>
                <w:rFonts w:ascii="Arial" w:cs="Arial" w:eastAsia="Arial" w:hAnsi="Arial"/>
                <w:sz w:val="18"/>
                <w:szCs w:val="18"/>
                <w:color w:val="auto"/>
              </w:rPr>
              <w:t>Commercial paper</w:t>
            </w:r>
          </w:p>
        </w:tc>
        <w:tc>
          <w:tcPr>
            <w:tcW w:w="10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Level 2</w:t>
            </w:r>
          </w:p>
        </w:tc>
        <w:tc>
          <w:tcPr>
            <w:tcW w:w="220" w:type="dxa"/>
            <w:vAlign w:val="bottom"/>
            <w:shd w:val="clear" w:color="auto" w:fill="E5E5E5"/>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6,513</w:t>
            </w:r>
          </w:p>
        </w:tc>
        <w:tc>
          <w:tcPr>
            <w:tcW w:w="4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4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19"/>
                <w:szCs w:val="19"/>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6,513</w:t>
            </w:r>
          </w:p>
        </w:tc>
        <w:tc>
          <w:tcPr>
            <w:tcW w:w="260" w:type="dxa"/>
            <w:vAlign w:val="bottom"/>
            <w:shd w:val="clear" w:color="auto" w:fill="E5E5E5"/>
          </w:tcPr>
          <w:p>
            <w:pPr>
              <w:spacing w:after="0"/>
              <w:rPr>
                <w:sz w:val="19"/>
                <w:szCs w:val="19"/>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6,513</w:t>
            </w:r>
          </w:p>
        </w:tc>
        <w:tc>
          <w:tcPr>
            <w:tcW w:w="36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E5E5E5"/>
          </w:tcPr>
          <w:p>
            <w:pPr>
              <w:spacing w:after="0"/>
              <w:rPr>
                <w:sz w:val="19"/>
                <w:szCs w:val="19"/>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Level 2</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2,899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2,899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2,855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40" w:type="dxa"/>
            <w:vAlign w:val="bottom"/>
            <w:shd w:val="clear" w:color="auto" w:fill="E5E5E5"/>
          </w:tcPr>
          <w:p>
            <w:pPr>
              <w:ind w:left="20"/>
              <w:spacing w:after="0" w:line="197" w:lineRule="exact"/>
              <w:rPr>
                <w:sz w:val="20"/>
                <w:szCs w:val="20"/>
                <w:color w:val="auto"/>
              </w:rPr>
            </w:pPr>
            <w:r>
              <w:rPr>
                <w:rFonts w:ascii="Arial" w:cs="Arial" w:eastAsia="Arial" w:hAnsi="Arial"/>
                <w:sz w:val="18"/>
                <w:szCs w:val="18"/>
                <w:color w:val="auto"/>
              </w:rPr>
              <w:t>U.S. government</w:t>
            </w:r>
          </w:p>
        </w:tc>
        <w:tc>
          <w:tcPr>
            <w:tcW w:w="10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40" w:type="dxa"/>
            <w:vAlign w:val="bottom"/>
            <w:shd w:val="clear" w:color="auto" w:fill="E5E5E5"/>
          </w:tcPr>
          <w:p>
            <w:pPr>
              <w:ind w:left="240"/>
              <w:spacing w:after="0"/>
              <w:rPr>
                <w:sz w:val="20"/>
                <w:szCs w:val="20"/>
                <w:color w:val="auto"/>
              </w:rPr>
            </w:pPr>
            <w:r>
              <w:rPr>
                <w:rFonts w:ascii="Arial" w:cs="Arial" w:eastAsia="Arial" w:hAnsi="Arial"/>
                <w:sz w:val="18"/>
                <w:szCs w:val="18"/>
                <w:color w:val="auto"/>
              </w:rPr>
              <w:t>securities</w:t>
            </w:r>
          </w:p>
        </w:tc>
        <w:tc>
          <w:tcPr>
            <w:tcW w:w="10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Level 1</w:t>
            </w:r>
          </w:p>
        </w:tc>
        <w:tc>
          <w:tcPr>
            <w:tcW w:w="220" w:type="dxa"/>
            <w:vAlign w:val="bottom"/>
            <w:shd w:val="clear" w:color="auto" w:fill="E5E5E5"/>
          </w:tcPr>
          <w:p>
            <w:pPr>
              <w:spacing w:after="0"/>
              <w:rPr>
                <w:sz w:val="20"/>
                <w:szCs w:val="20"/>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48,764</w:t>
            </w:r>
          </w:p>
        </w:tc>
        <w:tc>
          <w:tcPr>
            <w:tcW w:w="24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16</w:t>
            </w:r>
          </w:p>
        </w:tc>
        <w:tc>
          <w:tcPr>
            <w:tcW w:w="24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9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(1,828 )</w:t>
            </w:r>
          </w:p>
        </w:tc>
        <w:tc>
          <w:tcPr>
            <w:tcW w:w="160" w:type="dxa"/>
            <w:vAlign w:val="bottom"/>
            <w:shd w:val="clear" w:color="auto" w:fill="E5E5E5"/>
          </w:tcPr>
          <w:p>
            <w:pPr>
              <w:spacing w:after="0"/>
              <w:rPr>
                <w:sz w:val="20"/>
                <w:szCs w:val="20"/>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46,952</w:t>
            </w:r>
          </w:p>
        </w:tc>
        <w:tc>
          <w:tcPr>
            <w:tcW w:w="2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46,952</w:t>
            </w:r>
          </w:p>
        </w:tc>
        <w:tc>
          <w:tcPr>
            <w:tcW w:w="20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Arial" w:cs="Arial" w:eastAsia="Arial" w:hAnsi="Arial"/>
                <w:sz w:val="18"/>
                <w:szCs w:val="18"/>
                <w:color w:val="auto"/>
              </w:rPr>
              <w:t>U.S. agency securities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Level 2</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40" w:type="dxa"/>
            <w:vAlign w:val="bottom"/>
            <w:shd w:val="clear" w:color="auto" w:fill="E5E5E5"/>
          </w:tcPr>
          <w:p>
            <w:pPr>
              <w:ind w:left="20"/>
              <w:spacing w:after="0" w:line="197" w:lineRule="exact"/>
              <w:rPr>
                <w:sz w:val="20"/>
                <w:szCs w:val="20"/>
                <w:color w:val="auto"/>
              </w:rPr>
            </w:pPr>
            <w:r>
              <w:rPr>
                <w:rFonts w:ascii="Arial" w:cs="Arial" w:eastAsia="Arial" w:hAnsi="Arial"/>
                <w:sz w:val="18"/>
                <w:szCs w:val="18"/>
                <w:color w:val="auto"/>
              </w:rPr>
              <w:t>Foreign government</w:t>
            </w:r>
          </w:p>
        </w:tc>
        <w:tc>
          <w:tcPr>
            <w:tcW w:w="10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40" w:type="dxa"/>
            <w:vAlign w:val="bottom"/>
            <w:shd w:val="clear" w:color="auto" w:fill="E5E5E5"/>
          </w:tcPr>
          <w:p>
            <w:pPr>
              <w:ind w:left="240"/>
              <w:spacing w:after="0"/>
              <w:rPr>
                <w:sz w:val="20"/>
                <w:szCs w:val="20"/>
                <w:color w:val="auto"/>
              </w:rPr>
            </w:pPr>
            <w:r>
              <w:rPr>
                <w:rFonts w:ascii="Arial" w:cs="Arial" w:eastAsia="Arial" w:hAnsi="Arial"/>
                <w:sz w:val="18"/>
                <w:szCs w:val="18"/>
                <w:color w:val="auto"/>
              </w:rPr>
              <w:t>bonds</w:t>
            </w:r>
          </w:p>
        </w:tc>
        <w:tc>
          <w:tcPr>
            <w:tcW w:w="10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Level 2</w:t>
            </w:r>
          </w:p>
        </w:tc>
        <w:tc>
          <w:tcPr>
            <w:tcW w:w="220" w:type="dxa"/>
            <w:vAlign w:val="bottom"/>
            <w:shd w:val="clear" w:color="auto" w:fill="E5E5E5"/>
          </w:tcPr>
          <w:p>
            <w:pPr>
              <w:spacing w:after="0"/>
              <w:rPr>
                <w:sz w:val="20"/>
                <w:szCs w:val="20"/>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288</w:t>
            </w:r>
          </w:p>
        </w:tc>
        <w:tc>
          <w:tcPr>
            <w:tcW w:w="24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w:t>
            </w:r>
          </w:p>
        </w:tc>
        <w:tc>
          <w:tcPr>
            <w:tcW w:w="24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9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(9 )</w:t>
            </w:r>
          </w:p>
        </w:tc>
        <w:tc>
          <w:tcPr>
            <w:tcW w:w="160" w:type="dxa"/>
            <w:vAlign w:val="bottom"/>
            <w:shd w:val="clear" w:color="auto" w:fill="E5E5E5"/>
          </w:tcPr>
          <w:p>
            <w:pPr>
              <w:spacing w:after="0"/>
              <w:rPr>
                <w:sz w:val="20"/>
                <w:szCs w:val="20"/>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287</w:t>
            </w:r>
          </w:p>
        </w:tc>
        <w:tc>
          <w:tcPr>
            <w:tcW w:w="2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287</w:t>
            </w:r>
          </w:p>
        </w:tc>
        <w:tc>
          <w:tcPr>
            <w:tcW w:w="20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40" w:type="dxa"/>
            <w:vAlign w:val="bottom"/>
          </w:tcPr>
          <w:p>
            <w:pPr>
              <w:ind w:left="20"/>
              <w:spacing w:after="0" w:line="197" w:lineRule="exact"/>
              <w:rPr>
                <w:sz w:val="20"/>
                <w:szCs w:val="20"/>
                <w:color w:val="auto"/>
              </w:rPr>
            </w:pPr>
            <w:r>
              <w:rPr>
                <w:rFonts w:ascii="Arial" w:cs="Arial" w:eastAsia="Arial" w:hAnsi="Arial"/>
                <w:sz w:val="18"/>
                <w:szCs w:val="18"/>
                <w:color w:val="auto"/>
              </w:rPr>
              <w:t>Mortgage- and asset-</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40" w:type="dxa"/>
            <w:vAlign w:val="bottom"/>
          </w:tcPr>
          <w:p>
            <w:pPr>
              <w:ind w:left="240"/>
              <w:spacing w:after="0"/>
              <w:rPr>
                <w:sz w:val="20"/>
                <w:szCs w:val="20"/>
                <w:color w:val="auto"/>
              </w:rPr>
            </w:pPr>
            <w:r>
              <w:rPr>
                <w:rFonts w:ascii="Arial" w:cs="Arial" w:eastAsia="Arial" w:hAnsi="Arial"/>
                <w:sz w:val="18"/>
                <w:szCs w:val="18"/>
                <w:color w:val="auto"/>
              </w:rPr>
              <w:t>backed securities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Level 2</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937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(22 )</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925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925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40" w:type="dxa"/>
            <w:vAlign w:val="bottom"/>
            <w:shd w:val="clear" w:color="auto" w:fill="E5E5E5"/>
          </w:tcPr>
          <w:p>
            <w:pPr>
              <w:ind w:left="20"/>
              <w:spacing w:after="0" w:line="197" w:lineRule="exact"/>
              <w:rPr>
                <w:sz w:val="20"/>
                <w:szCs w:val="20"/>
                <w:color w:val="auto"/>
              </w:rPr>
            </w:pPr>
            <w:r>
              <w:rPr>
                <w:rFonts w:ascii="Arial" w:cs="Arial" w:eastAsia="Arial" w:hAnsi="Arial"/>
                <w:sz w:val="18"/>
                <w:szCs w:val="18"/>
                <w:color w:val="auto"/>
              </w:rPr>
              <w:t>Corporate notes and</w:t>
            </w:r>
          </w:p>
        </w:tc>
        <w:tc>
          <w:tcPr>
            <w:tcW w:w="10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40" w:type="dxa"/>
            <w:vAlign w:val="bottom"/>
            <w:shd w:val="clear" w:color="auto" w:fill="E5E5E5"/>
          </w:tcPr>
          <w:p>
            <w:pPr>
              <w:ind w:left="240"/>
              <w:spacing w:after="0"/>
              <w:rPr>
                <w:sz w:val="20"/>
                <w:szCs w:val="20"/>
                <w:color w:val="auto"/>
              </w:rPr>
            </w:pPr>
            <w:r>
              <w:rPr>
                <w:rFonts w:ascii="Arial" w:cs="Arial" w:eastAsia="Arial" w:hAnsi="Arial"/>
                <w:sz w:val="18"/>
                <w:szCs w:val="18"/>
                <w:color w:val="auto"/>
              </w:rPr>
              <w:t>bonds</w:t>
            </w:r>
          </w:p>
        </w:tc>
        <w:tc>
          <w:tcPr>
            <w:tcW w:w="10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Level 2</w:t>
            </w:r>
          </w:p>
        </w:tc>
        <w:tc>
          <w:tcPr>
            <w:tcW w:w="220" w:type="dxa"/>
            <w:vAlign w:val="bottom"/>
            <w:shd w:val="clear" w:color="auto" w:fill="E5E5E5"/>
          </w:tcPr>
          <w:p>
            <w:pPr>
              <w:spacing w:after="0"/>
              <w:rPr>
                <w:sz w:val="20"/>
                <w:szCs w:val="20"/>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8,932</w:t>
            </w:r>
          </w:p>
        </w:tc>
        <w:tc>
          <w:tcPr>
            <w:tcW w:w="24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114</w:t>
            </w:r>
          </w:p>
        </w:tc>
        <w:tc>
          <w:tcPr>
            <w:tcW w:w="24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9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(166 )</w:t>
            </w:r>
          </w:p>
        </w:tc>
        <w:tc>
          <w:tcPr>
            <w:tcW w:w="160" w:type="dxa"/>
            <w:vAlign w:val="bottom"/>
            <w:shd w:val="clear" w:color="auto" w:fill="E5E5E5"/>
          </w:tcPr>
          <w:p>
            <w:pPr>
              <w:spacing w:after="0"/>
              <w:rPr>
                <w:sz w:val="20"/>
                <w:szCs w:val="20"/>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8,880</w:t>
            </w:r>
          </w:p>
        </w:tc>
        <w:tc>
          <w:tcPr>
            <w:tcW w:w="2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8,880</w:t>
            </w:r>
          </w:p>
        </w:tc>
        <w:tc>
          <w:tcPr>
            <w:tcW w:w="20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40" w:type="dxa"/>
            <w:vAlign w:val="bottom"/>
          </w:tcPr>
          <w:p>
            <w:pPr>
              <w:ind w:left="20"/>
              <w:spacing w:after="0" w:line="197" w:lineRule="exact"/>
              <w:rPr>
                <w:sz w:val="20"/>
                <w:szCs w:val="20"/>
                <w:color w:val="auto"/>
              </w:rPr>
            </w:pPr>
            <w:r>
              <w:rPr>
                <w:rFonts w:ascii="Arial" w:cs="Arial" w:eastAsia="Arial" w:hAnsi="Arial"/>
                <w:sz w:val="18"/>
                <w:szCs w:val="18"/>
                <w:color w:val="auto"/>
              </w:rPr>
              <w:t>Corporate notes and</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40" w:type="dxa"/>
            <w:vAlign w:val="bottom"/>
          </w:tcPr>
          <w:p>
            <w:pPr>
              <w:ind w:left="240"/>
              <w:spacing w:after="0"/>
              <w:rPr>
                <w:sz w:val="20"/>
                <w:szCs w:val="20"/>
                <w:color w:val="auto"/>
              </w:rPr>
            </w:pPr>
            <w:r>
              <w:rPr>
                <w:rFonts w:ascii="Arial" w:cs="Arial" w:eastAsia="Arial" w:hAnsi="Arial"/>
                <w:sz w:val="18"/>
                <w:szCs w:val="18"/>
                <w:color w:val="auto"/>
              </w:rPr>
              <w:t>bonds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Level 3</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1,639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(1 )</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1,638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E5E5E5"/>
          </w:tcPr>
          <w:p>
            <w:pPr>
              <w:ind w:left="20"/>
              <w:spacing w:after="0"/>
              <w:rPr>
                <w:sz w:val="20"/>
                <w:szCs w:val="20"/>
                <w:color w:val="auto"/>
              </w:rPr>
            </w:pPr>
            <w:r>
              <w:rPr>
                <w:rFonts w:ascii="Arial" w:cs="Arial" w:eastAsia="Arial" w:hAnsi="Arial"/>
                <w:sz w:val="18"/>
                <w:szCs w:val="18"/>
                <w:color w:val="auto"/>
              </w:rPr>
              <w:t>Municipal securities</w:t>
            </w:r>
          </w:p>
        </w:tc>
        <w:tc>
          <w:tcPr>
            <w:tcW w:w="10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Level 2</w:t>
            </w:r>
          </w:p>
        </w:tc>
        <w:tc>
          <w:tcPr>
            <w:tcW w:w="220" w:type="dxa"/>
            <w:vAlign w:val="bottom"/>
            <w:shd w:val="clear" w:color="auto" w:fill="E5E5E5"/>
          </w:tcPr>
          <w:p>
            <w:pPr>
              <w:spacing w:after="0"/>
              <w:rPr>
                <w:sz w:val="19"/>
                <w:szCs w:val="19"/>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263</w:t>
            </w:r>
          </w:p>
        </w:tc>
        <w:tc>
          <w:tcPr>
            <w:tcW w:w="24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9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(8 )</w:t>
            </w:r>
          </w:p>
        </w:tc>
        <w:tc>
          <w:tcPr>
            <w:tcW w:w="160" w:type="dxa"/>
            <w:vAlign w:val="bottom"/>
            <w:shd w:val="clear" w:color="auto" w:fill="E5E5E5"/>
          </w:tcPr>
          <w:p>
            <w:pPr>
              <w:spacing w:after="0"/>
              <w:rPr>
                <w:sz w:val="19"/>
                <w:szCs w:val="19"/>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257</w:t>
            </w:r>
          </w:p>
        </w:tc>
        <w:tc>
          <w:tcPr>
            <w:tcW w:w="26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257</w:t>
            </w:r>
          </w:p>
        </w:tc>
        <w:tc>
          <w:tcPr>
            <w:tcW w:w="2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40" w:type="dxa"/>
            <w:vAlign w:val="bottom"/>
          </w:tcPr>
          <w:p>
            <w:pPr>
              <w:ind w:left="20"/>
              <w:spacing w:after="0"/>
              <w:rPr>
                <w:sz w:val="20"/>
                <w:szCs w:val="20"/>
                <w:color w:val="auto"/>
              </w:rPr>
            </w:pPr>
            <w:r>
              <w:rPr>
                <w:rFonts w:ascii="Arial" w:cs="Arial" w:eastAsia="Arial" w:hAnsi="Arial"/>
                <w:sz w:val="18"/>
                <w:szCs w:val="18"/>
                <w:color w:val="auto"/>
              </w:rPr>
              <w:t>Municipal securities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Level 3</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(15 )</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20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40" w:type="dxa"/>
            <w:vAlign w:val="bottom"/>
            <w:shd w:val="clear" w:color="auto" w:fill="E5E5E5"/>
          </w:tcPr>
          <w:p>
            <w:pPr>
              <w:ind w:left="240"/>
              <w:spacing w:after="0" w:line="197" w:lineRule="exact"/>
              <w:rPr>
                <w:sz w:val="20"/>
                <w:szCs w:val="20"/>
                <w:color w:val="auto"/>
              </w:rPr>
            </w:pPr>
            <w:r>
              <w:rPr>
                <w:rFonts w:ascii="Arial" w:cs="Arial" w:eastAsia="Arial" w:hAnsi="Arial"/>
                <w:sz w:val="18"/>
                <w:szCs w:val="18"/>
                <w:color w:val="auto"/>
              </w:rPr>
              <w:t>Total debt</w:t>
            </w:r>
          </w:p>
        </w:tc>
        <w:tc>
          <w:tcPr>
            <w:tcW w:w="10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40" w:type="dxa"/>
            <w:vAlign w:val="bottom"/>
            <w:shd w:val="clear" w:color="auto" w:fill="E5E5E5"/>
          </w:tcPr>
          <w:p>
            <w:pPr>
              <w:ind w:left="460"/>
              <w:spacing w:after="0"/>
              <w:rPr>
                <w:sz w:val="20"/>
                <w:szCs w:val="20"/>
                <w:color w:val="auto"/>
              </w:rPr>
            </w:pPr>
            <w:r>
              <w:rPr>
                <w:rFonts w:ascii="Arial" w:cs="Arial" w:eastAsia="Arial" w:hAnsi="Arial"/>
                <w:sz w:val="18"/>
                <w:szCs w:val="18"/>
                <w:color w:val="auto"/>
              </w:rPr>
              <w:t>investments</w:t>
            </w:r>
          </w:p>
        </w:tc>
        <w:tc>
          <w:tcPr>
            <w:tcW w:w="1020" w:type="dxa"/>
            <w:vAlign w:val="bottom"/>
            <w:shd w:val="clear" w:color="auto" w:fill="E5E5E5"/>
          </w:tcPr>
          <w:p>
            <w:pPr>
              <w:spacing w:after="0"/>
              <w:rPr>
                <w:sz w:val="20"/>
                <w:szCs w:val="20"/>
                <w:color w:val="auto"/>
              </w:rPr>
            </w:pPr>
          </w:p>
        </w:tc>
        <w:tc>
          <w:tcPr>
            <w:tcW w:w="220" w:type="dxa"/>
            <w:vAlign w:val="bottom"/>
            <w:shd w:val="clear" w:color="auto" w:fill="E5E5E5"/>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70,356</w:t>
            </w:r>
          </w:p>
        </w:tc>
        <w:tc>
          <w:tcPr>
            <w:tcW w:w="4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150</w:t>
            </w:r>
          </w:p>
        </w:tc>
        <w:tc>
          <w:tcPr>
            <w:tcW w:w="4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(2,049 )</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68,457</w:t>
            </w:r>
          </w:p>
        </w:tc>
        <w:tc>
          <w:tcPr>
            <w:tcW w:w="260" w:type="dxa"/>
            <w:vAlign w:val="bottom"/>
            <w:shd w:val="clear" w:color="auto" w:fill="E5E5E5"/>
          </w:tcPr>
          <w:p>
            <w:pPr>
              <w:spacing w:after="0"/>
              <w:rPr>
                <w:sz w:val="20"/>
                <w:szCs w:val="20"/>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9,368</w:t>
            </w:r>
          </w:p>
        </w:tc>
        <w:tc>
          <w:tcPr>
            <w:tcW w:w="36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57,589</w:t>
            </w:r>
          </w:p>
        </w:tc>
        <w:tc>
          <w:tcPr>
            <w:tcW w:w="200" w:type="dxa"/>
            <w:vAlign w:val="bottom"/>
            <w:shd w:val="clear" w:color="auto" w:fill="E5E5E5"/>
          </w:tcPr>
          <w:p>
            <w:pPr>
              <w:spacing w:after="0"/>
              <w:rPr>
                <w:sz w:val="20"/>
                <w:szCs w:val="20"/>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1,500</w:t>
            </w:r>
          </w:p>
        </w:tc>
        <w:tc>
          <w:tcPr>
            <w:tcW w:w="10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Changes in Fair Value</w:t>
            </w:r>
          </w:p>
        </w:tc>
        <w:tc>
          <w:tcPr>
            <w:tcW w:w="10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40" w:type="dxa"/>
            <w:vAlign w:val="bottom"/>
          </w:tcPr>
          <w:p>
            <w:pPr>
              <w:ind w:left="240"/>
              <w:spacing w:after="0"/>
              <w:rPr>
                <w:sz w:val="20"/>
                <w:szCs w:val="20"/>
                <w:color w:val="auto"/>
              </w:rPr>
            </w:pPr>
            <w:r>
              <w:rPr>
                <w:rFonts w:ascii="Arial" w:cs="Arial" w:eastAsia="Arial" w:hAnsi="Arial"/>
                <w:sz w:val="13"/>
                <w:szCs w:val="13"/>
                <w:b w:val="1"/>
                <w:bCs w:val="1"/>
                <w:color w:val="auto"/>
              </w:rPr>
              <w:t>Recorded in Net Income</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E5E5E5"/>
          </w:tcPr>
          <w:p>
            <w:pPr>
              <w:ind w:left="20"/>
              <w:spacing w:after="0"/>
              <w:rPr>
                <w:sz w:val="20"/>
                <w:szCs w:val="20"/>
                <w:color w:val="auto"/>
              </w:rPr>
            </w:pPr>
            <w:r>
              <w:rPr>
                <w:rFonts w:ascii="Arial" w:cs="Arial" w:eastAsia="Arial" w:hAnsi="Arial"/>
                <w:sz w:val="18"/>
                <w:szCs w:val="18"/>
                <w:color w:val="auto"/>
              </w:rPr>
              <w:t>Equity investments</w:t>
            </w:r>
          </w:p>
        </w:tc>
        <w:tc>
          <w:tcPr>
            <w:tcW w:w="10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Level 1</w:t>
            </w:r>
          </w:p>
        </w:tc>
        <w:tc>
          <w:tcPr>
            <w:tcW w:w="220" w:type="dxa"/>
            <w:vAlign w:val="bottom"/>
            <w:shd w:val="clear" w:color="auto" w:fill="E5E5E5"/>
          </w:tcPr>
          <w:p>
            <w:pPr>
              <w:spacing w:after="0"/>
              <w:rPr>
                <w:sz w:val="19"/>
                <w:szCs w:val="19"/>
                <w:color w:val="auto"/>
              </w:rPr>
            </w:pPr>
          </w:p>
        </w:tc>
        <w:tc>
          <w:tcPr>
            <w:tcW w:w="70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82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70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4,252</w:t>
            </w:r>
          </w:p>
        </w:tc>
        <w:tc>
          <w:tcPr>
            <w:tcW w:w="260" w:type="dxa"/>
            <w:vAlign w:val="bottom"/>
            <w:shd w:val="clear" w:color="auto" w:fill="E5E5E5"/>
          </w:tcPr>
          <w:p>
            <w:pPr>
              <w:spacing w:after="0"/>
              <w:rPr>
                <w:sz w:val="19"/>
                <w:szCs w:val="19"/>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884</w:t>
            </w:r>
          </w:p>
        </w:tc>
        <w:tc>
          <w:tcPr>
            <w:tcW w:w="36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E5E5E5"/>
          </w:tcPr>
          <w:p>
            <w:pPr>
              <w:spacing w:after="0"/>
              <w:rPr>
                <w:sz w:val="19"/>
                <w:szCs w:val="19"/>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3,368</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40" w:type="dxa"/>
            <w:vAlign w:val="bottom"/>
          </w:tcPr>
          <w:p>
            <w:pPr>
              <w:ind w:left="20"/>
              <w:spacing w:after="0"/>
              <w:rPr>
                <w:sz w:val="20"/>
                <w:szCs w:val="20"/>
                <w:color w:val="auto"/>
              </w:rPr>
            </w:pPr>
            <w:r>
              <w:rPr>
                <w:rFonts w:ascii="Arial" w:cs="Arial" w:eastAsia="Arial" w:hAnsi="Arial"/>
                <w:sz w:val="18"/>
                <w:szCs w:val="18"/>
                <w:color w:val="auto"/>
              </w:rPr>
              <w:t>Equity investments</w:t>
            </w:r>
          </w:p>
        </w:tc>
        <w:tc>
          <w:tcPr>
            <w:tcW w:w="1020" w:type="dxa"/>
            <w:vAlign w:val="bottom"/>
          </w:tcPr>
          <w:p>
            <w:pPr>
              <w:jc w:val="cente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10,910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10,910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20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40" w:type="dxa"/>
            <w:vAlign w:val="bottom"/>
            <w:shd w:val="clear" w:color="auto" w:fill="E5E5E5"/>
          </w:tcPr>
          <w:p>
            <w:pPr>
              <w:ind w:left="240"/>
              <w:spacing w:after="0" w:line="197" w:lineRule="exact"/>
              <w:rPr>
                <w:sz w:val="20"/>
                <w:szCs w:val="20"/>
                <w:color w:val="auto"/>
              </w:rPr>
            </w:pPr>
            <w:r>
              <w:rPr>
                <w:rFonts w:ascii="Arial" w:cs="Arial" w:eastAsia="Arial" w:hAnsi="Arial"/>
                <w:sz w:val="18"/>
                <w:szCs w:val="18"/>
                <w:color w:val="auto"/>
              </w:rPr>
              <w:t>Total equity</w:t>
            </w:r>
          </w:p>
        </w:tc>
        <w:tc>
          <w:tcPr>
            <w:tcW w:w="10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40" w:type="dxa"/>
            <w:vAlign w:val="bottom"/>
            <w:shd w:val="clear" w:color="auto" w:fill="E5E5E5"/>
          </w:tcPr>
          <w:p>
            <w:pPr>
              <w:ind w:left="460"/>
              <w:spacing w:after="0"/>
              <w:rPr>
                <w:sz w:val="20"/>
                <w:szCs w:val="20"/>
                <w:color w:val="auto"/>
              </w:rPr>
            </w:pPr>
            <w:r>
              <w:rPr>
                <w:rFonts w:ascii="Arial" w:cs="Arial" w:eastAsia="Arial" w:hAnsi="Arial"/>
                <w:sz w:val="18"/>
                <w:szCs w:val="18"/>
                <w:color w:val="auto"/>
              </w:rPr>
              <w:t>investments</w:t>
            </w:r>
          </w:p>
        </w:tc>
        <w:tc>
          <w:tcPr>
            <w:tcW w:w="102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0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82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0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15,162</w:t>
            </w:r>
          </w:p>
        </w:tc>
        <w:tc>
          <w:tcPr>
            <w:tcW w:w="260" w:type="dxa"/>
            <w:vAlign w:val="bottom"/>
            <w:shd w:val="clear" w:color="auto" w:fill="E5E5E5"/>
          </w:tcPr>
          <w:p>
            <w:pPr>
              <w:spacing w:after="0"/>
              <w:rPr>
                <w:sz w:val="20"/>
                <w:szCs w:val="20"/>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884</w:t>
            </w:r>
          </w:p>
        </w:tc>
        <w:tc>
          <w:tcPr>
            <w:tcW w:w="36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E5E5E5"/>
          </w:tcPr>
          <w:p>
            <w:pPr>
              <w:spacing w:after="0"/>
              <w:rPr>
                <w:sz w:val="20"/>
                <w:szCs w:val="20"/>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14,278</w:t>
            </w:r>
          </w:p>
        </w:tc>
        <w:tc>
          <w:tcPr>
            <w:tcW w:w="10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2040" w:type="dxa"/>
            <w:vAlign w:val="bottom"/>
          </w:tcPr>
          <w:p>
            <w:pPr>
              <w:ind w:left="20"/>
              <w:spacing w:after="0"/>
              <w:rPr>
                <w:sz w:val="20"/>
                <w:szCs w:val="20"/>
                <w:color w:val="auto"/>
              </w:rPr>
            </w:pPr>
            <w:r>
              <w:rPr>
                <w:rFonts w:ascii="Arial" w:cs="Arial" w:eastAsia="Arial" w:hAnsi="Arial"/>
                <w:sz w:val="18"/>
                <w:szCs w:val="18"/>
                <w:color w:val="auto"/>
              </w:rPr>
              <w:t>Cash</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10,588</w:t>
            </w:r>
          </w:p>
        </w:tc>
        <w:tc>
          <w:tcPr>
            <w:tcW w:w="2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10,588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E5E5E5"/>
          </w:tcPr>
          <w:p>
            <w:pPr>
              <w:ind w:left="20"/>
              <w:spacing w:after="0" w:line="229" w:lineRule="exact"/>
              <w:rPr>
                <w:sz w:val="20"/>
                <w:szCs w:val="20"/>
                <w:color w:val="auto"/>
              </w:rPr>
            </w:pPr>
            <w:r>
              <w:rPr>
                <w:rFonts w:ascii="Arial" w:cs="Arial" w:eastAsia="Arial" w:hAnsi="Arial"/>
                <w:sz w:val="18"/>
                <w:szCs w:val="18"/>
                <w:color w:val="auto"/>
              </w:rPr>
              <w:t xml:space="preserve">Derivatives, net </w:t>
            </w:r>
            <w:r>
              <w:rPr>
                <w:rFonts w:ascii="Arial" w:cs="Arial" w:eastAsia="Arial" w:hAnsi="Arial"/>
                <w:sz w:val="24"/>
                <w:szCs w:val="24"/>
                <w:color w:val="auto"/>
                <w:vertAlign w:val="superscript"/>
              </w:rPr>
              <w:t>(a)</w:t>
            </w:r>
          </w:p>
        </w:tc>
        <w:tc>
          <w:tcPr>
            <w:tcW w:w="102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70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82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70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(1 )</w:t>
            </w:r>
          </w:p>
        </w:tc>
        <w:tc>
          <w:tcPr>
            <w:tcW w:w="16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104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(1 )</w:t>
            </w:r>
          </w:p>
        </w:tc>
        <w:tc>
          <w:tcPr>
            <w:tcW w:w="16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2040" w:type="dxa"/>
            <w:vAlign w:val="bottom"/>
          </w:tcPr>
          <w:p>
            <w:pPr>
              <w:ind w:left="2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94,206</w:t>
            </w:r>
          </w:p>
        </w:tc>
        <w:tc>
          <w:tcPr>
            <w:tcW w:w="2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20,840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57,588</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15,778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2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13</w:t>
            </w: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2"/>
        </w:trPr>
        <w:tc>
          <w:tcPr>
            <w:tcW w:w="2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3"/>
        </w:trPr>
        <w:tc>
          <w:tcPr>
            <w:tcW w:w="20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3" w:name="page14"/>
    <w:bookmarkEnd w:id="13"/>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Fair</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Adjusted</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rPr>
              <w:t>Unrealized</w:t>
            </w: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Recorded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Cash</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Short-term</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ind w:left="80"/>
              <w:spacing w:after="0"/>
              <w:rPr>
                <w:sz w:val="20"/>
                <w:szCs w:val="20"/>
                <w:color w:val="auto"/>
              </w:rPr>
            </w:pPr>
            <w:r>
              <w:rPr>
                <w:rFonts w:ascii="Arial" w:cs="Arial" w:eastAsia="Arial" w:hAnsi="Arial"/>
                <w:sz w:val="13"/>
                <w:szCs w:val="13"/>
                <w:b w:val="1"/>
                <w:bCs w:val="1"/>
                <w:color w:val="auto"/>
              </w:rPr>
              <w:t>Equity and</w:t>
            </w:r>
          </w:p>
        </w:tc>
        <w:tc>
          <w:tcPr>
            <w:tcW w:w="0" w:type="dxa"/>
            <w:vAlign w:val="bottom"/>
          </w:tcPr>
          <w:p>
            <w:pPr>
              <w:spacing w:after="0"/>
              <w:rPr>
                <w:sz w:val="1"/>
                <w:szCs w:val="1"/>
                <w:color w:val="auto"/>
              </w:rPr>
            </w:pPr>
          </w:p>
        </w:tc>
      </w:tr>
      <w:tr>
        <w:trPr>
          <w:trHeight w:val="148"/>
        </w:trPr>
        <w:tc>
          <w:tcPr>
            <w:tcW w:w="20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000" w:type="dxa"/>
            <w:vAlign w:val="bottom"/>
          </w:tcPr>
          <w:p>
            <w:pPr>
              <w:jc w:val="center"/>
              <w:spacing w:after="0" w:line="149" w:lineRule="exact"/>
              <w:rPr>
                <w:sz w:val="20"/>
                <w:szCs w:val="20"/>
                <w:color w:val="auto"/>
              </w:rPr>
            </w:pPr>
            <w:r>
              <w:rPr>
                <w:rFonts w:ascii="Arial" w:cs="Arial" w:eastAsia="Arial" w:hAnsi="Arial"/>
                <w:sz w:val="13"/>
                <w:szCs w:val="13"/>
                <w:b w:val="1"/>
                <w:bCs w:val="1"/>
                <w:color w:val="auto"/>
              </w:rPr>
              <w:t>Value</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Cost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and Cash</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3"/>
                <w:szCs w:val="13"/>
                <w:b w:val="1"/>
                <w:bCs w:val="1"/>
                <w:color w:val="auto"/>
              </w:rPr>
              <w:t>Other</w:t>
            </w:r>
          </w:p>
        </w:tc>
        <w:tc>
          <w:tcPr>
            <w:tcW w:w="0" w:type="dxa"/>
            <w:vAlign w:val="bottom"/>
          </w:tcPr>
          <w:p>
            <w:pPr>
              <w:spacing w:after="0"/>
              <w:rPr>
                <w:sz w:val="1"/>
                <w:szCs w:val="1"/>
                <w:color w:val="auto"/>
              </w:rPr>
            </w:pPr>
          </w:p>
        </w:tc>
      </w:tr>
      <w:tr>
        <w:trPr>
          <w:trHeight w:val="186"/>
        </w:trPr>
        <w:tc>
          <w:tcPr>
            <w:tcW w:w="2040" w:type="dxa"/>
            <w:vAlign w:val="bottom"/>
            <w:vMerge w:val="continue"/>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Level</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Basis</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Gains</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Losses</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Basis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Equivalents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Investments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Investments</w:t>
            </w:r>
          </w:p>
        </w:tc>
        <w:tc>
          <w:tcPr>
            <w:tcW w:w="0" w:type="dxa"/>
            <w:vAlign w:val="bottom"/>
          </w:tcPr>
          <w:p>
            <w:pPr>
              <w:spacing w:after="0"/>
              <w:rPr>
                <w:sz w:val="1"/>
                <w:szCs w:val="1"/>
                <w:color w:val="auto"/>
              </w:rPr>
            </w:pPr>
          </w:p>
        </w:tc>
      </w:tr>
      <w:tr>
        <w:trPr>
          <w:trHeight w:val="58"/>
        </w:trPr>
        <w:tc>
          <w:tcPr>
            <w:tcW w:w="20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13"/>
                <w:szCs w:val="13"/>
                <w:b w:val="1"/>
                <w:bCs w:val="1"/>
                <w:color w:val="auto"/>
              </w:rPr>
              <w:t>June 30, 2024</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40" w:type="dxa"/>
            <w:vAlign w:val="bottom"/>
          </w:tcPr>
          <w:p>
            <w:pPr>
              <w:ind w:left="20"/>
              <w:spacing w:after="0"/>
              <w:rPr>
                <w:sz w:val="20"/>
                <w:szCs w:val="20"/>
                <w:color w:val="auto"/>
              </w:rPr>
            </w:pPr>
            <w:r>
              <w:rPr>
                <w:rFonts w:ascii="Arial" w:cs="Arial" w:eastAsia="Arial" w:hAnsi="Arial"/>
                <w:sz w:val="13"/>
                <w:szCs w:val="13"/>
                <w:b w:val="1"/>
                <w:bCs w:val="1"/>
                <w:color w:val="auto"/>
              </w:rPr>
              <w:t>Changes in Fair Value</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40"/>
              <w:spacing w:after="0" w:line="149" w:lineRule="exact"/>
              <w:rPr>
                <w:sz w:val="20"/>
                <w:szCs w:val="20"/>
                <w:color w:val="auto"/>
              </w:rPr>
            </w:pPr>
            <w:r>
              <w:rPr>
                <w:rFonts w:ascii="Arial" w:cs="Arial" w:eastAsia="Arial" w:hAnsi="Arial"/>
                <w:sz w:val="13"/>
                <w:szCs w:val="13"/>
                <w:b w:val="1"/>
                <w:bCs w:val="1"/>
                <w:color w:val="auto"/>
              </w:rPr>
              <w:t>Recorded in Other</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40" w:type="dxa"/>
            <w:vAlign w:val="bottom"/>
          </w:tcPr>
          <w:p>
            <w:pPr>
              <w:ind w:left="240"/>
              <w:spacing w:after="0"/>
              <w:rPr>
                <w:sz w:val="20"/>
                <w:szCs w:val="20"/>
                <w:color w:val="auto"/>
              </w:rPr>
            </w:pPr>
            <w:r>
              <w:rPr>
                <w:rFonts w:ascii="Arial" w:cs="Arial" w:eastAsia="Arial" w:hAnsi="Arial"/>
                <w:sz w:val="13"/>
                <w:szCs w:val="13"/>
                <w:b w:val="1"/>
                <w:bCs w:val="1"/>
                <w:color w:val="auto"/>
              </w:rPr>
              <w:t>Comprehensive Income</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E5E5E5"/>
          </w:tcPr>
          <w:p>
            <w:pPr>
              <w:ind w:left="20"/>
              <w:spacing w:after="0"/>
              <w:rPr>
                <w:sz w:val="20"/>
                <w:szCs w:val="20"/>
                <w:color w:val="auto"/>
              </w:rPr>
            </w:pPr>
            <w:r>
              <w:rPr>
                <w:rFonts w:ascii="Arial" w:cs="Arial" w:eastAsia="Arial" w:hAnsi="Arial"/>
                <w:sz w:val="18"/>
                <w:szCs w:val="18"/>
                <w:color w:val="auto"/>
              </w:rPr>
              <w:t>Commercial paper</w:t>
            </w:r>
          </w:p>
        </w:tc>
        <w:tc>
          <w:tcPr>
            <w:tcW w:w="10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Level 2</w:t>
            </w:r>
          </w:p>
        </w:tc>
        <w:tc>
          <w:tcPr>
            <w:tcW w:w="2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4,666</w:t>
            </w:r>
          </w:p>
        </w:tc>
        <w:tc>
          <w:tcPr>
            <w:tcW w:w="46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spacing w:after="0"/>
              <w:rPr>
                <w:sz w:val="19"/>
                <w:szCs w:val="19"/>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4,666</w:t>
            </w:r>
          </w:p>
        </w:tc>
        <w:tc>
          <w:tcPr>
            <w:tcW w:w="4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4,666</w:t>
            </w:r>
          </w:p>
        </w:tc>
        <w:tc>
          <w:tcPr>
            <w:tcW w:w="4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Level 2</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40" w:type="dxa"/>
            <w:vAlign w:val="bottom"/>
            <w:shd w:val="clear" w:color="auto" w:fill="E5E5E5"/>
          </w:tcPr>
          <w:p>
            <w:pPr>
              <w:ind w:left="20"/>
              <w:spacing w:after="0" w:line="197" w:lineRule="exact"/>
              <w:rPr>
                <w:sz w:val="20"/>
                <w:szCs w:val="20"/>
                <w:color w:val="auto"/>
              </w:rPr>
            </w:pPr>
            <w:r>
              <w:rPr>
                <w:rFonts w:ascii="Arial" w:cs="Arial" w:eastAsia="Arial" w:hAnsi="Arial"/>
                <w:sz w:val="18"/>
                <w:szCs w:val="18"/>
                <w:color w:val="auto"/>
              </w:rPr>
              <w:t>U.S. government</w:t>
            </w:r>
          </w:p>
        </w:tc>
        <w:tc>
          <w:tcPr>
            <w:tcW w:w="10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40" w:type="dxa"/>
            <w:vAlign w:val="bottom"/>
            <w:shd w:val="clear" w:color="auto" w:fill="E5E5E5"/>
          </w:tcPr>
          <w:p>
            <w:pPr>
              <w:ind w:left="240"/>
              <w:spacing w:after="0"/>
              <w:rPr>
                <w:sz w:val="20"/>
                <w:szCs w:val="20"/>
                <w:color w:val="auto"/>
              </w:rPr>
            </w:pPr>
            <w:r>
              <w:rPr>
                <w:rFonts w:ascii="Arial" w:cs="Arial" w:eastAsia="Arial" w:hAnsi="Arial"/>
                <w:sz w:val="18"/>
                <w:szCs w:val="18"/>
                <w:color w:val="auto"/>
              </w:rPr>
              <w:t>securities</w:t>
            </w:r>
          </w:p>
        </w:tc>
        <w:tc>
          <w:tcPr>
            <w:tcW w:w="10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Level 1</w:t>
            </w:r>
          </w:p>
        </w:tc>
        <w:tc>
          <w:tcPr>
            <w:tcW w:w="220" w:type="dxa"/>
            <w:vAlign w:val="bottom"/>
            <w:shd w:val="clear" w:color="auto" w:fill="E5E5E5"/>
          </w:tcPr>
          <w:p>
            <w:pPr>
              <w:spacing w:after="0"/>
              <w:rPr>
                <w:sz w:val="20"/>
                <w:szCs w:val="20"/>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49,603</w:t>
            </w:r>
          </w:p>
        </w:tc>
        <w:tc>
          <w:tcPr>
            <w:tcW w:w="26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(2,948 )</w:t>
            </w:r>
          </w:p>
        </w:tc>
        <w:tc>
          <w:tcPr>
            <w:tcW w:w="18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46,659</w:t>
            </w:r>
          </w:p>
        </w:tc>
        <w:tc>
          <w:tcPr>
            <w:tcW w:w="24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46,645</w:t>
            </w:r>
          </w:p>
        </w:tc>
        <w:tc>
          <w:tcPr>
            <w:tcW w:w="20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Arial" w:cs="Arial" w:eastAsia="Arial" w:hAnsi="Arial"/>
                <w:sz w:val="18"/>
                <w:szCs w:val="18"/>
                <w:color w:val="auto"/>
              </w:rPr>
              <w:t>U.S. agency securities</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Level 2</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40" w:type="dxa"/>
            <w:vAlign w:val="bottom"/>
            <w:shd w:val="clear" w:color="auto" w:fill="E5E5E5"/>
          </w:tcPr>
          <w:p>
            <w:pPr>
              <w:ind w:left="20"/>
              <w:spacing w:after="0" w:line="197" w:lineRule="exact"/>
              <w:rPr>
                <w:sz w:val="20"/>
                <w:szCs w:val="20"/>
                <w:color w:val="auto"/>
              </w:rPr>
            </w:pPr>
            <w:r>
              <w:rPr>
                <w:rFonts w:ascii="Arial" w:cs="Arial" w:eastAsia="Arial" w:hAnsi="Arial"/>
                <w:sz w:val="18"/>
                <w:szCs w:val="18"/>
                <w:color w:val="auto"/>
              </w:rPr>
              <w:t>Foreign government</w:t>
            </w:r>
          </w:p>
        </w:tc>
        <w:tc>
          <w:tcPr>
            <w:tcW w:w="10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40" w:type="dxa"/>
            <w:vAlign w:val="bottom"/>
            <w:shd w:val="clear" w:color="auto" w:fill="E5E5E5"/>
          </w:tcPr>
          <w:p>
            <w:pPr>
              <w:ind w:left="240"/>
              <w:spacing w:after="0"/>
              <w:rPr>
                <w:sz w:val="20"/>
                <w:szCs w:val="20"/>
                <w:color w:val="auto"/>
              </w:rPr>
            </w:pPr>
            <w:r>
              <w:rPr>
                <w:rFonts w:ascii="Arial" w:cs="Arial" w:eastAsia="Arial" w:hAnsi="Arial"/>
                <w:sz w:val="18"/>
                <w:szCs w:val="18"/>
                <w:color w:val="auto"/>
              </w:rPr>
              <w:t>bonds</w:t>
            </w:r>
          </w:p>
        </w:tc>
        <w:tc>
          <w:tcPr>
            <w:tcW w:w="10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Level 2</w:t>
            </w:r>
          </w:p>
        </w:tc>
        <w:tc>
          <w:tcPr>
            <w:tcW w:w="220" w:type="dxa"/>
            <w:vAlign w:val="bottom"/>
            <w:shd w:val="clear" w:color="auto" w:fill="E5E5E5"/>
          </w:tcPr>
          <w:p>
            <w:pPr>
              <w:spacing w:after="0"/>
              <w:rPr>
                <w:sz w:val="20"/>
                <w:szCs w:val="20"/>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319</w:t>
            </w:r>
          </w:p>
        </w:tc>
        <w:tc>
          <w:tcPr>
            <w:tcW w:w="26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(16 )</w:t>
            </w:r>
          </w:p>
        </w:tc>
        <w:tc>
          <w:tcPr>
            <w:tcW w:w="18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306</w:t>
            </w:r>
          </w:p>
        </w:tc>
        <w:tc>
          <w:tcPr>
            <w:tcW w:w="24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306</w:t>
            </w:r>
          </w:p>
        </w:tc>
        <w:tc>
          <w:tcPr>
            <w:tcW w:w="20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40" w:type="dxa"/>
            <w:vAlign w:val="bottom"/>
          </w:tcPr>
          <w:p>
            <w:pPr>
              <w:ind w:left="20"/>
              <w:spacing w:after="0" w:line="197" w:lineRule="exact"/>
              <w:rPr>
                <w:sz w:val="20"/>
                <w:szCs w:val="20"/>
                <w:color w:val="auto"/>
              </w:rPr>
            </w:pPr>
            <w:r>
              <w:rPr>
                <w:rFonts w:ascii="Arial" w:cs="Arial" w:eastAsia="Arial" w:hAnsi="Arial"/>
                <w:sz w:val="18"/>
                <w:szCs w:val="18"/>
                <w:color w:val="auto"/>
              </w:rPr>
              <w:t>Mortgage- and asset-</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40" w:type="dxa"/>
            <w:vAlign w:val="bottom"/>
          </w:tcPr>
          <w:p>
            <w:pPr>
              <w:ind w:left="240"/>
              <w:spacing w:after="0"/>
              <w:rPr>
                <w:sz w:val="20"/>
                <w:szCs w:val="20"/>
                <w:color w:val="auto"/>
              </w:rPr>
            </w:pPr>
            <w:r>
              <w:rPr>
                <w:rFonts w:ascii="Arial" w:cs="Arial" w:eastAsia="Arial" w:hAnsi="Arial"/>
                <w:sz w:val="18"/>
                <w:szCs w:val="18"/>
                <w:color w:val="auto"/>
              </w:rPr>
              <w:t>backed securities</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Level 2</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(35 )</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40" w:type="dxa"/>
            <w:vAlign w:val="bottom"/>
            <w:shd w:val="clear" w:color="auto" w:fill="E5E5E5"/>
          </w:tcPr>
          <w:p>
            <w:pPr>
              <w:ind w:left="20"/>
              <w:spacing w:after="0" w:line="197" w:lineRule="exact"/>
              <w:rPr>
                <w:sz w:val="20"/>
                <w:szCs w:val="20"/>
                <w:color w:val="auto"/>
              </w:rPr>
            </w:pPr>
            <w:r>
              <w:rPr>
                <w:rFonts w:ascii="Arial" w:cs="Arial" w:eastAsia="Arial" w:hAnsi="Arial"/>
                <w:sz w:val="18"/>
                <w:szCs w:val="18"/>
                <w:color w:val="auto"/>
              </w:rPr>
              <w:t>Corporate notes and</w:t>
            </w:r>
          </w:p>
        </w:tc>
        <w:tc>
          <w:tcPr>
            <w:tcW w:w="10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40" w:type="dxa"/>
            <w:vAlign w:val="bottom"/>
            <w:shd w:val="clear" w:color="auto" w:fill="E5E5E5"/>
          </w:tcPr>
          <w:p>
            <w:pPr>
              <w:ind w:left="240"/>
              <w:spacing w:after="0"/>
              <w:rPr>
                <w:sz w:val="20"/>
                <w:szCs w:val="20"/>
                <w:color w:val="auto"/>
              </w:rPr>
            </w:pPr>
            <w:r>
              <w:rPr>
                <w:rFonts w:ascii="Arial" w:cs="Arial" w:eastAsia="Arial" w:hAnsi="Arial"/>
                <w:sz w:val="18"/>
                <w:szCs w:val="18"/>
                <w:color w:val="auto"/>
              </w:rPr>
              <w:t>bonds</w:t>
            </w:r>
          </w:p>
        </w:tc>
        <w:tc>
          <w:tcPr>
            <w:tcW w:w="10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Level 2</w:t>
            </w:r>
          </w:p>
        </w:tc>
        <w:tc>
          <w:tcPr>
            <w:tcW w:w="220" w:type="dxa"/>
            <w:vAlign w:val="bottom"/>
            <w:shd w:val="clear" w:color="auto" w:fill="E5E5E5"/>
          </w:tcPr>
          <w:p>
            <w:pPr>
              <w:spacing w:after="0"/>
              <w:rPr>
                <w:sz w:val="20"/>
                <w:szCs w:val="20"/>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9,106</w:t>
            </w:r>
          </w:p>
        </w:tc>
        <w:tc>
          <w:tcPr>
            <w:tcW w:w="26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(318 )</w:t>
            </w:r>
          </w:p>
        </w:tc>
        <w:tc>
          <w:tcPr>
            <w:tcW w:w="18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8,816</w:t>
            </w:r>
          </w:p>
        </w:tc>
        <w:tc>
          <w:tcPr>
            <w:tcW w:w="24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8,816</w:t>
            </w:r>
          </w:p>
        </w:tc>
        <w:tc>
          <w:tcPr>
            <w:tcW w:w="20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40" w:type="dxa"/>
            <w:vAlign w:val="bottom"/>
          </w:tcPr>
          <w:p>
            <w:pPr>
              <w:ind w:left="20"/>
              <w:spacing w:after="0" w:line="197" w:lineRule="exact"/>
              <w:rPr>
                <w:sz w:val="20"/>
                <w:szCs w:val="20"/>
                <w:color w:val="auto"/>
              </w:rPr>
            </w:pPr>
            <w:r>
              <w:rPr>
                <w:rFonts w:ascii="Arial" w:cs="Arial" w:eastAsia="Arial" w:hAnsi="Arial"/>
                <w:sz w:val="18"/>
                <w:szCs w:val="18"/>
                <w:color w:val="auto"/>
              </w:rPr>
              <w:t>Corporate notes and</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40" w:type="dxa"/>
            <w:vAlign w:val="bottom"/>
          </w:tcPr>
          <w:p>
            <w:pPr>
              <w:ind w:left="240"/>
              <w:spacing w:after="0"/>
              <w:rPr>
                <w:sz w:val="20"/>
                <w:szCs w:val="20"/>
                <w:color w:val="auto"/>
              </w:rPr>
            </w:pPr>
            <w:r>
              <w:rPr>
                <w:rFonts w:ascii="Arial" w:cs="Arial" w:eastAsia="Arial" w:hAnsi="Arial"/>
                <w:sz w:val="18"/>
                <w:szCs w:val="18"/>
                <w:color w:val="auto"/>
              </w:rPr>
              <w:t>bonds</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Level 3</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(1 )</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E5E5E5"/>
          </w:tcPr>
          <w:p>
            <w:pPr>
              <w:ind w:left="20"/>
              <w:spacing w:after="0"/>
              <w:rPr>
                <w:sz w:val="20"/>
                <w:szCs w:val="20"/>
                <w:color w:val="auto"/>
              </w:rPr>
            </w:pPr>
            <w:r>
              <w:rPr>
                <w:rFonts w:ascii="Arial" w:cs="Arial" w:eastAsia="Arial" w:hAnsi="Arial"/>
                <w:sz w:val="18"/>
                <w:szCs w:val="18"/>
                <w:color w:val="auto"/>
              </w:rPr>
              <w:t>Municipal securities</w:t>
            </w:r>
          </w:p>
        </w:tc>
        <w:tc>
          <w:tcPr>
            <w:tcW w:w="10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Level 2</w:t>
            </w:r>
          </w:p>
        </w:tc>
        <w:tc>
          <w:tcPr>
            <w:tcW w:w="220" w:type="dxa"/>
            <w:vAlign w:val="bottom"/>
            <w:shd w:val="clear" w:color="auto" w:fill="E5E5E5"/>
          </w:tcPr>
          <w:p>
            <w:pPr>
              <w:spacing w:after="0"/>
              <w:rPr>
                <w:sz w:val="19"/>
                <w:szCs w:val="19"/>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262</w:t>
            </w:r>
          </w:p>
        </w:tc>
        <w:tc>
          <w:tcPr>
            <w:tcW w:w="26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(13 )</w:t>
            </w:r>
          </w:p>
        </w:tc>
        <w:tc>
          <w:tcPr>
            <w:tcW w:w="18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249</w:t>
            </w:r>
          </w:p>
        </w:tc>
        <w:tc>
          <w:tcPr>
            <w:tcW w:w="24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249</w:t>
            </w:r>
          </w:p>
        </w:tc>
        <w:tc>
          <w:tcPr>
            <w:tcW w:w="20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40" w:type="dxa"/>
            <w:vAlign w:val="bottom"/>
          </w:tcPr>
          <w:p>
            <w:pPr>
              <w:ind w:left="20"/>
              <w:spacing w:after="0"/>
              <w:rPr>
                <w:sz w:val="20"/>
                <w:szCs w:val="20"/>
                <w:color w:val="auto"/>
              </w:rPr>
            </w:pPr>
            <w:r>
              <w:rPr>
                <w:rFonts w:ascii="Arial" w:cs="Arial" w:eastAsia="Arial" w:hAnsi="Arial"/>
                <w:sz w:val="18"/>
                <w:szCs w:val="18"/>
                <w:color w:val="auto"/>
              </w:rPr>
              <w:t>Municipal securities</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Level 3</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(17 )</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20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40" w:type="dxa"/>
            <w:vAlign w:val="bottom"/>
            <w:shd w:val="clear" w:color="auto" w:fill="E5E5E5"/>
          </w:tcPr>
          <w:p>
            <w:pPr>
              <w:ind w:left="240"/>
              <w:spacing w:after="0" w:line="197" w:lineRule="exact"/>
              <w:rPr>
                <w:sz w:val="20"/>
                <w:szCs w:val="20"/>
                <w:color w:val="auto"/>
              </w:rPr>
            </w:pPr>
            <w:r>
              <w:rPr>
                <w:rFonts w:ascii="Arial" w:cs="Arial" w:eastAsia="Arial" w:hAnsi="Arial"/>
                <w:sz w:val="18"/>
                <w:szCs w:val="18"/>
                <w:color w:val="auto"/>
              </w:rPr>
              <w:t>Total debt</w:t>
            </w:r>
          </w:p>
        </w:tc>
        <w:tc>
          <w:tcPr>
            <w:tcW w:w="10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40" w:type="dxa"/>
            <w:vAlign w:val="bottom"/>
            <w:shd w:val="clear" w:color="auto" w:fill="E5E5E5"/>
          </w:tcPr>
          <w:p>
            <w:pPr>
              <w:ind w:left="460"/>
              <w:spacing w:after="0"/>
              <w:rPr>
                <w:sz w:val="20"/>
                <w:szCs w:val="20"/>
                <w:color w:val="auto"/>
              </w:rPr>
            </w:pPr>
            <w:r>
              <w:rPr>
                <w:rFonts w:ascii="Arial" w:cs="Arial" w:eastAsia="Arial" w:hAnsi="Arial"/>
                <w:sz w:val="18"/>
                <w:szCs w:val="18"/>
                <w:color w:val="auto"/>
              </w:rPr>
              <w:t>investments</w:t>
            </w:r>
          </w:p>
        </w:tc>
        <w:tc>
          <w:tcPr>
            <w:tcW w:w="1000" w:type="dxa"/>
            <w:vAlign w:val="bottom"/>
            <w:shd w:val="clear" w:color="auto" w:fill="E5E5E5"/>
          </w:tcPr>
          <w:p>
            <w:pPr>
              <w:spacing w:after="0"/>
              <w:rPr>
                <w:sz w:val="20"/>
                <w:szCs w:val="20"/>
                <w:color w:val="auto"/>
              </w:rPr>
            </w:pPr>
          </w:p>
        </w:tc>
        <w:tc>
          <w:tcPr>
            <w:tcW w:w="2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68,209</w:t>
            </w:r>
          </w:p>
        </w:tc>
        <w:tc>
          <w:tcPr>
            <w:tcW w:w="46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38</w:t>
            </w:r>
          </w:p>
        </w:tc>
        <w:tc>
          <w:tcPr>
            <w:tcW w:w="42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(3,348 )</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64,899</w:t>
            </w:r>
          </w:p>
        </w:tc>
        <w:tc>
          <w:tcPr>
            <w:tcW w:w="4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6,183</w:t>
            </w:r>
          </w:p>
        </w:tc>
        <w:tc>
          <w:tcPr>
            <w:tcW w:w="4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57,216</w:t>
            </w:r>
          </w:p>
        </w:tc>
        <w:tc>
          <w:tcPr>
            <w:tcW w:w="34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Changes in Fair Value</w:t>
            </w:r>
          </w:p>
        </w:tc>
        <w:tc>
          <w:tcPr>
            <w:tcW w:w="10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4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40" w:type="dxa"/>
            <w:vAlign w:val="bottom"/>
          </w:tcPr>
          <w:p>
            <w:pPr>
              <w:ind w:left="240"/>
              <w:spacing w:after="0"/>
              <w:rPr>
                <w:sz w:val="20"/>
                <w:szCs w:val="20"/>
                <w:color w:val="auto"/>
              </w:rPr>
            </w:pPr>
            <w:r>
              <w:rPr>
                <w:rFonts w:ascii="Arial" w:cs="Arial" w:eastAsia="Arial" w:hAnsi="Arial"/>
                <w:sz w:val="13"/>
                <w:szCs w:val="13"/>
                <w:b w:val="1"/>
                <w:bCs w:val="1"/>
                <w:color w:val="auto"/>
              </w:rPr>
              <w:t>Recorded in Net Income</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E5E5E5"/>
          </w:tcPr>
          <w:p>
            <w:pPr>
              <w:ind w:left="20"/>
              <w:spacing w:after="0"/>
              <w:rPr>
                <w:sz w:val="20"/>
                <w:szCs w:val="20"/>
                <w:color w:val="auto"/>
              </w:rPr>
            </w:pPr>
            <w:r>
              <w:rPr>
                <w:rFonts w:ascii="Arial" w:cs="Arial" w:eastAsia="Arial" w:hAnsi="Arial"/>
                <w:sz w:val="18"/>
                <w:szCs w:val="18"/>
                <w:color w:val="auto"/>
              </w:rPr>
              <w:t>Equity investments</w:t>
            </w:r>
          </w:p>
        </w:tc>
        <w:tc>
          <w:tcPr>
            <w:tcW w:w="10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Level 1</w:t>
            </w:r>
          </w:p>
        </w:tc>
        <w:tc>
          <w:tcPr>
            <w:tcW w:w="220" w:type="dxa"/>
            <w:vAlign w:val="bottom"/>
            <w:shd w:val="clear" w:color="auto" w:fill="E5E5E5"/>
          </w:tcPr>
          <w:p>
            <w:pPr>
              <w:spacing w:after="0"/>
              <w:rPr>
                <w:sz w:val="19"/>
                <w:szCs w:val="19"/>
                <w:color w:val="auto"/>
              </w:rPr>
            </w:pPr>
          </w:p>
        </w:tc>
        <w:tc>
          <w:tcPr>
            <w:tcW w:w="70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76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76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3,547</w:t>
            </w:r>
          </w:p>
        </w:tc>
        <w:tc>
          <w:tcPr>
            <w:tcW w:w="4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561</w:t>
            </w:r>
          </w:p>
        </w:tc>
        <w:tc>
          <w:tcPr>
            <w:tcW w:w="4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2,986</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40" w:type="dxa"/>
            <w:vAlign w:val="bottom"/>
          </w:tcPr>
          <w:p>
            <w:pPr>
              <w:ind w:left="20"/>
              <w:spacing w:after="0"/>
              <w:rPr>
                <w:sz w:val="20"/>
                <w:szCs w:val="20"/>
                <w:color w:val="auto"/>
              </w:rPr>
            </w:pPr>
            <w:r>
              <w:rPr>
                <w:rFonts w:ascii="Arial" w:cs="Arial" w:eastAsia="Arial" w:hAnsi="Arial"/>
                <w:sz w:val="18"/>
                <w:szCs w:val="18"/>
                <w:color w:val="auto"/>
              </w:rPr>
              <w:t>Equity investments</w:t>
            </w: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Other</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10,114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20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40" w:type="dxa"/>
            <w:vAlign w:val="bottom"/>
            <w:shd w:val="clear" w:color="auto" w:fill="E5E5E5"/>
          </w:tcPr>
          <w:p>
            <w:pPr>
              <w:ind w:left="240"/>
              <w:spacing w:after="0" w:line="197" w:lineRule="exact"/>
              <w:rPr>
                <w:sz w:val="20"/>
                <w:szCs w:val="20"/>
                <w:color w:val="auto"/>
              </w:rPr>
            </w:pPr>
            <w:r>
              <w:rPr>
                <w:rFonts w:ascii="Arial" w:cs="Arial" w:eastAsia="Arial" w:hAnsi="Arial"/>
                <w:sz w:val="18"/>
                <w:szCs w:val="18"/>
                <w:color w:val="auto"/>
              </w:rPr>
              <w:t>Total equity</w:t>
            </w:r>
          </w:p>
        </w:tc>
        <w:tc>
          <w:tcPr>
            <w:tcW w:w="10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40" w:type="dxa"/>
            <w:vAlign w:val="bottom"/>
            <w:shd w:val="clear" w:color="auto" w:fill="E5E5E5"/>
          </w:tcPr>
          <w:p>
            <w:pPr>
              <w:ind w:left="460"/>
              <w:spacing w:after="0"/>
              <w:rPr>
                <w:sz w:val="20"/>
                <w:szCs w:val="20"/>
                <w:color w:val="auto"/>
              </w:rPr>
            </w:pPr>
            <w:r>
              <w:rPr>
                <w:rFonts w:ascii="Arial" w:cs="Arial" w:eastAsia="Arial" w:hAnsi="Arial"/>
                <w:sz w:val="18"/>
                <w:szCs w:val="18"/>
                <w:color w:val="auto"/>
              </w:rPr>
              <w:t>investments</w:t>
            </w:r>
          </w:p>
        </w:tc>
        <w:tc>
          <w:tcPr>
            <w:tcW w:w="100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0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7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7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13,661</w:t>
            </w:r>
          </w:p>
        </w:tc>
        <w:tc>
          <w:tcPr>
            <w:tcW w:w="4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561</w:t>
            </w:r>
          </w:p>
        </w:tc>
        <w:tc>
          <w:tcPr>
            <w:tcW w:w="4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13,100</w:t>
            </w:r>
          </w:p>
        </w:tc>
        <w:tc>
          <w:tcPr>
            <w:tcW w:w="10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2040" w:type="dxa"/>
            <w:vAlign w:val="bottom"/>
          </w:tcPr>
          <w:p>
            <w:pPr>
              <w:ind w:left="20"/>
              <w:spacing w:after="0"/>
              <w:rPr>
                <w:sz w:val="20"/>
                <w:szCs w:val="20"/>
                <w:color w:val="auto"/>
              </w:rPr>
            </w:pPr>
            <w:r>
              <w:rPr>
                <w:rFonts w:ascii="Arial" w:cs="Arial" w:eastAsia="Arial" w:hAnsi="Arial"/>
                <w:sz w:val="18"/>
                <w:szCs w:val="18"/>
                <w:color w:val="auto"/>
              </w:rPr>
              <w:t>Cash</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11,571</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11,571</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E5E5E5"/>
          </w:tcPr>
          <w:p>
            <w:pPr>
              <w:ind w:left="20"/>
              <w:spacing w:after="0" w:line="229" w:lineRule="exact"/>
              <w:rPr>
                <w:sz w:val="20"/>
                <w:szCs w:val="20"/>
                <w:color w:val="auto"/>
              </w:rPr>
            </w:pPr>
            <w:r>
              <w:rPr>
                <w:rFonts w:ascii="Arial" w:cs="Arial" w:eastAsia="Arial" w:hAnsi="Arial"/>
                <w:sz w:val="18"/>
                <w:szCs w:val="18"/>
                <w:color w:val="auto"/>
              </w:rPr>
              <w:t xml:space="preserve">Derivatives, net </w:t>
            </w:r>
            <w:r>
              <w:rPr>
                <w:rFonts w:ascii="Arial" w:cs="Arial" w:eastAsia="Arial" w:hAnsi="Arial"/>
                <w:sz w:val="24"/>
                <w:szCs w:val="24"/>
                <w:color w:val="auto"/>
                <w:vertAlign w:val="superscript"/>
              </w:rPr>
              <w:t>(a)</w:t>
            </w:r>
          </w:p>
        </w:tc>
        <w:tc>
          <w:tcPr>
            <w:tcW w:w="100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70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76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76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2040" w:type="dxa"/>
            <w:vAlign w:val="bottom"/>
          </w:tcPr>
          <w:p>
            <w:pPr>
              <w:ind w:left="240"/>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90,143</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18,315</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57,228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14,600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4192270</wp:posOffset>
            </wp:positionH>
            <wp:positionV relativeFrom="paragraph">
              <wp:posOffset>40005</wp:posOffset>
            </wp:positionV>
            <wp:extent cx="287718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77185" cy="17145"/>
                    </a:xfrm>
                    <a:prstGeom prst="rect">
                      <a:avLst/>
                    </a:prstGeom>
                    <a:noFill/>
                  </pic:spPr>
                </pic:pic>
              </a:graphicData>
            </a:graphic>
          </wp:anchor>
        </w:drawing>
      </w:r>
    </w:p>
    <w:p>
      <w:pPr>
        <w:spacing w:after="0" w:line="134"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fair value of our derivative instruments.</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Equity investments presented as “Other” in the tables above include investments without readily determinable fair values measured at cost with adjustments for observable changes in price or impairments, measured using the equity method, or measured at fair value using net asset value as a practical expedient which are not categorized in the fair value hierarchy. As of September 30, 2024 and June 30, 2024, equity investments without readily determinable fair values measured at cost with adjustments for observable changes in price or impairments were $3.8 billion and $3.9 billion, respectively, and equity investments measured using the equity method were $6.8 billion and $6.0 billion,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4" w:name="page15"/>
    <w:bookmarkEnd w:id="14"/>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Losses on Debt Investments</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Debt investments with continuous unrealized losses for less than 12 months and 12 months or greater and their related fair values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8"/>
          </w:tcPr>
          <w:p>
            <w:pPr>
              <w:jc w:val="right"/>
              <w:ind w:right="220"/>
              <w:spacing w:after="0"/>
              <w:rPr>
                <w:sz w:val="20"/>
                <w:szCs w:val="20"/>
                <w:color w:val="auto"/>
              </w:rPr>
            </w:pPr>
            <w:r>
              <w:rPr>
                <w:rFonts w:ascii="Arial" w:cs="Arial" w:eastAsia="Arial" w:hAnsi="Arial"/>
                <w:sz w:val="13"/>
                <w:szCs w:val="13"/>
                <w:b w:val="1"/>
                <w:bCs w:val="1"/>
                <w:color w:val="auto"/>
              </w:rPr>
              <w:t>Less than 12 Months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5"/>
          </w:tcPr>
          <w:p>
            <w:pPr>
              <w:jc w:val="right"/>
              <w:ind w:right="220"/>
              <w:spacing w:after="0"/>
              <w:rPr>
                <w:sz w:val="20"/>
                <w:szCs w:val="20"/>
                <w:color w:val="auto"/>
              </w:rPr>
            </w:pPr>
            <w:r>
              <w:rPr>
                <w:rFonts w:ascii="Arial" w:cs="Arial" w:eastAsia="Arial" w:hAnsi="Arial"/>
                <w:sz w:val="13"/>
                <w:szCs w:val="13"/>
                <w:b w:val="1"/>
                <w:bCs w:val="1"/>
                <w:color w:val="auto"/>
              </w:rPr>
              <w:t>12 Months or Greater</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8"/>
        </w:trPr>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3"/>
            <w:vMerge w:val="restart"/>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5"/>
                <w:szCs w:val="5"/>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9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Fair Value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86"/>
        </w:trPr>
        <w:tc>
          <w:tcPr>
            <w:tcW w:w="39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58"/>
        </w:trPr>
        <w:tc>
          <w:tcPr>
            <w:tcW w:w="39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3940" w:type="dxa"/>
            <w:vAlign w:val="bottom"/>
          </w:tcPr>
          <w:p>
            <w:pPr>
              <w:ind w:left="20"/>
              <w:spacing w:after="0"/>
              <w:rPr>
                <w:sz w:val="20"/>
                <w:szCs w:val="20"/>
                <w:color w:val="auto"/>
              </w:rPr>
            </w:pPr>
            <w:r>
              <w:rPr>
                <w:rFonts w:ascii="Arial" w:cs="Arial" w:eastAsia="Arial" w:hAnsi="Arial"/>
                <w:sz w:val="13"/>
                <w:szCs w:val="13"/>
                <w:b w:val="1"/>
                <w:bCs w:val="1"/>
                <w:color w:val="auto"/>
              </w:rPr>
              <w:t>September 30, 2024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E5E5E5"/>
          </w:tcPr>
          <w:p>
            <w:pPr>
              <w:ind w:left="2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146</w:t>
            </w:r>
          </w:p>
        </w:tc>
        <w:tc>
          <w:tcPr>
            <w:tcW w:w="460" w:type="dxa"/>
            <w:vAlign w:val="bottom"/>
            <w:gridSpan w:val="3"/>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(2 )</w:t>
            </w:r>
          </w:p>
        </w:tc>
        <w:tc>
          <w:tcPr>
            <w:tcW w:w="2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46,240</w:t>
            </w:r>
          </w:p>
        </w:tc>
        <w:tc>
          <w:tcPr>
            <w:tcW w:w="4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(1,826 )</w:t>
            </w:r>
          </w:p>
        </w:tc>
        <w:tc>
          <w:tcPr>
            <w:tcW w:w="240" w:type="dxa"/>
            <w:vAlign w:val="bottom"/>
            <w:shd w:val="clear" w:color="auto" w:fill="E5E5E5"/>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46,386</w:t>
            </w:r>
          </w:p>
        </w:tc>
        <w:tc>
          <w:tcPr>
            <w:tcW w:w="4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(1,828 )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Foreign government bonds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(1 )</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(8 )</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(9 )</w:t>
            </w:r>
          </w:p>
        </w:tc>
        <w:tc>
          <w:tcPr>
            <w:tcW w:w="0" w:type="dxa"/>
            <w:vAlign w:val="bottom"/>
          </w:tcPr>
          <w:p>
            <w:pPr>
              <w:spacing w:after="0"/>
              <w:rPr>
                <w:sz w:val="1"/>
                <w:szCs w:val="1"/>
                <w:color w:val="auto"/>
              </w:rPr>
            </w:pPr>
          </w:p>
        </w:tc>
      </w:tr>
      <w:tr>
        <w:trPr>
          <w:trHeight w:val="229"/>
        </w:trPr>
        <w:tc>
          <w:tcPr>
            <w:tcW w:w="3940" w:type="dxa"/>
            <w:vAlign w:val="bottom"/>
            <w:shd w:val="clear" w:color="auto" w:fill="E5E5E5"/>
          </w:tcPr>
          <w:p>
            <w:pPr>
              <w:ind w:left="20"/>
              <w:spacing w:after="0"/>
              <w:rPr>
                <w:sz w:val="20"/>
                <w:szCs w:val="20"/>
                <w:color w:val="auto"/>
              </w:rPr>
            </w:pPr>
            <w:r>
              <w:rPr>
                <w:rFonts w:ascii="Arial" w:cs="Arial" w:eastAsia="Arial" w:hAnsi="Arial"/>
                <w:sz w:val="18"/>
                <w:szCs w:val="18"/>
                <w:color w:val="auto"/>
              </w:rPr>
              <w:t>Mortgage- and asset-backed securities</w:t>
            </w:r>
          </w:p>
        </w:tc>
        <w:tc>
          <w:tcPr>
            <w:tcW w:w="2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80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82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E5E5E5"/>
          </w:tcPr>
          <w:p>
            <w:pPr>
              <w:spacing w:after="0"/>
              <w:rPr>
                <w:sz w:val="19"/>
                <w:szCs w:val="19"/>
                <w:color w:val="auto"/>
              </w:rPr>
            </w:pPr>
          </w:p>
        </w:tc>
        <w:tc>
          <w:tcPr>
            <w:tcW w:w="4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287</w:t>
            </w:r>
          </w:p>
        </w:tc>
        <w:tc>
          <w:tcPr>
            <w:tcW w:w="20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10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(22 )</w:t>
            </w:r>
          </w:p>
        </w:tc>
        <w:tc>
          <w:tcPr>
            <w:tcW w:w="240" w:type="dxa"/>
            <w:vAlign w:val="bottom"/>
            <w:shd w:val="clear" w:color="auto" w:fill="E5E5E5"/>
          </w:tcPr>
          <w:p>
            <w:pPr>
              <w:spacing w:after="0"/>
              <w:rPr>
                <w:sz w:val="19"/>
                <w:szCs w:val="19"/>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287</w:t>
            </w:r>
          </w:p>
        </w:tc>
        <w:tc>
          <w:tcPr>
            <w:tcW w:w="2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90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(22 )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Corporate notes and bonds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(1 )</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4,963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(166 )</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5,097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(167 )</w:t>
            </w:r>
          </w:p>
        </w:tc>
        <w:tc>
          <w:tcPr>
            <w:tcW w:w="0" w:type="dxa"/>
            <w:vAlign w:val="bottom"/>
          </w:tcPr>
          <w:p>
            <w:pPr>
              <w:spacing w:after="0"/>
              <w:rPr>
                <w:sz w:val="1"/>
                <w:szCs w:val="1"/>
                <w:color w:val="auto"/>
              </w:rPr>
            </w:pPr>
          </w:p>
        </w:tc>
      </w:tr>
      <w:tr>
        <w:trPr>
          <w:trHeight w:val="229"/>
        </w:trPr>
        <w:tc>
          <w:tcPr>
            <w:tcW w:w="3940" w:type="dxa"/>
            <w:vAlign w:val="bottom"/>
            <w:shd w:val="clear" w:color="auto" w:fill="E5E5E5"/>
          </w:tcPr>
          <w:p>
            <w:pPr>
              <w:ind w:left="20"/>
              <w:spacing w:after="0"/>
              <w:rPr>
                <w:sz w:val="20"/>
                <w:szCs w:val="20"/>
                <w:color w:val="auto"/>
              </w:rPr>
            </w:pPr>
            <w:r>
              <w:rPr>
                <w:rFonts w:ascii="Arial" w:cs="Arial" w:eastAsia="Arial" w:hAnsi="Arial"/>
                <w:sz w:val="18"/>
                <w:szCs w:val="18"/>
                <w:color w:val="auto"/>
              </w:rPr>
              <w:t>Municipal securities</w:t>
            </w:r>
          </w:p>
        </w:tc>
        <w:tc>
          <w:tcPr>
            <w:tcW w:w="2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80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82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E5E5E5"/>
          </w:tcPr>
          <w:p>
            <w:pPr>
              <w:spacing w:after="0"/>
              <w:rPr>
                <w:sz w:val="19"/>
                <w:szCs w:val="19"/>
                <w:color w:val="auto"/>
              </w:rPr>
            </w:pPr>
          </w:p>
        </w:tc>
        <w:tc>
          <w:tcPr>
            <w:tcW w:w="4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242</w:t>
            </w:r>
          </w:p>
        </w:tc>
        <w:tc>
          <w:tcPr>
            <w:tcW w:w="20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10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(23 )</w:t>
            </w:r>
          </w:p>
        </w:tc>
        <w:tc>
          <w:tcPr>
            <w:tcW w:w="240" w:type="dxa"/>
            <w:vAlign w:val="bottom"/>
            <w:shd w:val="clear" w:color="auto" w:fill="E5E5E5"/>
          </w:tcPr>
          <w:p>
            <w:pPr>
              <w:spacing w:after="0"/>
              <w:rPr>
                <w:sz w:val="19"/>
                <w:szCs w:val="19"/>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242</w:t>
            </w:r>
          </w:p>
        </w:tc>
        <w:tc>
          <w:tcPr>
            <w:tcW w:w="2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90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(23 )</w:t>
            </w:r>
          </w:p>
        </w:tc>
        <w:tc>
          <w:tcPr>
            <w:tcW w:w="0" w:type="dxa"/>
            <w:vAlign w:val="bottom"/>
          </w:tcPr>
          <w:p>
            <w:pPr>
              <w:spacing w:after="0"/>
              <w:rPr>
                <w:sz w:val="1"/>
                <w:szCs w:val="1"/>
                <w:color w:val="auto"/>
              </w:rPr>
            </w:pPr>
          </w:p>
        </w:tc>
      </w:tr>
      <w:tr>
        <w:trPr>
          <w:trHeight w:val="67"/>
        </w:trPr>
        <w:tc>
          <w:tcPr>
            <w:tcW w:w="39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gridSpan w:val="2"/>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3940" w:type="dxa"/>
            <w:vAlign w:val="bottom"/>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292</w:t>
            </w:r>
          </w:p>
        </w:tc>
        <w:tc>
          <w:tcPr>
            <w:tcW w:w="4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(4 )</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51,876</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(2,045 )</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52,168</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(2,049 )</w:t>
            </w:r>
          </w:p>
        </w:tc>
        <w:tc>
          <w:tcPr>
            <w:tcW w:w="0" w:type="dxa"/>
            <w:vAlign w:val="bottom"/>
          </w:tcPr>
          <w:p>
            <w:pPr>
              <w:spacing w:after="0"/>
              <w:rPr>
                <w:sz w:val="1"/>
                <w:szCs w:val="1"/>
                <w:color w:val="auto"/>
              </w:rPr>
            </w:pPr>
          </w:p>
        </w:tc>
      </w:tr>
      <w:tr>
        <w:trPr>
          <w:trHeight w:val="62"/>
        </w:trPr>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Borders>
              <w:bottom w:val="single" w:sz="8" w:color="auto"/>
            </w:tcBorders>
            <w:gridSpan w:val="2"/>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Borders>
              <w:bottom w:val="single" w:sz="8" w:color="auto"/>
            </w:tcBorders>
            <w:gridSpan w:val="2"/>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4"/>
        </w:trPr>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8"/>
          </w:tcPr>
          <w:p>
            <w:pPr>
              <w:jc w:val="right"/>
              <w:ind w:right="240"/>
              <w:spacing w:after="0"/>
              <w:rPr>
                <w:sz w:val="20"/>
                <w:szCs w:val="20"/>
                <w:color w:val="auto"/>
              </w:rPr>
            </w:pPr>
            <w:r>
              <w:rPr>
                <w:rFonts w:ascii="Arial" w:cs="Arial" w:eastAsia="Arial" w:hAnsi="Arial"/>
                <w:sz w:val="13"/>
                <w:szCs w:val="13"/>
                <w:b w:val="1"/>
                <w:bCs w:val="1"/>
                <w:color w:val="auto"/>
              </w:rPr>
              <w:t>Less than 12 Months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5"/>
          </w:tcPr>
          <w:p>
            <w:pPr>
              <w:jc w:val="right"/>
              <w:ind w:right="220"/>
              <w:spacing w:after="0"/>
              <w:rPr>
                <w:sz w:val="20"/>
                <w:szCs w:val="20"/>
                <w:color w:val="auto"/>
              </w:rPr>
            </w:pPr>
            <w:r>
              <w:rPr>
                <w:rFonts w:ascii="Arial" w:cs="Arial" w:eastAsia="Arial" w:hAnsi="Arial"/>
                <w:sz w:val="13"/>
                <w:szCs w:val="13"/>
                <w:b w:val="1"/>
                <w:bCs w:val="1"/>
                <w:color w:val="auto"/>
              </w:rPr>
              <w:t>12 Months or Greater</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8"/>
        </w:trPr>
        <w:tc>
          <w:tcPr>
            <w:tcW w:w="394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3"/>
            <w:vMerge w:val="restart"/>
          </w:tcPr>
          <w:p>
            <w:pPr>
              <w:jc w:val="right"/>
              <w:ind w:right="240"/>
              <w:spacing w:after="0"/>
              <w:rPr>
                <w:sz w:val="20"/>
                <w:szCs w:val="20"/>
                <w:color w:val="auto"/>
              </w:rPr>
            </w:pPr>
            <w:r>
              <w:rPr>
                <w:rFonts w:ascii="Arial" w:cs="Arial" w:eastAsia="Arial" w:hAnsi="Arial"/>
                <w:sz w:val="13"/>
                <w:szCs w:val="13"/>
                <w:b w:val="1"/>
                <w:bCs w:val="1"/>
                <w:color w:val="auto"/>
              </w:rPr>
              <w:t>Unrealized</w:t>
            </w: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5"/>
                <w:szCs w:val="5"/>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9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Fair Value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86"/>
        </w:trPr>
        <w:tc>
          <w:tcPr>
            <w:tcW w:w="39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Losses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58"/>
        </w:trPr>
        <w:tc>
          <w:tcPr>
            <w:tcW w:w="39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3940" w:type="dxa"/>
            <w:vAlign w:val="bottom"/>
          </w:tcPr>
          <w:p>
            <w:pPr>
              <w:ind w:left="20"/>
              <w:spacing w:after="0"/>
              <w:rPr>
                <w:sz w:val="20"/>
                <w:szCs w:val="20"/>
                <w:color w:val="auto"/>
              </w:rPr>
            </w:pPr>
            <w:r>
              <w:rPr>
                <w:rFonts w:ascii="Arial" w:cs="Arial" w:eastAsia="Arial" w:hAnsi="Arial"/>
                <w:sz w:val="13"/>
                <w:szCs w:val="13"/>
                <w:b w:val="1"/>
                <w:bCs w:val="1"/>
                <w:color w:val="auto"/>
              </w:rPr>
              <w:t>June 30, 2024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3940" w:type="dxa"/>
            <w:vAlign w:val="bottom"/>
          </w:tcPr>
          <w:p>
            <w:pPr>
              <w:spacing w:after="0"/>
              <w:rPr>
                <w:sz w:val="5"/>
                <w:szCs w:val="5"/>
                <w:color w:val="auto"/>
              </w:rPr>
            </w:pPr>
          </w:p>
        </w:tc>
        <w:tc>
          <w:tcPr>
            <w:tcW w:w="240" w:type="dxa"/>
            <w:vAlign w:val="bottom"/>
            <w:gridSpan w:val="2"/>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gridSpan w:val="2"/>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gridSpan w:val="2"/>
          </w:tcPr>
          <w:p>
            <w:pPr>
              <w:spacing w:after="0"/>
              <w:rPr>
                <w:sz w:val="5"/>
                <w:szCs w:val="5"/>
                <w:color w:val="auto"/>
              </w:rPr>
            </w:pPr>
          </w:p>
        </w:tc>
        <w:tc>
          <w:tcPr>
            <w:tcW w:w="260" w:type="dxa"/>
            <w:vAlign w:val="bottom"/>
            <w:gridSpan w:val="2"/>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9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E5E5E5"/>
          </w:tcPr>
          <w:p>
            <w:pPr>
              <w:ind w:left="2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529</w:t>
            </w:r>
          </w:p>
        </w:tc>
        <w:tc>
          <w:tcPr>
            <w:tcW w:w="20" w:type="dxa"/>
            <w:vAlign w:val="bottom"/>
            <w:shd w:val="clear" w:color="auto" w:fill="E5E5E5"/>
          </w:tcPr>
          <w:p>
            <w:pPr>
              <w:spacing w:after="0"/>
              <w:rPr>
                <w:sz w:val="19"/>
                <w:szCs w:val="19"/>
                <w:color w:val="auto"/>
              </w:rPr>
            </w:pPr>
          </w:p>
        </w:tc>
        <w:tc>
          <w:tcPr>
            <w:tcW w:w="460" w:type="dxa"/>
            <w:vAlign w:val="bottom"/>
            <w:gridSpan w:val="3"/>
            <w:shd w:val="clear" w:color="auto" w:fill="E5E5E5"/>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E5E5E5"/>
          </w:tcPr>
          <w:p>
            <w:pPr>
              <w:jc w:val="right"/>
              <w:ind w:right="160"/>
              <w:spacing w:after="0"/>
              <w:rPr>
                <w:sz w:val="20"/>
                <w:szCs w:val="20"/>
                <w:color w:val="auto"/>
              </w:rPr>
            </w:pPr>
            <w:r>
              <w:rPr>
                <w:rFonts w:ascii="Arial" w:cs="Arial" w:eastAsia="Arial" w:hAnsi="Arial"/>
                <w:sz w:val="18"/>
                <w:szCs w:val="18"/>
                <w:color w:val="auto"/>
              </w:rPr>
              <w:t>(12 )</w:t>
            </w:r>
          </w:p>
        </w:tc>
        <w:tc>
          <w:tcPr>
            <w:tcW w:w="2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45,821</w:t>
            </w:r>
          </w:p>
        </w:tc>
        <w:tc>
          <w:tcPr>
            <w:tcW w:w="4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(2,936 )</w:t>
            </w:r>
          </w:p>
        </w:tc>
        <w:tc>
          <w:tcPr>
            <w:tcW w:w="24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46,350</w:t>
            </w:r>
          </w:p>
        </w:tc>
        <w:tc>
          <w:tcPr>
            <w:tcW w:w="4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(2,948 )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Foreign government bonds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(2 )</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(14 )</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3940" w:type="dxa"/>
            <w:vAlign w:val="bottom"/>
            <w:shd w:val="clear" w:color="auto" w:fill="E5E5E5"/>
          </w:tcPr>
          <w:p>
            <w:pPr>
              <w:ind w:left="20"/>
              <w:spacing w:after="0"/>
              <w:rPr>
                <w:sz w:val="20"/>
                <w:szCs w:val="20"/>
                <w:color w:val="auto"/>
              </w:rPr>
            </w:pPr>
            <w:r>
              <w:rPr>
                <w:rFonts w:ascii="Arial" w:cs="Arial" w:eastAsia="Arial" w:hAnsi="Arial"/>
                <w:sz w:val="18"/>
                <w:szCs w:val="18"/>
                <w:color w:val="auto"/>
              </w:rPr>
              <w:t>Mortgage- and asset-backed securities</w:t>
            </w:r>
          </w:p>
        </w:tc>
        <w:tc>
          <w:tcPr>
            <w:tcW w:w="2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201</w:t>
            </w:r>
          </w:p>
        </w:tc>
        <w:tc>
          <w:tcPr>
            <w:tcW w:w="2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1020" w:type="dxa"/>
            <w:vAlign w:val="bottom"/>
            <w:gridSpan w:val="3"/>
            <w:shd w:val="clear" w:color="auto" w:fill="E5E5E5"/>
          </w:tcPr>
          <w:p>
            <w:pPr>
              <w:jc w:val="right"/>
              <w:ind w:right="160"/>
              <w:spacing w:after="0"/>
              <w:rPr>
                <w:sz w:val="20"/>
                <w:szCs w:val="20"/>
                <w:color w:val="auto"/>
              </w:rPr>
            </w:pPr>
            <w:r>
              <w:rPr>
                <w:rFonts w:ascii="Arial" w:cs="Arial" w:eastAsia="Arial" w:hAnsi="Arial"/>
                <w:sz w:val="18"/>
                <w:szCs w:val="18"/>
                <w:color w:val="auto"/>
              </w:rPr>
              <w:t>(1 )</w:t>
            </w:r>
          </w:p>
        </w:tc>
        <w:tc>
          <w:tcPr>
            <w:tcW w:w="4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409</w:t>
            </w:r>
          </w:p>
        </w:tc>
        <w:tc>
          <w:tcPr>
            <w:tcW w:w="20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10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(34 )</w:t>
            </w:r>
          </w:p>
        </w:tc>
        <w:tc>
          <w:tcPr>
            <w:tcW w:w="240" w:type="dxa"/>
            <w:vAlign w:val="bottom"/>
            <w:shd w:val="clear" w:color="auto" w:fill="E5E5E5"/>
          </w:tcPr>
          <w:p>
            <w:pPr>
              <w:spacing w:after="0"/>
              <w:rPr>
                <w:sz w:val="19"/>
                <w:szCs w:val="19"/>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610</w:t>
            </w:r>
          </w:p>
        </w:tc>
        <w:tc>
          <w:tcPr>
            <w:tcW w:w="2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90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Corporate notes and bonds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(9 )</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5,779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(310 )</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7,089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(319 )</w:t>
            </w:r>
          </w:p>
        </w:tc>
        <w:tc>
          <w:tcPr>
            <w:tcW w:w="0" w:type="dxa"/>
            <w:vAlign w:val="bottom"/>
          </w:tcPr>
          <w:p>
            <w:pPr>
              <w:spacing w:after="0"/>
              <w:rPr>
                <w:sz w:val="1"/>
                <w:szCs w:val="1"/>
                <w:color w:val="auto"/>
              </w:rPr>
            </w:pPr>
          </w:p>
        </w:tc>
      </w:tr>
      <w:tr>
        <w:trPr>
          <w:trHeight w:val="229"/>
        </w:trPr>
        <w:tc>
          <w:tcPr>
            <w:tcW w:w="3940" w:type="dxa"/>
            <w:vAlign w:val="bottom"/>
            <w:shd w:val="clear" w:color="auto" w:fill="E5E5E5"/>
          </w:tcPr>
          <w:p>
            <w:pPr>
              <w:ind w:left="20"/>
              <w:spacing w:after="0"/>
              <w:rPr>
                <w:sz w:val="20"/>
                <w:szCs w:val="20"/>
                <w:color w:val="auto"/>
              </w:rPr>
            </w:pPr>
            <w:r>
              <w:rPr>
                <w:rFonts w:ascii="Arial" w:cs="Arial" w:eastAsia="Arial" w:hAnsi="Arial"/>
                <w:sz w:val="18"/>
                <w:szCs w:val="18"/>
                <w:color w:val="auto"/>
              </w:rPr>
              <w:t>Municipal securities</w:t>
            </w:r>
          </w:p>
        </w:tc>
        <w:tc>
          <w:tcPr>
            <w:tcW w:w="2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38</w:t>
            </w:r>
          </w:p>
        </w:tc>
        <w:tc>
          <w:tcPr>
            <w:tcW w:w="2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1020" w:type="dxa"/>
            <w:vAlign w:val="bottom"/>
            <w:gridSpan w:val="3"/>
            <w:shd w:val="clear" w:color="auto" w:fill="E5E5E5"/>
          </w:tcPr>
          <w:p>
            <w:pPr>
              <w:jc w:val="right"/>
              <w:ind w:right="160"/>
              <w:spacing w:after="0"/>
              <w:rPr>
                <w:sz w:val="20"/>
                <w:szCs w:val="20"/>
                <w:color w:val="auto"/>
              </w:rPr>
            </w:pPr>
            <w:r>
              <w:rPr>
                <w:rFonts w:ascii="Arial" w:cs="Arial" w:eastAsia="Arial" w:hAnsi="Arial"/>
                <w:sz w:val="18"/>
                <w:szCs w:val="18"/>
                <w:color w:val="auto"/>
              </w:rPr>
              <w:t>(1 )</w:t>
            </w:r>
          </w:p>
        </w:tc>
        <w:tc>
          <w:tcPr>
            <w:tcW w:w="4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10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(29 )</w:t>
            </w:r>
          </w:p>
        </w:tc>
        <w:tc>
          <w:tcPr>
            <w:tcW w:w="240" w:type="dxa"/>
            <w:vAlign w:val="bottom"/>
            <w:shd w:val="clear" w:color="auto" w:fill="E5E5E5"/>
          </w:tcPr>
          <w:p>
            <w:pPr>
              <w:spacing w:after="0"/>
              <w:rPr>
                <w:sz w:val="19"/>
                <w:szCs w:val="19"/>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90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67"/>
        </w:trPr>
        <w:tc>
          <w:tcPr>
            <w:tcW w:w="39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gridSpan w:val="2"/>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gridSpan w:val="2"/>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gridSpan w:val="2"/>
          </w:tcPr>
          <w:p>
            <w:pPr>
              <w:spacing w:after="0"/>
              <w:rPr>
                <w:sz w:val="5"/>
                <w:szCs w:val="5"/>
                <w:color w:val="auto"/>
              </w:rPr>
            </w:pPr>
          </w:p>
        </w:tc>
        <w:tc>
          <w:tcPr>
            <w:tcW w:w="260" w:type="dxa"/>
            <w:vAlign w:val="bottom"/>
            <w:tcBorders>
              <w:bottom w:val="single" w:sz="8" w:color="auto"/>
            </w:tcBorders>
            <w:gridSpan w:val="2"/>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3940" w:type="dxa"/>
            <w:vAlign w:val="bottom"/>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2,157</w:t>
            </w:r>
          </w:p>
        </w:tc>
        <w:tc>
          <w:tcPr>
            <w:tcW w:w="20" w:type="dxa"/>
            <w:vAlign w:val="bottom"/>
          </w:tcPr>
          <w:p>
            <w:pPr>
              <w:spacing w:after="0"/>
              <w:rPr>
                <w:sz w:val="24"/>
                <w:szCs w:val="24"/>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(25 )</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52,432</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(3,323 )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54,589</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(3,348 )</w:t>
            </w:r>
          </w:p>
        </w:tc>
        <w:tc>
          <w:tcPr>
            <w:tcW w:w="0" w:type="dxa"/>
            <w:vAlign w:val="bottom"/>
          </w:tcPr>
          <w:p>
            <w:pPr>
              <w:spacing w:after="0"/>
              <w:rPr>
                <w:sz w:val="1"/>
                <w:szCs w:val="1"/>
                <w:color w:val="auto"/>
              </w:rPr>
            </w:pPr>
          </w:p>
        </w:tc>
      </w:tr>
      <w:tr>
        <w:trPr>
          <w:trHeight w:val="70"/>
        </w:trPr>
        <w:tc>
          <w:tcPr>
            <w:tcW w:w="394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Unrealized losses from fixed-income securities are primarily attributable to changes in interest rates. Management does not believe any remaining unrealized losses represent impairments based on our evaluation of available evidence.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 Maturities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maturities of our debt investments as of September 30, 2024: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4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Adjusted</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86"/>
        </w:trPr>
        <w:tc>
          <w:tcPr>
            <w:tcW w:w="800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Cost Basis</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58"/>
        </w:trPr>
        <w:tc>
          <w:tcPr>
            <w:tcW w:w="80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8000" w:type="dxa"/>
            <w:vAlign w:val="bottom"/>
          </w:tcPr>
          <w:p>
            <w:pPr>
              <w:ind w:left="20"/>
              <w:spacing w:after="0"/>
              <w:rPr>
                <w:sz w:val="20"/>
                <w:szCs w:val="20"/>
                <w:color w:val="auto"/>
              </w:rPr>
            </w:pPr>
            <w:r>
              <w:rPr>
                <w:rFonts w:ascii="Arial" w:cs="Arial" w:eastAsia="Arial" w:hAnsi="Arial"/>
                <w:sz w:val="13"/>
                <w:szCs w:val="13"/>
                <w:b w:val="1"/>
                <w:bCs w:val="1"/>
                <w:color w:val="auto"/>
              </w:rPr>
              <w:t>September 30, 2024</w:t>
            </w: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80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Due in one year or less</w:t>
            </w:r>
          </w:p>
        </w:tc>
        <w:tc>
          <w:tcPr>
            <w:tcW w:w="460" w:type="dxa"/>
            <w:vAlign w:val="bottom"/>
            <w:shd w:val="clear" w:color="auto" w:fill="E5E5E5"/>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24,446</w:t>
            </w:r>
          </w:p>
        </w:tc>
        <w:tc>
          <w:tcPr>
            <w:tcW w:w="660" w:type="dxa"/>
            <w:vAlign w:val="bottom"/>
            <w:gridSpan w:val="2"/>
            <w:shd w:val="clear" w:color="auto" w:fill="E5E5E5"/>
          </w:tcPr>
          <w:p>
            <w:pPr>
              <w:jc w:val="right"/>
              <w:ind w:right="3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24,331</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37,153</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Due after five years through 10 years</w:t>
            </w:r>
          </w:p>
        </w:tc>
        <w:tc>
          <w:tcPr>
            <w:tcW w:w="460" w:type="dxa"/>
            <w:vAlign w:val="bottom"/>
            <w:shd w:val="clear" w:color="auto" w:fill="E5E5E5"/>
          </w:tcPr>
          <w:p>
            <w:pPr>
              <w:spacing w:after="0"/>
              <w:rPr>
                <w:sz w:val="19"/>
                <w:szCs w:val="19"/>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7,338</w:t>
            </w:r>
          </w:p>
        </w:tc>
        <w:tc>
          <w:tcPr>
            <w:tcW w:w="220" w:type="dxa"/>
            <w:vAlign w:val="bottom"/>
            <w:shd w:val="clear" w:color="auto" w:fill="E5E5E5"/>
          </w:tcPr>
          <w:p>
            <w:pPr>
              <w:spacing w:after="0"/>
              <w:rPr>
                <w:sz w:val="19"/>
                <w:szCs w:val="19"/>
                <w:color w:val="auto"/>
              </w:rPr>
            </w:pPr>
          </w:p>
        </w:tc>
        <w:tc>
          <w:tcPr>
            <w:tcW w:w="440" w:type="dxa"/>
            <w:vAlign w:val="bottom"/>
            <w:shd w:val="clear" w:color="auto" w:fill="E5E5E5"/>
          </w:tcPr>
          <w:p>
            <w:pPr>
              <w:spacing w:after="0"/>
              <w:rPr>
                <w:sz w:val="19"/>
                <w:szCs w:val="19"/>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6,865</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000" w:type="dxa"/>
            <w:vAlign w:val="bottom"/>
          </w:tcPr>
          <w:p>
            <w:pPr>
              <w:ind w:left="20"/>
              <w:spacing w:after="0"/>
              <w:rPr>
                <w:sz w:val="20"/>
                <w:szCs w:val="20"/>
                <w:color w:val="auto"/>
              </w:rPr>
            </w:pPr>
            <w:r>
              <w:rPr>
                <w:rFonts w:ascii="Arial" w:cs="Arial" w:eastAsia="Arial" w:hAnsi="Arial"/>
                <w:sz w:val="18"/>
                <w:szCs w:val="18"/>
                <w:color w:val="auto"/>
              </w:rPr>
              <w:t>Due after 10 years</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1,419</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0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E5E5E5"/>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70,356</w:t>
            </w:r>
          </w:p>
        </w:tc>
        <w:tc>
          <w:tcPr>
            <w:tcW w:w="660" w:type="dxa"/>
            <w:vAlign w:val="bottom"/>
            <w:gridSpan w:val="2"/>
            <w:shd w:val="clear" w:color="auto" w:fill="E5E5E5"/>
          </w:tcPr>
          <w:p>
            <w:pPr>
              <w:jc w:val="right"/>
              <w:ind w:right="3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68,457</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800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5 — DERIVATIVES</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use derivative instruments to manage risks related to foreign currencies, interest rates, equity prices, and credit; to enhance investment returns; and to facilitate portfolio diversification. Our objectives for holding derivatives include reducing, eliminating, and efficiently managing the economic impact of these exposures as effectively as possible. Our derivative programs include strategies that both qualify and do not qualify for hedge accounting treatment.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hedge positions.</w:t>
      </w:r>
    </w:p>
    <w:p>
      <w:pPr>
        <w:sectPr>
          <w:pgSz w:w="11900" w:h="16838" w:orient="portrait"/>
          <w:cols w:equalWidth="0" w:num="1">
            <w:col w:w="11240"/>
          </w:cols>
          <w:pgMar w:left="320" w:top="774" w:right="3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type w:val="continuous"/>
        </w:sectPr>
      </w:pPr>
    </w:p>
    <w:bookmarkStart w:id="15" w:name="page16"/>
    <w:bookmarkEnd w:id="15"/>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Foreign currency risks related to certain Euro-denominated debt are hedged using foreign exchange forward contracts that are designated as cash flow hedging instruments.</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Certain options and forwards not designated as hedging instruments are also used to manage the variability in foreign exchange rates on certain balance sheet amounts and to manage other foreign currency exposures.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Interest rate risks related to certain fixed-rate debt are hedged using interest rate swaps that are designated as fair value hedging instruments to effectively convert the fixed interest rates to floating interest rates.</w:t>
      </w:r>
    </w:p>
    <w:p>
      <w:pPr>
        <w:spacing w:after="0" w:line="9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our fixed-income portfolio to achieve economic returns that correlate to certain broad-based fixed-income indices using option, futures, and swap contracts. These contracts are not designated as hedging instruments and are included in “Other contracts” in the tables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Securities held in our equity investments portfolio are subject to market price risk. At times, we may hold options, futures, and swap contracts. These contracts are not designated as hedging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fixed-income portfolio is diversified and consists primarily of investment-grade securities. We use credit default swap contracts to manage credit exposures relative to broad-based indices and to facilitate portfolio diversification. These contracts are not designated as hedging instruments and are included in “Other contracts” in the tables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5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Certain counterparty agreements for derivative instruments contain provisions that require our issued and outstanding long-term unsecured debt to maintain an investment grade credit rating and require us to maintain minimum liquidity of $1.0 billion. To the extent we fail to meet these requirements, we will be required to post collateral, similar to the standard convention related to over-the-counter derivatives. As of September 30, 2024, our long-term unsecured debt rating was AAA, and cash investments were in excess of $1.0 billion. As a result, no collateral was required to be posted.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notional amounts of our outstanding derivative instruments measured in U.S. dollar equivalents: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4000" w:type="dxa"/>
            <w:vAlign w:val="bottom"/>
          </w:tcPr>
          <w:p>
            <w:pPr>
              <w:spacing w:after="0"/>
              <w:rPr>
                <w:sz w:val="12"/>
                <w:szCs w:val="12"/>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b w:val="1"/>
                <w:bCs w:val="1"/>
                <w:color w:val="auto"/>
              </w:rPr>
              <w:t>September 30,</w:t>
            </w:r>
          </w:p>
        </w:tc>
        <w:tc>
          <w:tcPr>
            <w:tcW w:w="600" w:type="dxa"/>
            <w:vAlign w:val="bottom"/>
          </w:tcPr>
          <w:p>
            <w:pPr>
              <w:spacing w:after="0"/>
              <w:rPr>
                <w:sz w:val="12"/>
                <w:szCs w:val="12"/>
                <w:color w:val="auto"/>
              </w:rPr>
            </w:pPr>
          </w:p>
        </w:tc>
        <w:tc>
          <w:tcPr>
            <w:tcW w:w="1060" w:type="dxa"/>
            <w:vAlign w:val="bottom"/>
            <w:gridSpan w:val="2"/>
          </w:tcPr>
          <w:p>
            <w:pPr>
              <w:ind w:left="4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6"/>
        </w:trPr>
        <w:tc>
          <w:tcPr>
            <w:tcW w:w="4340" w:type="dxa"/>
            <w:vAlign w:val="bottom"/>
            <w:vMerge w:val="continue"/>
          </w:tcPr>
          <w:p>
            <w:pPr>
              <w:spacing w:after="0"/>
              <w:rPr>
                <w:sz w:val="16"/>
                <w:szCs w:val="16"/>
                <w:color w:val="auto"/>
              </w:rPr>
            </w:pPr>
          </w:p>
        </w:tc>
        <w:tc>
          <w:tcPr>
            <w:tcW w:w="4000" w:type="dxa"/>
            <w:vAlign w:val="bottom"/>
          </w:tcPr>
          <w:p>
            <w:pPr>
              <w:spacing w:after="0"/>
              <w:rPr>
                <w:sz w:val="16"/>
                <w:szCs w:val="16"/>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b w:val="1"/>
                <w:bCs w:val="1"/>
                <w:color w:val="auto"/>
              </w:rPr>
              <w:t>2024</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4340" w:type="dxa"/>
            <w:vAlign w:val="bottom"/>
            <w:tcBorders>
              <w:bottom w:val="single" w:sz="8" w:color="auto"/>
            </w:tcBorders>
          </w:tcPr>
          <w:p>
            <w:pPr>
              <w:spacing w:after="0"/>
              <w:rPr>
                <w:sz w:val="5"/>
                <w:szCs w:val="5"/>
                <w:color w:val="auto"/>
              </w:rPr>
            </w:pPr>
          </w:p>
        </w:tc>
        <w:tc>
          <w:tcPr>
            <w:tcW w:w="40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4340" w:type="dxa"/>
            <w:vAlign w:val="bottom"/>
          </w:tcPr>
          <w:p>
            <w:pPr>
              <w:ind w:left="20"/>
              <w:spacing w:after="0"/>
              <w:rPr>
                <w:sz w:val="20"/>
                <w:szCs w:val="20"/>
                <w:color w:val="auto"/>
              </w:rPr>
            </w:pPr>
            <w:r>
              <w:rPr>
                <w:rFonts w:ascii="Arial" w:cs="Arial" w:eastAsia="Arial" w:hAnsi="Arial"/>
                <w:sz w:val="13"/>
                <w:szCs w:val="13"/>
                <w:b w:val="1"/>
                <w:bCs w:val="1"/>
                <w:color w:val="auto"/>
              </w:rPr>
              <w:t>Designated as Hedging Instruments</w:t>
            </w:r>
          </w:p>
        </w:tc>
        <w:tc>
          <w:tcPr>
            <w:tcW w:w="40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4340" w:type="dxa"/>
            <w:vAlign w:val="bottom"/>
          </w:tcPr>
          <w:p>
            <w:pPr>
              <w:spacing w:after="0"/>
              <w:rPr>
                <w:sz w:val="5"/>
                <w:szCs w:val="5"/>
                <w:color w:val="auto"/>
              </w:rPr>
            </w:pPr>
          </w:p>
        </w:tc>
        <w:tc>
          <w:tcPr>
            <w:tcW w:w="40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E5E5E5"/>
          </w:tcPr>
          <w:p>
            <w:pPr>
              <w:ind w:left="20"/>
              <w:spacing w:after="0"/>
              <w:rPr>
                <w:sz w:val="20"/>
                <w:szCs w:val="20"/>
                <w:color w:val="auto"/>
              </w:rPr>
            </w:pPr>
            <w:r>
              <w:rPr>
                <w:rFonts w:ascii="Arial" w:cs="Arial" w:eastAsia="Arial" w:hAnsi="Arial"/>
                <w:sz w:val="18"/>
                <w:szCs w:val="18"/>
                <w:color w:val="auto"/>
              </w:rPr>
              <w:t>Foreign exchange contracts purchased</w:t>
            </w:r>
          </w:p>
        </w:tc>
        <w:tc>
          <w:tcPr>
            <w:tcW w:w="4000" w:type="dxa"/>
            <w:vAlign w:val="bottom"/>
            <w:shd w:val="clear" w:color="auto" w:fill="E5E5E5"/>
          </w:tcPr>
          <w:p>
            <w:pPr>
              <w:jc w:val="right"/>
              <w:ind w:right="119"/>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E5E5E5"/>
          </w:tcPr>
          <w:p>
            <w:pPr>
              <w:jc w:val="right"/>
              <w:ind w:right="35"/>
              <w:spacing w:after="0"/>
              <w:rPr>
                <w:sz w:val="20"/>
                <w:szCs w:val="20"/>
                <w:color w:val="auto"/>
              </w:rPr>
            </w:pPr>
            <w:r>
              <w:rPr>
                <w:rFonts w:ascii="Arial" w:cs="Arial" w:eastAsia="Arial" w:hAnsi="Arial"/>
                <w:sz w:val="18"/>
                <w:szCs w:val="18"/>
                <w:b w:val="1"/>
                <w:bCs w:val="1"/>
                <w:color w:val="auto"/>
              </w:rPr>
              <w:t>1,492</w:t>
            </w:r>
          </w:p>
        </w:tc>
        <w:tc>
          <w:tcPr>
            <w:tcW w:w="600" w:type="dxa"/>
            <w:vAlign w:val="bottom"/>
            <w:shd w:val="clear" w:color="auto" w:fill="E5E5E5"/>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1,492</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340" w:type="dxa"/>
            <w:vAlign w:val="bottom"/>
          </w:tcPr>
          <w:p>
            <w:pPr>
              <w:ind w:left="20"/>
              <w:spacing w:after="0"/>
              <w:rPr>
                <w:sz w:val="20"/>
                <w:szCs w:val="20"/>
                <w:color w:val="auto"/>
              </w:rPr>
            </w:pPr>
            <w:r>
              <w:rPr>
                <w:rFonts w:ascii="Arial" w:cs="Arial" w:eastAsia="Arial" w:hAnsi="Arial"/>
                <w:sz w:val="18"/>
                <w:szCs w:val="18"/>
                <w:color w:val="auto"/>
              </w:rPr>
              <w:t>Interest rate contracts purchased</w:t>
            </w:r>
          </w:p>
        </w:tc>
        <w:tc>
          <w:tcPr>
            <w:tcW w:w="400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b w:val="1"/>
                <w:bCs w:val="1"/>
                <w:color w:val="auto"/>
              </w:rPr>
              <w:t>1,144</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340" w:type="dxa"/>
            <w:vAlign w:val="bottom"/>
          </w:tcPr>
          <w:p>
            <w:pPr>
              <w:ind w:left="20"/>
              <w:spacing w:after="0"/>
              <w:rPr>
                <w:sz w:val="20"/>
                <w:szCs w:val="20"/>
                <w:color w:val="auto"/>
              </w:rPr>
            </w:pPr>
            <w:r>
              <w:rPr>
                <w:rFonts w:ascii="Arial" w:cs="Arial" w:eastAsia="Arial" w:hAnsi="Arial"/>
                <w:sz w:val="13"/>
                <w:szCs w:val="13"/>
                <w:b w:val="1"/>
                <w:bCs w:val="1"/>
                <w:color w:val="auto"/>
              </w:rPr>
              <w:t>Not Designated as Hedging Instruments</w:t>
            </w:r>
          </w:p>
        </w:tc>
        <w:tc>
          <w:tcPr>
            <w:tcW w:w="40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4340" w:type="dxa"/>
            <w:vAlign w:val="bottom"/>
          </w:tcPr>
          <w:p>
            <w:pPr>
              <w:spacing w:after="0"/>
              <w:rPr>
                <w:sz w:val="5"/>
                <w:szCs w:val="5"/>
                <w:color w:val="auto"/>
              </w:rPr>
            </w:pPr>
          </w:p>
        </w:tc>
        <w:tc>
          <w:tcPr>
            <w:tcW w:w="40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E5E5E5"/>
          </w:tcPr>
          <w:p>
            <w:pPr>
              <w:ind w:left="20"/>
              <w:spacing w:after="0"/>
              <w:rPr>
                <w:sz w:val="20"/>
                <w:szCs w:val="20"/>
                <w:color w:val="auto"/>
              </w:rPr>
            </w:pPr>
            <w:r>
              <w:rPr>
                <w:rFonts w:ascii="Arial" w:cs="Arial" w:eastAsia="Arial" w:hAnsi="Arial"/>
                <w:sz w:val="18"/>
                <w:szCs w:val="18"/>
                <w:color w:val="auto"/>
              </w:rPr>
              <w:t>Foreign exchange contracts purchased</w:t>
            </w:r>
          </w:p>
        </w:tc>
        <w:tc>
          <w:tcPr>
            <w:tcW w:w="4000" w:type="dxa"/>
            <w:vAlign w:val="bottom"/>
            <w:shd w:val="clear" w:color="auto" w:fill="E5E5E5"/>
          </w:tcPr>
          <w:p>
            <w:pPr>
              <w:spacing w:after="0"/>
              <w:rPr>
                <w:sz w:val="19"/>
                <w:szCs w:val="19"/>
                <w:color w:val="auto"/>
              </w:rPr>
            </w:pPr>
          </w:p>
        </w:tc>
        <w:tc>
          <w:tcPr>
            <w:tcW w:w="1240" w:type="dxa"/>
            <w:vAlign w:val="bottom"/>
            <w:shd w:val="clear" w:color="auto" w:fill="E5E5E5"/>
          </w:tcPr>
          <w:p>
            <w:pPr>
              <w:jc w:val="right"/>
              <w:ind w:right="35"/>
              <w:spacing w:after="0"/>
              <w:rPr>
                <w:sz w:val="20"/>
                <w:szCs w:val="20"/>
                <w:color w:val="auto"/>
              </w:rPr>
            </w:pPr>
            <w:r>
              <w:rPr>
                <w:rFonts w:ascii="Arial" w:cs="Arial" w:eastAsia="Arial" w:hAnsi="Arial"/>
                <w:sz w:val="18"/>
                <w:szCs w:val="18"/>
                <w:b w:val="1"/>
                <w:bCs w:val="1"/>
                <w:color w:val="auto"/>
              </w:rPr>
              <w:t>8,438</w:t>
            </w:r>
          </w:p>
        </w:tc>
        <w:tc>
          <w:tcPr>
            <w:tcW w:w="60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7,167</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Foreign exchange contracts sold</w:t>
            </w:r>
          </w:p>
        </w:tc>
        <w:tc>
          <w:tcPr>
            <w:tcW w:w="400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b w:val="1"/>
                <w:bCs w:val="1"/>
                <w:color w:val="auto"/>
              </w:rPr>
              <w:t>22,559</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E5E5E5"/>
          </w:tcPr>
          <w:p>
            <w:pPr>
              <w:ind w:left="20"/>
              <w:spacing w:after="0"/>
              <w:rPr>
                <w:sz w:val="20"/>
                <w:szCs w:val="20"/>
                <w:color w:val="auto"/>
              </w:rPr>
            </w:pPr>
            <w:r>
              <w:rPr>
                <w:rFonts w:ascii="Arial" w:cs="Arial" w:eastAsia="Arial" w:hAnsi="Arial"/>
                <w:sz w:val="18"/>
                <w:szCs w:val="18"/>
                <w:color w:val="auto"/>
              </w:rPr>
              <w:t>Equity contracts purchased</w:t>
            </w:r>
          </w:p>
        </w:tc>
        <w:tc>
          <w:tcPr>
            <w:tcW w:w="4000" w:type="dxa"/>
            <w:vAlign w:val="bottom"/>
            <w:shd w:val="clear" w:color="auto" w:fill="E5E5E5"/>
          </w:tcPr>
          <w:p>
            <w:pPr>
              <w:spacing w:after="0"/>
              <w:rPr>
                <w:sz w:val="19"/>
                <w:szCs w:val="19"/>
                <w:color w:val="auto"/>
              </w:rPr>
            </w:pPr>
          </w:p>
        </w:tc>
        <w:tc>
          <w:tcPr>
            <w:tcW w:w="1240" w:type="dxa"/>
            <w:vAlign w:val="bottom"/>
            <w:shd w:val="clear" w:color="auto" w:fill="E5E5E5"/>
          </w:tcPr>
          <w:p>
            <w:pPr>
              <w:jc w:val="right"/>
              <w:ind w:right="35"/>
              <w:spacing w:after="0"/>
              <w:rPr>
                <w:sz w:val="20"/>
                <w:szCs w:val="20"/>
                <w:color w:val="auto"/>
              </w:rPr>
            </w:pPr>
            <w:r>
              <w:rPr>
                <w:rFonts w:ascii="Arial" w:cs="Arial" w:eastAsia="Arial" w:hAnsi="Arial"/>
                <w:sz w:val="18"/>
                <w:szCs w:val="18"/>
                <w:b w:val="1"/>
                <w:bCs w:val="1"/>
                <w:color w:val="auto"/>
              </w:rPr>
              <w:t>4,290</w:t>
            </w:r>
          </w:p>
        </w:tc>
        <w:tc>
          <w:tcPr>
            <w:tcW w:w="60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4,016</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Equity contracts sold</w:t>
            </w:r>
          </w:p>
        </w:tc>
        <w:tc>
          <w:tcPr>
            <w:tcW w:w="400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b w:val="1"/>
                <w:bCs w:val="1"/>
                <w:color w:val="auto"/>
              </w:rPr>
              <w:t>2,165</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E5E5E5"/>
          </w:tcPr>
          <w:p>
            <w:pPr>
              <w:ind w:left="20"/>
              <w:spacing w:after="0"/>
              <w:rPr>
                <w:sz w:val="20"/>
                <w:szCs w:val="20"/>
                <w:color w:val="auto"/>
              </w:rPr>
            </w:pPr>
            <w:r>
              <w:rPr>
                <w:rFonts w:ascii="Arial" w:cs="Arial" w:eastAsia="Arial" w:hAnsi="Arial"/>
                <w:sz w:val="18"/>
                <w:szCs w:val="18"/>
                <w:color w:val="auto"/>
              </w:rPr>
              <w:t>Other contracts purchased</w:t>
            </w:r>
          </w:p>
        </w:tc>
        <w:tc>
          <w:tcPr>
            <w:tcW w:w="4000" w:type="dxa"/>
            <w:vAlign w:val="bottom"/>
            <w:shd w:val="clear" w:color="auto" w:fill="E5E5E5"/>
          </w:tcPr>
          <w:p>
            <w:pPr>
              <w:spacing w:after="0"/>
              <w:rPr>
                <w:sz w:val="19"/>
                <w:szCs w:val="19"/>
                <w:color w:val="auto"/>
              </w:rPr>
            </w:pPr>
          </w:p>
        </w:tc>
        <w:tc>
          <w:tcPr>
            <w:tcW w:w="1240" w:type="dxa"/>
            <w:vAlign w:val="bottom"/>
            <w:shd w:val="clear" w:color="auto" w:fill="E5E5E5"/>
          </w:tcPr>
          <w:p>
            <w:pPr>
              <w:jc w:val="right"/>
              <w:ind w:right="35"/>
              <w:spacing w:after="0"/>
              <w:rPr>
                <w:sz w:val="20"/>
                <w:szCs w:val="20"/>
                <w:color w:val="auto"/>
              </w:rPr>
            </w:pPr>
            <w:r>
              <w:rPr>
                <w:rFonts w:ascii="Arial" w:cs="Arial" w:eastAsia="Arial" w:hAnsi="Arial"/>
                <w:sz w:val="18"/>
                <w:szCs w:val="18"/>
                <w:b w:val="1"/>
                <w:bCs w:val="1"/>
                <w:color w:val="auto"/>
              </w:rPr>
              <w:t>2,829</w:t>
            </w:r>
          </w:p>
        </w:tc>
        <w:tc>
          <w:tcPr>
            <w:tcW w:w="60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2,113</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340" w:type="dxa"/>
            <w:vAlign w:val="bottom"/>
          </w:tcPr>
          <w:p>
            <w:pPr>
              <w:ind w:left="20"/>
              <w:spacing w:after="0"/>
              <w:rPr>
                <w:sz w:val="20"/>
                <w:szCs w:val="20"/>
                <w:color w:val="auto"/>
              </w:rPr>
            </w:pPr>
            <w:r>
              <w:rPr>
                <w:rFonts w:ascii="Arial" w:cs="Arial" w:eastAsia="Arial" w:hAnsi="Arial"/>
                <w:sz w:val="18"/>
                <w:szCs w:val="18"/>
                <w:color w:val="auto"/>
              </w:rPr>
              <w:t>Other contracts sold</w:t>
            </w:r>
          </w:p>
        </w:tc>
        <w:tc>
          <w:tcPr>
            <w:tcW w:w="400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b w:val="1"/>
                <w:bCs w:val="1"/>
                <w:color w:val="auto"/>
              </w:rPr>
              <w:t>1,121</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4340" w:type="dxa"/>
            <w:vAlign w:val="bottom"/>
            <w:tcBorders>
              <w:bottom w:val="single" w:sz="8" w:color="auto"/>
            </w:tcBorders>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6"/>
        </w:trPr>
        <w:tc>
          <w:tcPr>
            <w:tcW w:w="4340" w:type="dxa"/>
            <w:vAlign w:val="bottom"/>
          </w:tcPr>
          <w:p>
            <w:pPr>
              <w:spacing w:after="0"/>
              <w:rPr>
                <w:sz w:val="24"/>
                <w:szCs w:val="24"/>
                <w:color w:val="auto"/>
              </w:rPr>
            </w:pPr>
          </w:p>
        </w:tc>
        <w:tc>
          <w:tcPr>
            <w:tcW w:w="4000" w:type="dxa"/>
            <w:vAlign w:val="bottom"/>
          </w:tcPr>
          <w:p>
            <w:pPr>
              <w:jc w:val="right"/>
              <w:ind w:right="2559"/>
              <w:spacing w:after="0"/>
              <w:rPr>
                <w:sz w:val="20"/>
                <w:szCs w:val="20"/>
                <w:color w:val="auto"/>
              </w:rPr>
            </w:pPr>
            <w:r>
              <w:rPr>
                <w:rFonts w:ascii="Arial" w:cs="Arial" w:eastAsia="Arial" w:hAnsi="Arial"/>
                <w:sz w:val="14"/>
                <w:szCs w:val="14"/>
                <w:color w:val="auto"/>
              </w:rPr>
              <w:t>16</w:t>
            </w: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3"/>
        </w:trPr>
        <w:tc>
          <w:tcPr>
            <w:tcW w:w="434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6" w:name="page17"/>
    <w:bookmarkEnd w:id="16"/>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derivative instruments: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Pr>
          <w:p>
            <w:pPr>
              <w:spacing w:after="0"/>
              <w:rPr>
                <w:sz w:val="13"/>
                <w:szCs w:val="1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Derivative</w:t>
            </w:r>
          </w:p>
        </w:tc>
        <w:tc>
          <w:tcPr>
            <w:tcW w:w="16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Derivative</w:t>
            </w:r>
          </w:p>
        </w:tc>
        <w:tc>
          <w:tcPr>
            <w:tcW w:w="0" w:type="dxa"/>
            <w:vAlign w:val="bottom"/>
          </w:tcPr>
          <w:p>
            <w:pPr>
              <w:spacing w:after="0"/>
              <w:rPr>
                <w:sz w:val="1"/>
                <w:szCs w:val="1"/>
                <w:color w:val="auto"/>
              </w:rPr>
            </w:pPr>
          </w:p>
        </w:tc>
      </w:tr>
      <w:tr>
        <w:trPr>
          <w:trHeight w:val="186"/>
        </w:trPr>
        <w:tc>
          <w:tcPr>
            <w:tcW w:w="59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Assets</w:t>
            </w:r>
          </w:p>
        </w:tc>
        <w:tc>
          <w:tcPr>
            <w:tcW w:w="16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Liabilities</w:t>
            </w:r>
          </w:p>
        </w:tc>
        <w:tc>
          <w:tcPr>
            <w:tcW w:w="2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Assets</w:t>
            </w:r>
          </w:p>
        </w:tc>
        <w:tc>
          <w:tcPr>
            <w:tcW w:w="28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58"/>
        </w:trPr>
        <w:tc>
          <w:tcPr>
            <w:tcW w:w="59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6"/>
        </w:trPr>
        <w:tc>
          <w:tcPr>
            <w:tcW w:w="5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5960" w:type="dxa"/>
            <w:vAlign w:val="bottom"/>
          </w:tcPr>
          <w:p>
            <w:pPr>
              <w:ind w:left="20"/>
              <w:spacing w:after="0"/>
              <w:rPr>
                <w:sz w:val="20"/>
                <w:szCs w:val="20"/>
                <w:color w:val="auto"/>
              </w:rPr>
            </w:pPr>
            <w:r>
              <w:rPr>
                <w:rFonts w:ascii="Arial" w:cs="Arial" w:eastAsia="Arial" w:hAnsi="Arial"/>
                <w:sz w:val="13"/>
                <w:szCs w:val="13"/>
                <w:b w:val="1"/>
                <w:bCs w:val="1"/>
                <w:color w:val="auto"/>
              </w:rPr>
              <w:t>Designated as Hedging Instruments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E5E5E5"/>
          </w:tcPr>
          <w:p>
            <w:pPr>
              <w:ind w:left="20"/>
              <w:spacing w:after="0"/>
              <w:rPr>
                <w:sz w:val="20"/>
                <w:szCs w:val="20"/>
                <w:color w:val="auto"/>
              </w:rPr>
            </w:pPr>
            <w:r>
              <w:rPr>
                <w:rFonts w:ascii="Arial" w:cs="Arial" w:eastAsia="Arial" w:hAnsi="Arial"/>
                <w:sz w:val="18"/>
                <w:szCs w:val="18"/>
                <w:color w:val="auto"/>
              </w:rPr>
              <w:t>Foreign exchange contracts</w:t>
            </w:r>
          </w:p>
        </w:tc>
        <w:tc>
          <w:tcPr>
            <w:tcW w:w="30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50</w:t>
            </w:r>
          </w:p>
        </w:tc>
        <w:tc>
          <w:tcPr>
            <w:tcW w:w="240" w:type="dxa"/>
            <w:vAlign w:val="bottom"/>
            <w:shd w:val="clear" w:color="auto" w:fill="E5E5E5"/>
          </w:tcPr>
          <w:p>
            <w:pPr>
              <w:spacing w:after="0"/>
              <w:rPr>
                <w:sz w:val="19"/>
                <w:szCs w:val="19"/>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(65 )</w:t>
            </w: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E5E5E5"/>
          </w:tcPr>
          <w:p>
            <w:pPr>
              <w:spacing w:after="0"/>
              <w:rPr>
                <w:sz w:val="19"/>
                <w:szCs w:val="19"/>
                <w:color w:val="auto"/>
              </w:rPr>
            </w:pP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47"/>
        </w:trPr>
        <w:tc>
          <w:tcPr>
            <w:tcW w:w="5960" w:type="dxa"/>
            <w:vAlign w:val="bottom"/>
          </w:tcPr>
          <w:p>
            <w:pPr>
              <w:ind w:left="20"/>
              <w:spacing w:after="0"/>
              <w:rPr>
                <w:sz w:val="20"/>
                <w:szCs w:val="20"/>
                <w:color w:val="auto"/>
              </w:rPr>
            </w:pPr>
            <w:r>
              <w:rPr>
                <w:rFonts w:ascii="Arial" w:cs="Arial" w:eastAsia="Arial" w:hAnsi="Arial"/>
                <w:sz w:val="18"/>
                <w:szCs w:val="18"/>
                <w:color w:val="auto"/>
              </w:rPr>
              <w:t>Interest rate contracts</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960" w:type="dxa"/>
            <w:vAlign w:val="bottom"/>
          </w:tcPr>
          <w:p>
            <w:pPr>
              <w:ind w:left="20"/>
              <w:spacing w:after="0"/>
              <w:rPr>
                <w:sz w:val="20"/>
                <w:szCs w:val="20"/>
                <w:color w:val="auto"/>
              </w:rPr>
            </w:pPr>
            <w:r>
              <w:rPr>
                <w:rFonts w:ascii="Arial" w:cs="Arial" w:eastAsia="Arial" w:hAnsi="Arial"/>
                <w:sz w:val="13"/>
                <w:szCs w:val="13"/>
                <w:b w:val="1"/>
                <w:bCs w:val="1"/>
                <w:color w:val="auto"/>
              </w:rPr>
              <w:t>Not Designated as Hedging Instruments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59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E5E5E5"/>
          </w:tcPr>
          <w:p>
            <w:pPr>
              <w:ind w:left="20"/>
              <w:spacing w:after="0"/>
              <w:rPr>
                <w:sz w:val="20"/>
                <w:szCs w:val="20"/>
                <w:color w:val="auto"/>
              </w:rPr>
            </w:pPr>
            <w:r>
              <w:rPr>
                <w:rFonts w:ascii="Arial" w:cs="Arial" w:eastAsia="Arial" w:hAnsi="Arial"/>
                <w:sz w:val="18"/>
                <w:szCs w:val="18"/>
                <w:color w:val="auto"/>
              </w:rPr>
              <w:t>Foreign exchange contracts</w:t>
            </w:r>
          </w:p>
        </w:tc>
        <w:tc>
          <w:tcPr>
            <w:tcW w:w="30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189</w:t>
            </w:r>
          </w:p>
        </w:tc>
        <w:tc>
          <w:tcPr>
            <w:tcW w:w="24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2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(615 )</w:t>
            </w: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213</w:t>
            </w:r>
          </w:p>
        </w:tc>
        <w:tc>
          <w:tcPr>
            <w:tcW w:w="20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Equity contracts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(804 )</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(491 )</w:t>
            </w:r>
          </w:p>
        </w:tc>
        <w:tc>
          <w:tcPr>
            <w:tcW w:w="0" w:type="dxa"/>
            <w:vAlign w:val="bottom"/>
          </w:tcPr>
          <w:p>
            <w:pPr>
              <w:spacing w:after="0"/>
              <w:rPr>
                <w:sz w:val="1"/>
                <w:szCs w:val="1"/>
                <w:color w:val="auto"/>
              </w:rPr>
            </w:pPr>
          </w:p>
        </w:tc>
      </w:tr>
      <w:tr>
        <w:trPr>
          <w:trHeight w:val="229"/>
        </w:trPr>
        <w:tc>
          <w:tcPr>
            <w:tcW w:w="5960" w:type="dxa"/>
            <w:vAlign w:val="bottom"/>
            <w:shd w:val="clear" w:color="auto" w:fill="E5E5E5"/>
          </w:tcPr>
          <w:p>
            <w:pPr>
              <w:ind w:left="20"/>
              <w:spacing w:after="0"/>
              <w:rPr>
                <w:sz w:val="20"/>
                <w:szCs w:val="20"/>
                <w:color w:val="auto"/>
              </w:rPr>
            </w:pPr>
            <w:r>
              <w:rPr>
                <w:rFonts w:ascii="Arial" w:cs="Arial" w:eastAsia="Arial" w:hAnsi="Arial"/>
                <w:sz w:val="18"/>
                <w:szCs w:val="18"/>
                <w:color w:val="auto"/>
              </w:rPr>
              <w:t>Other contracts</w:t>
            </w:r>
          </w:p>
        </w:tc>
        <w:tc>
          <w:tcPr>
            <w:tcW w:w="30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w:t>
            </w:r>
          </w:p>
        </w:tc>
        <w:tc>
          <w:tcPr>
            <w:tcW w:w="24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2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(6 )</w:t>
            </w: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67"/>
        </w:trPr>
        <w:tc>
          <w:tcPr>
            <w:tcW w:w="59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5960" w:type="dxa"/>
            <w:vAlign w:val="bottom"/>
          </w:tcPr>
          <w:p>
            <w:pPr>
              <w:ind w:left="240"/>
              <w:spacing w:after="0"/>
              <w:rPr>
                <w:sz w:val="20"/>
                <w:szCs w:val="20"/>
                <w:color w:val="auto"/>
              </w:rPr>
            </w:pPr>
            <w:r>
              <w:rPr>
                <w:rFonts w:ascii="Arial" w:cs="Arial" w:eastAsia="Arial" w:hAnsi="Arial"/>
                <w:sz w:val="18"/>
                <w:szCs w:val="18"/>
                <w:color w:val="auto"/>
              </w:rPr>
              <w:t>Gross amounts of derivatives</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318</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(1,490 )</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29"/>
        </w:trPr>
        <w:tc>
          <w:tcPr>
            <w:tcW w:w="5960" w:type="dxa"/>
            <w:vAlign w:val="bottom"/>
            <w:shd w:val="clear" w:color="auto" w:fill="E5E5E5"/>
          </w:tcPr>
          <w:p>
            <w:pPr>
              <w:ind w:left="20"/>
              <w:spacing w:after="0"/>
              <w:rPr>
                <w:sz w:val="20"/>
                <w:szCs w:val="20"/>
                <w:color w:val="auto"/>
              </w:rPr>
            </w:pPr>
            <w:r>
              <w:rPr>
                <w:rFonts w:ascii="Arial" w:cs="Arial" w:eastAsia="Arial" w:hAnsi="Arial"/>
                <w:sz w:val="18"/>
                <w:szCs w:val="18"/>
                <w:color w:val="auto"/>
              </w:rPr>
              <w:t>Gross amounts of derivatives offset in the balance sheets</w:t>
            </w:r>
          </w:p>
        </w:tc>
        <w:tc>
          <w:tcPr>
            <w:tcW w:w="300" w:type="dxa"/>
            <w:vAlign w:val="bottom"/>
            <w:shd w:val="clear" w:color="auto" w:fill="E5E5E5"/>
          </w:tcPr>
          <w:p>
            <w:pPr>
              <w:spacing w:after="0"/>
              <w:rPr>
                <w:sz w:val="19"/>
                <w:szCs w:val="19"/>
                <w:color w:val="auto"/>
              </w:rPr>
            </w:pPr>
          </w:p>
        </w:tc>
        <w:tc>
          <w:tcPr>
            <w:tcW w:w="10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(196 )</w:t>
            </w:r>
          </w:p>
        </w:tc>
        <w:tc>
          <w:tcPr>
            <w:tcW w:w="160" w:type="dxa"/>
            <w:vAlign w:val="bottom"/>
            <w:shd w:val="clear" w:color="auto" w:fill="E5E5E5"/>
          </w:tcPr>
          <w:p>
            <w:pPr>
              <w:spacing w:after="0"/>
              <w:rPr>
                <w:sz w:val="19"/>
                <w:szCs w:val="19"/>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198</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104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(151 )</w:t>
            </w: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960" w:type="dxa"/>
            <w:vAlign w:val="bottom"/>
          </w:tcPr>
          <w:p>
            <w:pPr>
              <w:ind w:left="20"/>
              <w:spacing w:after="0"/>
              <w:rPr>
                <w:sz w:val="20"/>
                <w:szCs w:val="20"/>
                <w:color w:val="auto"/>
              </w:rPr>
            </w:pPr>
            <w:r>
              <w:rPr>
                <w:rFonts w:ascii="Arial" w:cs="Arial" w:eastAsia="Arial" w:hAnsi="Arial"/>
                <w:sz w:val="18"/>
                <w:szCs w:val="18"/>
                <w:color w:val="auto"/>
              </w:rPr>
              <w:t>Cash collateral received</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(18 )</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50"/>
        </w:trPr>
        <w:tc>
          <w:tcPr>
            <w:tcW w:w="59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9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Net amounts of derivatives</w:t>
            </w:r>
          </w:p>
        </w:tc>
        <w:tc>
          <w:tcPr>
            <w:tcW w:w="30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122</w:t>
            </w:r>
          </w:p>
        </w:tc>
        <w:tc>
          <w:tcPr>
            <w:tcW w:w="240" w:type="dxa"/>
            <w:vAlign w:val="bottom"/>
            <w:shd w:val="clear" w:color="auto" w:fill="E5E5E5"/>
          </w:tcPr>
          <w:p>
            <w:pPr>
              <w:spacing w:after="0"/>
              <w:rPr>
                <w:sz w:val="19"/>
                <w:szCs w:val="19"/>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(1,310 )</w:t>
            </w: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E5E5E5"/>
          </w:tcPr>
          <w:p>
            <w:pPr>
              <w:spacing w:after="0"/>
              <w:rPr>
                <w:sz w:val="19"/>
                <w:szCs w:val="19"/>
                <w:color w:val="auto"/>
              </w:rPr>
            </w:pP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(752 )</w:t>
            </w:r>
          </w:p>
        </w:tc>
        <w:tc>
          <w:tcPr>
            <w:tcW w:w="0" w:type="dxa"/>
            <w:vAlign w:val="bottom"/>
          </w:tcPr>
          <w:p>
            <w:pPr>
              <w:spacing w:after="0"/>
              <w:rPr>
                <w:sz w:val="1"/>
                <w:szCs w:val="1"/>
                <w:color w:val="auto"/>
              </w:rPr>
            </w:pPr>
          </w:p>
        </w:tc>
      </w:tr>
      <w:tr>
        <w:trPr>
          <w:trHeight w:val="74"/>
        </w:trPr>
        <w:tc>
          <w:tcPr>
            <w:tcW w:w="59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Reported as</w:t>
            </w: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59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59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E5E5E5"/>
          </w:tcPr>
          <w:p>
            <w:pPr>
              <w:ind w:left="20"/>
              <w:spacing w:after="0"/>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(1 )</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E5E5E5"/>
          </w:tcPr>
          <w:p>
            <w:pPr>
              <w:spacing w:after="0"/>
              <w:rPr>
                <w:sz w:val="19"/>
                <w:szCs w:val="19"/>
                <w:color w:val="auto"/>
              </w:rPr>
            </w:pP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E5E5E5"/>
          </w:tcPr>
          <w:p>
            <w:pPr>
              <w:ind w:left="20"/>
              <w:spacing w:after="0"/>
              <w:rPr>
                <w:sz w:val="20"/>
                <w:szCs w:val="20"/>
                <w:color w:val="auto"/>
              </w:rPr>
            </w:pPr>
            <w:r>
              <w:rPr>
                <w:rFonts w:ascii="Arial" w:cs="Arial" w:eastAsia="Arial" w:hAnsi="Arial"/>
                <w:sz w:val="18"/>
                <w:szCs w:val="18"/>
                <w:color w:val="auto"/>
              </w:rPr>
              <w:t>Other long-term assets</w:t>
            </w:r>
          </w:p>
        </w:tc>
        <w:tc>
          <w:tcPr>
            <w:tcW w:w="30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5</w:t>
            </w:r>
          </w:p>
        </w:tc>
        <w:tc>
          <w:tcPr>
            <w:tcW w:w="24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(900 )</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(401 )</w:t>
            </w:r>
          </w:p>
        </w:tc>
        <w:tc>
          <w:tcPr>
            <w:tcW w:w="0" w:type="dxa"/>
            <w:vAlign w:val="bottom"/>
          </w:tcPr>
          <w:p>
            <w:pPr>
              <w:spacing w:after="0"/>
              <w:rPr>
                <w:sz w:val="1"/>
                <w:szCs w:val="1"/>
                <w:color w:val="auto"/>
              </w:rPr>
            </w:pPr>
          </w:p>
        </w:tc>
      </w:tr>
      <w:tr>
        <w:trPr>
          <w:trHeight w:val="229"/>
        </w:trPr>
        <w:tc>
          <w:tcPr>
            <w:tcW w:w="5960" w:type="dxa"/>
            <w:vAlign w:val="bottom"/>
            <w:shd w:val="clear" w:color="auto" w:fill="E5E5E5"/>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2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(410 )</w:t>
            </w: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(351 )</w:t>
            </w:r>
          </w:p>
        </w:tc>
        <w:tc>
          <w:tcPr>
            <w:tcW w:w="0" w:type="dxa"/>
            <w:vAlign w:val="bottom"/>
          </w:tcPr>
          <w:p>
            <w:pPr>
              <w:spacing w:after="0"/>
              <w:rPr>
                <w:sz w:val="1"/>
                <w:szCs w:val="1"/>
                <w:color w:val="auto"/>
              </w:rPr>
            </w:pPr>
          </w:p>
        </w:tc>
      </w:tr>
      <w:tr>
        <w:trPr>
          <w:trHeight w:val="67"/>
        </w:trPr>
        <w:tc>
          <w:tcPr>
            <w:tcW w:w="59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5960" w:type="dxa"/>
            <w:vAlign w:val="bottom"/>
          </w:tcPr>
          <w:p>
            <w:pPr>
              <w:ind w:left="24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2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(1,310 )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(752 )</w:t>
            </w:r>
          </w:p>
        </w:tc>
        <w:tc>
          <w:tcPr>
            <w:tcW w:w="0" w:type="dxa"/>
            <w:vAlign w:val="bottom"/>
          </w:tcPr>
          <w:p>
            <w:pPr>
              <w:spacing w:after="0"/>
              <w:rPr>
                <w:sz w:val="1"/>
                <w:szCs w:val="1"/>
                <w:color w:val="auto"/>
              </w:rPr>
            </w:pPr>
          </w:p>
        </w:tc>
      </w:tr>
      <w:tr>
        <w:trPr>
          <w:trHeight w:val="62"/>
        </w:trPr>
        <w:tc>
          <w:tcPr>
            <w:tcW w:w="59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Gross derivative assets and liabilities subject to legally enforceable master netting agreements for which we have elected to offset were $306 million and $1.5 billion, respectively, as of September 30, 2024, and $304 million and $800 million, respectively, as of June 30, 2024.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 of our derivatives instruments on a gross basis: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2820" w:type="dxa"/>
            <w:vAlign w:val="bottom"/>
          </w:tcPr>
          <w:p>
            <w:pPr>
              <w:spacing w:after="0"/>
              <w:rPr>
                <w:sz w:val="16"/>
                <w:szCs w:val="16"/>
                <w:color w:val="auto"/>
              </w:rPr>
            </w:pPr>
          </w:p>
        </w:tc>
        <w:tc>
          <w:tcPr>
            <w:tcW w:w="900" w:type="dxa"/>
            <w:vAlign w:val="bottom"/>
          </w:tcPr>
          <w:p>
            <w:pPr>
              <w:jc w:val="right"/>
              <w:ind w:right="95"/>
              <w:spacing w:after="0"/>
              <w:rPr>
                <w:sz w:val="20"/>
                <w:szCs w:val="20"/>
                <w:color w:val="auto"/>
              </w:rPr>
            </w:pPr>
            <w:r>
              <w:rPr>
                <w:rFonts w:ascii="Arial" w:cs="Arial" w:eastAsia="Arial" w:hAnsi="Arial"/>
                <w:sz w:val="13"/>
                <w:szCs w:val="13"/>
                <w:b w:val="1"/>
                <w:bCs w:val="1"/>
                <w:color w:val="auto"/>
              </w:rPr>
              <w:t>Level 1</w:t>
            </w:r>
          </w:p>
        </w:tc>
        <w:tc>
          <w:tcPr>
            <w:tcW w:w="440" w:type="dxa"/>
            <w:vAlign w:val="bottom"/>
          </w:tcPr>
          <w:p>
            <w:pPr>
              <w:spacing w:after="0"/>
              <w:rPr>
                <w:sz w:val="16"/>
                <w:szCs w:val="16"/>
                <w:color w:val="auto"/>
              </w:rPr>
            </w:pPr>
          </w:p>
        </w:tc>
        <w:tc>
          <w:tcPr>
            <w:tcW w:w="940" w:type="dxa"/>
            <w:vAlign w:val="bottom"/>
          </w:tcPr>
          <w:p>
            <w:pPr>
              <w:jc w:val="right"/>
              <w:ind w:right="95"/>
              <w:spacing w:after="0"/>
              <w:rPr>
                <w:sz w:val="20"/>
                <w:szCs w:val="20"/>
                <w:color w:val="auto"/>
              </w:rPr>
            </w:pPr>
            <w:r>
              <w:rPr>
                <w:rFonts w:ascii="Arial" w:cs="Arial" w:eastAsia="Arial" w:hAnsi="Arial"/>
                <w:sz w:val="13"/>
                <w:szCs w:val="13"/>
                <w:b w:val="1"/>
                <w:bCs w:val="1"/>
                <w:color w:val="auto"/>
              </w:rPr>
              <w:t>Level 2</w:t>
            </w:r>
          </w:p>
        </w:tc>
        <w:tc>
          <w:tcPr>
            <w:tcW w:w="440" w:type="dxa"/>
            <w:vAlign w:val="bottom"/>
          </w:tcPr>
          <w:p>
            <w:pPr>
              <w:spacing w:after="0"/>
              <w:rPr>
                <w:sz w:val="16"/>
                <w:szCs w:val="16"/>
                <w:color w:val="auto"/>
              </w:rPr>
            </w:pPr>
          </w:p>
        </w:tc>
        <w:tc>
          <w:tcPr>
            <w:tcW w:w="840" w:type="dxa"/>
            <w:vAlign w:val="bottom"/>
          </w:tcPr>
          <w:p>
            <w:pPr>
              <w:jc w:val="right"/>
              <w:ind w:right="35"/>
              <w:spacing w:after="0"/>
              <w:rPr>
                <w:sz w:val="20"/>
                <w:szCs w:val="20"/>
                <w:color w:val="auto"/>
              </w:rPr>
            </w:pPr>
            <w:r>
              <w:rPr>
                <w:rFonts w:ascii="Arial" w:cs="Arial" w:eastAsia="Arial" w:hAnsi="Arial"/>
                <w:sz w:val="13"/>
                <w:szCs w:val="13"/>
                <w:b w:val="1"/>
                <w:bCs w:val="1"/>
                <w:color w:val="auto"/>
              </w:rPr>
              <w:t>Level 3</w:t>
            </w:r>
          </w:p>
        </w:tc>
        <w:tc>
          <w:tcPr>
            <w:tcW w:w="4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Total</w:t>
            </w:r>
          </w:p>
        </w:tc>
      </w:tr>
      <w:tr>
        <w:trPr>
          <w:trHeight w:val="58"/>
        </w:trPr>
        <w:tc>
          <w:tcPr>
            <w:tcW w:w="3540" w:type="dxa"/>
            <w:vAlign w:val="bottom"/>
            <w:tcBorders>
              <w:bottom w:val="single" w:sz="8" w:color="auto"/>
            </w:tcBorders>
          </w:tcPr>
          <w:p>
            <w:pPr>
              <w:spacing w:after="0"/>
              <w:rPr>
                <w:sz w:val="5"/>
                <w:szCs w:val="5"/>
                <w:color w:val="auto"/>
              </w:rPr>
            </w:pPr>
          </w:p>
        </w:tc>
        <w:tc>
          <w:tcPr>
            <w:tcW w:w="28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46"/>
        </w:trPr>
        <w:tc>
          <w:tcPr>
            <w:tcW w:w="3540" w:type="dxa"/>
            <w:vAlign w:val="bottom"/>
          </w:tcPr>
          <w:p>
            <w:pPr>
              <w:ind w:left="20"/>
              <w:spacing w:after="0"/>
              <w:rPr>
                <w:sz w:val="20"/>
                <w:szCs w:val="20"/>
                <w:color w:val="auto"/>
              </w:rPr>
            </w:pPr>
            <w:r>
              <w:rPr>
                <w:rFonts w:ascii="Arial" w:cs="Arial" w:eastAsia="Arial" w:hAnsi="Arial"/>
                <w:sz w:val="13"/>
                <w:szCs w:val="13"/>
                <w:b w:val="1"/>
                <w:bCs w:val="1"/>
                <w:color w:val="auto"/>
              </w:rPr>
              <w:t>September 30, 2024</w:t>
            </w:r>
          </w:p>
        </w:tc>
        <w:tc>
          <w:tcPr>
            <w:tcW w:w="28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58"/>
        </w:trPr>
        <w:tc>
          <w:tcPr>
            <w:tcW w:w="3540" w:type="dxa"/>
            <w:vAlign w:val="bottom"/>
          </w:tcPr>
          <w:p>
            <w:pPr>
              <w:spacing w:after="0"/>
              <w:rPr>
                <w:sz w:val="5"/>
                <w:szCs w:val="5"/>
                <w:color w:val="auto"/>
              </w:rPr>
            </w:pPr>
          </w:p>
        </w:tc>
        <w:tc>
          <w:tcPr>
            <w:tcW w:w="28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3540" w:type="dxa"/>
            <w:vAlign w:val="bottom"/>
            <w:shd w:val="clear" w:color="auto" w:fill="E5E5E5"/>
          </w:tcPr>
          <w:p>
            <w:pPr>
              <w:ind w:left="20"/>
              <w:spacing w:after="0"/>
              <w:rPr>
                <w:sz w:val="20"/>
                <w:szCs w:val="20"/>
                <w:color w:val="auto"/>
              </w:rPr>
            </w:pPr>
            <w:r>
              <w:rPr>
                <w:rFonts w:ascii="Arial" w:cs="Arial" w:eastAsia="Arial" w:hAnsi="Arial"/>
                <w:sz w:val="18"/>
                <w:szCs w:val="18"/>
                <w:color w:val="auto"/>
              </w:rPr>
              <w:t>Derivative assets</w:t>
            </w:r>
          </w:p>
        </w:tc>
        <w:tc>
          <w:tcPr>
            <w:tcW w:w="2820" w:type="dxa"/>
            <w:vAlign w:val="bottom"/>
            <w:shd w:val="clear" w:color="auto" w:fill="E5E5E5"/>
          </w:tcPr>
          <w:p>
            <w:pPr>
              <w:jc w:val="right"/>
              <w:ind w:right="199"/>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ind w:right="95"/>
              <w:spacing w:after="0"/>
              <w:rPr>
                <w:sz w:val="20"/>
                <w:szCs w:val="20"/>
                <w:color w:val="auto"/>
              </w:rPr>
            </w:pPr>
            <w:r>
              <w:rPr>
                <w:rFonts w:ascii="Arial" w:cs="Arial" w:eastAsia="Arial" w:hAnsi="Arial"/>
                <w:sz w:val="18"/>
                <w:szCs w:val="18"/>
                <w:b w:val="1"/>
                <w:bCs w:val="1"/>
                <w:color w:val="auto"/>
              </w:rPr>
              <w:t>0</w:t>
            </w:r>
          </w:p>
        </w:tc>
        <w:tc>
          <w:tcPr>
            <w:tcW w:w="440" w:type="dxa"/>
            <w:vAlign w:val="bottom"/>
            <w:shd w:val="clear" w:color="auto" w:fill="E5E5E5"/>
          </w:tcPr>
          <w:p>
            <w:pPr>
              <w:jc w:val="right"/>
              <w:ind w:right="15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E5E5E5"/>
          </w:tcPr>
          <w:p>
            <w:pPr>
              <w:jc w:val="right"/>
              <w:ind w:right="95"/>
              <w:spacing w:after="0"/>
              <w:rPr>
                <w:sz w:val="20"/>
                <w:szCs w:val="20"/>
                <w:color w:val="auto"/>
              </w:rPr>
            </w:pPr>
            <w:r>
              <w:rPr>
                <w:rFonts w:ascii="Arial" w:cs="Arial" w:eastAsia="Arial" w:hAnsi="Arial"/>
                <w:sz w:val="18"/>
                <w:szCs w:val="18"/>
                <w:b w:val="1"/>
                <w:bCs w:val="1"/>
                <w:color w:val="auto"/>
              </w:rPr>
              <w:t>313</w:t>
            </w:r>
          </w:p>
        </w:tc>
        <w:tc>
          <w:tcPr>
            <w:tcW w:w="440" w:type="dxa"/>
            <w:vAlign w:val="bottom"/>
            <w:shd w:val="clear" w:color="auto" w:fill="E5E5E5"/>
          </w:tcPr>
          <w:p>
            <w:pPr>
              <w:jc w:val="right"/>
              <w:ind w:right="17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35"/>
              <w:spacing w:after="0"/>
              <w:rPr>
                <w:sz w:val="20"/>
                <w:szCs w:val="20"/>
                <w:color w:val="auto"/>
              </w:rPr>
            </w:pPr>
            <w:r>
              <w:rPr>
                <w:rFonts w:ascii="Arial" w:cs="Arial" w:eastAsia="Arial" w:hAnsi="Arial"/>
                <w:sz w:val="18"/>
                <w:szCs w:val="18"/>
                <w:b w:val="1"/>
                <w:bCs w:val="1"/>
                <w:color w:val="auto"/>
              </w:rPr>
              <w:t>5</w:t>
            </w:r>
          </w:p>
        </w:tc>
        <w:tc>
          <w:tcPr>
            <w:tcW w:w="460" w:type="dxa"/>
            <w:vAlign w:val="bottom"/>
            <w:shd w:val="clear" w:color="auto" w:fill="E5E5E5"/>
          </w:tcPr>
          <w:p>
            <w:pPr>
              <w:jc w:val="right"/>
              <w:ind w:right="15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318</w:t>
            </w:r>
          </w:p>
        </w:tc>
        <w:tc>
          <w:tcPr>
            <w:tcW w:w="100" w:type="dxa"/>
            <w:vAlign w:val="bottom"/>
            <w:shd w:val="clear" w:color="auto" w:fill="E5E5E5"/>
          </w:tcPr>
          <w:p>
            <w:pPr>
              <w:spacing w:after="0"/>
              <w:rPr>
                <w:sz w:val="19"/>
                <w:szCs w:val="19"/>
                <w:color w:val="auto"/>
              </w:rPr>
            </w:pPr>
          </w:p>
        </w:tc>
      </w:tr>
      <w:tr>
        <w:trPr>
          <w:trHeight w:val="247"/>
        </w:trPr>
        <w:tc>
          <w:tcPr>
            <w:tcW w:w="354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28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44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b w:val="1"/>
                <w:bCs w:val="1"/>
                <w:color w:val="auto"/>
              </w:rPr>
              <w:t>(1,489 )</w:t>
            </w:r>
          </w:p>
        </w:tc>
        <w:tc>
          <w:tcPr>
            <w:tcW w:w="44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b w:val="1"/>
                <w:bCs w:val="1"/>
                <w:color w:val="auto"/>
              </w:rPr>
              <w:t>0</w:t>
            </w:r>
          </w:p>
        </w:tc>
        <w:tc>
          <w:tcPr>
            <w:tcW w:w="46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(1,490 )</w:t>
            </w:r>
          </w:p>
        </w:tc>
      </w:tr>
      <w:tr>
        <w:trPr>
          <w:trHeight w:val="235"/>
        </w:trPr>
        <w:tc>
          <w:tcPr>
            <w:tcW w:w="3540" w:type="dxa"/>
            <w:vAlign w:val="bottom"/>
          </w:tcPr>
          <w:p>
            <w:pPr>
              <w:ind w:left="20"/>
              <w:spacing w:after="0"/>
              <w:rPr>
                <w:sz w:val="20"/>
                <w:szCs w:val="20"/>
                <w:color w:val="auto"/>
              </w:rPr>
            </w:pPr>
            <w:r>
              <w:rPr>
                <w:rFonts w:ascii="Arial" w:cs="Arial" w:eastAsia="Arial" w:hAnsi="Arial"/>
                <w:sz w:val="13"/>
                <w:szCs w:val="13"/>
                <w:b w:val="1"/>
                <w:bCs w:val="1"/>
                <w:color w:val="auto"/>
              </w:rPr>
              <w:t>June 30, 2024</w:t>
            </w:r>
          </w:p>
        </w:tc>
        <w:tc>
          <w:tcPr>
            <w:tcW w:w="2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8"/>
        </w:trPr>
        <w:tc>
          <w:tcPr>
            <w:tcW w:w="3540" w:type="dxa"/>
            <w:vAlign w:val="bottom"/>
          </w:tcPr>
          <w:p>
            <w:pPr>
              <w:spacing w:after="0"/>
              <w:rPr>
                <w:sz w:val="5"/>
                <w:szCs w:val="5"/>
                <w:color w:val="auto"/>
              </w:rPr>
            </w:pPr>
          </w:p>
        </w:tc>
        <w:tc>
          <w:tcPr>
            <w:tcW w:w="28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3540" w:type="dxa"/>
            <w:vAlign w:val="bottom"/>
            <w:shd w:val="clear" w:color="auto" w:fill="E5E5E5"/>
          </w:tcPr>
          <w:p>
            <w:pPr>
              <w:ind w:left="20"/>
              <w:spacing w:after="0"/>
              <w:rPr>
                <w:sz w:val="20"/>
                <w:szCs w:val="20"/>
                <w:color w:val="auto"/>
              </w:rPr>
            </w:pPr>
            <w:r>
              <w:rPr>
                <w:rFonts w:ascii="Arial" w:cs="Arial" w:eastAsia="Arial" w:hAnsi="Arial"/>
                <w:sz w:val="18"/>
                <w:szCs w:val="18"/>
                <w:color w:val="auto"/>
              </w:rPr>
              <w:t>Derivative assets</w:t>
            </w:r>
          </w:p>
        </w:tc>
        <w:tc>
          <w:tcPr>
            <w:tcW w:w="282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0</w:t>
            </w:r>
          </w:p>
        </w:tc>
        <w:tc>
          <w:tcPr>
            <w:tcW w:w="440" w:type="dxa"/>
            <w:vAlign w:val="bottom"/>
            <w:shd w:val="clear" w:color="auto" w:fill="E5E5E5"/>
          </w:tcPr>
          <w:p>
            <w:pPr>
              <w:spacing w:after="0"/>
              <w:rPr>
                <w:sz w:val="19"/>
                <w:szCs w:val="19"/>
                <w:color w:val="auto"/>
              </w:rPr>
            </w:pPr>
          </w:p>
        </w:tc>
        <w:tc>
          <w:tcPr>
            <w:tcW w:w="94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327</w:t>
            </w:r>
          </w:p>
        </w:tc>
        <w:tc>
          <w:tcPr>
            <w:tcW w:w="44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4</w:t>
            </w:r>
          </w:p>
        </w:tc>
        <w:tc>
          <w:tcPr>
            <w:tcW w:w="460" w:type="dxa"/>
            <w:vAlign w:val="bottom"/>
            <w:shd w:val="clear" w:color="auto" w:fill="E5E5E5"/>
          </w:tcPr>
          <w:p>
            <w:pPr>
              <w:spacing w:after="0"/>
              <w:rPr>
                <w:sz w:val="19"/>
                <w:szCs w:val="19"/>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E5E5E5"/>
          </w:tcPr>
          <w:p>
            <w:pPr>
              <w:spacing w:after="0"/>
              <w:rPr>
                <w:sz w:val="19"/>
                <w:szCs w:val="19"/>
                <w:color w:val="auto"/>
              </w:rPr>
            </w:pPr>
          </w:p>
        </w:tc>
      </w:tr>
      <w:tr>
        <w:trPr>
          <w:trHeight w:val="239"/>
        </w:trPr>
        <w:tc>
          <w:tcPr>
            <w:tcW w:w="354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28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(1 )</w:t>
            </w:r>
          </w:p>
        </w:tc>
        <w:tc>
          <w:tcPr>
            <w:tcW w:w="440" w:type="dxa"/>
            <w:vAlign w:val="bottom"/>
          </w:tcPr>
          <w:p>
            <w:pPr>
              <w:spacing w:after="0"/>
              <w:rPr>
                <w:sz w:val="20"/>
                <w:szCs w:val="20"/>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(799 )</w:t>
            </w:r>
          </w:p>
        </w:tc>
        <w:tc>
          <w:tcPr>
            <w:tcW w:w="44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(800 )</w:t>
            </w:r>
          </w:p>
        </w:tc>
      </w:tr>
      <w:tr>
        <w:trPr>
          <w:trHeight w:val="58"/>
        </w:trPr>
        <w:tc>
          <w:tcPr>
            <w:tcW w:w="3540" w:type="dxa"/>
            <w:vAlign w:val="bottom"/>
            <w:tcBorders>
              <w:bottom w:val="single" w:sz="8" w:color="auto"/>
            </w:tcBorders>
          </w:tcPr>
          <w:p>
            <w:pPr>
              <w:spacing w:after="0"/>
              <w:rPr>
                <w:sz w:val="5"/>
                <w:szCs w:val="5"/>
                <w:color w:val="auto"/>
              </w:rPr>
            </w:pPr>
          </w:p>
        </w:tc>
        <w:tc>
          <w:tcPr>
            <w:tcW w:w="28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606"/>
        </w:trPr>
        <w:tc>
          <w:tcPr>
            <w:tcW w:w="3540" w:type="dxa"/>
            <w:vAlign w:val="bottom"/>
          </w:tcPr>
          <w:p>
            <w:pPr>
              <w:spacing w:after="0"/>
              <w:rPr>
                <w:sz w:val="24"/>
                <w:szCs w:val="24"/>
                <w:color w:val="auto"/>
              </w:rPr>
            </w:pPr>
          </w:p>
        </w:tc>
        <w:tc>
          <w:tcPr>
            <w:tcW w:w="2820" w:type="dxa"/>
            <w:vAlign w:val="bottom"/>
          </w:tcPr>
          <w:p>
            <w:pPr>
              <w:jc w:val="right"/>
              <w:ind w:right="579"/>
              <w:spacing w:after="0"/>
              <w:rPr>
                <w:sz w:val="20"/>
                <w:szCs w:val="20"/>
                <w:color w:val="auto"/>
              </w:rPr>
            </w:pPr>
            <w:r>
              <w:rPr>
                <w:rFonts w:ascii="Arial" w:cs="Arial" w:eastAsia="Arial" w:hAnsi="Arial"/>
                <w:sz w:val="14"/>
                <w:szCs w:val="14"/>
                <w:color w:val="auto"/>
              </w:rPr>
              <w:t>17</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3"/>
        </w:trPr>
        <w:tc>
          <w:tcPr>
            <w:tcW w:w="354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7" w:name="page18"/>
    <w:bookmarkEnd w:id="17"/>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Gains (losses) on derivative instruments recognized in other income (expense), net were as follows: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0383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38340" cy="825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ind w:left="20"/>
              <w:spacing w:after="0"/>
              <w:rPr>
                <w:sz w:val="20"/>
                <w:szCs w:val="20"/>
                <w:color w:val="auto"/>
              </w:rPr>
            </w:pPr>
            <w:r>
              <w:rPr>
                <w:rFonts w:ascii="Arial" w:cs="Arial" w:eastAsia="Arial" w:hAnsi="Arial"/>
                <w:sz w:val="13"/>
                <w:szCs w:val="13"/>
                <w:b w:val="1"/>
                <w:bCs w:val="1"/>
                <w:color w:val="auto"/>
              </w:rPr>
              <w:t>Three Months Ended September 30,</w:t>
            </w:r>
          </w:p>
        </w:tc>
        <w:tc>
          <w:tcPr>
            <w:tcW w:w="1840" w:type="dxa"/>
            <w:vAlign w:val="bottom"/>
          </w:tcPr>
          <w:p>
            <w:pPr>
              <w:spacing w:after="0"/>
              <w:rPr>
                <w:sz w:val="16"/>
                <w:szCs w:val="16"/>
                <w:color w:val="auto"/>
              </w:rPr>
            </w:pPr>
          </w:p>
        </w:tc>
        <w:tc>
          <w:tcPr>
            <w:tcW w:w="1100" w:type="dxa"/>
            <w:vAlign w:val="bottom"/>
          </w:tcPr>
          <w:p>
            <w:pPr>
              <w:jc w:val="right"/>
              <w:ind w:right="113"/>
              <w:spacing w:after="0"/>
              <w:rPr>
                <w:sz w:val="20"/>
                <w:szCs w:val="20"/>
                <w:color w:val="auto"/>
              </w:rPr>
            </w:pPr>
            <w:r>
              <w:rPr>
                <w:rFonts w:ascii="Arial" w:cs="Arial" w:eastAsia="Arial" w:hAnsi="Arial"/>
                <w:sz w:val="13"/>
                <w:szCs w:val="13"/>
                <w:b w:val="1"/>
                <w:bCs w:val="1"/>
                <w:color w:val="auto"/>
              </w:rPr>
              <w:t>2024</w:t>
            </w:r>
          </w:p>
        </w:tc>
        <w:tc>
          <w:tcPr>
            <w:tcW w:w="7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6"/>
                <w:szCs w:val="16"/>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3"/>
                <w:szCs w:val="13"/>
                <w:b w:val="1"/>
                <w:bCs w:val="1"/>
                <w:color w:val="auto"/>
              </w:rPr>
              <w:t>Designated as Fair Value Hedging Instruments</w:t>
            </w:r>
          </w:p>
        </w:tc>
        <w:tc>
          <w:tcPr>
            <w:tcW w:w="18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58"/>
        </w:trPr>
        <w:tc>
          <w:tcPr>
            <w:tcW w:w="65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29"/>
        </w:trPr>
        <w:tc>
          <w:tcPr>
            <w:tcW w:w="6580" w:type="dxa"/>
            <w:vAlign w:val="bottom"/>
            <w:shd w:val="clear" w:color="auto" w:fill="E5E5E5"/>
          </w:tcPr>
          <w:p>
            <w:pPr>
              <w:ind w:left="20"/>
              <w:spacing w:after="0"/>
              <w:rPr>
                <w:sz w:val="20"/>
                <w:szCs w:val="20"/>
                <w:color w:val="auto"/>
              </w:rPr>
            </w:pPr>
            <w:r>
              <w:rPr>
                <w:rFonts w:ascii="Arial" w:cs="Arial" w:eastAsia="Arial" w:hAnsi="Arial"/>
                <w:sz w:val="18"/>
                <w:szCs w:val="18"/>
                <w:color w:val="auto"/>
              </w:rPr>
              <w:t>Interest rate contracts</w:t>
            </w:r>
          </w:p>
        </w:tc>
        <w:tc>
          <w:tcPr>
            <w:tcW w:w="1840" w:type="dxa"/>
            <w:vAlign w:val="bottom"/>
            <w:shd w:val="clear" w:color="auto" w:fill="E5E5E5"/>
          </w:tcPr>
          <w:p>
            <w:pPr>
              <w:spacing w:after="0"/>
              <w:rPr>
                <w:sz w:val="19"/>
                <w:szCs w:val="19"/>
                <w:color w:val="auto"/>
              </w:rPr>
            </w:pPr>
          </w:p>
        </w:tc>
        <w:tc>
          <w:tcPr>
            <w:tcW w:w="1100" w:type="dxa"/>
            <w:vAlign w:val="bottom"/>
            <w:shd w:val="clear" w:color="auto" w:fill="E5E5E5"/>
          </w:tcPr>
          <w:p>
            <w:pPr>
              <w:spacing w:after="0"/>
              <w:rPr>
                <w:sz w:val="19"/>
                <w:szCs w:val="19"/>
                <w:color w:val="auto"/>
              </w:rPr>
            </w:pPr>
          </w:p>
        </w:tc>
        <w:tc>
          <w:tcPr>
            <w:tcW w:w="74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r>
      <w:tr>
        <w:trPr>
          <w:trHeight w:val="229"/>
        </w:trPr>
        <w:tc>
          <w:tcPr>
            <w:tcW w:w="6580" w:type="dxa"/>
            <w:vAlign w:val="bottom"/>
          </w:tcPr>
          <w:p>
            <w:pPr>
              <w:ind w:left="240"/>
              <w:spacing w:after="0"/>
              <w:rPr>
                <w:sz w:val="20"/>
                <w:szCs w:val="20"/>
                <w:color w:val="auto"/>
              </w:rPr>
            </w:pPr>
            <w:r>
              <w:rPr>
                <w:rFonts w:ascii="Arial" w:cs="Arial" w:eastAsia="Arial" w:hAnsi="Arial"/>
                <w:sz w:val="18"/>
                <w:szCs w:val="18"/>
                <w:color w:val="auto"/>
              </w:rPr>
              <w:t>Derivatives</w:t>
            </w:r>
          </w:p>
        </w:tc>
        <w:tc>
          <w:tcPr>
            <w:tcW w:w="18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13"/>
              <w:spacing w:after="0"/>
              <w:rPr>
                <w:sz w:val="20"/>
                <w:szCs w:val="20"/>
                <w:color w:val="auto"/>
              </w:rPr>
            </w:pPr>
            <w:r>
              <w:rPr>
                <w:rFonts w:ascii="Arial" w:cs="Arial" w:eastAsia="Arial" w:hAnsi="Arial"/>
                <w:sz w:val="18"/>
                <w:szCs w:val="18"/>
                <w:b w:val="1"/>
                <w:bCs w:val="1"/>
                <w:color w:val="auto"/>
              </w:rPr>
              <w:t>20</w:t>
            </w:r>
          </w:p>
        </w:tc>
        <w:tc>
          <w:tcPr>
            <w:tcW w:w="7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(16 )</w:t>
            </w:r>
          </w:p>
        </w:tc>
      </w:tr>
      <w:tr>
        <w:trPr>
          <w:trHeight w:val="229"/>
        </w:trPr>
        <w:tc>
          <w:tcPr>
            <w:tcW w:w="65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Hedged items</w:t>
            </w:r>
          </w:p>
        </w:tc>
        <w:tc>
          <w:tcPr>
            <w:tcW w:w="1840" w:type="dxa"/>
            <w:vAlign w:val="bottom"/>
            <w:shd w:val="clear" w:color="auto" w:fill="E5E5E5"/>
          </w:tcPr>
          <w:p>
            <w:pPr>
              <w:spacing w:after="0"/>
              <w:rPr>
                <w:sz w:val="19"/>
                <w:szCs w:val="19"/>
                <w:color w:val="auto"/>
              </w:rPr>
            </w:pPr>
          </w:p>
        </w:tc>
        <w:tc>
          <w:tcPr>
            <w:tcW w:w="1100" w:type="dxa"/>
            <w:vAlign w:val="bottom"/>
            <w:shd w:val="clear" w:color="auto" w:fill="E5E5E5"/>
          </w:tcPr>
          <w:p>
            <w:pPr>
              <w:jc w:val="right"/>
              <w:ind w:right="33"/>
              <w:spacing w:after="0"/>
              <w:rPr>
                <w:sz w:val="20"/>
                <w:szCs w:val="20"/>
                <w:color w:val="auto"/>
              </w:rPr>
            </w:pPr>
            <w:r>
              <w:rPr>
                <w:rFonts w:ascii="Arial" w:cs="Arial" w:eastAsia="Arial" w:hAnsi="Arial"/>
                <w:sz w:val="18"/>
                <w:szCs w:val="18"/>
                <w:b w:val="1"/>
                <w:bCs w:val="1"/>
                <w:color w:val="auto"/>
              </w:rPr>
              <w:t>(32 )</w:t>
            </w:r>
          </w:p>
        </w:tc>
        <w:tc>
          <w:tcPr>
            <w:tcW w:w="74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E5E5E5"/>
          </w:tcPr>
          <w:p>
            <w:pPr>
              <w:spacing w:after="0"/>
              <w:rPr>
                <w:sz w:val="19"/>
                <w:szCs w:val="19"/>
                <w:color w:val="auto"/>
              </w:rPr>
            </w:pPr>
          </w:p>
        </w:tc>
      </w:tr>
      <w:tr>
        <w:trPr>
          <w:trHeight w:val="252"/>
        </w:trPr>
        <w:tc>
          <w:tcPr>
            <w:tcW w:w="6580" w:type="dxa"/>
            <w:vAlign w:val="bottom"/>
          </w:tcPr>
          <w:p>
            <w:pPr>
              <w:ind w:left="20"/>
              <w:spacing w:after="0"/>
              <w:rPr>
                <w:sz w:val="20"/>
                <w:szCs w:val="20"/>
                <w:color w:val="auto"/>
              </w:rPr>
            </w:pPr>
            <w:r>
              <w:rPr>
                <w:rFonts w:ascii="Arial" w:cs="Arial" w:eastAsia="Arial" w:hAnsi="Arial"/>
                <w:sz w:val="13"/>
                <w:szCs w:val="13"/>
                <w:b w:val="1"/>
                <w:bCs w:val="1"/>
                <w:color w:val="auto"/>
              </w:rPr>
              <w:t>Designated as Cash Flow Hedging Instruments</w:t>
            </w:r>
          </w:p>
        </w:tc>
        <w:tc>
          <w:tcPr>
            <w:tcW w:w="18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58"/>
        </w:trPr>
        <w:tc>
          <w:tcPr>
            <w:tcW w:w="65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29"/>
        </w:trPr>
        <w:tc>
          <w:tcPr>
            <w:tcW w:w="6580" w:type="dxa"/>
            <w:vAlign w:val="bottom"/>
            <w:shd w:val="clear" w:color="auto" w:fill="E5E5E5"/>
          </w:tcPr>
          <w:p>
            <w:pPr>
              <w:ind w:left="20"/>
              <w:spacing w:after="0"/>
              <w:rPr>
                <w:sz w:val="20"/>
                <w:szCs w:val="20"/>
                <w:color w:val="auto"/>
              </w:rPr>
            </w:pPr>
            <w:r>
              <w:rPr>
                <w:rFonts w:ascii="Arial" w:cs="Arial" w:eastAsia="Arial" w:hAnsi="Arial"/>
                <w:sz w:val="18"/>
                <w:szCs w:val="18"/>
                <w:color w:val="auto"/>
              </w:rPr>
              <w:t>Foreign exchange contracts</w:t>
            </w:r>
          </w:p>
        </w:tc>
        <w:tc>
          <w:tcPr>
            <w:tcW w:w="1840" w:type="dxa"/>
            <w:vAlign w:val="bottom"/>
            <w:shd w:val="clear" w:color="auto" w:fill="E5E5E5"/>
          </w:tcPr>
          <w:p>
            <w:pPr>
              <w:spacing w:after="0"/>
              <w:rPr>
                <w:sz w:val="19"/>
                <w:szCs w:val="19"/>
                <w:color w:val="auto"/>
              </w:rPr>
            </w:pPr>
          </w:p>
        </w:tc>
        <w:tc>
          <w:tcPr>
            <w:tcW w:w="1100" w:type="dxa"/>
            <w:vAlign w:val="bottom"/>
            <w:shd w:val="clear" w:color="auto" w:fill="E5E5E5"/>
          </w:tcPr>
          <w:p>
            <w:pPr>
              <w:spacing w:after="0"/>
              <w:rPr>
                <w:sz w:val="19"/>
                <w:szCs w:val="19"/>
                <w:color w:val="auto"/>
              </w:rPr>
            </w:pPr>
          </w:p>
        </w:tc>
        <w:tc>
          <w:tcPr>
            <w:tcW w:w="74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r>
      <w:tr>
        <w:trPr>
          <w:trHeight w:val="247"/>
        </w:trPr>
        <w:tc>
          <w:tcPr>
            <w:tcW w:w="6580" w:type="dxa"/>
            <w:vAlign w:val="bottom"/>
          </w:tcPr>
          <w:p>
            <w:pPr>
              <w:ind w:left="240"/>
              <w:spacing w:after="0"/>
              <w:rPr>
                <w:sz w:val="20"/>
                <w:szCs w:val="20"/>
                <w:color w:val="auto"/>
              </w:rPr>
            </w:pPr>
            <w:r>
              <w:rPr>
                <w:rFonts w:ascii="Arial" w:cs="Arial" w:eastAsia="Arial" w:hAnsi="Arial"/>
                <w:sz w:val="18"/>
                <w:szCs w:val="18"/>
                <w:color w:val="auto"/>
              </w:rPr>
              <w:t>Amount reclassified from accumulated other comprehensive loss</w:t>
            </w:r>
          </w:p>
        </w:tc>
        <w:tc>
          <w:tcPr>
            <w:tcW w:w="1840" w:type="dxa"/>
            <w:vAlign w:val="bottom"/>
          </w:tcPr>
          <w:p>
            <w:pPr>
              <w:spacing w:after="0"/>
              <w:rPr>
                <w:sz w:val="21"/>
                <w:szCs w:val="21"/>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b w:val="1"/>
                <w:bCs w:val="1"/>
                <w:color w:val="auto"/>
              </w:rPr>
              <w:t>49</w:t>
            </w:r>
          </w:p>
        </w:tc>
        <w:tc>
          <w:tcPr>
            <w:tcW w:w="7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(46 )</w:t>
            </w:r>
          </w:p>
        </w:tc>
      </w:tr>
      <w:tr>
        <w:trPr>
          <w:trHeight w:val="235"/>
        </w:trPr>
        <w:tc>
          <w:tcPr>
            <w:tcW w:w="6580" w:type="dxa"/>
            <w:vAlign w:val="bottom"/>
          </w:tcPr>
          <w:p>
            <w:pPr>
              <w:ind w:left="20"/>
              <w:spacing w:after="0"/>
              <w:rPr>
                <w:sz w:val="20"/>
                <w:szCs w:val="20"/>
                <w:color w:val="auto"/>
              </w:rPr>
            </w:pPr>
            <w:r>
              <w:rPr>
                <w:rFonts w:ascii="Arial" w:cs="Arial" w:eastAsia="Arial" w:hAnsi="Arial"/>
                <w:sz w:val="13"/>
                <w:szCs w:val="13"/>
                <w:b w:val="1"/>
                <w:bCs w:val="1"/>
                <w:color w:val="auto"/>
              </w:rPr>
              <w:t>Not Designated as Hedging Instruments</w:t>
            </w:r>
          </w:p>
        </w:tc>
        <w:tc>
          <w:tcPr>
            <w:tcW w:w="1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58"/>
        </w:trPr>
        <w:tc>
          <w:tcPr>
            <w:tcW w:w="65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29"/>
        </w:trPr>
        <w:tc>
          <w:tcPr>
            <w:tcW w:w="6580" w:type="dxa"/>
            <w:vAlign w:val="bottom"/>
            <w:shd w:val="clear" w:color="auto" w:fill="E5E5E5"/>
          </w:tcPr>
          <w:p>
            <w:pPr>
              <w:ind w:left="20"/>
              <w:spacing w:after="0"/>
              <w:rPr>
                <w:sz w:val="20"/>
                <w:szCs w:val="20"/>
                <w:color w:val="auto"/>
              </w:rPr>
            </w:pPr>
            <w:r>
              <w:rPr>
                <w:rFonts w:ascii="Arial" w:cs="Arial" w:eastAsia="Arial" w:hAnsi="Arial"/>
                <w:sz w:val="18"/>
                <w:szCs w:val="18"/>
                <w:color w:val="auto"/>
              </w:rPr>
              <w:t>Foreign exchange contracts</w:t>
            </w:r>
          </w:p>
        </w:tc>
        <w:tc>
          <w:tcPr>
            <w:tcW w:w="1840" w:type="dxa"/>
            <w:vAlign w:val="bottom"/>
            <w:shd w:val="clear" w:color="auto" w:fill="E5E5E5"/>
          </w:tcPr>
          <w:p>
            <w:pPr>
              <w:spacing w:after="0"/>
              <w:rPr>
                <w:sz w:val="19"/>
                <w:szCs w:val="19"/>
                <w:color w:val="auto"/>
              </w:rPr>
            </w:pPr>
          </w:p>
        </w:tc>
        <w:tc>
          <w:tcPr>
            <w:tcW w:w="1100" w:type="dxa"/>
            <w:vAlign w:val="bottom"/>
            <w:shd w:val="clear" w:color="auto" w:fill="E5E5E5"/>
          </w:tcPr>
          <w:p>
            <w:pPr>
              <w:jc w:val="right"/>
              <w:ind w:right="33"/>
              <w:spacing w:after="0"/>
              <w:rPr>
                <w:sz w:val="20"/>
                <w:szCs w:val="20"/>
                <w:color w:val="auto"/>
              </w:rPr>
            </w:pPr>
            <w:r>
              <w:rPr>
                <w:rFonts w:ascii="Arial" w:cs="Arial" w:eastAsia="Arial" w:hAnsi="Arial"/>
                <w:sz w:val="18"/>
                <w:szCs w:val="18"/>
                <w:b w:val="1"/>
                <w:bCs w:val="1"/>
                <w:color w:val="auto"/>
              </w:rPr>
              <w:t>(383 )</w:t>
            </w:r>
          </w:p>
        </w:tc>
        <w:tc>
          <w:tcPr>
            <w:tcW w:w="74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E5E5E5"/>
          </w:tcPr>
          <w:p>
            <w:pPr>
              <w:spacing w:after="0"/>
              <w:rPr>
                <w:sz w:val="19"/>
                <w:szCs w:val="19"/>
                <w:color w:val="auto"/>
              </w:rPr>
            </w:pP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Equity contracts</w:t>
            </w:r>
          </w:p>
        </w:tc>
        <w:tc>
          <w:tcPr>
            <w:tcW w:w="184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b w:val="1"/>
                <w:bCs w:val="1"/>
                <w:color w:val="auto"/>
              </w:rPr>
              <w:t>(348 )</w:t>
            </w:r>
          </w:p>
        </w:tc>
        <w:tc>
          <w:tcPr>
            <w:tcW w:w="7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9"/>
                <w:szCs w:val="19"/>
                <w:color w:val="auto"/>
              </w:rPr>
            </w:pPr>
          </w:p>
        </w:tc>
      </w:tr>
      <w:tr>
        <w:trPr>
          <w:trHeight w:val="229"/>
        </w:trPr>
        <w:tc>
          <w:tcPr>
            <w:tcW w:w="6580" w:type="dxa"/>
            <w:vAlign w:val="bottom"/>
            <w:shd w:val="clear" w:color="auto" w:fill="E5E5E5"/>
          </w:tcPr>
          <w:p>
            <w:pPr>
              <w:ind w:left="20"/>
              <w:spacing w:after="0"/>
              <w:rPr>
                <w:sz w:val="20"/>
                <w:szCs w:val="20"/>
                <w:color w:val="auto"/>
              </w:rPr>
            </w:pPr>
            <w:r>
              <w:rPr>
                <w:rFonts w:ascii="Arial" w:cs="Arial" w:eastAsia="Arial" w:hAnsi="Arial"/>
                <w:sz w:val="18"/>
                <w:szCs w:val="18"/>
                <w:color w:val="auto"/>
              </w:rPr>
              <w:t>Other contracts</w:t>
            </w:r>
          </w:p>
        </w:tc>
        <w:tc>
          <w:tcPr>
            <w:tcW w:w="1840" w:type="dxa"/>
            <w:vAlign w:val="bottom"/>
            <w:shd w:val="clear" w:color="auto" w:fill="E5E5E5"/>
          </w:tcPr>
          <w:p>
            <w:pPr>
              <w:spacing w:after="0"/>
              <w:rPr>
                <w:sz w:val="19"/>
                <w:szCs w:val="19"/>
                <w:color w:val="auto"/>
              </w:rPr>
            </w:pPr>
          </w:p>
        </w:tc>
        <w:tc>
          <w:tcPr>
            <w:tcW w:w="1100" w:type="dxa"/>
            <w:vAlign w:val="bottom"/>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24</w:t>
            </w:r>
          </w:p>
        </w:tc>
        <w:tc>
          <w:tcPr>
            <w:tcW w:w="740" w:type="dxa"/>
            <w:vAlign w:val="bottom"/>
            <w:shd w:val="clear" w:color="auto" w:fill="E5E5E5"/>
          </w:tcPr>
          <w:p>
            <w:pPr>
              <w:spacing w:after="0"/>
              <w:rPr>
                <w:sz w:val="19"/>
                <w:szCs w:val="19"/>
                <w:color w:val="auto"/>
              </w:rPr>
            </w:pPr>
          </w:p>
        </w:tc>
        <w:tc>
          <w:tcPr>
            <w:tcW w:w="98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(33 )</w:t>
            </w:r>
          </w:p>
        </w:tc>
      </w:tr>
      <w:tr>
        <w:trPr>
          <w:trHeight w:val="67"/>
        </w:trPr>
        <w:tc>
          <w:tcPr>
            <w:tcW w:w="658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Gains (losses), net of tax, on derivative instruments recognized in our consolidated comprehensive income statements were as follows: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0637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ind w:left="20"/>
              <w:spacing w:after="0"/>
              <w:rPr>
                <w:sz w:val="20"/>
                <w:szCs w:val="20"/>
                <w:color w:val="auto"/>
              </w:rPr>
            </w:pPr>
            <w:r>
              <w:rPr>
                <w:rFonts w:ascii="Arial" w:cs="Arial" w:eastAsia="Arial" w:hAnsi="Arial"/>
                <w:sz w:val="13"/>
                <w:szCs w:val="13"/>
                <w:b w:val="1"/>
                <w:bCs w:val="1"/>
                <w:color w:val="auto"/>
              </w:rPr>
              <w:t>Three Months Ended September 30,</w:t>
            </w:r>
          </w:p>
        </w:tc>
        <w:tc>
          <w:tcPr>
            <w:tcW w:w="3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2024</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3"/>
                <w:szCs w:val="13"/>
                <w:b w:val="1"/>
                <w:bCs w:val="1"/>
                <w:color w:val="auto"/>
              </w:rPr>
              <w:t>Designated as Cash Flow Hedging Instruments</w:t>
            </w:r>
          </w:p>
        </w:tc>
        <w:tc>
          <w:tcPr>
            <w:tcW w:w="3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58"/>
        </w:trPr>
        <w:tc>
          <w:tcPr>
            <w:tcW w:w="4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4180" w:type="dxa"/>
            <w:vAlign w:val="bottom"/>
            <w:shd w:val="clear" w:color="auto" w:fill="E5E5E5"/>
          </w:tcPr>
          <w:p>
            <w:pPr>
              <w:ind w:left="20"/>
              <w:spacing w:after="0"/>
              <w:rPr>
                <w:sz w:val="20"/>
                <w:szCs w:val="20"/>
                <w:color w:val="auto"/>
              </w:rPr>
            </w:pPr>
            <w:r>
              <w:rPr>
                <w:rFonts w:ascii="Arial" w:cs="Arial" w:eastAsia="Arial" w:hAnsi="Arial"/>
                <w:sz w:val="18"/>
                <w:szCs w:val="18"/>
                <w:color w:val="auto"/>
              </w:rPr>
              <w:t>Foreign exchange contracts</w:t>
            </w:r>
          </w:p>
        </w:tc>
        <w:tc>
          <w:tcPr>
            <w:tcW w:w="380" w:type="dxa"/>
            <w:vAlign w:val="bottom"/>
            <w:shd w:val="clear" w:color="auto" w:fill="E5E5E5"/>
          </w:tcPr>
          <w:p>
            <w:pPr>
              <w:spacing w:after="0"/>
              <w:rPr>
                <w:sz w:val="19"/>
                <w:szCs w:val="19"/>
                <w:color w:val="auto"/>
              </w:rPr>
            </w:pPr>
          </w:p>
        </w:tc>
        <w:tc>
          <w:tcPr>
            <w:tcW w:w="2140" w:type="dxa"/>
            <w:vAlign w:val="bottom"/>
            <w:shd w:val="clear" w:color="auto" w:fill="E5E5E5"/>
          </w:tcPr>
          <w:p>
            <w:pPr>
              <w:spacing w:after="0"/>
              <w:rPr>
                <w:sz w:val="19"/>
                <w:szCs w:val="19"/>
                <w:color w:val="auto"/>
              </w:rPr>
            </w:pPr>
          </w:p>
        </w:tc>
        <w:tc>
          <w:tcPr>
            <w:tcW w:w="1080" w:type="dxa"/>
            <w:vAlign w:val="bottom"/>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120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560" w:type="dxa"/>
            <w:vAlign w:val="bottom"/>
            <w:shd w:val="clear" w:color="auto" w:fill="E5E5E5"/>
          </w:tcPr>
          <w:p>
            <w:pPr>
              <w:spacing w:after="0"/>
              <w:rPr>
                <w:sz w:val="19"/>
                <w:szCs w:val="19"/>
                <w:color w:val="auto"/>
              </w:rPr>
            </w:pPr>
          </w:p>
        </w:tc>
        <w:tc>
          <w:tcPr>
            <w:tcW w:w="10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r>
      <w:tr>
        <w:trPr>
          <w:trHeight w:val="247"/>
        </w:trPr>
        <w:tc>
          <w:tcPr>
            <w:tcW w:w="4180" w:type="dxa"/>
            <w:vAlign w:val="bottom"/>
          </w:tcPr>
          <w:p>
            <w:pPr>
              <w:ind w:left="240"/>
              <w:spacing w:after="0"/>
              <w:rPr>
                <w:sz w:val="20"/>
                <w:szCs w:val="20"/>
                <w:color w:val="auto"/>
              </w:rPr>
            </w:pPr>
            <w:r>
              <w:rPr>
                <w:rFonts w:ascii="Arial" w:cs="Arial" w:eastAsia="Arial" w:hAnsi="Arial"/>
                <w:sz w:val="18"/>
                <w:szCs w:val="18"/>
                <w:color w:val="auto"/>
              </w:rPr>
              <w:t>Included in effectiveness assessment</w:t>
            </w:r>
          </w:p>
        </w:tc>
        <w:tc>
          <w:tcPr>
            <w:tcW w:w="398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(15 )</w:t>
            </w:r>
          </w:p>
        </w:tc>
      </w:tr>
      <w:tr>
        <w:trPr>
          <w:trHeight w:val="50"/>
        </w:trPr>
        <w:tc>
          <w:tcPr>
            <w:tcW w:w="4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411"/>
        </w:trPr>
        <w:tc>
          <w:tcPr>
            <w:tcW w:w="4180" w:type="dxa"/>
            <w:vAlign w:val="bottom"/>
          </w:tcPr>
          <w:p>
            <w:pPr>
              <w:spacing w:after="0"/>
              <w:rPr>
                <w:sz w:val="24"/>
                <w:szCs w:val="24"/>
                <w:color w:val="auto"/>
              </w:rPr>
            </w:pPr>
          </w:p>
        </w:tc>
        <w:tc>
          <w:tcPr>
            <w:tcW w:w="3980" w:type="dxa"/>
            <w:vAlign w:val="bottom"/>
            <w:gridSpan w:val="4"/>
          </w:tcPr>
          <w:p>
            <w:pPr>
              <w:jc w:val="right"/>
              <w:ind w:right="1460"/>
              <w:spacing w:after="0"/>
              <w:rPr>
                <w:sz w:val="20"/>
                <w:szCs w:val="20"/>
                <w:color w:val="auto"/>
              </w:rPr>
            </w:pPr>
            <w:r>
              <w:rPr>
                <w:rFonts w:ascii="Arial" w:cs="Arial" w:eastAsia="Arial" w:hAnsi="Arial"/>
                <w:sz w:val="18"/>
                <w:szCs w:val="18"/>
                <w:color w:val="auto"/>
              </w:rPr>
              <w:t>NOTE 6 — INVENTORIES</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9"/>
        </w:trPr>
        <w:tc>
          <w:tcPr>
            <w:tcW w:w="4180" w:type="dxa"/>
            <w:vAlign w:val="bottom"/>
          </w:tcPr>
          <w:p>
            <w:pPr>
              <w:spacing w:after="0"/>
              <w:rPr>
                <w:sz w:val="20"/>
                <w:szCs w:val="20"/>
                <w:color w:val="auto"/>
              </w:rPr>
            </w:pPr>
            <w:r>
              <w:rPr>
                <w:rFonts w:ascii="Arial" w:cs="Arial" w:eastAsia="Arial" w:hAnsi="Arial"/>
                <w:sz w:val="18"/>
                <w:szCs w:val="18"/>
                <w:color w:val="auto"/>
              </w:rPr>
              <w:t>The components of inventories were as follows:</w:t>
            </w:r>
          </w:p>
        </w:tc>
        <w:tc>
          <w:tcPr>
            <w:tcW w:w="380" w:type="dxa"/>
            <w:vAlign w:val="bottom"/>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6"/>
        </w:trPr>
        <w:tc>
          <w:tcPr>
            <w:tcW w:w="418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8"/>
        </w:trPr>
        <w:tc>
          <w:tcPr>
            <w:tcW w:w="4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08"/>
        </w:trPr>
        <w:tc>
          <w:tcPr>
            <w:tcW w:w="4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ind w:left="260"/>
              <w:spacing w:after="0"/>
              <w:rPr>
                <w:sz w:val="20"/>
                <w:szCs w:val="20"/>
                <w:color w:val="auto"/>
              </w:rPr>
            </w:pPr>
            <w:r>
              <w:rPr>
                <w:rFonts w:ascii="Arial" w:cs="Arial" w:eastAsia="Arial" w:hAnsi="Arial"/>
                <w:sz w:val="13"/>
                <w:szCs w:val="13"/>
                <w:b w:val="1"/>
                <w:bCs w:val="1"/>
                <w:color w:val="auto"/>
              </w:rPr>
              <w:t>September 30,</w:t>
            </w:r>
          </w:p>
        </w:tc>
        <w:tc>
          <w:tcPr>
            <w:tcW w:w="5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June 30,</w:t>
            </w:r>
          </w:p>
        </w:tc>
      </w:tr>
      <w:tr>
        <w:trPr>
          <w:trHeight w:val="186"/>
        </w:trPr>
        <w:tc>
          <w:tcPr>
            <w:tcW w:w="4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r>
      <w:tr>
        <w:trPr>
          <w:trHeight w:val="58"/>
        </w:trPr>
        <w:tc>
          <w:tcPr>
            <w:tcW w:w="4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4180" w:type="dxa"/>
            <w:vAlign w:val="bottom"/>
            <w:shd w:val="clear" w:color="auto" w:fill="E5E5E5"/>
          </w:tcPr>
          <w:p>
            <w:pPr>
              <w:ind w:left="20"/>
              <w:spacing w:after="0"/>
              <w:rPr>
                <w:sz w:val="20"/>
                <w:szCs w:val="20"/>
                <w:color w:val="auto"/>
              </w:rPr>
            </w:pPr>
            <w:r>
              <w:rPr>
                <w:rFonts w:ascii="Arial" w:cs="Arial" w:eastAsia="Arial" w:hAnsi="Arial"/>
                <w:sz w:val="18"/>
                <w:szCs w:val="18"/>
                <w:color w:val="auto"/>
              </w:rPr>
              <w:t>Raw materials</w:t>
            </w:r>
          </w:p>
        </w:tc>
        <w:tc>
          <w:tcPr>
            <w:tcW w:w="3980" w:type="dxa"/>
            <w:vAlign w:val="bottom"/>
            <w:gridSpan w:val="4"/>
            <w:shd w:val="clear" w:color="auto" w:fill="E5E5E5"/>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488</w:t>
            </w:r>
          </w:p>
        </w:tc>
        <w:tc>
          <w:tcPr>
            <w:tcW w:w="220" w:type="dxa"/>
            <w:vAlign w:val="bottom"/>
            <w:shd w:val="clear" w:color="auto" w:fill="E5E5E5"/>
          </w:tcPr>
          <w:p>
            <w:pPr>
              <w:spacing w:after="0"/>
              <w:rPr>
                <w:sz w:val="19"/>
                <w:szCs w:val="19"/>
                <w:color w:val="auto"/>
              </w:rPr>
            </w:pPr>
          </w:p>
        </w:tc>
        <w:tc>
          <w:tcPr>
            <w:tcW w:w="560" w:type="dxa"/>
            <w:vAlign w:val="bottom"/>
            <w:shd w:val="clear" w:color="auto" w:fill="E5E5E5"/>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E5E5E5"/>
          </w:tcPr>
          <w:p>
            <w:pPr>
              <w:spacing w:after="0"/>
              <w:rPr>
                <w:sz w:val="19"/>
                <w:szCs w:val="19"/>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29"/>
        </w:trPr>
        <w:tc>
          <w:tcPr>
            <w:tcW w:w="4180" w:type="dxa"/>
            <w:vAlign w:val="bottom"/>
            <w:shd w:val="clear" w:color="auto" w:fill="E5E5E5"/>
          </w:tcPr>
          <w:p>
            <w:pPr>
              <w:ind w:left="20"/>
              <w:spacing w:after="0"/>
              <w:rPr>
                <w:sz w:val="20"/>
                <w:szCs w:val="20"/>
                <w:color w:val="auto"/>
              </w:rPr>
            </w:pPr>
            <w:r>
              <w:rPr>
                <w:rFonts w:ascii="Arial" w:cs="Arial" w:eastAsia="Arial" w:hAnsi="Arial"/>
                <w:sz w:val="18"/>
                <w:szCs w:val="18"/>
                <w:color w:val="auto"/>
              </w:rPr>
              <w:t>Finished goods</w:t>
            </w:r>
          </w:p>
        </w:tc>
        <w:tc>
          <w:tcPr>
            <w:tcW w:w="380" w:type="dxa"/>
            <w:vAlign w:val="bottom"/>
            <w:shd w:val="clear" w:color="auto" w:fill="E5E5E5"/>
          </w:tcPr>
          <w:p>
            <w:pPr>
              <w:spacing w:after="0"/>
              <w:rPr>
                <w:sz w:val="19"/>
                <w:szCs w:val="19"/>
                <w:color w:val="auto"/>
              </w:rPr>
            </w:pPr>
          </w:p>
        </w:tc>
        <w:tc>
          <w:tcPr>
            <w:tcW w:w="2140" w:type="dxa"/>
            <w:vAlign w:val="bottom"/>
            <w:shd w:val="clear" w:color="auto" w:fill="E5E5E5"/>
          </w:tcPr>
          <w:p>
            <w:pPr>
              <w:spacing w:after="0"/>
              <w:rPr>
                <w:sz w:val="19"/>
                <w:szCs w:val="19"/>
                <w:color w:val="auto"/>
              </w:rPr>
            </w:pPr>
          </w:p>
        </w:tc>
        <w:tc>
          <w:tcPr>
            <w:tcW w:w="1080" w:type="dxa"/>
            <w:vAlign w:val="bottom"/>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1,127</w:t>
            </w:r>
          </w:p>
        </w:tc>
        <w:tc>
          <w:tcPr>
            <w:tcW w:w="220" w:type="dxa"/>
            <w:vAlign w:val="bottom"/>
            <w:shd w:val="clear" w:color="auto" w:fill="E5E5E5"/>
          </w:tcPr>
          <w:p>
            <w:pPr>
              <w:spacing w:after="0"/>
              <w:rPr>
                <w:sz w:val="19"/>
                <w:szCs w:val="19"/>
                <w:color w:val="auto"/>
              </w:rPr>
            </w:pPr>
          </w:p>
        </w:tc>
        <w:tc>
          <w:tcPr>
            <w:tcW w:w="560" w:type="dxa"/>
            <w:vAlign w:val="bottom"/>
            <w:shd w:val="clear" w:color="auto" w:fill="E5E5E5"/>
          </w:tcPr>
          <w:p>
            <w:pPr>
              <w:spacing w:after="0"/>
              <w:rPr>
                <w:sz w:val="19"/>
                <w:szCs w:val="19"/>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E5E5E5"/>
          </w:tcPr>
          <w:p>
            <w:pPr>
              <w:spacing w:after="0"/>
              <w:rPr>
                <w:sz w:val="19"/>
                <w:szCs w:val="19"/>
                <w:color w:val="auto"/>
              </w:rPr>
            </w:pPr>
          </w:p>
        </w:tc>
      </w:tr>
      <w:tr>
        <w:trPr>
          <w:trHeight w:val="67"/>
        </w:trPr>
        <w:tc>
          <w:tcPr>
            <w:tcW w:w="4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302"/>
        </w:trPr>
        <w:tc>
          <w:tcPr>
            <w:tcW w:w="4180" w:type="dxa"/>
            <w:vAlign w:val="bottom"/>
          </w:tcPr>
          <w:p>
            <w:pPr>
              <w:ind w:left="240"/>
              <w:spacing w:after="0"/>
              <w:rPr>
                <w:sz w:val="20"/>
                <w:szCs w:val="20"/>
                <w:color w:val="auto"/>
              </w:rPr>
            </w:pPr>
            <w:r>
              <w:rPr>
                <w:rFonts w:ascii="Arial" w:cs="Arial" w:eastAsia="Arial" w:hAnsi="Arial"/>
                <w:sz w:val="18"/>
                <w:szCs w:val="18"/>
                <w:color w:val="auto"/>
              </w:rPr>
              <w:t>Total</w:t>
            </w:r>
          </w:p>
        </w:tc>
        <w:tc>
          <w:tcPr>
            <w:tcW w:w="398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1,626</w:t>
            </w:r>
          </w:p>
        </w:tc>
        <w:tc>
          <w:tcPr>
            <w:tcW w:w="22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4"/>
                <w:szCs w:val="24"/>
                <w:color w:val="auto"/>
              </w:rPr>
            </w:pPr>
          </w:p>
        </w:tc>
      </w:tr>
      <w:tr>
        <w:trPr>
          <w:trHeight w:val="62"/>
        </w:trPr>
        <w:tc>
          <w:tcPr>
            <w:tcW w:w="4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7 — BUSINESS COMBINATIONS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Activision Blizzard, Inc.</w:t>
      </w:r>
    </w:p>
    <w:p>
      <w:pPr>
        <w:spacing w:after="0" w:line="15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October 13, 2023, we completed our acquisition of Activision Blizzard, Inc. (“Activision Blizzard”) for a total purchase price of $75.4 billion, consisting primarily of cash. Activision Blizzard is a leader in game development and an interactive entertainment content publisher. The acquisition will accelerate the growth in our gaming business across mobile, PC, console, and cloud gaming. The financial results of Activision Blizzard have been included in our consolidated financial statements since the date of the acquisition. Activision Blizzard is reported as part of our More Personal Computing segment.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8" w:name="page19"/>
    <w:bookmarkEnd w:id="18"/>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allocation of the purchase price to the assets acquired and liabilities assumed was completed as of September 30, 2024. The major classes of assets and liabilities to which we have allocated the purchase price were as follows: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0637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Cash and cash equivalents</w:t>
            </w:r>
          </w:p>
        </w:tc>
        <w:tc>
          <w:tcPr>
            <w:tcW w:w="560" w:type="dxa"/>
            <w:vAlign w:val="bottom"/>
            <w:shd w:val="clear" w:color="auto" w:fill="E5E5E5"/>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12,976</w:t>
            </w:r>
          </w:p>
        </w:tc>
        <w:tc>
          <w:tcPr>
            <w:tcW w:w="100" w:type="dxa"/>
            <w:vAlign w:val="bottom"/>
            <w:shd w:val="clear" w:color="auto" w:fill="E5E5E5"/>
          </w:tcPr>
          <w:p>
            <w:pPr>
              <w:spacing w:after="0"/>
              <w:rPr>
                <w:sz w:val="18"/>
                <w:szCs w:val="18"/>
                <w:color w:val="auto"/>
              </w:rPr>
            </w:pPr>
          </w:p>
        </w:tc>
      </w:tr>
      <w:tr>
        <w:trPr>
          <w:trHeight w:val="216"/>
        </w:trPr>
        <w:tc>
          <w:tcPr>
            <w:tcW w:w="9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51,001</w:t>
            </w:r>
          </w:p>
        </w:tc>
        <w:tc>
          <w:tcPr>
            <w:tcW w:w="100" w:type="dxa"/>
            <w:vAlign w:val="bottom"/>
          </w:tcPr>
          <w:p>
            <w:pPr>
              <w:spacing w:after="0"/>
              <w:rPr>
                <w:sz w:val="18"/>
                <w:szCs w:val="18"/>
                <w:color w:val="auto"/>
              </w:rPr>
            </w:pPr>
          </w:p>
        </w:tc>
      </w:tr>
      <w:tr>
        <w:trPr>
          <w:trHeight w:val="216"/>
        </w:trPr>
        <w:tc>
          <w:tcPr>
            <w:tcW w:w="9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Intangible assets</w:t>
            </w:r>
          </w:p>
        </w:tc>
        <w:tc>
          <w:tcPr>
            <w:tcW w:w="560" w:type="dxa"/>
            <w:vAlign w:val="bottom"/>
            <w:shd w:val="clear" w:color="auto" w:fill="E5E5E5"/>
          </w:tcPr>
          <w:p>
            <w:pPr>
              <w:spacing w:after="0"/>
              <w:rPr>
                <w:sz w:val="18"/>
                <w:szCs w:val="18"/>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21,969</w:t>
            </w:r>
          </w:p>
        </w:tc>
        <w:tc>
          <w:tcPr>
            <w:tcW w:w="100" w:type="dxa"/>
            <w:vAlign w:val="bottom"/>
            <w:shd w:val="clear" w:color="auto" w:fill="E5E5E5"/>
          </w:tcPr>
          <w:p>
            <w:pPr>
              <w:spacing w:after="0"/>
              <w:rPr>
                <w:sz w:val="18"/>
                <w:szCs w:val="18"/>
                <w:color w:val="auto"/>
              </w:rPr>
            </w:pPr>
          </w:p>
        </w:tc>
      </w:tr>
      <w:tr>
        <w:trPr>
          <w:trHeight w:val="216"/>
        </w:trPr>
        <w:tc>
          <w:tcPr>
            <w:tcW w:w="95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2,503</w:t>
            </w:r>
          </w:p>
        </w:tc>
        <w:tc>
          <w:tcPr>
            <w:tcW w:w="100" w:type="dxa"/>
            <w:vAlign w:val="bottom"/>
          </w:tcPr>
          <w:p>
            <w:pPr>
              <w:spacing w:after="0"/>
              <w:rPr>
                <w:sz w:val="18"/>
                <w:szCs w:val="18"/>
                <w:color w:val="auto"/>
              </w:rPr>
            </w:pPr>
          </w:p>
        </w:tc>
      </w:tr>
      <w:tr>
        <w:trPr>
          <w:trHeight w:val="216"/>
        </w:trPr>
        <w:tc>
          <w:tcPr>
            <w:tcW w:w="9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Long-term debt</w:t>
            </w:r>
          </w:p>
        </w:tc>
        <w:tc>
          <w:tcPr>
            <w:tcW w:w="560" w:type="dxa"/>
            <w:vAlign w:val="bottom"/>
            <w:shd w:val="clear" w:color="auto" w:fill="E5E5E5"/>
          </w:tcPr>
          <w:p>
            <w:pPr>
              <w:spacing w:after="0"/>
              <w:rPr>
                <w:sz w:val="18"/>
                <w:szCs w:val="18"/>
                <w:color w:val="auto"/>
              </w:rPr>
            </w:pPr>
          </w:p>
        </w:tc>
        <w:tc>
          <w:tcPr>
            <w:tcW w:w="112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(2,799 )</w:t>
            </w:r>
          </w:p>
        </w:tc>
      </w:tr>
      <w:tr>
        <w:trPr>
          <w:trHeight w:val="216"/>
        </w:trPr>
        <w:tc>
          <w:tcPr>
            <w:tcW w:w="9560" w:type="dxa"/>
            <w:vAlign w:val="bottom"/>
          </w:tcPr>
          <w:p>
            <w:pPr>
              <w:ind w:left="20"/>
              <w:spacing w:after="0"/>
              <w:rPr>
                <w:sz w:val="20"/>
                <w:szCs w:val="20"/>
                <w:color w:val="auto"/>
              </w:rPr>
            </w:pPr>
            <w:r>
              <w:rPr>
                <w:rFonts w:ascii="Arial" w:cs="Arial" w:eastAsia="Arial" w:hAnsi="Arial"/>
                <w:sz w:val="18"/>
                <w:szCs w:val="18"/>
                <w:color w:val="auto"/>
              </w:rPr>
              <w:t>Long-term income taxes</w:t>
            </w:r>
          </w:p>
        </w:tc>
        <w:tc>
          <w:tcPr>
            <w:tcW w:w="5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(1,946 )</w:t>
            </w:r>
          </w:p>
        </w:tc>
      </w:tr>
      <w:tr>
        <w:trPr>
          <w:trHeight w:val="216"/>
        </w:trPr>
        <w:tc>
          <w:tcPr>
            <w:tcW w:w="9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Deferred income taxes</w:t>
            </w:r>
          </w:p>
        </w:tc>
        <w:tc>
          <w:tcPr>
            <w:tcW w:w="560" w:type="dxa"/>
            <w:vAlign w:val="bottom"/>
            <w:shd w:val="clear" w:color="auto" w:fill="E5E5E5"/>
          </w:tcPr>
          <w:p>
            <w:pPr>
              <w:spacing w:after="0"/>
              <w:rPr>
                <w:sz w:val="18"/>
                <w:szCs w:val="18"/>
                <w:color w:val="auto"/>
              </w:rPr>
            </w:pPr>
          </w:p>
        </w:tc>
        <w:tc>
          <w:tcPr>
            <w:tcW w:w="112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(4,676 )</w:t>
            </w:r>
          </w:p>
        </w:tc>
      </w:tr>
      <w:tr>
        <w:trPr>
          <w:trHeight w:val="239"/>
        </w:trPr>
        <w:tc>
          <w:tcPr>
            <w:tcW w:w="95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5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(3,620 )</w:t>
            </w:r>
          </w:p>
        </w:tc>
      </w:tr>
      <w:tr>
        <w:trPr>
          <w:trHeight w:val="31"/>
        </w:trPr>
        <w:tc>
          <w:tcPr>
            <w:tcW w:w="9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47"/>
        </w:trPr>
        <w:tc>
          <w:tcPr>
            <w:tcW w:w="9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16"/>
        </w:trPr>
        <w:tc>
          <w:tcPr>
            <w:tcW w:w="95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Total purchase price</w:t>
            </w:r>
          </w:p>
        </w:tc>
        <w:tc>
          <w:tcPr>
            <w:tcW w:w="560" w:type="dxa"/>
            <w:vAlign w:val="bottom"/>
            <w:shd w:val="clear" w:color="auto" w:fill="E5E5E5"/>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75,408</w:t>
            </w:r>
          </w:p>
        </w:tc>
        <w:tc>
          <w:tcPr>
            <w:tcW w:w="100" w:type="dxa"/>
            <w:vAlign w:val="bottom"/>
            <w:shd w:val="clear" w:color="auto" w:fill="E5E5E5"/>
          </w:tcPr>
          <w:p>
            <w:pPr>
              <w:spacing w:after="0"/>
              <w:rPr>
                <w:sz w:val="18"/>
                <w:szCs w:val="18"/>
                <w:color w:val="auto"/>
              </w:rPr>
            </w:pPr>
          </w:p>
        </w:tc>
      </w:tr>
      <w:tr>
        <w:trPr>
          <w:trHeight w:val="61"/>
        </w:trPr>
        <w:tc>
          <w:tcPr>
            <w:tcW w:w="956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Goodwill was assigned to our More Personal Computing segment. The goodwill was primarily attributed to increased synergies that are expected to be achieved from the integration of Activision Blizzard. Substantially all of the goodwill is expected to be non-deductible for income tax purposes.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Following are the details of the purchase price allocated to the intangible assets acquired: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Weighted</w:t>
            </w:r>
          </w:p>
        </w:tc>
      </w:tr>
      <w:tr>
        <w:trPr>
          <w:trHeight w:val="200"/>
        </w:trPr>
        <w:tc>
          <w:tcPr>
            <w:tcW w:w="7780" w:type="dxa"/>
            <w:vAlign w:val="bottom"/>
          </w:tcPr>
          <w:p>
            <w:pPr>
              <w:ind w:left="20"/>
              <w:spacing w:after="0"/>
              <w:rPr>
                <w:sz w:val="20"/>
                <w:szCs w:val="20"/>
                <w:color w:val="auto"/>
              </w:rPr>
            </w:pPr>
            <w:r>
              <w:rPr>
                <w:rFonts w:ascii="Arial" w:cs="Arial" w:eastAsia="Arial" w:hAnsi="Arial"/>
                <w:sz w:val="13"/>
                <w:szCs w:val="13"/>
                <w:b w:val="1"/>
                <w:bCs w:val="1"/>
                <w:color w:val="auto"/>
              </w:rPr>
              <w:t>(In millions, except average life)</w:t>
            </w: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1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Average Life</w:t>
            </w:r>
          </w:p>
        </w:tc>
      </w:tr>
      <w:tr>
        <w:trPr>
          <w:trHeight w:val="58"/>
        </w:trPr>
        <w:tc>
          <w:tcPr>
            <w:tcW w:w="77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61"/>
        </w:trPr>
        <w:tc>
          <w:tcPr>
            <w:tcW w:w="7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7780" w:type="dxa"/>
            <w:vAlign w:val="bottom"/>
            <w:shd w:val="clear" w:color="auto" w:fill="E5E5E5"/>
          </w:tcPr>
          <w:p>
            <w:pPr>
              <w:ind w:left="20"/>
              <w:spacing w:after="0"/>
              <w:rPr>
                <w:sz w:val="20"/>
                <w:szCs w:val="20"/>
                <w:color w:val="auto"/>
              </w:rPr>
            </w:pPr>
            <w:r>
              <w:rPr>
                <w:rFonts w:ascii="Arial" w:cs="Arial" w:eastAsia="Arial" w:hAnsi="Arial"/>
                <w:sz w:val="18"/>
                <w:szCs w:val="18"/>
                <w:color w:val="auto"/>
              </w:rPr>
              <w:t>Marketing-related</w:t>
            </w:r>
          </w:p>
        </w:tc>
        <w:tc>
          <w:tcPr>
            <w:tcW w:w="560" w:type="dxa"/>
            <w:vAlign w:val="bottom"/>
            <w:shd w:val="clear" w:color="auto" w:fill="E5E5E5"/>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11,619</w:t>
            </w:r>
          </w:p>
        </w:tc>
        <w:tc>
          <w:tcPr>
            <w:tcW w:w="188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24 years</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Technology-based</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9,689</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4 years</w:t>
            </w:r>
          </w:p>
        </w:tc>
      </w:tr>
      <w:tr>
        <w:trPr>
          <w:trHeight w:val="229"/>
        </w:trPr>
        <w:tc>
          <w:tcPr>
            <w:tcW w:w="7780" w:type="dxa"/>
            <w:vAlign w:val="bottom"/>
            <w:shd w:val="clear" w:color="auto" w:fill="E5E5E5"/>
          </w:tcPr>
          <w:p>
            <w:pPr>
              <w:ind w:left="20"/>
              <w:spacing w:after="0"/>
              <w:rPr>
                <w:sz w:val="20"/>
                <w:szCs w:val="20"/>
                <w:color w:val="auto"/>
              </w:rPr>
            </w:pPr>
            <w:r>
              <w:rPr>
                <w:rFonts w:ascii="Arial" w:cs="Arial" w:eastAsia="Arial" w:hAnsi="Arial"/>
                <w:sz w:val="18"/>
                <w:szCs w:val="18"/>
                <w:color w:val="auto"/>
              </w:rPr>
              <w:t>Customer-related</w:t>
            </w:r>
          </w:p>
        </w:tc>
        <w:tc>
          <w:tcPr>
            <w:tcW w:w="56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661</w:t>
            </w:r>
          </w:p>
        </w:tc>
        <w:tc>
          <w:tcPr>
            <w:tcW w:w="188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4 years</w:t>
            </w:r>
          </w:p>
        </w:tc>
      </w:tr>
      <w:tr>
        <w:trPr>
          <w:trHeight w:val="67"/>
        </w:trPr>
        <w:tc>
          <w:tcPr>
            <w:tcW w:w="77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880" w:type="dxa"/>
            <w:vAlign w:val="bottom"/>
            <w:gridSpan w:val="2"/>
          </w:tcPr>
          <w:p>
            <w:pPr>
              <w:spacing w:after="0"/>
              <w:rPr>
                <w:sz w:val="5"/>
                <w:szCs w:val="5"/>
                <w:color w:val="auto"/>
              </w:rPr>
            </w:pPr>
          </w:p>
        </w:tc>
      </w:tr>
      <w:tr>
        <w:trPr>
          <w:trHeight w:val="294"/>
        </w:trPr>
        <w:tc>
          <w:tcPr>
            <w:tcW w:w="7780" w:type="dxa"/>
            <w:vAlign w:val="bottom"/>
          </w:tcPr>
          <w:p>
            <w:pPr>
              <w:ind w:left="240"/>
              <w:spacing w:after="0"/>
              <w:rPr>
                <w:sz w:val="20"/>
                <w:szCs w:val="20"/>
                <w:color w:val="auto"/>
              </w:rPr>
            </w:pPr>
            <w:r>
              <w:rPr>
                <w:rFonts w:ascii="Arial" w:cs="Arial" w:eastAsia="Arial" w:hAnsi="Arial"/>
                <w:sz w:val="18"/>
                <w:szCs w:val="18"/>
                <w:color w:val="auto"/>
              </w:rPr>
              <w:t>Fair value of intangible assets acquired</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21,969</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15 years</w:t>
            </w:r>
          </w:p>
        </w:tc>
      </w:tr>
      <w:tr>
        <w:trPr>
          <w:trHeight w:val="70"/>
        </w:trPr>
        <w:tc>
          <w:tcPr>
            <w:tcW w:w="778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78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17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Following are the supplemental consolidated financial results of Microsoft Corporation on an unaudited pro forma basis, as if the acquisition had been consummated on July 1, 2022:</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0554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55485" cy="8255"/>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ind w:left="20"/>
              <w:spacing w:after="0"/>
              <w:rPr>
                <w:sz w:val="20"/>
                <w:szCs w:val="20"/>
                <w:color w:val="auto"/>
              </w:rPr>
            </w:pPr>
            <w:r>
              <w:rPr>
                <w:rFonts w:ascii="Arial" w:cs="Arial" w:eastAsia="Arial" w:hAnsi="Arial"/>
                <w:sz w:val="13"/>
                <w:szCs w:val="13"/>
                <w:b w:val="1"/>
                <w:bCs w:val="1"/>
                <w:color w:val="auto"/>
              </w:rPr>
              <w:t>Three Months Ended September 30, 2023</w:t>
            </w:r>
          </w:p>
        </w:tc>
        <w:tc>
          <w:tcPr>
            <w:tcW w:w="40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58"/>
        </w:trPr>
        <w:tc>
          <w:tcPr>
            <w:tcW w:w="6120" w:type="dxa"/>
            <w:vAlign w:val="bottom"/>
          </w:tcPr>
          <w:p>
            <w:pPr>
              <w:spacing w:after="0"/>
              <w:rPr>
                <w:sz w:val="5"/>
                <w:szCs w:val="5"/>
                <w:color w:val="auto"/>
              </w:rPr>
            </w:pPr>
          </w:p>
        </w:tc>
        <w:tc>
          <w:tcPr>
            <w:tcW w:w="400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29"/>
        </w:trPr>
        <w:tc>
          <w:tcPr>
            <w:tcW w:w="6120" w:type="dxa"/>
            <w:vAlign w:val="bottom"/>
            <w:shd w:val="clear" w:color="auto" w:fill="E5E5E5"/>
          </w:tcPr>
          <w:p>
            <w:pPr>
              <w:ind w:left="20"/>
              <w:spacing w:after="0"/>
              <w:rPr>
                <w:sz w:val="20"/>
                <w:szCs w:val="20"/>
                <w:color w:val="auto"/>
              </w:rPr>
            </w:pPr>
            <w:r>
              <w:rPr>
                <w:rFonts w:ascii="Arial" w:cs="Arial" w:eastAsia="Arial" w:hAnsi="Arial"/>
                <w:sz w:val="18"/>
                <w:szCs w:val="18"/>
                <w:color w:val="auto"/>
              </w:rPr>
              <w:t>Revenue</w:t>
            </w:r>
          </w:p>
        </w:tc>
        <w:tc>
          <w:tcPr>
            <w:tcW w:w="4000" w:type="dxa"/>
            <w:vAlign w:val="bottom"/>
            <w:shd w:val="clear" w:color="auto" w:fill="E5E5E5"/>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rPr>
              <w:t>58,561</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22,314</w:t>
            </w:r>
          </w:p>
        </w:tc>
      </w:tr>
      <w:tr>
        <w:trPr>
          <w:trHeight w:val="229"/>
        </w:trPr>
        <w:tc>
          <w:tcPr>
            <w:tcW w:w="6120" w:type="dxa"/>
            <w:vAlign w:val="bottom"/>
            <w:shd w:val="clear" w:color="auto" w:fill="E5E5E5"/>
          </w:tcPr>
          <w:p>
            <w:pPr>
              <w:ind w:left="20"/>
              <w:spacing w:after="0"/>
              <w:rPr>
                <w:sz w:val="20"/>
                <w:szCs w:val="20"/>
                <w:color w:val="auto"/>
              </w:rPr>
            </w:pPr>
            <w:r>
              <w:rPr>
                <w:rFonts w:ascii="Arial" w:cs="Arial" w:eastAsia="Arial" w:hAnsi="Arial"/>
                <w:sz w:val="18"/>
                <w:szCs w:val="18"/>
                <w:color w:val="auto"/>
              </w:rPr>
              <w:t>Diluted earnings per share</w:t>
            </w:r>
          </w:p>
        </w:tc>
        <w:tc>
          <w:tcPr>
            <w:tcW w:w="4000" w:type="dxa"/>
            <w:vAlign w:val="bottom"/>
            <w:shd w:val="clear" w:color="auto" w:fill="E5E5E5"/>
          </w:tcPr>
          <w:p>
            <w:pPr>
              <w:spacing w:after="0"/>
              <w:rPr>
                <w:sz w:val="19"/>
                <w:szCs w:val="19"/>
                <w:color w:val="auto"/>
              </w:rPr>
            </w:pPr>
          </w:p>
        </w:tc>
        <w:tc>
          <w:tcPr>
            <w:tcW w:w="112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rPr>
              <w:t>2.99</w:t>
            </w:r>
          </w:p>
        </w:tc>
      </w:tr>
    </w:tbl>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These pro forma results were based on estimates and assumptions, which we believe are reasonable. They are not the results that would have been realized had we been a combined company during the periods presented and are not necessarily indicative of our consolidated results of operations in future periods. The pro forma results include adjustments related to purchase accounting, primarily amortization of intangible assets. Acquisition costs and other nonrecurring charges were immaterial and are included in the earliest period presented.</w:t>
      </w:r>
    </w:p>
    <w:p>
      <w:pPr>
        <w:spacing w:after="0" w:line="203" w:lineRule="exact"/>
        <w:rPr>
          <w:sz w:val="20"/>
          <w:szCs w:val="20"/>
          <w:color w:val="auto"/>
        </w:rPr>
      </w:pPr>
    </w:p>
    <w:p>
      <w:pPr>
        <w:ind w:left="4680"/>
        <w:spacing w:after="0"/>
        <w:rPr>
          <w:sz w:val="20"/>
          <w:szCs w:val="20"/>
          <w:color w:val="auto"/>
        </w:rPr>
      </w:pPr>
      <w:r>
        <w:rPr>
          <w:rFonts w:ascii="Arial" w:cs="Arial" w:eastAsia="Arial" w:hAnsi="Arial"/>
          <w:sz w:val="18"/>
          <w:szCs w:val="18"/>
          <w:u w:val="single" w:color="auto"/>
          <w:color w:val="auto"/>
        </w:rPr>
        <w:t>NOTE 8 — GOODWILL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Acquisitions</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Other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86"/>
        </w:trPr>
        <w:tc>
          <w:tcPr>
            <w:tcW w:w="55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55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5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E5E5E5"/>
          </w:tcPr>
          <w:p>
            <w:pPr>
              <w:ind w:left="20"/>
              <w:spacing w:after="0"/>
              <w:rPr>
                <w:sz w:val="20"/>
                <w:szCs w:val="20"/>
                <w:color w:val="auto"/>
              </w:rPr>
            </w:pPr>
            <w:r>
              <w:rPr>
                <w:rFonts w:ascii="Arial" w:cs="Arial" w:eastAsia="Arial" w:hAnsi="Arial"/>
                <w:sz w:val="18"/>
                <w:szCs w:val="18"/>
                <w:color w:val="auto"/>
              </w:rPr>
              <w:t>Productivity and Business Processes</w:t>
            </w: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31,361</w:t>
            </w:r>
          </w:p>
        </w:tc>
        <w:tc>
          <w:tcPr>
            <w:tcW w:w="5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720" w:type="dxa"/>
            <w:vAlign w:val="bottom"/>
            <w:gridSpan w:val="2"/>
            <w:shd w:val="clear" w:color="auto" w:fill="E5E5E5"/>
          </w:tcPr>
          <w:p>
            <w:pPr>
              <w:jc w:val="right"/>
              <w:ind w:right="36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44</w:t>
            </w:r>
          </w:p>
        </w:tc>
        <w:tc>
          <w:tcPr>
            <w:tcW w:w="42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31,405</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Intelligent Cloud</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25,648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25,670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E5E5E5"/>
          </w:tcPr>
          <w:p>
            <w:pPr>
              <w:ind w:left="20"/>
              <w:spacing w:after="0"/>
              <w:rPr>
                <w:sz w:val="20"/>
                <w:szCs w:val="20"/>
                <w:color w:val="auto"/>
              </w:rPr>
            </w:pPr>
            <w:r>
              <w:rPr>
                <w:rFonts w:ascii="Arial" w:cs="Arial" w:eastAsia="Arial" w:hAnsi="Arial"/>
                <w:sz w:val="18"/>
                <w:szCs w:val="18"/>
                <w:color w:val="auto"/>
              </w:rPr>
              <w:t>More Personal Computing</w:t>
            </w: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62,211</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9"/>
                <w:szCs w:val="19"/>
                <w:color w:val="auto"/>
              </w:rPr>
            </w:pPr>
          </w:p>
        </w:tc>
        <w:tc>
          <w:tcPr>
            <w:tcW w:w="480" w:type="dxa"/>
            <w:vAlign w:val="bottom"/>
            <w:shd w:val="clear" w:color="auto" w:fill="E5E5E5"/>
          </w:tcPr>
          <w:p>
            <w:pPr>
              <w:spacing w:after="0"/>
              <w:rPr>
                <w:sz w:val="19"/>
                <w:szCs w:val="19"/>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88</w:t>
            </w:r>
          </w:p>
        </w:tc>
        <w:tc>
          <w:tcPr>
            <w:tcW w:w="2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62,299</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55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5500" w:type="dxa"/>
            <w:vAlign w:val="bottom"/>
          </w:tcPr>
          <w:p>
            <w:pPr>
              <w:ind w:left="24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119,220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119,374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550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have recast certain prior period amounts to conform to the way we internally manage and monitor our business. Refer to Note 1 – Accounting Policies for further information.</w:t>
      </w:r>
    </w:p>
    <w:p>
      <w:pPr>
        <w:sectPr>
          <w:pgSz w:w="11900" w:h="16838" w:orient="portrait"/>
          <w:cols w:equalWidth="0" w:num="1">
            <w:col w:w="11240"/>
          </w:cols>
          <w:pgMar w:left="320" w:top="774" w:right="3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type w:val="continuous"/>
        </w:sectPr>
      </w:pPr>
    </w:p>
    <w:bookmarkStart w:id="19" w:name="page20"/>
    <w:bookmarkEnd w:id="19"/>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1"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The measurement periods for the valuation of assets acquired and liabilities assumed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Any change in the goodwill amounts resulting from foreign currency translations and purchase accounting adjustments are presented as “Other” in the table above. Also included in “Other” are business dispositions and transfers between segments due to reorganizations, as applicable.</w:t>
      </w:r>
    </w:p>
    <w:p>
      <w:pPr>
        <w:spacing w:after="0" w:line="11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discussed in Note 1 – Accounting Policies, during the first quarter of fiscal year 2025 we made changes to our segments. These segment changes also resulted in changes to our reporting units. We reallocated goodwill across impacted reporting units using a relative fair value approach. In addition, we completed an assessment of any potential goodwill impairment for all reporting units immediately prior to the reallocation and determined that no impairment existed.</w:t>
      </w:r>
    </w:p>
    <w:p>
      <w:pPr>
        <w:spacing w:after="0" w:line="203"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NOTE 9 — INTANGIBLE ASSETS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all of which are finite-lived,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Net</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Gross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Accumulated</w:t>
            </w:r>
          </w:p>
        </w:tc>
        <w:tc>
          <w:tcPr>
            <w:tcW w:w="36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48"/>
        </w:trPr>
        <w:tc>
          <w:tcPr>
            <w:tcW w:w="26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4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Carrying</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Carrying</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Carrying</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3"/>
                <w:szCs w:val="13"/>
                <w:b w:val="1"/>
                <w:bCs w:val="1"/>
                <w:color w:val="auto"/>
              </w:rPr>
              <w:t>Carrying</w:t>
            </w:r>
          </w:p>
        </w:tc>
        <w:tc>
          <w:tcPr>
            <w:tcW w:w="0" w:type="dxa"/>
            <w:vAlign w:val="bottom"/>
          </w:tcPr>
          <w:p>
            <w:pPr>
              <w:spacing w:after="0"/>
              <w:rPr>
                <w:sz w:val="1"/>
                <w:szCs w:val="1"/>
                <w:color w:val="auto"/>
              </w:rPr>
            </w:pPr>
          </w:p>
        </w:tc>
      </w:tr>
      <w:tr>
        <w:trPr>
          <w:trHeight w:val="186"/>
        </w:trPr>
        <w:tc>
          <w:tcPr>
            <w:tcW w:w="26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Amortization</w:t>
            </w:r>
          </w:p>
        </w:tc>
        <w:tc>
          <w:tcPr>
            <w:tcW w:w="36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58"/>
        </w:trPr>
        <w:tc>
          <w:tcPr>
            <w:tcW w:w="26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6"/>
        </w:trPr>
        <w:tc>
          <w:tcPr>
            <w:tcW w:w="2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E5E5E5"/>
          </w:tcPr>
          <w:p>
            <w:pPr>
              <w:ind w:left="20"/>
              <w:spacing w:after="0"/>
              <w:rPr>
                <w:sz w:val="20"/>
                <w:szCs w:val="20"/>
                <w:color w:val="auto"/>
              </w:rPr>
            </w:pPr>
            <w:r>
              <w:rPr>
                <w:rFonts w:ascii="Arial" w:cs="Arial" w:eastAsia="Arial" w:hAnsi="Arial"/>
                <w:sz w:val="18"/>
                <w:szCs w:val="18"/>
                <w:color w:val="auto"/>
              </w:rPr>
              <w:t>Marketing-related</w:t>
            </w:r>
          </w:p>
        </w:tc>
        <w:tc>
          <w:tcPr>
            <w:tcW w:w="400" w:type="dxa"/>
            <w:vAlign w:val="bottom"/>
            <w:shd w:val="clear" w:color="auto" w:fill="E5E5E5"/>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16,490</w:t>
            </w:r>
          </w:p>
        </w:tc>
        <w:tc>
          <w:tcPr>
            <w:tcW w:w="5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(3,296 )</w:t>
            </w:r>
          </w:p>
        </w:tc>
        <w:tc>
          <w:tcPr>
            <w:tcW w:w="200" w:type="dxa"/>
            <w:vAlign w:val="bottom"/>
            <w:shd w:val="clear" w:color="auto" w:fill="E5E5E5"/>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13,194</w:t>
            </w:r>
          </w:p>
        </w:tc>
        <w:tc>
          <w:tcPr>
            <w:tcW w:w="600" w:type="dxa"/>
            <w:vAlign w:val="bottom"/>
            <w:gridSpan w:val="2"/>
            <w:shd w:val="clear" w:color="auto" w:fill="E5E5E5"/>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16,500</w:t>
            </w:r>
          </w:p>
        </w:tc>
        <w:tc>
          <w:tcPr>
            <w:tcW w:w="4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(3,101 )</w:t>
            </w:r>
          </w:p>
        </w:tc>
        <w:tc>
          <w:tcPr>
            <w:tcW w:w="360" w:type="dxa"/>
            <w:vAlign w:val="bottom"/>
            <w:shd w:val="clear" w:color="auto" w:fill="E5E5E5"/>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13,399</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Technology-based</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22,426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(11,709 )</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10,717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21,913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(10,741 )</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E5E5E5"/>
          </w:tcPr>
          <w:p>
            <w:pPr>
              <w:ind w:left="20"/>
              <w:spacing w:after="0"/>
              <w:rPr>
                <w:sz w:val="20"/>
                <w:szCs w:val="20"/>
                <w:color w:val="auto"/>
              </w:rPr>
            </w:pPr>
            <w:r>
              <w:rPr>
                <w:rFonts w:ascii="Arial" w:cs="Arial" w:eastAsia="Arial" w:hAnsi="Arial"/>
                <w:sz w:val="18"/>
                <w:szCs w:val="18"/>
                <w:color w:val="auto"/>
              </w:rPr>
              <w:t>Customer-related</w:t>
            </w:r>
          </w:p>
        </w:tc>
        <w:tc>
          <w:tcPr>
            <w:tcW w:w="40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6,039</w:t>
            </w:r>
          </w:p>
        </w:tc>
        <w:tc>
          <w:tcPr>
            <w:tcW w:w="24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124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(3,261 )</w:t>
            </w:r>
          </w:p>
        </w:tc>
        <w:tc>
          <w:tcPr>
            <w:tcW w:w="20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2,778</w:t>
            </w:r>
          </w:p>
        </w:tc>
        <w:tc>
          <w:tcPr>
            <w:tcW w:w="220" w:type="dxa"/>
            <w:vAlign w:val="bottom"/>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6,038</w:t>
            </w:r>
          </w:p>
        </w:tc>
        <w:tc>
          <w:tcPr>
            <w:tcW w:w="22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12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(3,051 )</w:t>
            </w:r>
          </w:p>
        </w:tc>
        <w:tc>
          <w:tcPr>
            <w:tcW w:w="36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2,987</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620" w:type="dxa"/>
            <w:vAlign w:val="bottom"/>
          </w:tcPr>
          <w:p>
            <w:pPr>
              <w:ind w:left="20"/>
              <w:spacing w:after="0"/>
              <w:rPr>
                <w:sz w:val="20"/>
                <w:szCs w:val="20"/>
                <w:color w:val="auto"/>
              </w:rPr>
            </w:pPr>
            <w:r>
              <w:rPr>
                <w:rFonts w:ascii="Arial" w:cs="Arial" w:eastAsia="Arial" w:hAnsi="Arial"/>
                <w:sz w:val="18"/>
                <w:szCs w:val="18"/>
                <w:color w:val="auto"/>
              </w:rPr>
              <w:t>Contract-based</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(19 )</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(19 )</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26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E5E5E5"/>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45,036</w:t>
            </w:r>
          </w:p>
        </w:tc>
        <w:tc>
          <w:tcPr>
            <w:tcW w:w="5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(18,285 )</w:t>
            </w:r>
          </w:p>
        </w:tc>
        <w:tc>
          <w:tcPr>
            <w:tcW w:w="200" w:type="dxa"/>
            <w:vAlign w:val="bottom"/>
            <w:shd w:val="clear" w:color="auto" w:fill="E5E5E5"/>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26,751</w:t>
            </w:r>
          </w:p>
        </w:tc>
        <w:tc>
          <w:tcPr>
            <w:tcW w:w="600" w:type="dxa"/>
            <w:vAlign w:val="bottom"/>
            <w:gridSpan w:val="2"/>
            <w:shd w:val="clear" w:color="auto" w:fill="E5E5E5"/>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44,509</w:t>
            </w:r>
          </w:p>
        </w:tc>
        <w:tc>
          <w:tcPr>
            <w:tcW w:w="4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(16,912 )</w:t>
            </w:r>
          </w:p>
        </w:tc>
        <w:tc>
          <w:tcPr>
            <w:tcW w:w="360" w:type="dxa"/>
            <w:vAlign w:val="bottom"/>
            <w:shd w:val="clear" w:color="auto" w:fill="E5E5E5"/>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27,597</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26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Intangible assets amortization expense was $1.4 billion and $636 million for the three months ended September 30, 2024 and 2023,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estimated future amortization expense related to intangible assets held as of September 30, 2024:</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0637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00" w:type="dxa"/>
            <w:vAlign w:val="bottom"/>
          </w:tcPr>
          <w:p>
            <w:pPr>
              <w:ind w:left="20"/>
              <w:spacing w:after="0"/>
              <w:rPr>
                <w:sz w:val="20"/>
                <w:szCs w:val="20"/>
                <w:color w:val="auto"/>
              </w:rPr>
            </w:pPr>
            <w:r>
              <w:rPr>
                <w:rFonts w:ascii="Arial" w:cs="Arial" w:eastAsia="Arial" w:hAnsi="Arial"/>
                <w:sz w:val="13"/>
                <w:szCs w:val="13"/>
                <w:b w:val="1"/>
                <w:bCs w:val="1"/>
                <w:color w:val="auto"/>
              </w:rPr>
              <w:t>Year Ending June 30,</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58"/>
        </w:trPr>
        <w:tc>
          <w:tcPr>
            <w:tcW w:w="9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990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2025 (excluding the three months ended September 30, 2024)</w:t>
            </w:r>
          </w:p>
        </w:tc>
        <w:tc>
          <w:tcPr>
            <w:tcW w:w="400" w:type="dxa"/>
            <w:vAlign w:val="bottom"/>
            <w:shd w:val="clear" w:color="auto" w:fill="E5E5E5"/>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4,563</w:t>
            </w:r>
          </w:p>
        </w:tc>
        <w:tc>
          <w:tcPr>
            <w:tcW w:w="100" w:type="dxa"/>
            <w:vAlign w:val="bottom"/>
            <w:shd w:val="clear" w:color="auto" w:fill="E5E5E5"/>
          </w:tcPr>
          <w:p>
            <w:pPr>
              <w:spacing w:after="0"/>
              <w:rPr>
                <w:sz w:val="19"/>
                <w:szCs w:val="19"/>
                <w:color w:val="auto"/>
              </w:rPr>
            </w:pPr>
          </w:p>
        </w:tc>
      </w:tr>
      <w:tr>
        <w:trPr>
          <w:trHeight w:val="229"/>
        </w:trPr>
        <w:tc>
          <w:tcPr>
            <w:tcW w:w="9900" w:type="dxa"/>
            <w:vAlign w:val="bottom"/>
          </w:tcPr>
          <w:p>
            <w:pPr>
              <w:ind w:left="20"/>
              <w:spacing w:after="0"/>
              <w:rPr>
                <w:sz w:val="20"/>
                <w:szCs w:val="20"/>
                <w:color w:val="auto"/>
              </w:rPr>
            </w:pPr>
            <w:r>
              <w:rPr>
                <w:rFonts w:ascii="Arial" w:cs="Arial" w:eastAsia="Arial" w:hAnsi="Arial"/>
                <w:sz w:val="18"/>
                <w:szCs w:val="18"/>
                <w:color w:val="auto"/>
              </w:rPr>
              <w:t>2026</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4,538</w:t>
            </w:r>
          </w:p>
        </w:tc>
        <w:tc>
          <w:tcPr>
            <w:tcW w:w="100" w:type="dxa"/>
            <w:vAlign w:val="bottom"/>
          </w:tcPr>
          <w:p>
            <w:pPr>
              <w:spacing w:after="0"/>
              <w:rPr>
                <w:sz w:val="19"/>
                <w:szCs w:val="19"/>
                <w:color w:val="auto"/>
              </w:rPr>
            </w:pPr>
          </w:p>
        </w:tc>
      </w:tr>
      <w:tr>
        <w:trPr>
          <w:trHeight w:val="229"/>
        </w:trPr>
        <w:tc>
          <w:tcPr>
            <w:tcW w:w="990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2027</w:t>
            </w:r>
          </w:p>
        </w:tc>
        <w:tc>
          <w:tcPr>
            <w:tcW w:w="40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2,847</w:t>
            </w:r>
          </w:p>
        </w:tc>
        <w:tc>
          <w:tcPr>
            <w:tcW w:w="100" w:type="dxa"/>
            <w:vAlign w:val="bottom"/>
            <w:shd w:val="clear" w:color="auto" w:fill="E5E5E5"/>
          </w:tcPr>
          <w:p>
            <w:pPr>
              <w:spacing w:after="0"/>
              <w:rPr>
                <w:sz w:val="19"/>
                <w:szCs w:val="19"/>
                <w:color w:val="auto"/>
              </w:rPr>
            </w:pPr>
          </w:p>
        </w:tc>
      </w:tr>
      <w:tr>
        <w:trPr>
          <w:trHeight w:val="229"/>
        </w:trPr>
        <w:tc>
          <w:tcPr>
            <w:tcW w:w="9900" w:type="dxa"/>
            <w:vAlign w:val="bottom"/>
          </w:tcPr>
          <w:p>
            <w:pPr>
              <w:ind w:left="20"/>
              <w:spacing w:after="0"/>
              <w:rPr>
                <w:sz w:val="20"/>
                <w:szCs w:val="20"/>
                <w:color w:val="auto"/>
              </w:rPr>
            </w:pPr>
            <w:r>
              <w:rPr>
                <w:rFonts w:ascii="Arial" w:cs="Arial" w:eastAsia="Arial" w:hAnsi="Arial"/>
                <w:sz w:val="18"/>
                <w:szCs w:val="18"/>
                <w:color w:val="auto"/>
              </w:rPr>
              <w:t>2028</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1,961</w:t>
            </w:r>
          </w:p>
        </w:tc>
        <w:tc>
          <w:tcPr>
            <w:tcW w:w="100" w:type="dxa"/>
            <w:vAlign w:val="bottom"/>
          </w:tcPr>
          <w:p>
            <w:pPr>
              <w:spacing w:after="0"/>
              <w:rPr>
                <w:sz w:val="19"/>
                <w:szCs w:val="19"/>
                <w:color w:val="auto"/>
              </w:rPr>
            </w:pPr>
          </w:p>
        </w:tc>
      </w:tr>
      <w:tr>
        <w:trPr>
          <w:trHeight w:val="229"/>
        </w:trPr>
        <w:tc>
          <w:tcPr>
            <w:tcW w:w="990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2029</w:t>
            </w:r>
          </w:p>
        </w:tc>
        <w:tc>
          <w:tcPr>
            <w:tcW w:w="40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1,780</w:t>
            </w:r>
          </w:p>
        </w:tc>
        <w:tc>
          <w:tcPr>
            <w:tcW w:w="100" w:type="dxa"/>
            <w:vAlign w:val="bottom"/>
            <w:shd w:val="clear" w:color="auto" w:fill="E5E5E5"/>
          </w:tcPr>
          <w:p>
            <w:pPr>
              <w:spacing w:after="0"/>
              <w:rPr>
                <w:sz w:val="19"/>
                <w:szCs w:val="19"/>
                <w:color w:val="auto"/>
              </w:rPr>
            </w:pPr>
          </w:p>
        </w:tc>
      </w:tr>
      <w:tr>
        <w:trPr>
          <w:trHeight w:val="247"/>
        </w:trPr>
        <w:tc>
          <w:tcPr>
            <w:tcW w:w="99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11,062</w:t>
            </w:r>
          </w:p>
        </w:tc>
        <w:tc>
          <w:tcPr>
            <w:tcW w:w="100" w:type="dxa"/>
            <w:vAlign w:val="bottom"/>
          </w:tcPr>
          <w:p>
            <w:pPr>
              <w:spacing w:after="0"/>
              <w:rPr>
                <w:sz w:val="21"/>
                <w:szCs w:val="21"/>
                <w:color w:val="auto"/>
              </w:rPr>
            </w:pPr>
          </w:p>
        </w:tc>
      </w:tr>
      <w:tr>
        <w:trPr>
          <w:trHeight w:val="50"/>
        </w:trPr>
        <w:tc>
          <w:tcPr>
            <w:tcW w:w="99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9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99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E5E5E5"/>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26,751</w:t>
            </w:r>
          </w:p>
        </w:tc>
        <w:tc>
          <w:tcPr>
            <w:tcW w:w="100" w:type="dxa"/>
            <w:vAlign w:val="bottom"/>
            <w:shd w:val="clear" w:color="auto" w:fill="E5E5E5"/>
          </w:tcPr>
          <w:p>
            <w:pPr>
              <w:spacing w:after="0"/>
              <w:rPr>
                <w:sz w:val="19"/>
                <w:szCs w:val="19"/>
                <w:color w:val="auto"/>
              </w:rPr>
            </w:pPr>
          </w:p>
        </w:tc>
      </w:tr>
      <w:tr>
        <w:trPr>
          <w:trHeight w:val="74"/>
        </w:trPr>
        <w:tc>
          <w:tcPr>
            <w:tcW w:w="990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NOTE 10 — DEBT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September 30, 2024, we had no commercial paper issued or outstanding. As of June 30, 2024, we had $6.7 billion of commercial paper issued and outstanding, with a weighted average interest rate of 5.4% and maturities ranging from 28 days to 152 days. The estimated fair value of this commercial paper approximates its carrying value.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0" w:name="page21"/>
    <w:bookmarkEnd w:id="20"/>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long-term debt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 issuance by calendar year)</w:t>
            </w:r>
          </w:p>
        </w:tc>
        <w:tc>
          <w:tcPr>
            <w:tcW w:w="1820" w:type="dxa"/>
            <w:vAlign w:val="bottom"/>
          </w:tcPr>
          <w:p>
            <w:pPr>
              <w:jc w:val="right"/>
              <w:ind w:right="533"/>
              <w:spacing w:after="0"/>
              <w:rPr>
                <w:sz w:val="20"/>
                <w:szCs w:val="20"/>
                <w:color w:val="auto"/>
              </w:rPr>
            </w:pPr>
            <w:r>
              <w:rPr>
                <w:rFonts w:ascii="Arial" w:cs="Arial" w:eastAsia="Arial" w:hAnsi="Arial"/>
                <w:sz w:val="13"/>
                <w:szCs w:val="13"/>
                <w:b w:val="1"/>
                <w:bCs w:val="1"/>
                <w:color w:val="auto"/>
              </w:rPr>
              <w:t>Maturities</w:t>
            </w:r>
          </w:p>
        </w:tc>
        <w:tc>
          <w:tcPr>
            <w:tcW w:w="1900" w:type="dxa"/>
            <w:vAlign w:val="bottom"/>
          </w:tcPr>
          <w:p>
            <w:pPr>
              <w:jc w:val="right"/>
              <w:ind w:right="433"/>
              <w:spacing w:after="0"/>
              <w:rPr>
                <w:sz w:val="20"/>
                <w:szCs w:val="20"/>
                <w:color w:val="auto"/>
              </w:rPr>
            </w:pPr>
            <w:r>
              <w:rPr>
                <w:rFonts w:ascii="Arial" w:cs="Arial" w:eastAsia="Arial" w:hAnsi="Arial"/>
                <w:sz w:val="13"/>
                <w:szCs w:val="13"/>
                <w:b w:val="1"/>
                <w:bCs w:val="1"/>
                <w:color w:val="auto"/>
              </w:rPr>
              <w:t>Stated Interest</w:t>
            </w:r>
          </w:p>
        </w:tc>
        <w:tc>
          <w:tcPr>
            <w:tcW w:w="1720" w:type="dxa"/>
            <w:vAlign w:val="bottom"/>
          </w:tcPr>
          <w:p>
            <w:pPr>
              <w:jc w:val="right"/>
              <w:ind w:right="173"/>
              <w:spacing w:after="0"/>
              <w:rPr>
                <w:sz w:val="20"/>
                <w:szCs w:val="20"/>
                <w:color w:val="auto"/>
              </w:rPr>
            </w:pPr>
            <w:r>
              <w:rPr>
                <w:rFonts w:ascii="Arial" w:cs="Arial" w:eastAsia="Arial" w:hAnsi="Arial"/>
                <w:sz w:val="13"/>
                <w:szCs w:val="13"/>
                <w:b w:val="1"/>
                <w:bCs w:val="1"/>
                <w:color w:val="auto"/>
              </w:rPr>
              <w:t>Effective Interest</w:t>
            </w:r>
          </w:p>
        </w:tc>
        <w:tc>
          <w:tcPr>
            <w:tcW w:w="3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6"/>
        </w:trPr>
        <w:tc>
          <w:tcPr>
            <w:tcW w:w="3260" w:type="dxa"/>
            <w:vAlign w:val="bottom"/>
            <w:vMerge w:val="continue"/>
          </w:tcPr>
          <w:p>
            <w:pPr>
              <w:spacing w:after="0"/>
              <w:rPr>
                <w:sz w:val="16"/>
                <w:szCs w:val="16"/>
                <w:color w:val="auto"/>
              </w:rPr>
            </w:pPr>
          </w:p>
        </w:tc>
        <w:tc>
          <w:tcPr>
            <w:tcW w:w="1820" w:type="dxa"/>
            <w:vAlign w:val="bottom"/>
          </w:tcPr>
          <w:p>
            <w:pPr>
              <w:jc w:val="right"/>
              <w:ind w:right="373"/>
              <w:spacing w:after="0"/>
              <w:rPr>
                <w:sz w:val="20"/>
                <w:szCs w:val="20"/>
                <w:color w:val="auto"/>
              </w:rPr>
            </w:pPr>
            <w:r>
              <w:rPr>
                <w:rFonts w:ascii="Arial" w:cs="Arial" w:eastAsia="Arial" w:hAnsi="Arial"/>
                <w:sz w:val="13"/>
                <w:szCs w:val="13"/>
                <w:b w:val="1"/>
                <w:bCs w:val="1"/>
                <w:color w:val="auto"/>
              </w:rPr>
              <w:t>(calendar year)</w:t>
            </w:r>
          </w:p>
        </w:tc>
        <w:tc>
          <w:tcPr>
            <w:tcW w:w="1900" w:type="dxa"/>
            <w:vAlign w:val="bottom"/>
          </w:tcPr>
          <w:p>
            <w:pPr>
              <w:jc w:val="right"/>
              <w:ind w:right="753"/>
              <w:spacing w:after="0"/>
              <w:rPr>
                <w:sz w:val="20"/>
                <w:szCs w:val="20"/>
                <w:color w:val="auto"/>
              </w:rPr>
            </w:pPr>
            <w:r>
              <w:rPr>
                <w:rFonts w:ascii="Arial" w:cs="Arial" w:eastAsia="Arial" w:hAnsi="Arial"/>
                <w:sz w:val="13"/>
                <w:szCs w:val="13"/>
                <w:b w:val="1"/>
                <w:bCs w:val="1"/>
                <w:color w:val="auto"/>
              </w:rPr>
              <w:t>Rate</w:t>
            </w:r>
          </w:p>
        </w:tc>
        <w:tc>
          <w:tcPr>
            <w:tcW w:w="1720" w:type="dxa"/>
            <w:vAlign w:val="bottom"/>
          </w:tcPr>
          <w:p>
            <w:pPr>
              <w:jc w:val="right"/>
              <w:ind w:right="573"/>
              <w:spacing w:after="0"/>
              <w:rPr>
                <w:sz w:val="20"/>
                <w:szCs w:val="20"/>
                <w:color w:val="auto"/>
              </w:rPr>
            </w:pPr>
            <w:r>
              <w:rPr>
                <w:rFonts w:ascii="Arial" w:cs="Arial" w:eastAsia="Arial" w:hAnsi="Arial"/>
                <w:sz w:val="13"/>
                <w:szCs w:val="13"/>
                <w:b w:val="1"/>
                <w:bCs w:val="1"/>
                <w:color w:val="auto"/>
              </w:rPr>
              <w:t>Rate</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326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32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2009 issuance of $3.8 billion</w:t>
            </w:r>
          </w:p>
        </w:tc>
        <w:tc>
          <w:tcPr>
            <w:tcW w:w="1820" w:type="dxa"/>
            <w:vAlign w:val="bottom"/>
            <w:shd w:val="clear" w:color="auto" w:fill="E5E5E5"/>
          </w:tcPr>
          <w:p>
            <w:pPr>
              <w:jc w:val="right"/>
              <w:ind w:right="333"/>
              <w:spacing w:after="0"/>
              <w:rPr>
                <w:sz w:val="20"/>
                <w:szCs w:val="20"/>
                <w:color w:val="auto"/>
              </w:rPr>
            </w:pPr>
            <w:r>
              <w:rPr>
                <w:rFonts w:ascii="Arial" w:cs="Arial" w:eastAsia="Arial" w:hAnsi="Arial"/>
                <w:sz w:val="18"/>
                <w:szCs w:val="18"/>
                <w:b w:val="1"/>
                <w:bCs w:val="1"/>
                <w:color w:val="auto"/>
              </w:rPr>
              <w:t>2039</w:t>
            </w:r>
          </w:p>
        </w:tc>
        <w:tc>
          <w:tcPr>
            <w:tcW w:w="1900" w:type="dxa"/>
            <w:vAlign w:val="bottom"/>
            <w:shd w:val="clear" w:color="auto" w:fill="E5E5E5"/>
          </w:tcPr>
          <w:p>
            <w:pPr>
              <w:jc w:val="right"/>
              <w:ind w:right="253"/>
              <w:spacing w:after="0"/>
              <w:rPr>
                <w:sz w:val="20"/>
                <w:szCs w:val="20"/>
                <w:color w:val="auto"/>
              </w:rPr>
            </w:pPr>
            <w:r>
              <w:rPr>
                <w:rFonts w:ascii="Arial" w:cs="Arial" w:eastAsia="Arial" w:hAnsi="Arial"/>
                <w:sz w:val="18"/>
                <w:szCs w:val="18"/>
                <w:b w:val="1"/>
                <w:bCs w:val="1"/>
                <w:color w:val="auto"/>
              </w:rPr>
              <w:t>5.20%</w:t>
            </w:r>
          </w:p>
        </w:tc>
        <w:tc>
          <w:tcPr>
            <w:tcW w:w="172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5.24%</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520</w:t>
            </w:r>
          </w:p>
        </w:tc>
        <w:tc>
          <w:tcPr>
            <w:tcW w:w="220" w:type="dxa"/>
            <w:vAlign w:val="bottom"/>
            <w:shd w:val="clear" w:color="auto" w:fill="E5E5E5"/>
          </w:tcPr>
          <w:p>
            <w:pPr>
              <w:spacing w:after="0"/>
              <w:rPr>
                <w:sz w:val="19"/>
                <w:szCs w:val="19"/>
                <w:color w:val="auto"/>
              </w:rPr>
            </w:pPr>
          </w:p>
        </w:tc>
        <w:tc>
          <w:tcPr>
            <w:tcW w:w="2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2010 issuance of $4.8 billion</w:t>
            </w:r>
          </w:p>
        </w:tc>
        <w:tc>
          <w:tcPr>
            <w:tcW w:w="1820" w:type="dxa"/>
            <w:vAlign w:val="bottom"/>
          </w:tcPr>
          <w:p>
            <w:pPr>
              <w:jc w:val="right"/>
              <w:ind w:right="333"/>
              <w:spacing w:after="0"/>
              <w:rPr>
                <w:sz w:val="20"/>
                <w:szCs w:val="20"/>
                <w:color w:val="auto"/>
              </w:rPr>
            </w:pPr>
            <w:r>
              <w:rPr>
                <w:rFonts w:ascii="Arial" w:cs="Arial" w:eastAsia="Arial" w:hAnsi="Arial"/>
                <w:sz w:val="18"/>
                <w:szCs w:val="18"/>
                <w:b w:val="1"/>
                <w:bCs w:val="1"/>
                <w:color w:val="auto"/>
              </w:rPr>
              <w:t>2040</w:t>
            </w:r>
          </w:p>
        </w:tc>
        <w:tc>
          <w:tcPr>
            <w:tcW w:w="1900" w:type="dxa"/>
            <w:vAlign w:val="bottom"/>
          </w:tcPr>
          <w:p>
            <w:pPr>
              <w:jc w:val="right"/>
              <w:ind w:right="253"/>
              <w:spacing w:after="0"/>
              <w:rPr>
                <w:sz w:val="20"/>
                <w:szCs w:val="20"/>
                <w:color w:val="auto"/>
              </w:rPr>
            </w:pPr>
            <w:r>
              <w:rPr>
                <w:rFonts w:ascii="Arial" w:cs="Arial" w:eastAsia="Arial" w:hAnsi="Arial"/>
                <w:sz w:val="18"/>
                <w:szCs w:val="18"/>
                <w:b w:val="1"/>
                <w:bCs w:val="1"/>
                <w:color w:val="auto"/>
              </w:rPr>
              <w:t>4.50%</w:t>
            </w:r>
          </w:p>
        </w:tc>
        <w:tc>
          <w:tcPr>
            <w:tcW w:w="1720" w:type="dxa"/>
            <w:vAlign w:val="bottom"/>
          </w:tcPr>
          <w:p>
            <w:pPr>
              <w:jc w:val="right"/>
              <w:ind w:right="133"/>
              <w:spacing w:after="0"/>
              <w:rPr>
                <w:sz w:val="20"/>
                <w:szCs w:val="20"/>
                <w:color w:val="auto"/>
              </w:rPr>
            </w:pPr>
            <w:r>
              <w:rPr>
                <w:rFonts w:ascii="Arial" w:cs="Arial" w:eastAsia="Arial" w:hAnsi="Arial"/>
                <w:sz w:val="18"/>
                <w:szCs w:val="18"/>
                <w:b w:val="1"/>
                <w:bCs w:val="1"/>
                <w:color w:val="auto"/>
              </w:rPr>
              <w:t>4.57%</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486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2011 issuance of $2.3 billion</w:t>
            </w:r>
          </w:p>
        </w:tc>
        <w:tc>
          <w:tcPr>
            <w:tcW w:w="1820" w:type="dxa"/>
            <w:vAlign w:val="bottom"/>
            <w:shd w:val="clear" w:color="auto" w:fill="E5E5E5"/>
          </w:tcPr>
          <w:p>
            <w:pPr>
              <w:jc w:val="right"/>
              <w:ind w:right="333"/>
              <w:spacing w:after="0"/>
              <w:rPr>
                <w:sz w:val="20"/>
                <w:szCs w:val="20"/>
                <w:color w:val="auto"/>
              </w:rPr>
            </w:pPr>
            <w:r>
              <w:rPr>
                <w:rFonts w:ascii="Arial" w:cs="Arial" w:eastAsia="Arial" w:hAnsi="Arial"/>
                <w:sz w:val="18"/>
                <w:szCs w:val="18"/>
                <w:b w:val="1"/>
                <w:bCs w:val="1"/>
                <w:color w:val="auto"/>
              </w:rPr>
              <w:t>2041</w:t>
            </w:r>
          </w:p>
        </w:tc>
        <w:tc>
          <w:tcPr>
            <w:tcW w:w="1900" w:type="dxa"/>
            <w:vAlign w:val="bottom"/>
            <w:shd w:val="clear" w:color="auto" w:fill="E5E5E5"/>
          </w:tcPr>
          <w:p>
            <w:pPr>
              <w:jc w:val="right"/>
              <w:ind w:right="253"/>
              <w:spacing w:after="0"/>
              <w:rPr>
                <w:sz w:val="20"/>
                <w:szCs w:val="20"/>
                <w:color w:val="auto"/>
              </w:rPr>
            </w:pPr>
            <w:r>
              <w:rPr>
                <w:rFonts w:ascii="Arial" w:cs="Arial" w:eastAsia="Arial" w:hAnsi="Arial"/>
                <w:sz w:val="18"/>
                <w:szCs w:val="18"/>
                <w:b w:val="1"/>
                <w:bCs w:val="1"/>
                <w:color w:val="auto"/>
              </w:rPr>
              <w:t>5.30%</w:t>
            </w:r>
          </w:p>
        </w:tc>
        <w:tc>
          <w:tcPr>
            <w:tcW w:w="172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5.36%</w:t>
            </w:r>
          </w:p>
        </w:tc>
        <w:tc>
          <w:tcPr>
            <w:tcW w:w="340" w:type="dxa"/>
            <w:vAlign w:val="bottom"/>
            <w:shd w:val="clear" w:color="auto" w:fill="E5E5E5"/>
          </w:tcPr>
          <w:p>
            <w:pPr>
              <w:spacing w:after="0"/>
              <w:rPr>
                <w:sz w:val="19"/>
                <w:szCs w:val="19"/>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718</w:t>
            </w:r>
          </w:p>
        </w:tc>
        <w:tc>
          <w:tcPr>
            <w:tcW w:w="22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2012 issuance of $2.3 billion</w:t>
            </w:r>
          </w:p>
        </w:tc>
        <w:tc>
          <w:tcPr>
            <w:tcW w:w="1820" w:type="dxa"/>
            <w:vAlign w:val="bottom"/>
          </w:tcPr>
          <w:p>
            <w:pPr>
              <w:jc w:val="right"/>
              <w:ind w:right="333"/>
              <w:spacing w:after="0"/>
              <w:rPr>
                <w:sz w:val="20"/>
                <w:szCs w:val="20"/>
                <w:color w:val="auto"/>
              </w:rPr>
            </w:pPr>
            <w:r>
              <w:rPr>
                <w:rFonts w:ascii="Arial" w:cs="Arial" w:eastAsia="Arial" w:hAnsi="Arial"/>
                <w:sz w:val="18"/>
                <w:szCs w:val="18"/>
                <w:b w:val="1"/>
                <w:bCs w:val="1"/>
                <w:color w:val="auto"/>
              </w:rPr>
              <w:t>2042</w:t>
            </w:r>
          </w:p>
        </w:tc>
        <w:tc>
          <w:tcPr>
            <w:tcW w:w="1900" w:type="dxa"/>
            <w:vAlign w:val="bottom"/>
          </w:tcPr>
          <w:p>
            <w:pPr>
              <w:jc w:val="right"/>
              <w:ind w:right="253"/>
              <w:spacing w:after="0"/>
              <w:rPr>
                <w:sz w:val="20"/>
                <w:szCs w:val="20"/>
                <w:color w:val="auto"/>
              </w:rPr>
            </w:pPr>
            <w:r>
              <w:rPr>
                <w:rFonts w:ascii="Arial" w:cs="Arial" w:eastAsia="Arial" w:hAnsi="Arial"/>
                <w:sz w:val="18"/>
                <w:szCs w:val="18"/>
                <w:b w:val="1"/>
                <w:bCs w:val="1"/>
                <w:color w:val="auto"/>
              </w:rPr>
              <w:t>3.50%</w:t>
            </w:r>
          </w:p>
        </w:tc>
        <w:tc>
          <w:tcPr>
            <w:tcW w:w="1720" w:type="dxa"/>
            <w:vAlign w:val="bottom"/>
          </w:tcPr>
          <w:p>
            <w:pPr>
              <w:jc w:val="right"/>
              <w:ind w:right="133"/>
              <w:spacing w:after="0"/>
              <w:rPr>
                <w:sz w:val="20"/>
                <w:szCs w:val="20"/>
                <w:color w:val="auto"/>
              </w:rPr>
            </w:pPr>
            <w:r>
              <w:rPr>
                <w:rFonts w:ascii="Arial" w:cs="Arial" w:eastAsia="Arial" w:hAnsi="Arial"/>
                <w:sz w:val="18"/>
                <w:szCs w:val="18"/>
                <w:b w:val="1"/>
                <w:bCs w:val="1"/>
                <w:color w:val="auto"/>
              </w:rPr>
              <w:t>3.57%</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454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2013 issuance of $5.2 billion</w:t>
            </w:r>
          </w:p>
        </w:tc>
        <w:tc>
          <w:tcPr>
            <w:tcW w:w="1820" w:type="dxa"/>
            <w:vAlign w:val="bottom"/>
            <w:shd w:val="clear" w:color="auto" w:fill="E5E5E5"/>
          </w:tcPr>
          <w:p>
            <w:pPr>
              <w:jc w:val="right"/>
              <w:ind w:right="333"/>
              <w:spacing w:after="0"/>
              <w:rPr>
                <w:sz w:val="20"/>
                <w:szCs w:val="20"/>
                <w:color w:val="auto"/>
              </w:rPr>
            </w:pPr>
            <w:r>
              <w:rPr>
                <w:rFonts w:ascii="Arial" w:cs="Arial" w:eastAsia="Arial" w:hAnsi="Arial"/>
                <w:sz w:val="18"/>
                <w:szCs w:val="18"/>
                <w:b w:val="1"/>
                <w:bCs w:val="1"/>
                <w:color w:val="auto"/>
              </w:rPr>
              <w:t>2043</w:t>
            </w:r>
          </w:p>
        </w:tc>
        <w:tc>
          <w:tcPr>
            <w:tcW w:w="1900" w:type="dxa"/>
            <w:vAlign w:val="bottom"/>
            <w:shd w:val="clear" w:color="auto" w:fill="E5E5E5"/>
          </w:tcPr>
          <w:p>
            <w:pPr>
              <w:jc w:val="right"/>
              <w:ind w:right="253"/>
              <w:spacing w:after="0"/>
              <w:rPr>
                <w:sz w:val="20"/>
                <w:szCs w:val="20"/>
                <w:color w:val="auto"/>
              </w:rPr>
            </w:pPr>
            <w:r>
              <w:rPr>
                <w:rFonts w:ascii="Arial" w:cs="Arial" w:eastAsia="Arial" w:hAnsi="Arial"/>
                <w:sz w:val="18"/>
                <w:szCs w:val="18"/>
                <w:b w:val="1"/>
                <w:bCs w:val="1"/>
                <w:color w:val="auto"/>
              </w:rPr>
              <w:t>3.75% – 4.88%</w:t>
            </w:r>
          </w:p>
        </w:tc>
        <w:tc>
          <w:tcPr>
            <w:tcW w:w="172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3.83% –4.92%</w:t>
            </w:r>
          </w:p>
        </w:tc>
        <w:tc>
          <w:tcPr>
            <w:tcW w:w="340" w:type="dxa"/>
            <w:vAlign w:val="bottom"/>
            <w:shd w:val="clear" w:color="auto" w:fill="E5E5E5"/>
          </w:tcPr>
          <w:p>
            <w:pPr>
              <w:spacing w:after="0"/>
              <w:rPr>
                <w:sz w:val="19"/>
                <w:szCs w:val="19"/>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314</w:t>
            </w:r>
          </w:p>
        </w:tc>
        <w:tc>
          <w:tcPr>
            <w:tcW w:w="22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2013 issuance of €4.1 billion</w:t>
            </w:r>
          </w:p>
        </w:tc>
        <w:tc>
          <w:tcPr>
            <w:tcW w:w="1820" w:type="dxa"/>
            <w:vAlign w:val="bottom"/>
          </w:tcPr>
          <w:p>
            <w:pPr>
              <w:jc w:val="right"/>
              <w:ind w:right="333"/>
              <w:spacing w:after="0"/>
              <w:rPr>
                <w:sz w:val="20"/>
                <w:szCs w:val="20"/>
                <w:color w:val="auto"/>
              </w:rPr>
            </w:pPr>
            <w:r>
              <w:rPr>
                <w:rFonts w:ascii="Arial" w:cs="Arial" w:eastAsia="Arial" w:hAnsi="Arial"/>
                <w:sz w:val="18"/>
                <w:szCs w:val="18"/>
                <w:b w:val="1"/>
                <w:bCs w:val="1"/>
                <w:color w:val="auto"/>
              </w:rPr>
              <w:t>2028 – 2033</w:t>
            </w:r>
          </w:p>
        </w:tc>
        <w:tc>
          <w:tcPr>
            <w:tcW w:w="1900" w:type="dxa"/>
            <w:vAlign w:val="bottom"/>
          </w:tcPr>
          <w:p>
            <w:pPr>
              <w:jc w:val="right"/>
              <w:ind w:right="253"/>
              <w:spacing w:after="0"/>
              <w:rPr>
                <w:sz w:val="20"/>
                <w:szCs w:val="20"/>
                <w:color w:val="auto"/>
              </w:rPr>
            </w:pPr>
            <w:r>
              <w:rPr>
                <w:rFonts w:ascii="Arial" w:cs="Arial" w:eastAsia="Arial" w:hAnsi="Arial"/>
                <w:sz w:val="18"/>
                <w:szCs w:val="18"/>
                <w:b w:val="1"/>
                <w:bCs w:val="1"/>
                <w:color w:val="auto"/>
              </w:rPr>
              <w:t>2.63% – 3.13%</w:t>
            </w:r>
          </w:p>
        </w:tc>
        <w:tc>
          <w:tcPr>
            <w:tcW w:w="1720" w:type="dxa"/>
            <w:vAlign w:val="bottom"/>
          </w:tcPr>
          <w:p>
            <w:pPr>
              <w:jc w:val="right"/>
              <w:ind w:right="133"/>
              <w:spacing w:after="0"/>
              <w:rPr>
                <w:sz w:val="20"/>
                <w:szCs w:val="20"/>
                <w:color w:val="auto"/>
              </w:rPr>
            </w:pPr>
            <w:r>
              <w:rPr>
                <w:rFonts w:ascii="Arial" w:cs="Arial" w:eastAsia="Arial" w:hAnsi="Arial"/>
                <w:sz w:val="18"/>
                <w:szCs w:val="18"/>
                <w:b w:val="1"/>
                <w:bCs w:val="1"/>
                <w:color w:val="auto"/>
              </w:rPr>
              <w:t>2.69% –3.22%</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2,567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2015 issuance of $23.8 billion</w:t>
            </w:r>
          </w:p>
        </w:tc>
        <w:tc>
          <w:tcPr>
            <w:tcW w:w="1820" w:type="dxa"/>
            <w:vAlign w:val="bottom"/>
            <w:shd w:val="clear" w:color="auto" w:fill="E5E5E5"/>
          </w:tcPr>
          <w:p>
            <w:pPr>
              <w:jc w:val="right"/>
              <w:ind w:right="333"/>
              <w:spacing w:after="0"/>
              <w:rPr>
                <w:sz w:val="20"/>
                <w:szCs w:val="20"/>
                <w:color w:val="auto"/>
              </w:rPr>
            </w:pPr>
            <w:r>
              <w:rPr>
                <w:rFonts w:ascii="Arial" w:cs="Arial" w:eastAsia="Arial" w:hAnsi="Arial"/>
                <w:sz w:val="18"/>
                <w:szCs w:val="18"/>
                <w:b w:val="1"/>
                <w:bCs w:val="1"/>
                <w:color w:val="auto"/>
              </w:rPr>
              <w:t>2025 – 2055</w:t>
            </w:r>
          </w:p>
        </w:tc>
        <w:tc>
          <w:tcPr>
            <w:tcW w:w="1900" w:type="dxa"/>
            <w:vAlign w:val="bottom"/>
            <w:shd w:val="clear" w:color="auto" w:fill="E5E5E5"/>
          </w:tcPr>
          <w:p>
            <w:pPr>
              <w:jc w:val="right"/>
              <w:ind w:right="253"/>
              <w:spacing w:after="0"/>
              <w:rPr>
                <w:sz w:val="20"/>
                <w:szCs w:val="20"/>
                <w:color w:val="auto"/>
              </w:rPr>
            </w:pPr>
            <w:r>
              <w:rPr>
                <w:rFonts w:ascii="Arial" w:cs="Arial" w:eastAsia="Arial" w:hAnsi="Arial"/>
                <w:sz w:val="18"/>
                <w:szCs w:val="18"/>
                <w:b w:val="1"/>
                <w:bCs w:val="1"/>
                <w:color w:val="auto"/>
              </w:rPr>
              <w:t>2.70% – 4.75%</w:t>
            </w:r>
          </w:p>
        </w:tc>
        <w:tc>
          <w:tcPr>
            <w:tcW w:w="172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2.77% –4.78%</w:t>
            </w:r>
          </w:p>
        </w:tc>
        <w:tc>
          <w:tcPr>
            <w:tcW w:w="340" w:type="dxa"/>
            <w:vAlign w:val="bottom"/>
            <w:shd w:val="clear" w:color="auto" w:fill="E5E5E5"/>
          </w:tcPr>
          <w:p>
            <w:pPr>
              <w:spacing w:after="0"/>
              <w:rPr>
                <w:sz w:val="19"/>
                <w:szCs w:val="19"/>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9,805</w:t>
            </w:r>
          </w:p>
        </w:tc>
        <w:tc>
          <w:tcPr>
            <w:tcW w:w="22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9,805</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2016 issuance of $19.8 billion</w:t>
            </w:r>
          </w:p>
        </w:tc>
        <w:tc>
          <w:tcPr>
            <w:tcW w:w="1820" w:type="dxa"/>
            <w:vAlign w:val="bottom"/>
          </w:tcPr>
          <w:p>
            <w:pPr>
              <w:jc w:val="right"/>
              <w:ind w:right="333"/>
              <w:spacing w:after="0"/>
              <w:rPr>
                <w:sz w:val="20"/>
                <w:szCs w:val="20"/>
                <w:color w:val="auto"/>
              </w:rPr>
            </w:pPr>
            <w:r>
              <w:rPr>
                <w:rFonts w:ascii="Arial" w:cs="Arial" w:eastAsia="Arial" w:hAnsi="Arial"/>
                <w:sz w:val="18"/>
                <w:szCs w:val="18"/>
                <w:b w:val="1"/>
                <w:bCs w:val="1"/>
                <w:color w:val="auto"/>
              </w:rPr>
              <w:t>2026 – 2056</w:t>
            </w:r>
          </w:p>
        </w:tc>
        <w:tc>
          <w:tcPr>
            <w:tcW w:w="1900" w:type="dxa"/>
            <w:vAlign w:val="bottom"/>
          </w:tcPr>
          <w:p>
            <w:pPr>
              <w:jc w:val="right"/>
              <w:ind w:right="253"/>
              <w:spacing w:after="0"/>
              <w:rPr>
                <w:sz w:val="20"/>
                <w:szCs w:val="20"/>
                <w:color w:val="auto"/>
              </w:rPr>
            </w:pPr>
            <w:r>
              <w:rPr>
                <w:rFonts w:ascii="Arial" w:cs="Arial" w:eastAsia="Arial" w:hAnsi="Arial"/>
                <w:sz w:val="18"/>
                <w:szCs w:val="18"/>
                <w:b w:val="1"/>
                <w:bCs w:val="1"/>
                <w:color w:val="auto"/>
              </w:rPr>
              <w:t>2.40% – 3.95%</w:t>
            </w:r>
          </w:p>
        </w:tc>
        <w:tc>
          <w:tcPr>
            <w:tcW w:w="1720" w:type="dxa"/>
            <w:vAlign w:val="bottom"/>
          </w:tcPr>
          <w:p>
            <w:pPr>
              <w:jc w:val="right"/>
              <w:ind w:right="133"/>
              <w:spacing w:after="0"/>
              <w:rPr>
                <w:sz w:val="20"/>
                <w:szCs w:val="20"/>
                <w:color w:val="auto"/>
              </w:rPr>
            </w:pPr>
            <w:r>
              <w:rPr>
                <w:rFonts w:ascii="Arial" w:cs="Arial" w:eastAsia="Arial" w:hAnsi="Arial"/>
                <w:sz w:val="18"/>
                <w:szCs w:val="18"/>
                <w:b w:val="1"/>
                <w:bCs w:val="1"/>
                <w:color w:val="auto"/>
              </w:rPr>
              <w:t>2.46% –4.03%</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7,930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2017 issuance of $17.1 billion</w:t>
            </w:r>
          </w:p>
        </w:tc>
        <w:tc>
          <w:tcPr>
            <w:tcW w:w="1820" w:type="dxa"/>
            <w:vAlign w:val="bottom"/>
            <w:shd w:val="clear" w:color="auto" w:fill="E5E5E5"/>
          </w:tcPr>
          <w:p>
            <w:pPr>
              <w:jc w:val="right"/>
              <w:ind w:right="333"/>
              <w:spacing w:after="0"/>
              <w:rPr>
                <w:sz w:val="20"/>
                <w:szCs w:val="20"/>
                <w:color w:val="auto"/>
              </w:rPr>
            </w:pPr>
            <w:r>
              <w:rPr>
                <w:rFonts w:ascii="Arial" w:cs="Arial" w:eastAsia="Arial" w:hAnsi="Arial"/>
                <w:sz w:val="18"/>
                <w:szCs w:val="18"/>
                <w:b w:val="1"/>
                <w:bCs w:val="1"/>
                <w:color w:val="auto"/>
              </w:rPr>
              <w:t>2026 – 2057</w:t>
            </w:r>
          </w:p>
        </w:tc>
        <w:tc>
          <w:tcPr>
            <w:tcW w:w="1900" w:type="dxa"/>
            <w:vAlign w:val="bottom"/>
            <w:shd w:val="clear" w:color="auto" w:fill="E5E5E5"/>
          </w:tcPr>
          <w:p>
            <w:pPr>
              <w:jc w:val="right"/>
              <w:ind w:right="253"/>
              <w:spacing w:after="0"/>
              <w:rPr>
                <w:sz w:val="20"/>
                <w:szCs w:val="20"/>
                <w:color w:val="auto"/>
              </w:rPr>
            </w:pPr>
            <w:r>
              <w:rPr>
                <w:rFonts w:ascii="Arial" w:cs="Arial" w:eastAsia="Arial" w:hAnsi="Arial"/>
                <w:sz w:val="18"/>
                <w:szCs w:val="18"/>
                <w:b w:val="1"/>
                <w:bCs w:val="1"/>
                <w:color w:val="auto"/>
              </w:rPr>
              <w:t>3.30% – 4.50%</w:t>
            </w:r>
          </w:p>
        </w:tc>
        <w:tc>
          <w:tcPr>
            <w:tcW w:w="172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3.38% –5.49%</w:t>
            </w:r>
          </w:p>
        </w:tc>
        <w:tc>
          <w:tcPr>
            <w:tcW w:w="340" w:type="dxa"/>
            <w:vAlign w:val="bottom"/>
            <w:shd w:val="clear" w:color="auto" w:fill="E5E5E5"/>
          </w:tcPr>
          <w:p>
            <w:pPr>
              <w:spacing w:after="0"/>
              <w:rPr>
                <w:sz w:val="19"/>
                <w:szCs w:val="19"/>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6,833</w:t>
            </w:r>
          </w:p>
        </w:tc>
        <w:tc>
          <w:tcPr>
            <w:tcW w:w="22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6,833</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2020 issuance of $10.1 billion</w:t>
            </w:r>
          </w:p>
        </w:tc>
        <w:tc>
          <w:tcPr>
            <w:tcW w:w="1820" w:type="dxa"/>
            <w:vAlign w:val="bottom"/>
          </w:tcPr>
          <w:p>
            <w:pPr>
              <w:jc w:val="right"/>
              <w:ind w:right="333"/>
              <w:spacing w:after="0"/>
              <w:rPr>
                <w:sz w:val="20"/>
                <w:szCs w:val="20"/>
                <w:color w:val="auto"/>
              </w:rPr>
            </w:pPr>
            <w:r>
              <w:rPr>
                <w:rFonts w:ascii="Arial" w:cs="Arial" w:eastAsia="Arial" w:hAnsi="Arial"/>
                <w:sz w:val="18"/>
                <w:szCs w:val="18"/>
                <w:b w:val="1"/>
                <w:bCs w:val="1"/>
                <w:color w:val="auto"/>
              </w:rPr>
              <w:t>2030 – 2060</w:t>
            </w:r>
          </w:p>
        </w:tc>
        <w:tc>
          <w:tcPr>
            <w:tcW w:w="1900" w:type="dxa"/>
            <w:vAlign w:val="bottom"/>
          </w:tcPr>
          <w:p>
            <w:pPr>
              <w:jc w:val="right"/>
              <w:ind w:right="253"/>
              <w:spacing w:after="0"/>
              <w:rPr>
                <w:sz w:val="20"/>
                <w:szCs w:val="20"/>
                <w:color w:val="auto"/>
              </w:rPr>
            </w:pPr>
            <w:r>
              <w:rPr>
                <w:rFonts w:ascii="Arial" w:cs="Arial" w:eastAsia="Arial" w:hAnsi="Arial"/>
                <w:sz w:val="18"/>
                <w:szCs w:val="18"/>
                <w:b w:val="1"/>
                <w:bCs w:val="1"/>
                <w:color w:val="auto"/>
              </w:rPr>
              <w:t>1.35% – 2.68%</w:t>
            </w:r>
          </w:p>
        </w:tc>
        <w:tc>
          <w:tcPr>
            <w:tcW w:w="1720" w:type="dxa"/>
            <w:vAlign w:val="bottom"/>
          </w:tcPr>
          <w:p>
            <w:pPr>
              <w:jc w:val="right"/>
              <w:ind w:right="133"/>
              <w:spacing w:after="0"/>
              <w:rPr>
                <w:sz w:val="20"/>
                <w:szCs w:val="20"/>
                <w:color w:val="auto"/>
              </w:rPr>
            </w:pPr>
            <w:r>
              <w:rPr>
                <w:rFonts w:ascii="Arial" w:cs="Arial" w:eastAsia="Arial" w:hAnsi="Arial"/>
                <w:sz w:val="18"/>
                <w:szCs w:val="18"/>
                <w:b w:val="1"/>
                <w:bCs w:val="1"/>
                <w:color w:val="auto"/>
              </w:rPr>
              <w:t>2.53% –5.43%</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10,111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2021 issuance of $8.2 billion</w:t>
            </w:r>
          </w:p>
        </w:tc>
        <w:tc>
          <w:tcPr>
            <w:tcW w:w="1820" w:type="dxa"/>
            <w:vAlign w:val="bottom"/>
            <w:shd w:val="clear" w:color="auto" w:fill="E5E5E5"/>
          </w:tcPr>
          <w:p>
            <w:pPr>
              <w:jc w:val="right"/>
              <w:ind w:right="333"/>
              <w:spacing w:after="0"/>
              <w:rPr>
                <w:sz w:val="20"/>
                <w:szCs w:val="20"/>
                <w:color w:val="auto"/>
              </w:rPr>
            </w:pPr>
            <w:r>
              <w:rPr>
                <w:rFonts w:ascii="Arial" w:cs="Arial" w:eastAsia="Arial" w:hAnsi="Arial"/>
                <w:sz w:val="18"/>
                <w:szCs w:val="18"/>
                <w:b w:val="1"/>
                <w:bCs w:val="1"/>
                <w:color w:val="auto"/>
              </w:rPr>
              <w:t>2052 – 2062</w:t>
            </w:r>
          </w:p>
        </w:tc>
        <w:tc>
          <w:tcPr>
            <w:tcW w:w="1900" w:type="dxa"/>
            <w:vAlign w:val="bottom"/>
            <w:shd w:val="clear" w:color="auto" w:fill="E5E5E5"/>
          </w:tcPr>
          <w:p>
            <w:pPr>
              <w:jc w:val="right"/>
              <w:ind w:right="253"/>
              <w:spacing w:after="0"/>
              <w:rPr>
                <w:sz w:val="20"/>
                <w:szCs w:val="20"/>
                <w:color w:val="auto"/>
              </w:rPr>
            </w:pPr>
            <w:r>
              <w:rPr>
                <w:rFonts w:ascii="Arial" w:cs="Arial" w:eastAsia="Arial" w:hAnsi="Arial"/>
                <w:sz w:val="18"/>
                <w:szCs w:val="18"/>
                <w:b w:val="1"/>
                <w:bCs w:val="1"/>
                <w:color w:val="auto"/>
              </w:rPr>
              <w:t>2.92% – 3.04%</w:t>
            </w:r>
          </w:p>
        </w:tc>
        <w:tc>
          <w:tcPr>
            <w:tcW w:w="172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2.92% –3.04%</w:t>
            </w:r>
          </w:p>
        </w:tc>
        <w:tc>
          <w:tcPr>
            <w:tcW w:w="340" w:type="dxa"/>
            <w:vAlign w:val="bottom"/>
            <w:shd w:val="clear" w:color="auto" w:fill="E5E5E5"/>
          </w:tcPr>
          <w:p>
            <w:pPr>
              <w:spacing w:after="0"/>
              <w:rPr>
                <w:sz w:val="19"/>
                <w:szCs w:val="19"/>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8,185</w:t>
            </w:r>
          </w:p>
        </w:tc>
        <w:tc>
          <w:tcPr>
            <w:tcW w:w="22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8,185</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2023 issuance of $0.1 billion</w:t>
            </w:r>
          </w:p>
        </w:tc>
        <w:tc>
          <w:tcPr>
            <w:tcW w:w="1820" w:type="dxa"/>
            <w:vAlign w:val="bottom"/>
          </w:tcPr>
          <w:p>
            <w:pPr>
              <w:jc w:val="right"/>
              <w:ind w:right="333"/>
              <w:spacing w:after="0"/>
              <w:rPr>
                <w:sz w:val="20"/>
                <w:szCs w:val="20"/>
                <w:color w:val="auto"/>
              </w:rPr>
            </w:pPr>
            <w:r>
              <w:rPr>
                <w:rFonts w:ascii="Arial" w:cs="Arial" w:eastAsia="Arial" w:hAnsi="Arial"/>
                <w:sz w:val="18"/>
                <w:szCs w:val="18"/>
                <w:b w:val="1"/>
                <w:bCs w:val="1"/>
                <w:color w:val="auto"/>
              </w:rPr>
              <w:t>2026 – 2050</w:t>
            </w:r>
          </w:p>
        </w:tc>
        <w:tc>
          <w:tcPr>
            <w:tcW w:w="1900" w:type="dxa"/>
            <w:vAlign w:val="bottom"/>
          </w:tcPr>
          <w:p>
            <w:pPr>
              <w:jc w:val="right"/>
              <w:ind w:right="253"/>
              <w:spacing w:after="0"/>
              <w:rPr>
                <w:sz w:val="20"/>
                <w:szCs w:val="20"/>
                <w:color w:val="auto"/>
              </w:rPr>
            </w:pPr>
            <w:r>
              <w:rPr>
                <w:rFonts w:ascii="Arial" w:cs="Arial" w:eastAsia="Arial" w:hAnsi="Arial"/>
                <w:sz w:val="18"/>
                <w:szCs w:val="18"/>
                <w:b w:val="1"/>
                <w:bCs w:val="1"/>
                <w:color w:val="auto"/>
              </w:rPr>
              <w:t>1.35% – 4.50%</w:t>
            </w:r>
          </w:p>
        </w:tc>
        <w:tc>
          <w:tcPr>
            <w:tcW w:w="1720" w:type="dxa"/>
            <w:vAlign w:val="bottom"/>
          </w:tcPr>
          <w:p>
            <w:pPr>
              <w:jc w:val="right"/>
              <w:ind w:right="133"/>
              <w:spacing w:after="0"/>
              <w:rPr>
                <w:sz w:val="20"/>
                <w:szCs w:val="20"/>
                <w:color w:val="auto"/>
              </w:rPr>
            </w:pPr>
            <w:r>
              <w:rPr>
                <w:rFonts w:ascii="Arial" w:cs="Arial" w:eastAsia="Arial" w:hAnsi="Arial"/>
                <w:sz w:val="18"/>
                <w:szCs w:val="18"/>
                <w:b w:val="1"/>
                <w:bCs w:val="1"/>
                <w:color w:val="auto"/>
              </w:rPr>
              <w:t>5.16% –5.49%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2024 issuance of $3.3 billion</w:t>
            </w:r>
          </w:p>
        </w:tc>
        <w:tc>
          <w:tcPr>
            <w:tcW w:w="1820" w:type="dxa"/>
            <w:vAlign w:val="bottom"/>
            <w:shd w:val="clear" w:color="auto" w:fill="E5E5E5"/>
          </w:tcPr>
          <w:p>
            <w:pPr>
              <w:jc w:val="right"/>
              <w:ind w:right="333"/>
              <w:spacing w:after="0"/>
              <w:rPr>
                <w:sz w:val="20"/>
                <w:szCs w:val="20"/>
                <w:color w:val="auto"/>
              </w:rPr>
            </w:pPr>
            <w:r>
              <w:rPr>
                <w:rFonts w:ascii="Arial" w:cs="Arial" w:eastAsia="Arial" w:hAnsi="Arial"/>
                <w:sz w:val="18"/>
                <w:szCs w:val="18"/>
                <w:b w:val="1"/>
                <w:bCs w:val="1"/>
                <w:color w:val="auto"/>
              </w:rPr>
              <w:t>2026 – 2050</w:t>
            </w:r>
          </w:p>
        </w:tc>
        <w:tc>
          <w:tcPr>
            <w:tcW w:w="1900" w:type="dxa"/>
            <w:vAlign w:val="bottom"/>
            <w:shd w:val="clear" w:color="auto" w:fill="E5E5E5"/>
          </w:tcPr>
          <w:p>
            <w:pPr>
              <w:jc w:val="right"/>
              <w:ind w:right="253"/>
              <w:spacing w:after="0"/>
              <w:rPr>
                <w:sz w:val="20"/>
                <w:szCs w:val="20"/>
                <w:color w:val="auto"/>
              </w:rPr>
            </w:pPr>
            <w:r>
              <w:rPr>
                <w:rFonts w:ascii="Arial" w:cs="Arial" w:eastAsia="Arial" w:hAnsi="Arial"/>
                <w:sz w:val="18"/>
                <w:szCs w:val="18"/>
                <w:b w:val="1"/>
                <w:bCs w:val="1"/>
                <w:color w:val="auto"/>
              </w:rPr>
              <w:t>1.35% – 4.50%</w:t>
            </w:r>
          </w:p>
        </w:tc>
        <w:tc>
          <w:tcPr>
            <w:tcW w:w="172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5.16% –5.49%</w:t>
            </w:r>
          </w:p>
        </w:tc>
        <w:tc>
          <w:tcPr>
            <w:tcW w:w="340" w:type="dxa"/>
            <w:vAlign w:val="bottom"/>
            <w:shd w:val="clear" w:color="auto" w:fill="E5E5E5"/>
          </w:tcPr>
          <w:p>
            <w:pPr>
              <w:spacing w:after="0"/>
              <w:rPr>
                <w:sz w:val="19"/>
                <w:szCs w:val="19"/>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3,344</w:t>
            </w:r>
          </w:p>
        </w:tc>
        <w:tc>
          <w:tcPr>
            <w:tcW w:w="22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3,344</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326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3260" w:type="dxa"/>
            <w:vAlign w:val="bottom"/>
          </w:tcPr>
          <w:p>
            <w:pPr>
              <w:ind w:left="240"/>
              <w:spacing w:after="0"/>
              <w:rPr>
                <w:sz w:val="20"/>
                <w:szCs w:val="20"/>
                <w:color w:val="auto"/>
              </w:rPr>
            </w:pPr>
            <w:r>
              <w:rPr>
                <w:rFonts w:ascii="Arial" w:cs="Arial" w:eastAsia="Arial" w:hAnsi="Arial"/>
                <w:sz w:val="18"/>
                <w:szCs w:val="18"/>
                <w:color w:val="auto"/>
              </w:rPr>
              <w:t>Total face value</w:t>
            </w:r>
          </w:p>
        </w:tc>
        <w:tc>
          <w:tcPr>
            <w:tcW w:w="18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51,323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51,221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260" w:type="dxa"/>
            <w:vAlign w:val="bottom"/>
            <w:shd w:val="clear" w:color="auto" w:fill="E5E5E5"/>
          </w:tcPr>
          <w:p>
            <w:pPr>
              <w:ind w:left="20"/>
              <w:spacing w:after="0" w:line="197" w:lineRule="exact"/>
              <w:rPr>
                <w:sz w:val="20"/>
                <w:szCs w:val="20"/>
                <w:color w:val="auto"/>
              </w:rPr>
            </w:pPr>
            <w:r>
              <w:rPr>
                <w:rFonts w:ascii="Arial" w:cs="Arial" w:eastAsia="Arial" w:hAnsi="Arial"/>
                <w:sz w:val="18"/>
                <w:szCs w:val="18"/>
                <w:color w:val="auto"/>
              </w:rPr>
              <w:t>Unamortized discount and issuance</w:t>
            </w:r>
          </w:p>
        </w:tc>
        <w:tc>
          <w:tcPr>
            <w:tcW w:w="1820" w:type="dxa"/>
            <w:vAlign w:val="bottom"/>
            <w:shd w:val="clear" w:color="auto" w:fill="E5E5E5"/>
          </w:tcPr>
          <w:p>
            <w:pPr>
              <w:spacing w:after="0"/>
              <w:rPr>
                <w:sz w:val="17"/>
                <w:szCs w:val="17"/>
                <w:color w:val="auto"/>
              </w:rPr>
            </w:pPr>
          </w:p>
        </w:tc>
        <w:tc>
          <w:tcPr>
            <w:tcW w:w="1900" w:type="dxa"/>
            <w:vAlign w:val="bottom"/>
            <w:shd w:val="clear" w:color="auto" w:fill="E5E5E5"/>
          </w:tcPr>
          <w:p>
            <w:pPr>
              <w:spacing w:after="0"/>
              <w:rPr>
                <w:sz w:val="17"/>
                <w:szCs w:val="17"/>
                <w:color w:val="auto"/>
              </w:rPr>
            </w:pPr>
          </w:p>
        </w:tc>
        <w:tc>
          <w:tcPr>
            <w:tcW w:w="17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2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costs</w:t>
            </w:r>
          </w:p>
        </w:tc>
        <w:tc>
          <w:tcPr>
            <w:tcW w:w="1820" w:type="dxa"/>
            <w:vAlign w:val="bottom"/>
            <w:shd w:val="clear" w:color="auto" w:fill="E5E5E5"/>
          </w:tcPr>
          <w:p>
            <w:pPr>
              <w:spacing w:after="0"/>
              <w:rPr>
                <w:sz w:val="20"/>
                <w:szCs w:val="20"/>
                <w:color w:val="auto"/>
              </w:rPr>
            </w:pPr>
          </w:p>
        </w:tc>
        <w:tc>
          <w:tcPr>
            <w:tcW w:w="1900" w:type="dxa"/>
            <w:vAlign w:val="bottom"/>
            <w:shd w:val="clear" w:color="auto" w:fill="E5E5E5"/>
          </w:tcPr>
          <w:p>
            <w:pPr>
              <w:spacing w:after="0"/>
              <w:rPr>
                <w:sz w:val="20"/>
                <w:szCs w:val="20"/>
                <w:color w:val="auto"/>
              </w:rPr>
            </w:pPr>
          </w:p>
        </w:tc>
        <w:tc>
          <w:tcPr>
            <w:tcW w:w="172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2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(1,209 )</w:t>
            </w:r>
          </w:p>
        </w:tc>
        <w:tc>
          <w:tcPr>
            <w:tcW w:w="220" w:type="dxa"/>
            <w:vAlign w:val="bottom"/>
            <w:shd w:val="clear" w:color="auto" w:fill="E5E5E5"/>
          </w:tcPr>
          <w:p>
            <w:pPr>
              <w:spacing w:after="0"/>
              <w:rPr>
                <w:sz w:val="20"/>
                <w:szCs w:val="20"/>
                <w:color w:val="auto"/>
              </w:rPr>
            </w:pPr>
          </w:p>
        </w:tc>
        <w:tc>
          <w:tcPr>
            <w:tcW w:w="78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(1,227 )</w:t>
            </w: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Hedge fair value adjustments </w:t>
            </w:r>
            <w:r>
              <w:rPr>
                <w:rFonts w:ascii="Arial" w:cs="Arial" w:eastAsia="Arial" w:hAnsi="Arial"/>
                <w:sz w:val="24"/>
                <w:szCs w:val="24"/>
                <w:color w:val="auto"/>
                <w:vertAlign w:val="superscript"/>
              </w:rPr>
              <w:t>(a)</w:t>
            </w:r>
          </w:p>
        </w:tc>
        <w:tc>
          <w:tcPr>
            <w:tcW w:w="18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(49 )</w:t>
            </w:r>
          </w:p>
        </w:tc>
        <w:tc>
          <w:tcPr>
            <w:tcW w:w="2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29"/>
        </w:trPr>
        <w:tc>
          <w:tcPr>
            <w:tcW w:w="3260" w:type="dxa"/>
            <w:vAlign w:val="bottom"/>
            <w:shd w:val="clear" w:color="auto" w:fill="E5E5E5"/>
          </w:tcPr>
          <w:p>
            <w:pPr>
              <w:ind w:left="20"/>
              <w:spacing w:after="0"/>
              <w:rPr>
                <w:sz w:val="20"/>
                <w:szCs w:val="20"/>
                <w:color w:val="auto"/>
              </w:rPr>
            </w:pPr>
            <w:r>
              <w:rPr>
                <w:rFonts w:ascii="Arial" w:cs="Arial" w:eastAsia="Arial" w:hAnsi="Arial"/>
                <w:sz w:val="18"/>
                <w:szCs w:val="18"/>
                <w:color w:val="auto"/>
              </w:rPr>
              <w:t>Premium on debt exchange</w:t>
            </w:r>
          </w:p>
        </w:tc>
        <w:tc>
          <w:tcPr>
            <w:tcW w:w="1820" w:type="dxa"/>
            <w:vAlign w:val="bottom"/>
            <w:shd w:val="clear" w:color="auto" w:fill="E5E5E5"/>
          </w:tcPr>
          <w:p>
            <w:pPr>
              <w:spacing w:after="0"/>
              <w:rPr>
                <w:sz w:val="19"/>
                <w:szCs w:val="19"/>
                <w:color w:val="auto"/>
              </w:rPr>
            </w:pPr>
          </w:p>
        </w:tc>
        <w:tc>
          <w:tcPr>
            <w:tcW w:w="1900" w:type="dxa"/>
            <w:vAlign w:val="bottom"/>
            <w:shd w:val="clear" w:color="auto" w:fill="E5E5E5"/>
          </w:tcPr>
          <w:p>
            <w:pPr>
              <w:spacing w:after="0"/>
              <w:rPr>
                <w:sz w:val="19"/>
                <w:szCs w:val="19"/>
                <w:color w:val="auto"/>
              </w:rPr>
            </w:pPr>
          </w:p>
        </w:tc>
        <w:tc>
          <w:tcPr>
            <w:tcW w:w="17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12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(4,948 )</w:t>
            </w:r>
          </w:p>
        </w:tc>
        <w:tc>
          <w:tcPr>
            <w:tcW w:w="220" w:type="dxa"/>
            <w:vAlign w:val="bottom"/>
            <w:shd w:val="clear" w:color="auto" w:fill="E5E5E5"/>
          </w:tcPr>
          <w:p>
            <w:pPr>
              <w:spacing w:after="0"/>
              <w:rPr>
                <w:sz w:val="19"/>
                <w:szCs w:val="19"/>
                <w:color w:val="auto"/>
              </w:rPr>
            </w:pPr>
          </w:p>
        </w:tc>
        <w:tc>
          <w:tcPr>
            <w:tcW w:w="78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(4,976 )</w:t>
            </w:r>
          </w:p>
        </w:tc>
        <w:tc>
          <w:tcPr>
            <w:tcW w:w="0" w:type="dxa"/>
            <w:vAlign w:val="bottom"/>
          </w:tcPr>
          <w:p>
            <w:pPr>
              <w:spacing w:after="0"/>
              <w:rPr>
                <w:sz w:val="1"/>
                <w:szCs w:val="1"/>
                <w:color w:val="auto"/>
              </w:rPr>
            </w:pPr>
          </w:p>
        </w:tc>
      </w:tr>
      <w:tr>
        <w:trPr>
          <w:trHeight w:val="67"/>
        </w:trPr>
        <w:tc>
          <w:tcPr>
            <w:tcW w:w="326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3260" w:type="dxa"/>
            <w:vAlign w:val="bottom"/>
          </w:tcPr>
          <w:p>
            <w:pPr>
              <w:ind w:left="240"/>
              <w:spacing w:after="0"/>
              <w:rPr>
                <w:sz w:val="20"/>
                <w:szCs w:val="20"/>
                <w:color w:val="auto"/>
              </w:rPr>
            </w:pPr>
            <w:r>
              <w:rPr>
                <w:rFonts w:ascii="Arial" w:cs="Arial" w:eastAsia="Arial" w:hAnsi="Arial"/>
                <w:sz w:val="18"/>
                <w:szCs w:val="18"/>
                <w:color w:val="auto"/>
              </w:rPr>
              <w:t>Total debt</w:t>
            </w:r>
          </w:p>
        </w:tc>
        <w:tc>
          <w:tcPr>
            <w:tcW w:w="18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45,117</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44,937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E5E5E5"/>
          </w:tcPr>
          <w:p>
            <w:pPr>
              <w:ind w:left="20"/>
              <w:spacing w:after="0"/>
              <w:rPr>
                <w:sz w:val="20"/>
                <w:szCs w:val="20"/>
                <w:color w:val="auto"/>
              </w:rPr>
            </w:pPr>
            <w:r>
              <w:rPr>
                <w:rFonts w:ascii="Arial" w:cs="Arial" w:eastAsia="Arial" w:hAnsi="Arial"/>
                <w:sz w:val="18"/>
                <w:szCs w:val="18"/>
                <w:color w:val="auto"/>
              </w:rPr>
              <w:t>Current portion of long-term debt</w:t>
            </w:r>
          </w:p>
        </w:tc>
        <w:tc>
          <w:tcPr>
            <w:tcW w:w="1820" w:type="dxa"/>
            <w:vAlign w:val="bottom"/>
            <w:shd w:val="clear" w:color="auto" w:fill="E5E5E5"/>
          </w:tcPr>
          <w:p>
            <w:pPr>
              <w:spacing w:after="0"/>
              <w:rPr>
                <w:sz w:val="19"/>
                <w:szCs w:val="19"/>
                <w:color w:val="auto"/>
              </w:rPr>
            </w:pPr>
          </w:p>
        </w:tc>
        <w:tc>
          <w:tcPr>
            <w:tcW w:w="1900" w:type="dxa"/>
            <w:vAlign w:val="bottom"/>
            <w:shd w:val="clear" w:color="auto" w:fill="E5E5E5"/>
          </w:tcPr>
          <w:p>
            <w:pPr>
              <w:spacing w:after="0"/>
              <w:rPr>
                <w:sz w:val="19"/>
                <w:szCs w:val="19"/>
                <w:color w:val="auto"/>
              </w:rPr>
            </w:pPr>
          </w:p>
        </w:tc>
        <w:tc>
          <w:tcPr>
            <w:tcW w:w="17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12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(2,249 )</w:t>
            </w:r>
          </w:p>
        </w:tc>
        <w:tc>
          <w:tcPr>
            <w:tcW w:w="220" w:type="dxa"/>
            <w:vAlign w:val="bottom"/>
            <w:shd w:val="clear" w:color="auto" w:fill="E5E5E5"/>
          </w:tcPr>
          <w:p>
            <w:pPr>
              <w:spacing w:after="0"/>
              <w:rPr>
                <w:sz w:val="19"/>
                <w:szCs w:val="19"/>
                <w:color w:val="auto"/>
              </w:rPr>
            </w:pPr>
          </w:p>
        </w:tc>
        <w:tc>
          <w:tcPr>
            <w:tcW w:w="78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(2,249 )</w:t>
            </w:r>
          </w:p>
        </w:tc>
        <w:tc>
          <w:tcPr>
            <w:tcW w:w="0" w:type="dxa"/>
            <w:vAlign w:val="bottom"/>
          </w:tcPr>
          <w:p>
            <w:pPr>
              <w:spacing w:after="0"/>
              <w:rPr>
                <w:sz w:val="1"/>
                <w:szCs w:val="1"/>
                <w:color w:val="auto"/>
              </w:rPr>
            </w:pPr>
          </w:p>
        </w:tc>
      </w:tr>
      <w:tr>
        <w:trPr>
          <w:trHeight w:val="67"/>
        </w:trPr>
        <w:tc>
          <w:tcPr>
            <w:tcW w:w="326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3260" w:type="dxa"/>
            <w:vAlign w:val="bottom"/>
          </w:tcPr>
          <w:p>
            <w:pPr>
              <w:ind w:left="240"/>
              <w:spacing w:after="0"/>
              <w:rPr>
                <w:sz w:val="20"/>
                <w:szCs w:val="20"/>
                <w:color w:val="auto"/>
              </w:rPr>
            </w:pPr>
            <w:r>
              <w:rPr>
                <w:rFonts w:ascii="Arial" w:cs="Arial" w:eastAsia="Arial" w:hAnsi="Arial"/>
                <w:sz w:val="18"/>
                <w:szCs w:val="18"/>
                <w:color w:val="auto"/>
              </w:rPr>
              <w:t>Long-term debt</w:t>
            </w:r>
          </w:p>
        </w:tc>
        <w:tc>
          <w:tcPr>
            <w:tcW w:w="18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42,868</w:t>
            </w:r>
          </w:p>
        </w:tc>
        <w:tc>
          <w:tcPr>
            <w:tcW w:w="2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42,688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34925</wp:posOffset>
            </wp:positionV>
            <wp:extent cx="142113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21130" cy="17145"/>
                    </a:xfrm>
                    <a:prstGeom prst="rect">
                      <a:avLst/>
                    </a:prstGeom>
                    <a:noFill/>
                  </pic:spPr>
                </pic:pic>
              </a:graphicData>
            </a:graphic>
          </wp:anchor>
        </w:drawing>
      </w:r>
    </w:p>
    <w:p>
      <w:pPr>
        <w:spacing w:after="0" w:line="126"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interest rate swaps related to fixed-rate debt.</w:t>
      </w:r>
    </w:p>
    <w:p>
      <w:pPr>
        <w:spacing w:after="0" w:line="15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of September 30, 2024 and June 30, 2024, the estimated fair value of long-term debt, including the current portion, was $44.6 billion and $42.3 billion, respectively. The estimated fair values are based on Level 2 inputs.</w:t>
      </w:r>
    </w:p>
    <w:p>
      <w:pPr>
        <w:spacing w:after="0" w:line="9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Debt in the table above is comprised of senior unsecured obligations and ranks equally with our other outstanding obligations. Interest is paid semi-annually, except for the Euro-denominated debt, which is paid annually.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maturities of our long-term debt, including the current portion, as of September 30, 2024:</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0637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ind w:left="20"/>
              <w:spacing w:after="0"/>
              <w:rPr>
                <w:sz w:val="20"/>
                <w:szCs w:val="20"/>
                <w:color w:val="auto"/>
              </w:rPr>
            </w:pPr>
            <w:r>
              <w:rPr>
                <w:rFonts w:ascii="Arial" w:cs="Arial" w:eastAsia="Arial" w:hAnsi="Arial"/>
                <w:sz w:val="13"/>
                <w:szCs w:val="13"/>
                <w:b w:val="1"/>
                <w:bCs w:val="1"/>
                <w:color w:val="auto"/>
              </w:rPr>
              <w:t>Year Ending June 30,</w:t>
            </w:r>
          </w:p>
        </w:tc>
        <w:tc>
          <w:tcPr>
            <w:tcW w:w="4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5260" w:type="dxa"/>
            <w:vAlign w:val="bottom"/>
          </w:tcPr>
          <w:p>
            <w:pPr>
              <w:spacing w:after="0"/>
              <w:rPr>
                <w:sz w:val="5"/>
                <w:szCs w:val="5"/>
                <w:color w:val="auto"/>
              </w:rPr>
            </w:pPr>
          </w:p>
        </w:tc>
        <w:tc>
          <w:tcPr>
            <w:tcW w:w="4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2025 (excluding the three months ended September 30, 2024)</w:t>
            </w:r>
          </w:p>
        </w:tc>
        <w:tc>
          <w:tcPr>
            <w:tcW w:w="510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2,250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2026</w:t>
            </w:r>
          </w:p>
        </w:tc>
        <w:tc>
          <w:tcPr>
            <w:tcW w:w="4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2027</w:t>
            </w:r>
          </w:p>
        </w:tc>
        <w:tc>
          <w:tcPr>
            <w:tcW w:w="476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9,250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2028</w:t>
            </w:r>
          </w:p>
        </w:tc>
        <w:tc>
          <w:tcPr>
            <w:tcW w:w="4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2029</w:t>
            </w:r>
          </w:p>
        </w:tc>
        <w:tc>
          <w:tcPr>
            <w:tcW w:w="476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1,953</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2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34,870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5260" w:type="dxa"/>
            <w:vAlign w:val="bottom"/>
            <w:tcBorders>
              <w:bottom w:val="single" w:sz="8" w:color="auto"/>
            </w:tcBorders>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260" w:type="dxa"/>
            <w:vAlign w:val="bottom"/>
          </w:tcPr>
          <w:p>
            <w:pPr>
              <w:spacing w:after="0"/>
              <w:rPr>
                <w:sz w:val="5"/>
                <w:szCs w:val="5"/>
                <w:color w:val="auto"/>
              </w:rPr>
            </w:pPr>
          </w:p>
        </w:tc>
        <w:tc>
          <w:tcPr>
            <w:tcW w:w="4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Total</w:t>
            </w:r>
          </w:p>
        </w:tc>
        <w:tc>
          <w:tcPr>
            <w:tcW w:w="510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51,323</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5260" w:type="dxa"/>
            <w:vAlign w:val="bottom"/>
          </w:tcPr>
          <w:p>
            <w:pPr>
              <w:spacing w:after="0"/>
              <w:rPr>
                <w:sz w:val="6"/>
                <w:szCs w:val="6"/>
                <w:color w:val="auto"/>
              </w:rPr>
            </w:pPr>
          </w:p>
        </w:tc>
        <w:tc>
          <w:tcPr>
            <w:tcW w:w="4760" w:type="dxa"/>
            <w:vAlign w:val="bottom"/>
            <w:vMerge w:val="restart"/>
          </w:tcPr>
          <w:p>
            <w:pPr>
              <w:jc w:val="right"/>
              <w:ind w:right="4236"/>
              <w:spacing w:after="0"/>
              <w:rPr>
                <w:sz w:val="20"/>
                <w:szCs w:val="20"/>
                <w:color w:val="auto"/>
              </w:rPr>
            </w:pPr>
            <w:r>
              <w:rPr>
                <w:rFonts w:ascii="Arial" w:cs="Arial" w:eastAsia="Arial" w:hAnsi="Arial"/>
                <w:sz w:val="14"/>
                <w:szCs w:val="14"/>
                <w:color w:val="auto"/>
              </w:rPr>
              <w:t>21</w:t>
            </w:r>
          </w:p>
        </w:tc>
        <w:tc>
          <w:tcPr>
            <w:tcW w:w="3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2"/>
        </w:trPr>
        <w:tc>
          <w:tcPr>
            <w:tcW w:w="526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3"/>
        </w:trPr>
        <w:tc>
          <w:tcPr>
            <w:tcW w:w="526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1" w:name="page22"/>
    <w:bookmarkEnd w:id="21"/>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11 — INCOME TAXES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5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effective tax rate was 19% and 18% for the three months ended September 30, 2024 and 2023, respectively. The increase in our effective tax rate for the current quarter compared to the prior year was primarily due to tax benefits from tax law changes in the first quarter of fiscal year 2024, including the impact from the issuance of Notice 2023-55 by the Internal Revenue Service (“IRS”) and U.S. Treasury Department, which delayed the effective date of final foreign tax credit regulations to fiscal year 2024 for Microsoft. Notice 2023-80, issued in the second quarter of fiscal year 2024, further delayed the effective date of final foreign tax credit regulations indefinitely.</w:t>
      </w:r>
    </w:p>
    <w:p>
      <w:pPr>
        <w:spacing w:after="0" w:line="1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effective tax rate was lower than the U.S. federal statutory rate for the three months ended September 30, 2024, primarily due to earnings taxed at lower rates in foreign jurisdictions resulting from producing and distributing our products and services through our foreign regional operations center in Ireland.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September 30, 2024 and June 30, 2024, unrecognized tax benefits and other income tax liabilities were $25.9 billion and $24.9 billion, respectively, and are included in long-term income taxes in our consolidated balance sheets.</w:t>
      </w:r>
    </w:p>
    <w:p>
      <w:pPr>
        <w:spacing w:after="0" w:line="9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remain under audit by the IRS for tax years 2014 to 2017. With respect to the audit for tax years 2004 to 2013, on September 26, 2023, we received Notices of Proposed Adjustment (“NOPAs”) from the IRS. The primary issues in the NOPAs relate to intercompany transfer pricing. In the NOPAs, the IRS is seeking an additional tax payment of $28.9 billion plus penalties and interest. As of September 30, 2024, we believe our allowances for income tax contingencies are adequate. We disagree with the proposed adjustments and will vigorously contest the NOPAs through the IRS’s administrative appeals office and, if necessary, judicial proceedings. We do not expect a final resolution of these issues in the next 12 months. Based on the information currently available, we do not anticipate a significant increase or decrease to our income tax contingencies for these issues within the next 12 months.</w:t>
      </w:r>
    </w:p>
    <w:p>
      <w:pPr>
        <w:spacing w:after="0" w:line="1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2024, some of which are currently under audit by local tax authorities. The resolution of each of these audits is not expected to be material to our consolidated financial statements.</w:t>
      </w:r>
    </w:p>
    <w:p>
      <w:pPr>
        <w:spacing w:after="0" w:line="197"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NOTE 12 — UNEARNED REVENUE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Unearned revenue by segment was as follows: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0637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gridSpan w:val="2"/>
          </w:tcPr>
          <w:p>
            <w:pPr>
              <w:ind w:left="400"/>
              <w:spacing w:after="0"/>
              <w:rPr>
                <w:sz w:val="20"/>
                <w:szCs w:val="20"/>
                <w:color w:val="auto"/>
              </w:rPr>
            </w:pPr>
            <w:r>
              <w:rPr>
                <w:rFonts w:ascii="Arial" w:cs="Arial" w:eastAsia="Arial" w:hAnsi="Arial"/>
                <w:sz w:val="13"/>
                <w:szCs w:val="13"/>
                <w:b w:val="1"/>
                <w:bCs w:val="1"/>
                <w:color w:val="auto"/>
              </w:rPr>
              <w:t>June 30,</w:t>
            </w:r>
          </w:p>
        </w:tc>
      </w:tr>
      <w:tr>
        <w:trPr>
          <w:trHeight w:val="186"/>
        </w:trPr>
        <w:tc>
          <w:tcPr>
            <w:tcW w:w="8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r>
      <w:tr>
        <w:trPr>
          <w:trHeight w:val="58"/>
        </w:trPr>
        <w:tc>
          <w:tcPr>
            <w:tcW w:w="8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Productivity and Business Processes</w:t>
            </w:r>
          </w:p>
        </w:tc>
        <w:tc>
          <w:tcPr>
            <w:tcW w:w="32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40,429</w:t>
            </w:r>
          </w:p>
        </w:tc>
        <w:tc>
          <w:tcPr>
            <w:tcW w:w="700" w:type="dxa"/>
            <w:vAlign w:val="bottom"/>
            <w:gridSpan w:val="2"/>
            <w:shd w:val="clear" w:color="auto" w:fill="E5E5E5"/>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43,599</w:t>
            </w:r>
          </w:p>
        </w:tc>
        <w:tc>
          <w:tcPr>
            <w:tcW w:w="100" w:type="dxa"/>
            <w:vAlign w:val="bottom"/>
            <w:shd w:val="clear" w:color="auto" w:fill="E5E5E5"/>
          </w:tcPr>
          <w:p>
            <w:pPr>
              <w:spacing w:after="0"/>
              <w:rPr>
                <w:sz w:val="19"/>
                <w:szCs w:val="19"/>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Intelligent Cloud</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12,397</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13,683</w:t>
            </w:r>
          </w:p>
        </w:tc>
        <w:tc>
          <w:tcPr>
            <w:tcW w:w="100" w:type="dxa"/>
            <w:vAlign w:val="bottom"/>
          </w:tcPr>
          <w:p>
            <w:pPr>
              <w:spacing w:after="0"/>
              <w:rPr>
                <w:sz w:val="19"/>
                <w:szCs w:val="19"/>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More Personal Computing</w:t>
            </w:r>
          </w:p>
        </w:tc>
        <w:tc>
          <w:tcPr>
            <w:tcW w:w="320" w:type="dxa"/>
            <w:vAlign w:val="bottom"/>
            <w:shd w:val="clear" w:color="auto" w:fill="E5E5E5"/>
          </w:tcPr>
          <w:p>
            <w:pPr>
              <w:spacing w:after="0"/>
              <w:rPr>
                <w:sz w:val="19"/>
                <w:szCs w:val="19"/>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2,863</w:t>
            </w:r>
          </w:p>
        </w:tc>
        <w:tc>
          <w:tcPr>
            <w:tcW w:w="200" w:type="dxa"/>
            <w:vAlign w:val="bottom"/>
            <w:shd w:val="clear" w:color="auto" w:fill="E5E5E5"/>
          </w:tcPr>
          <w:p>
            <w:pPr>
              <w:spacing w:after="0"/>
              <w:rPr>
                <w:sz w:val="19"/>
                <w:szCs w:val="19"/>
                <w:color w:val="auto"/>
              </w:rPr>
            </w:pPr>
          </w:p>
        </w:tc>
        <w:tc>
          <w:tcPr>
            <w:tcW w:w="50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2,902</w:t>
            </w:r>
          </w:p>
        </w:tc>
        <w:tc>
          <w:tcPr>
            <w:tcW w:w="100" w:type="dxa"/>
            <w:vAlign w:val="bottom"/>
            <w:shd w:val="clear" w:color="auto" w:fill="E5E5E5"/>
          </w:tcPr>
          <w:p>
            <w:pPr>
              <w:spacing w:after="0"/>
              <w:rPr>
                <w:sz w:val="19"/>
                <w:szCs w:val="19"/>
                <w:color w:val="auto"/>
              </w:rPr>
            </w:pPr>
          </w:p>
        </w:tc>
      </w:tr>
      <w:tr>
        <w:trPr>
          <w:trHeight w:val="67"/>
        </w:trPr>
        <w:tc>
          <w:tcPr>
            <w:tcW w:w="80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302"/>
        </w:trPr>
        <w:tc>
          <w:tcPr>
            <w:tcW w:w="8000" w:type="dxa"/>
            <w:vAlign w:val="bottom"/>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55,689</w:t>
            </w: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60,184</w:t>
            </w:r>
          </w:p>
        </w:tc>
        <w:tc>
          <w:tcPr>
            <w:tcW w:w="100" w:type="dxa"/>
            <w:vAlign w:val="bottom"/>
          </w:tcPr>
          <w:p>
            <w:pPr>
              <w:spacing w:after="0"/>
              <w:rPr>
                <w:sz w:val="24"/>
                <w:szCs w:val="24"/>
                <w:color w:val="auto"/>
              </w:rPr>
            </w:pPr>
          </w:p>
        </w:tc>
      </w:tr>
      <w:tr>
        <w:trPr>
          <w:trHeight w:val="62"/>
        </w:trPr>
        <w:tc>
          <w:tcPr>
            <w:tcW w:w="80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17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have recast certain prior period amounts to conform to the way we internally manage and monitor our business. Refer to Note 1 – Accounting Policies for further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Changes in unearned revenue were as follows: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0637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80" w:type="dxa"/>
            <w:vAlign w:val="bottom"/>
          </w:tcPr>
          <w:p>
            <w:pPr>
              <w:ind w:left="20"/>
              <w:spacing w:after="0"/>
              <w:rPr>
                <w:sz w:val="20"/>
                <w:szCs w:val="20"/>
                <w:color w:val="auto"/>
              </w:rPr>
            </w:pPr>
            <w:r>
              <w:rPr>
                <w:rFonts w:ascii="Arial" w:cs="Arial" w:eastAsia="Arial" w:hAnsi="Arial"/>
                <w:sz w:val="13"/>
                <w:szCs w:val="13"/>
                <w:b w:val="1"/>
                <w:bCs w:val="1"/>
                <w:color w:val="auto"/>
              </w:rPr>
              <w:t>Three Months Ended September 30, 2024</w:t>
            </w: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58"/>
        </w:trPr>
        <w:tc>
          <w:tcPr>
            <w:tcW w:w="9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9680" w:type="dxa"/>
            <w:vAlign w:val="bottom"/>
            <w:shd w:val="clear" w:color="auto" w:fill="E5E5E5"/>
          </w:tcPr>
          <w:p>
            <w:pPr>
              <w:ind w:left="20"/>
              <w:spacing w:after="0"/>
              <w:rPr>
                <w:sz w:val="20"/>
                <w:szCs w:val="20"/>
                <w:color w:val="auto"/>
              </w:rPr>
            </w:pPr>
            <w:r>
              <w:rPr>
                <w:rFonts w:ascii="Arial" w:cs="Arial" w:eastAsia="Arial" w:hAnsi="Arial"/>
                <w:sz w:val="18"/>
                <w:szCs w:val="18"/>
                <w:color w:val="auto"/>
              </w:rPr>
              <w:t>Balance, beginning of period</w:t>
            </w:r>
          </w:p>
        </w:tc>
        <w:tc>
          <w:tcPr>
            <w:tcW w:w="480" w:type="dxa"/>
            <w:vAlign w:val="bottom"/>
            <w:shd w:val="clear" w:color="auto" w:fill="E5E5E5"/>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60,184</w:t>
            </w:r>
          </w:p>
        </w:tc>
        <w:tc>
          <w:tcPr>
            <w:tcW w:w="100" w:type="dxa"/>
            <w:vAlign w:val="bottom"/>
            <w:shd w:val="clear" w:color="auto" w:fill="E5E5E5"/>
          </w:tcPr>
          <w:p>
            <w:pPr>
              <w:spacing w:after="0"/>
              <w:rPr>
                <w:sz w:val="19"/>
                <w:szCs w:val="19"/>
                <w:color w:val="auto"/>
              </w:rPr>
            </w:pPr>
          </w:p>
        </w:tc>
      </w:tr>
      <w:tr>
        <w:trPr>
          <w:trHeight w:val="229"/>
        </w:trPr>
        <w:tc>
          <w:tcPr>
            <w:tcW w:w="9680" w:type="dxa"/>
            <w:vAlign w:val="bottom"/>
          </w:tcPr>
          <w:p>
            <w:pPr>
              <w:ind w:left="240"/>
              <w:spacing w:after="0"/>
              <w:rPr>
                <w:sz w:val="20"/>
                <w:szCs w:val="20"/>
                <w:color w:val="auto"/>
              </w:rPr>
            </w:pPr>
            <w:r>
              <w:rPr>
                <w:rFonts w:ascii="Arial" w:cs="Arial" w:eastAsia="Arial" w:hAnsi="Arial"/>
                <w:sz w:val="18"/>
                <w:szCs w:val="18"/>
                <w:color w:val="auto"/>
              </w:rPr>
              <w:t>Deferral of revenue</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37,642</w:t>
            </w:r>
          </w:p>
        </w:tc>
        <w:tc>
          <w:tcPr>
            <w:tcW w:w="100" w:type="dxa"/>
            <w:vAlign w:val="bottom"/>
          </w:tcPr>
          <w:p>
            <w:pPr>
              <w:spacing w:after="0"/>
              <w:rPr>
                <w:sz w:val="19"/>
                <w:szCs w:val="19"/>
                <w:color w:val="auto"/>
              </w:rPr>
            </w:pPr>
          </w:p>
        </w:tc>
      </w:tr>
      <w:tr>
        <w:trPr>
          <w:trHeight w:val="229"/>
        </w:trPr>
        <w:tc>
          <w:tcPr>
            <w:tcW w:w="96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Recognition of unearned revenue</w:t>
            </w:r>
          </w:p>
        </w:tc>
        <w:tc>
          <w:tcPr>
            <w:tcW w:w="480" w:type="dxa"/>
            <w:vAlign w:val="bottom"/>
            <w:shd w:val="clear" w:color="auto" w:fill="E5E5E5"/>
          </w:tcPr>
          <w:p>
            <w:pPr>
              <w:spacing w:after="0"/>
              <w:rPr>
                <w:sz w:val="19"/>
                <w:szCs w:val="19"/>
                <w:color w:val="auto"/>
              </w:rPr>
            </w:pPr>
          </w:p>
        </w:tc>
        <w:tc>
          <w:tcPr>
            <w:tcW w:w="108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(42,137 )</w:t>
            </w:r>
          </w:p>
        </w:tc>
      </w:tr>
      <w:tr>
        <w:trPr>
          <w:trHeight w:val="67"/>
        </w:trPr>
        <w:tc>
          <w:tcPr>
            <w:tcW w:w="96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302"/>
        </w:trPr>
        <w:tc>
          <w:tcPr>
            <w:tcW w:w="968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55,689</w:t>
            </w:r>
          </w:p>
        </w:tc>
        <w:tc>
          <w:tcPr>
            <w:tcW w:w="100" w:type="dxa"/>
            <w:vAlign w:val="bottom"/>
          </w:tcPr>
          <w:p>
            <w:pPr>
              <w:spacing w:after="0"/>
              <w:rPr>
                <w:sz w:val="24"/>
                <w:szCs w:val="24"/>
                <w:color w:val="auto"/>
              </w:rPr>
            </w:pPr>
          </w:p>
        </w:tc>
      </w:tr>
      <w:tr>
        <w:trPr>
          <w:trHeight w:val="62"/>
        </w:trPr>
        <w:tc>
          <w:tcPr>
            <w:tcW w:w="968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240"/>
          </w:cols>
          <w:pgMar w:left="320" w:top="774" w:right="339"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type w:val="continuous"/>
        </w:sectPr>
      </w:pPr>
    </w:p>
    <w:bookmarkStart w:id="22" w:name="page23"/>
    <w:bookmarkEnd w:id="22"/>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Revenue allocated to remaining performance obligations, which includes unearned revenue and amounts that will be invoiced and recognized as revenue in future periods, was $266 billion as of September 30, 2024, of which $259 billion is related to the commercial portion of revenue. We expect to recognize approximately 45% of our total company remaining performance obligation revenue over the next 12 months and the remainder thereafter.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13 — LEASES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operating and finance leases for datacenters, corporate offices, research and development facilities, Microsoft Experience Centers, and certain equipment. Our leases have remaining lease terms of less than 1 year to 17 years, some of which include options to extend the leases for up to 5 years, and some of which include options to terminate the leases within 1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0637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ind w:left="20"/>
              <w:spacing w:after="0"/>
              <w:rPr>
                <w:sz w:val="20"/>
                <w:szCs w:val="20"/>
                <w:color w:val="auto"/>
              </w:rPr>
            </w:pPr>
            <w:r>
              <w:rPr>
                <w:rFonts w:ascii="Arial" w:cs="Arial" w:eastAsia="Arial" w:hAnsi="Arial"/>
                <w:sz w:val="13"/>
                <w:szCs w:val="13"/>
                <w:b w:val="1"/>
                <w:bCs w:val="1"/>
                <w:color w:val="auto"/>
              </w:rPr>
              <w:t>Three Months Ended September 30,</w:t>
            </w: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796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E5E5E5"/>
          </w:tcPr>
          <w:p>
            <w:pPr>
              <w:ind w:left="20"/>
              <w:spacing w:after="0"/>
              <w:rPr>
                <w:sz w:val="20"/>
                <w:szCs w:val="20"/>
                <w:color w:val="auto"/>
              </w:rPr>
            </w:pPr>
            <w:r>
              <w:rPr>
                <w:rFonts w:ascii="Arial" w:cs="Arial" w:eastAsia="Arial" w:hAnsi="Arial"/>
                <w:sz w:val="18"/>
                <w:szCs w:val="18"/>
                <w:color w:val="auto"/>
              </w:rPr>
              <w:t>Operating lease cost</w:t>
            </w:r>
          </w:p>
        </w:tc>
        <w:tc>
          <w:tcPr>
            <w:tcW w:w="600" w:type="dxa"/>
            <w:vAlign w:val="bottom"/>
            <w:shd w:val="clear" w:color="auto" w:fill="E5E5E5"/>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1,161</w:t>
            </w:r>
          </w:p>
        </w:tc>
        <w:tc>
          <w:tcPr>
            <w:tcW w:w="760" w:type="dxa"/>
            <w:vAlign w:val="bottom"/>
            <w:gridSpan w:val="2"/>
            <w:shd w:val="clear" w:color="auto" w:fill="E5E5E5"/>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7960" w:type="dxa"/>
            <w:vAlign w:val="bottom"/>
            <w:vMerge w:val="restart"/>
          </w:tcPr>
          <w:p>
            <w:pPr>
              <w:ind w:left="20"/>
              <w:spacing w:after="0"/>
              <w:rPr>
                <w:sz w:val="20"/>
                <w:szCs w:val="20"/>
                <w:color w:val="auto"/>
              </w:rPr>
            </w:pPr>
            <w:r>
              <w:rPr>
                <w:rFonts w:ascii="Arial" w:cs="Arial" w:eastAsia="Arial" w:hAnsi="Arial"/>
                <w:sz w:val="18"/>
                <w:szCs w:val="18"/>
                <w:color w:val="auto"/>
              </w:rPr>
              <w:t>Finance lease cost:</w:t>
            </w:r>
          </w:p>
        </w:tc>
        <w:tc>
          <w:tcPr>
            <w:tcW w:w="6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9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Amortization of right-of-use assets</w:t>
            </w:r>
          </w:p>
        </w:tc>
        <w:tc>
          <w:tcPr>
            <w:tcW w:w="600" w:type="dxa"/>
            <w:vAlign w:val="bottom"/>
            <w:shd w:val="clear" w:color="auto" w:fill="E5E5E5"/>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696</w:t>
            </w:r>
          </w:p>
        </w:tc>
        <w:tc>
          <w:tcPr>
            <w:tcW w:w="760" w:type="dxa"/>
            <w:vAlign w:val="bottom"/>
            <w:gridSpan w:val="2"/>
            <w:shd w:val="clear" w:color="auto" w:fill="E5E5E5"/>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960" w:type="dxa"/>
            <w:vAlign w:val="bottom"/>
          </w:tcPr>
          <w:p>
            <w:pPr>
              <w:ind w:left="240"/>
              <w:spacing w:after="0"/>
              <w:rPr>
                <w:sz w:val="20"/>
                <w:szCs w:val="20"/>
                <w:color w:val="auto"/>
              </w:rPr>
            </w:pPr>
            <w:r>
              <w:rPr>
                <w:rFonts w:ascii="Arial" w:cs="Arial" w:eastAsia="Arial" w:hAnsi="Arial"/>
                <w:sz w:val="18"/>
                <w:szCs w:val="18"/>
                <w:color w:val="auto"/>
              </w:rPr>
              <w:t>Interest on lease liabilities</w:t>
            </w: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275</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79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796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E5E5E5"/>
          </w:tcPr>
          <w:p>
            <w:pPr>
              <w:ind w:left="20"/>
              <w:spacing w:after="0"/>
              <w:rPr>
                <w:sz w:val="20"/>
                <w:szCs w:val="20"/>
                <w:color w:val="auto"/>
              </w:rPr>
            </w:pPr>
            <w:r>
              <w:rPr>
                <w:rFonts w:ascii="Arial" w:cs="Arial" w:eastAsia="Arial" w:hAnsi="Arial"/>
                <w:sz w:val="18"/>
                <w:szCs w:val="18"/>
                <w:color w:val="auto"/>
              </w:rPr>
              <w:t>Total finance lease cost</w:t>
            </w:r>
          </w:p>
        </w:tc>
        <w:tc>
          <w:tcPr>
            <w:tcW w:w="600" w:type="dxa"/>
            <w:vAlign w:val="bottom"/>
            <w:shd w:val="clear" w:color="auto" w:fill="E5E5E5"/>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971</w:t>
            </w:r>
          </w:p>
        </w:tc>
        <w:tc>
          <w:tcPr>
            <w:tcW w:w="760" w:type="dxa"/>
            <w:vAlign w:val="bottom"/>
            <w:gridSpan w:val="2"/>
            <w:shd w:val="clear" w:color="auto" w:fill="E5E5E5"/>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7960" w:type="dxa"/>
            <w:vAlign w:val="bottom"/>
            <w:vMerge w:val="restart"/>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6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9"/>
        </w:trPr>
        <w:tc>
          <w:tcPr>
            <w:tcW w:w="79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96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79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7960" w:type="dxa"/>
            <w:vAlign w:val="bottom"/>
          </w:tcPr>
          <w:p>
            <w:pPr>
              <w:ind w:left="20"/>
              <w:spacing w:after="0"/>
              <w:rPr>
                <w:sz w:val="20"/>
                <w:szCs w:val="20"/>
                <w:color w:val="auto"/>
              </w:rPr>
            </w:pPr>
            <w:r>
              <w:rPr>
                <w:rFonts w:ascii="Arial" w:cs="Arial" w:eastAsia="Arial" w:hAnsi="Arial"/>
                <w:sz w:val="13"/>
                <w:szCs w:val="13"/>
                <w:b w:val="1"/>
                <w:bCs w:val="1"/>
                <w:color w:val="auto"/>
              </w:rPr>
              <w:t>Three Months Ended September 30,</w:t>
            </w: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796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E5E5E5"/>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60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560" w:type="dxa"/>
            <w:vAlign w:val="bottom"/>
            <w:shd w:val="clear" w:color="auto" w:fill="E5E5E5"/>
          </w:tcPr>
          <w:p>
            <w:pPr>
              <w:spacing w:after="0"/>
              <w:rPr>
                <w:sz w:val="19"/>
                <w:szCs w:val="19"/>
                <w:color w:val="auto"/>
              </w:rPr>
            </w:pPr>
          </w:p>
        </w:tc>
        <w:tc>
          <w:tcPr>
            <w:tcW w:w="9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6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1,207</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Operating cash flows from finance leases</w:t>
            </w:r>
          </w:p>
        </w:tc>
        <w:tc>
          <w:tcPr>
            <w:tcW w:w="60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275</w:t>
            </w:r>
          </w:p>
        </w:tc>
        <w:tc>
          <w:tcPr>
            <w:tcW w:w="200" w:type="dxa"/>
            <w:vAlign w:val="bottom"/>
            <w:shd w:val="clear" w:color="auto" w:fill="E5E5E5"/>
          </w:tcPr>
          <w:p>
            <w:pPr>
              <w:spacing w:after="0"/>
              <w:rPr>
                <w:sz w:val="19"/>
                <w:szCs w:val="19"/>
                <w:color w:val="auto"/>
              </w:rPr>
            </w:pPr>
          </w:p>
        </w:tc>
        <w:tc>
          <w:tcPr>
            <w:tcW w:w="56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960" w:type="dxa"/>
            <w:vAlign w:val="bottom"/>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802</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796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E5E5E5"/>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60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560" w:type="dxa"/>
            <w:vAlign w:val="bottom"/>
            <w:shd w:val="clear" w:color="auto" w:fill="E5E5E5"/>
          </w:tcPr>
          <w:p>
            <w:pPr>
              <w:spacing w:after="0"/>
              <w:rPr>
                <w:sz w:val="19"/>
                <w:szCs w:val="19"/>
                <w:color w:val="auto"/>
              </w:rPr>
            </w:pPr>
          </w:p>
        </w:tc>
        <w:tc>
          <w:tcPr>
            <w:tcW w:w="9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1,892</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Finance leases</w:t>
            </w:r>
          </w:p>
        </w:tc>
        <w:tc>
          <w:tcPr>
            <w:tcW w:w="60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4,332</w:t>
            </w:r>
          </w:p>
        </w:tc>
        <w:tc>
          <w:tcPr>
            <w:tcW w:w="200" w:type="dxa"/>
            <w:vAlign w:val="bottom"/>
            <w:shd w:val="clear" w:color="auto" w:fill="E5E5E5"/>
          </w:tcPr>
          <w:p>
            <w:pPr>
              <w:spacing w:after="0"/>
              <w:rPr>
                <w:sz w:val="19"/>
                <w:szCs w:val="19"/>
                <w:color w:val="auto"/>
              </w:rPr>
            </w:pPr>
          </w:p>
        </w:tc>
        <w:tc>
          <w:tcPr>
            <w:tcW w:w="56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79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6"/>
        </w:trPr>
        <w:tc>
          <w:tcPr>
            <w:tcW w:w="7960" w:type="dxa"/>
            <w:vAlign w:val="bottom"/>
          </w:tcPr>
          <w:p>
            <w:pPr>
              <w:ind w:left="5540"/>
              <w:spacing w:after="0"/>
              <w:rPr>
                <w:sz w:val="20"/>
                <w:szCs w:val="20"/>
                <w:color w:val="auto"/>
              </w:rPr>
            </w:pPr>
            <w:r>
              <w:rPr>
                <w:rFonts w:ascii="Arial" w:cs="Arial" w:eastAsia="Arial" w:hAnsi="Arial"/>
                <w:sz w:val="14"/>
                <w:szCs w:val="14"/>
                <w:color w:val="auto"/>
              </w:rPr>
              <w:t>23</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3"/>
        </w:trPr>
        <w:tc>
          <w:tcPr>
            <w:tcW w:w="7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3" w:name="page24"/>
    <w:bookmarkEnd w:id="23"/>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 except lease term 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0637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3"/>
                <w:szCs w:val="13"/>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6"/>
        </w:trPr>
        <w:tc>
          <w:tcPr>
            <w:tcW w:w="8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3"/>
                <w:szCs w:val="13"/>
                <w:b w:val="1"/>
                <w:bCs w:val="1"/>
                <w:color w:val="auto"/>
              </w:rPr>
              <w:t>Operating Leases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8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E5E5E5"/>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20,528</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18,961</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80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800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4,009</w:t>
            </w:r>
          </w:p>
        </w:tc>
        <w:tc>
          <w:tcPr>
            <w:tcW w:w="2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3,580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E5E5E5"/>
          </w:tcPr>
          <w:p>
            <w:pPr>
              <w:spacing w:after="0"/>
              <w:rPr>
                <w:sz w:val="19"/>
                <w:szCs w:val="19"/>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16,361</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15,497</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0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8000" w:type="dxa"/>
            <w:vAlign w:val="bottom"/>
          </w:tcPr>
          <w:p>
            <w:pPr>
              <w:ind w:left="240"/>
              <w:spacing w:after="0"/>
              <w:rPr>
                <w:sz w:val="20"/>
                <w:szCs w:val="20"/>
                <w:color w:val="auto"/>
              </w:rPr>
            </w:pPr>
            <w:r>
              <w:rPr>
                <w:rFonts w:ascii="Arial" w:cs="Arial" w:eastAsia="Arial" w:hAnsi="Arial"/>
                <w:sz w:val="18"/>
                <w:szCs w:val="18"/>
                <w:color w:val="auto"/>
              </w:rPr>
              <w:t>Total operating lease liabilities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20,370</w:t>
            </w:r>
          </w:p>
        </w:tc>
        <w:tc>
          <w:tcPr>
            <w:tcW w:w="2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19,077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80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Finance Leases</w:t>
            </w: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80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8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Property and equipment, at cost</w:t>
            </w:r>
          </w:p>
        </w:tc>
        <w:tc>
          <w:tcPr>
            <w:tcW w:w="200" w:type="dxa"/>
            <w:vAlign w:val="bottom"/>
            <w:shd w:val="clear" w:color="auto" w:fill="E5E5E5"/>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37,186</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32,248</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00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20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(7,070 )</w:t>
            </w:r>
          </w:p>
        </w:tc>
        <w:tc>
          <w:tcPr>
            <w:tcW w:w="28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(6,386 )</w:t>
            </w:r>
          </w:p>
        </w:tc>
        <w:tc>
          <w:tcPr>
            <w:tcW w:w="0" w:type="dxa"/>
            <w:vAlign w:val="bottom"/>
          </w:tcPr>
          <w:p>
            <w:pPr>
              <w:spacing w:after="0"/>
              <w:rPr>
                <w:sz w:val="1"/>
                <w:szCs w:val="1"/>
                <w:color w:val="auto"/>
              </w:rPr>
            </w:pPr>
          </w:p>
        </w:tc>
      </w:tr>
      <w:tr>
        <w:trPr>
          <w:trHeight w:val="50"/>
        </w:trPr>
        <w:tc>
          <w:tcPr>
            <w:tcW w:w="8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8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E5E5E5"/>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30,116</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25,862</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80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800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2,504</w:t>
            </w:r>
          </w:p>
        </w:tc>
        <w:tc>
          <w:tcPr>
            <w:tcW w:w="2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2,349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E5E5E5"/>
          </w:tcPr>
          <w:p>
            <w:pPr>
              <w:spacing w:after="0"/>
              <w:rPr>
                <w:sz w:val="19"/>
                <w:szCs w:val="19"/>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28,847</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24,796</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0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8000" w:type="dxa"/>
            <w:vAlign w:val="bottom"/>
          </w:tcPr>
          <w:p>
            <w:pPr>
              <w:ind w:left="240"/>
              <w:spacing w:after="0"/>
              <w:rPr>
                <w:sz w:val="20"/>
                <w:szCs w:val="20"/>
                <w:color w:val="auto"/>
              </w:rPr>
            </w:pPr>
            <w:r>
              <w:rPr>
                <w:rFonts w:ascii="Arial" w:cs="Arial" w:eastAsia="Arial" w:hAnsi="Arial"/>
                <w:sz w:val="18"/>
                <w:szCs w:val="18"/>
                <w:color w:val="auto"/>
              </w:rPr>
              <w:t>Total finance lease liabilities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31,351</w:t>
            </w:r>
          </w:p>
        </w:tc>
        <w:tc>
          <w:tcPr>
            <w:tcW w:w="2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27,145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80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Weighted Average Remaining Lease Term</w:t>
            </w: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80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8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E5E5E5"/>
          </w:tcPr>
          <w:p>
            <w:pPr>
              <w:spacing w:after="0"/>
              <w:rPr>
                <w:sz w:val="19"/>
                <w:szCs w:val="19"/>
                <w:color w:val="auto"/>
              </w:rPr>
            </w:pPr>
          </w:p>
        </w:tc>
        <w:tc>
          <w:tcPr>
            <w:tcW w:w="148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7 years</w:t>
            </w:r>
          </w:p>
        </w:tc>
        <w:tc>
          <w:tcPr>
            <w:tcW w:w="280" w:type="dxa"/>
            <w:vAlign w:val="bottom"/>
            <w:shd w:val="clear" w:color="auto" w:fill="E5E5E5"/>
          </w:tcPr>
          <w:p>
            <w:pPr>
              <w:spacing w:after="0"/>
              <w:rPr>
                <w:sz w:val="19"/>
                <w:szCs w:val="19"/>
                <w:color w:val="auto"/>
              </w:rPr>
            </w:pPr>
          </w:p>
        </w:tc>
        <w:tc>
          <w:tcPr>
            <w:tcW w:w="128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7 years</w:t>
            </w:r>
          </w:p>
        </w:tc>
        <w:tc>
          <w:tcPr>
            <w:tcW w:w="0" w:type="dxa"/>
            <w:vAlign w:val="bottom"/>
          </w:tcPr>
          <w:p>
            <w:pPr>
              <w:spacing w:after="0"/>
              <w:rPr>
                <w:sz w:val="1"/>
                <w:szCs w:val="1"/>
                <w:color w:val="auto"/>
              </w:rPr>
            </w:pPr>
          </w:p>
        </w:tc>
      </w:tr>
      <w:tr>
        <w:trPr>
          <w:trHeight w:val="247"/>
        </w:trPr>
        <w:tc>
          <w:tcPr>
            <w:tcW w:w="800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20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12 years</w:t>
            </w:r>
          </w:p>
        </w:tc>
        <w:tc>
          <w:tcPr>
            <w:tcW w:w="28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35"/>
        </w:trPr>
        <w:tc>
          <w:tcPr>
            <w:tcW w:w="8000" w:type="dxa"/>
            <w:vAlign w:val="bottom"/>
          </w:tcPr>
          <w:p>
            <w:pPr>
              <w:ind w:left="20"/>
              <w:spacing w:after="0"/>
              <w:rPr>
                <w:sz w:val="20"/>
                <w:szCs w:val="20"/>
                <w:color w:val="auto"/>
              </w:rPr>
            </w:pPr>
            <w:r>
              <w:rPr>
                <w:rFonts w:ascii="Arial" w:cs="Arial" w:eastAsia="Arial" w:hAnsi="Arial"/>
                <w:sz w:val="13"/>
                <w:szCs w:val="13"/>
                <w:b w:val="1"/>
                <w:bCs w:val="1"/>
                <w:color w:val="auto"/>
              </w:rPr>
              <w:t>Weighted Average Discount Rate</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E5E5E5"/>
          </w:tcPr>
          <w:p>
            <w:pPr>
              <w:spacing w:after="0"/>
              <w:rPr>
                <w:sz w:val="19"/>
                <w:szCs w:val="19"/>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3.4%</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00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8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2"/>
        </w:trPr>
        <w:tc>
          <w:tcPr>
            <w:tcW w:w="8000" w:type="dxa"/>
            <w:vAlign w:val="bottom"/>
          </w:tcPr>
          <w:p>
            <w:pPr>
              <w:spacing w:after="0"/>
              <w:rPr>
                <w:sz w:val="20"/>
                <w:szCs w:val="20"/>
                <w:color w:val="auto"/>
              </w:rPr>
            </w:pPr>
            <w:r>
              <w:rPr>
                <w:rFonts w:ascii="Arial" w:cs="Arial" w:eastAsia="Arial" w:hAnsi="Arial"/>
                <w:sz w:val="18"/>
                <w:szCs w:val="18"/>
                <w:color w:val="auto"/>
              </w:rPr>
              <w:t>The following table outlines maturities of our lease liabilities as of September 30, 2024:</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800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0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gridSpan w:val="2"/>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8000" w:type="dxa"/>
            <w:vAlign w:val="bottom"/>
          </w:tcPr>
          <w:p>
            <w:pPr>
              <w:ind w:left="20"/>
              <w:spacing w:after="0"/>
              <w:rPr>
                <w:sz w:val="20"/>
                <w:szCs w:val="20"/>
                <w:color w:val="auto"/>
              </w:rPr>
            </w:pPr>
            <w:r>
              <w:rPr>
                <w:rFonts w:ascii="Arial" w:cs="Arial" w:eastAsia="Arial" w:hAnsi="Arial"/>
                <w:sz w:val="13"/>
                <w:szCs w:val="13"/>
                <w:b w:val="1"/>
                <w:bCs w:val="1"/>
                <w:color w:val="auto"/>
              </w:rPr>
              <w:t>Year Ending June 30,</w:t>
            </w:r>
          </w:p>
        </w:tc>
        <w:tc>
          <w:tcPr>
            <w:tcW w:w="20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Operating Leases</w:t>
            </w:r>
          </w:p>
        </w:tc>
        <w:tc>
          <w:tcPr>
            <w:tcW w:w="28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Finance Leases</w:t>
            </w:r>
          </w:p>
        </w:tc>
        <w:tc>
          <w:tcPr>
            <w:tcW w:w="0" w:type="dxa"/>
            <w:vAlign w:val="bottom"/>
          </w:tcPr>
          <w:p>
            <w:pPr>
              <w:spacing w:after="0"/>
              <w:rPr>
                <w:sz w:val="1"/>
                <w:szCs w:val="1"/>
                <w:color w:val="auto"/>
              </w:rPr>
            </w:pPr>
          </w:p>
        </w:tc>
      </w:tr>
      <w:tr>
        <w:trPr>
          <w:trHeight w:val="58"/>
        </w:trPr>
        <w:tc>
          <w:tcPr>
            <w:tcW w:w="8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2025 (excluding the three months ended September 30, 2024)</w:t>
            </w:r>
          </w:p>
        </w:tc>
        <w:tc>
          <w:tcPr>
            <w:tcW w:w="200" w:type="dxa"/>
            <w:vAlign w:val="bottom"/>
            <w:shd w:val="clear" w:color="auto" w:fill="E5E5E5"/>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3,386</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2,742</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4,122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E5E5E5"/>
          </w:tcPr>
          <w:p>
            <w:pPr>
              <w:spacing w:after="0"/>
              <w:rPr>
                <w:sz w:val="19"/>
                <w:szCs w:val="19"/>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3,411</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3,720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2028</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2,754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3,706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2029</w:t>
            </w:r>
          </w:p>
        </w:tc>
        <w:tc>
          <w:tcPr>
            <w:tcW w:w="200" w:type="dxa"/>
            <w:vAlign w:val="bottom"/>
            <w:shd w:val="clear" w:color="auto" w:fill="E5E5E5"/>
          </w:tcPr>
          <w:p>
            <w:pPr>
              <w:spacing w:after="0"/>
              <w:rPr>
                <w:sz w:val="19"/>
                <w:szCs w:val="19"/>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2,124</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3,099</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0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7,174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22,745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8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E5E5E5"/>
          </w:tcPr>
          <w:p>
            <w:pPr>
              <w:spacing w:after="0"/>
              <w:rPr>
                <w:sz w:val="19"/>
                <w:szCs w:val="19"/>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22,971</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39,709</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00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0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(2,601 )</w:t>
            </w:r>
          </w:p>
        </w:tc>
        <w:tc>
          <w:tcPr>
            <w:tcW w:w="28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(8,358 )</w:t>
            </w:r>
          </w:p>
        </w:tc>
        <w:tc>
          <w:tcPr>
            <w:tcW w:w="0" w:type="dxa"/>
            <w:vAlign w:val="bottom"/>
          </w:tcPr>
          <w:p>
            <w:pPr>
              <w:spacing w:after="0"/>
              <w:rPr>
                <w:sz w:val="1"/>
                <w:szCs w:val="1"/>
                <w:color w:val="auto"/>
              </w:rPr>
            </w:pPr>
          </w:p>
        </w:tc>
      </w:tr>
      <w:tr>
        <w:trPr>
          <w:trHeight w:val="50"/>
        </w:trPr>
        <w:tc>
          <w:tcPr>
            <w:tcW w:w="8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E5E5E5"/>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20,370</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31,351</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80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September 30, 2024, we had additional operating and finance leases, primarily for datacenters, that had not yet commenced of $7.4 billion and $108.7 billion, respectively. These operating and finance leases will commence between fiscal year 2025 and fiscal year 2030 with lease terms of 1 year to 20 years.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4" w:name="page25"/>
    <w:bookmarkEnd w:id="24"/>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14 — CONTINGENCIES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Cell Phone Litigation</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Microsoft Mobile Oy, a subsidiary of Microsoft, along with other handset manufacturers and network operators, is a defendant in 45 lawsuits filed in the Superior Court for the District of Columbia by individual plaintiffs who allege that radio emissions from cellular handsets caused their brain tumors and other adverse health effects. We assumed responsibility for these claims in our agreement to acquire Nokia’s Devices and Services business and have been substituted for the Nokia defendants. Twelve of these cases were consolidated for certain pre-trial proceedings; the remaining cases are stayed. In a separate 2009 decision, the Court of Appeals for the District of Columbia held that adverse health effect claims arising from the use of cellular handsets that operate within the U.S. Federal Communications Commission radio frequency emission guidelines (“FCC Guidelines”) are pre-empted by federal law. The plaintiffs allege that their handsets either operated outside the FCC Guidelines or were manufactured before the FCC Guidelines went into effect. The lawsuits also allege an industry-wide conspiracy to manipulate the science and testing around emission guidelines.</w:t>
      </w:r>
    </w:p>
    <w:p>
      <w:pPr>
        <w:spacing w:after="0" w:line="1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2013, the defendants in the consolidated cases moved to exclude the plaintiffs’ expert evidence of general causation on the basis of flawed scientific methodologies. In 2014, the trial court granted in part and denied in part the defendants’ motion to exclude the plaintiffs’ general causation experts. The defendants filed an interlocutory appeal to the District of Columbia Court of Appeals challenging the standard for evaluating expert scientific evidence. In October 2016, the Court of Appeals issued its decision adopting the standard advocated by the defendants and remanding the cases to the trial court for further proceedings under that standard. The plaintiffs have filed supplemental expert evidence, portions of which were stricken by the court. A hearing on general causation took place in September of 2022. In April of 2023, the court granted defendants’ motion to strike the testimony of plaintiffs’ experts that cell phones cause brain cancer and entered an order excluding all of plaintiffs’ experts from testifying. The parties agreed to a stipulated dismissal of the consolidated cases to allow plaintiffs to appeal the expert testimony order. Plaintiffs appealed the court’s order in August of 2023, and the parties have filed their briefs on the appeal. A hearing on the status of the stayed cases occurred in December of 2023. In July 2024, the court entered summary judgment in nine of the stayed cases on the grounds that plaintiffs had agreed to be bound by the general causation outcome in the consolidated cases.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Data Protection Commission Matter</w:t>
      </w:r>
    </w:p>
    <w:p>
      <w:pPr>
        <w:spacing w:after="0" w:line="15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2018, the Irish Data Protection Commission (“IDPC”) began investigating a complaint against LinkedIn as to whether LinkedIn’s targeted advertising practices violated the recently implemented European Union General Data Protection Regulation (“GDPR”). Microsoft cooperated throughout the period of inquiry. In April 2023, the IDPC provided LinkedIn with a non-public preliminary draft decision alleging GDPR violations and proposing a fine. In July 2024, the IDPC provided LinkedIn with a revised non-public draft decision. In October 2024, the IDPC provided LinkedIn with a final decision, and LinkedIn is considering its options to appeal.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also are subject to a variety of other claims and suits that arise from time to time in the ordinary course of our business. Although management currently believes that resolving claims against us, individually or in aggregate, will not have a material adverse impact in our consolidated financial statements, these matters are subject to inherent uncertainties and management’s view of these matters may change in the future.</w:t>
      </w:r>
    </w:p>
    <w:p>
      <w:pPr>
        <w:spacing w:after="0" w:line="12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September 30, 2024, we accrued aggregate legal liabilities of $492 million. While we intend to defend these matters vigorously, adverse outcomes that we estimate could reach approximately $600 million in aggregate beyond recorded amounts are reasonably possible. Were unfavorable final outcomes to occur, there exists the possibility of a material adverse impact in our consolidated financial statements for the period in which the effects become reasonably estimable.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5" w:name="page26"/>
    <w:bookmarkEnd w:id="25"/>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15 — STOCKHOLDERS’ EQUITY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September 14, 2021, our Board of Directors approved a share repurchase program authorizing up to $60.0 billion in share repurchases. This share repurchase program commenced in November 2021, has no expiration date, and may be terminated at any time. As of September 30, 2024, $7.5 billion remained of this $60.0 billion share repurchase program.</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September 16, 2024, our Board of Directors approved a share repurchase program authorizing up to $60.0 billion in share repurchases. This share repurchase program will commence following completion of the program approved on September 14, 2021, has no expiration date, and may be terminated at any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repurchased the following shares of common stock under the share repurchase program:</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3580" w:type="dxa"/>
            <w:vAlign w:val="bottom"/>
          </w:tcPr>
          <w:p>
            <w:pPr>
              <w:jc w:val="right"/>
              <w:ind w:right="61"/>
              <w:spacing w:after="0"/>
              <w:rPr>
                <w:sz w:val="20"/>
                <w:szCs w:val="20"/>
                <w:color w:val="auto"/>
              </w:rPr>
            </w:pPr>
            <w:r>
              <w:rPr>
                <w:rFonts w:ascii="Arial" w:cs="Arial" w:eastAsia="Arial" w:hAnsi="Arial"/>
                <w:sz w:val="13"/>
                <w:szCs w:val="13"/>
                <w:b w:val="1"/>
                <w:bCs w:val="1"/>
                <w:color w:val="auto"/>
              </w:rPr>
              <w:t>Shares</w:t>
            </w:r>
          </w:p>
        </w:tc>
        <w:tc>
          <w:tcPr>
            <w:tcW w:w="420" w:type="dxa"/>
            <w:vAlign w:val="bottom"/>
          </w:tcPr>
          <w:p>
            <w:pPr>
              <w:spacing w:after="0"/>
              <w:rPr>
                <w:sz w:val="16"/>
                <w:szCs w:val="16"/>
                <w:color w:val="auto"/>
              </w:rPr>
            </w:pPr>
          </w:p>
        </w:tc>
        <w:tc>
          <w:tcPr>
            <w:tcW w:w="1080" w:type="dxa"/>
            <w:vAlign w:val="bottom"/>
          </w:tcPr>
          <w:p>
            <w:pPr>
              <w:jc w:val="right"/>
              <w:ind w:right="305"/>
              <w:spacing w:after="0"/>
              <w:rPr>
                <w:sz w:val="20"/>
                <w:szCs w:val="20"/>
                <w:color w:val="auto"/>
              </w:rPr>
            </w:pPr>
            <w:r>
              <w:rPr>
                <w:rFonts w:ascii="Arial" w:cs="Arial" w:eastAsia="Arial" w:hAnsi="Arial"/>
                <w:sz w:val="13"/>
                <w:szCs w:val="13"/>
                <w:b w:val="1"/>
                <w:bCs w:val="1"/>
                <w:color w:val="auto"/>
              </w:rPr>
              <w:t>Amount</w:t>
            </w:r>
          </w:p>
        </w:tc>
        <w:tc>
          <w:tcPr>
            <w:tcW w:w="940" w:type="dxa"/>
            <w:vAlign w:val="bottom"/>
          </w:tcPr>
          <w:p>
            <w:pPr>
              <w:jc w:val="right"/>
              <w:ind w:right="41"/>
              <w:spacing w:after="0"/>
              <w:rPr>
                <w:sz w:val="20"/>
                <w:szCs w:val="20"/>
                <w:color w:val="auto"/>
              </w:rPr>
            </w:pPr>
            <w:r>
              <w:rPr>
                <w:rFonts w:ascii="Arial" w:cs="Arial" w:eastAsia="Arial" w:hAnsi="Arial"/>
                <w:sz w:val="13"/>
                <w:szCs w:val="13"/>
                <w:b w:val="1"/>
                <w:bCs w:val="1"/>
                <w:color w:val="auto"/>
              </w:rPr>
              <w:t>Shares</w:t>
            </w:r>
          </w:p>
        </w:tc>
        <w:tc>
          <w:tcPr>
            <w:tcW w:w="400" w:type="dxa"/>
            <w:vAlign w:val="bottom"/>
          </w:tcPr>
          <w:p>
            <w:pPr>
              <w:spacing w:after="0"/>
              <w:rPr>
                <w:sz w:val="16"/>
                <w:szCs w:val="16"/>
                <w:color w:val="auto"/>
              </w:rPr>
            </w:pPr>
          </w:p>
        </w:tc>
        <w:tc>
          <w:tcPr>
            <w:tcW w:w="820" w:type="dxa"/>
            <w:vAlign w:val="bottom"/>
            <w:gridSpan w:val="2"/>
          </w:tcPr>
          <w:p>
            <w:pPr>
              <w:ind w:left="180"/>
              <w:spacing w:after="0"/>
              <w:rPr>
                <w:sz w:val="20"/>
                <w:szCs w:val="20"/>
                <w:color w:val="auto"/>
              </w:rPr>
            </w:pPr>
            <w:r>
              <w:rPr>
                <w:rFonts w:ascii="Arial" w:cs="Arial" w:eastAsia="Arial" w:hAnsi="Arial"/>
                <w:sz w:val="13"/>
                <w:szCs w:val="13"/>
                <w:b w:val="1"/>
                <w:bCs w:val="1"/>
                <w:color w:val="auto"/>
              </w:rPr>
              <w:t>Amount</w:t>
            </w:r>
          </w:p>
        </w:tc>
      </w:tr>
      <w:tr>
        <w:trPr>
          <w:trHeight w:val="58"/>
        </w:trPr>
        <w:tc>
          <w:tcPr>
            <w:tcW w:w="4000" w:type="dxa"/>
            <w:vAlign w:val="bottom"/>
            <w:tcBorders>
              <w:bottom w:val="single" w:sz="8" w:color="auto"/>
            </w:tcBorders>
          </w:tcPr>
          <w:p>
            <w:pPr>
              <w:spacing w:after="0"/>
              <w:rPr>
                <w:sz w:val="5"/>
                <w:szCs w:val="5"/>
                <w:color w:val="auto"/>
              </w:rPr>
            </w:pPr>
          </w:p>
        </w:tc>
        <w:tc>
          <w:tcPr>
            <w:tcW w:w="35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46"/>
        </w:trPr>
        <w:tc>
          <w:tcPr>
            <w:tcW w:w="4000" w:type="dxa"/>
            <w:vAlign w:val="bottom"/>
          </w:tcPr>
          <w:p>
            <w:pPr>
              <w:ind w:left="20"/>
              <w:spacing w:after="0"/>
              <w:rPr>
                <w:sz w:val="20"/>
                <w:szCs w:val="20"/>
                <w:color w:val="auto"/>
              </w:rPr>
            </w:pPr>
            <w:r>
              <w:rPr>
                <w:rFonts w:ascii="Arial" w:cs="Arial" w:eastAsia="Arial" w:hAnsi="Arial"/>
                <w:sz w:val="13"/>
                <w:szCs w:val="13"/>
                <w:b w:val="1"/>
                <w:bCs w:val="1"/>
                <w:color w:val="auto"/>
              </w:rPr>
              <w:t>Fiscal Year</w:t>
            </w:r>
          </w:p>
        </w:tc>
        <w:tc>
          <w:tcPr>
            <w:tcW w:w="3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ind w:right="305"/>
              <w:spacing w:after="0"/>
              <w:rPr>
                <w:sz w:val="20"/>
                <w:szCs w:val="20"/>
                <w:color w:val="auto"/>
              </w:rPr>
            </w:pPr>
            <w:r>
              <w:rPr>
                <w:rFonts w:ascii="Arial" w:cs="Arial" w:eastAsia="Arial" w:hAnsi="Arial"/>
                <w:sz w:val="13"/>
                <w:szCs w:val="13"/>
                <w:b w:val="1"/>
                <w:bCs w:val="1"/>
                <w:color w:val="auto"/>
              </w:rPr>
              <w:t>2025</w:t>
            </w: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21"/>
                <w:szCs w:val="21"/>
                <w:color w:val="auto"/>
              </w:rPr>
            </w:pPr>
          </w:p>
        </w:tc>
      </w:tr>
      <w:tr>
        <w:trPr>
          <w:trHeight w:val="58"/>
        </w:trPr>
        <w:tc>
          <w:tcPr>
            <w:tcW w:w="4000" w:type="dxa"/>
            <w:vAlign w:val="bottom"/>
          </w:tcPr>
          <w:p>
            <w:pPr>
              <w:spacing w:after="0"/>
              <w:rPr>
                <w:sz w:val="5"/>
                <w:szCs w:val="5"/>
                <w:color w:val="auto"/>
              </w:rPr>
            </w:pPr>
          </w:p>
        </w:tc>
        <w:tc>
          <w:tcPr>
            <w:tcW w:w="3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4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First Quarter</w:t>
            </w:r>
          </w:p>
        </w:tc>
        <w:tc>
          <w:tcPr>
            <w:tcW w:w="3580" w:type="dxa"/>
            <w:vAlign w:val="bottom"/>
            <w:shd w:val="clear" w:color="auto" w:fill="E5E5E5"/>
          </w:tcPr>
          <w:p>
            <w:pPr>
              <w:jc w:val="right"/>
              <w:ind w:right="61"/>
              <w:spacing w:after="0"/>
              <w:rPr>
                <w:sz w:val="20"/>
                <w:szCs w:val="20"/>
                <w:color w:val="auto"/>
              </w:rPr>
            </w:pPr>
            <w:r>
              <w:rPr>
                <w:rFonts w:ascii="Arial" w:cs="Arial" w:eastAsia="Arial" w:hAnsi="Arial"/>
                <w:sz w:val="18"/>
                <w:szCs w:val="18"/>
                <w:b w:val="1"/>
                <w:bCs w:val="1"/>
                <w:color w:val="auto"/>
              </w:rPr>
              <w:t>7</w:t>
            </w:r>
          </w:p>
        </w:tc>
        <w:tc>
          <w:tcPr>
            <w:tcW w:w="42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E5E5E5"/>
          </w:tcPr>
          <w:p>
            <w:pPr>
              <w:jc w:val="right"/>
              <w:ind w:right="305"/>
              <w:spacing w:after="0"/>
              <w:rPr>
                <w:sz w:val="20"/>
                <w:szCs w:val="20"/>
                <w:color w:val="auto"/>
              </w:rPr>
            </w:pPr>
            <w:r>
              <w:rPr>
                <w:rFonts w:ascii="Arial" w:cs="Arial" w:eastAsia="Arial" w:hAnsi="Arial"/>
                <w:sz w:val="18"/>
                <w:szCs w:val="18"/>
                <w:b w:val="1"/>
                <w:bCs w:val="1"/>
                <w:color w:val="auto"/>
              </w:rPr>
              <w:t>2,800</w:t>
            </w:r>
          </w:p>
        </w:tc>
        <w:tc>
          <w:tcPr>
            <w:tcW w:w="940" w:type="dxa"/>
            <w:vAlign w:val="bottom"/>
            <w:shd w:val="clear" w:color="auto" w:fill="E5E5E5"/>
          </w:tcPr>
          <w:p>
            <w:pPr>
              <w:jc w:val="right"/>
              <w:ind w:right="41"/>
              <w:spacing w:after="0"/>
              <w:rPr>
                <w:sz w:val="20"/>
                <w:szCs w:val="20"/>
                <w:color w:val="auto"/>
              </w:rPr>
            </w:pPr>
            <w:r>
              <w:rPr>
                <w:rFonts w:ascii="Arial" w:cs="Arial" w:eastAsia="Arial" w:hAnsi="Arial"/>
                <w:sz w:val="18"/>
                <w:szCs w:val="18"/>
                <w:color w:val="auto"/>
              </w:rPr>
              <w:t>11</w:t>
            </w:r>
          </w:p>
        </w:tc>
        <w:tc>
          <w:tcPr>
            <w:tcW w:w="40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3,560</w:t>
            </w:r>
          </w:p>
        </w:tc>
        <w:tc>
          <w:tcPr>
            <w:tcW w:w="100" w:type="dxa"/>
            <w:vAlign w:val="bottom"/>
            <w:shd w:val="clear" w:color="auto" w:fill="E5E5E5"/>
          </w:tcPr>
          <w:p>
            <w:pPr>
              <w:spacing w:after="0"/>
              <w:rPr>
                <w:sz w:val="19"/>
                <w:szCs w:val="19"/>
                <w:color w:val="auto"/>
              </w:rPr>
            </w:pPr>
          </w:p>
        </w:tc>
      </w:tr>
      <w:tr>
        <w:trPr>
          <w:trHeight w:val="67"/>
        </w:trPr>
        <w:tc>
          <w:tcPr>
            <w:tcW w:w="4000" w:type="dxa"/>
            <w:vAlign w:val="bottom"/>
            <w:tcBorders>
              <w:bottom w:val="single" w:sz="8" w:color="auto"/>
            </w:tcBorders>
          </w:tcPr>
          <w:p>
            <w:pPr>
              <w:spacing w:after="0"/>
              <w:rPr>
                <w:sz w:val="5"/>
                <w:szCs w:val="5"/>
                <w:color w:val="auto"/>
              </w:rPr>
            </w:pPr>
          </w:p>
        </w:tc>
        <w:tc>
          <w:tcPr>
            <w:tcW w:w="35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170"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All repurchases were made using cash resources. All shares repurchased were under the share repurchase program approved on September 14, 2021. The above table excludes shares repurchased to settle employee tax withholding related to the vesting of stock awards of $1.3 billion for the first quarter of both fiscal years 2025 and 2024.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Declaration Date</w:t>
            </w:r>
          </w:p>
        </w:tc>
        <w:tc>
          <w:tcPr>
            <w:tcW w:w="2920" w:type="dxa"/>
            <w:vAlign w:val="bottom"/>
            <w:vMerge w:val="restart"/>
          </w:tcPr>
          <w:p>
            <w:pPr>
              <w:ind w:left="860"/>
              <w:spacing w:after="0"/>
              <w:rPr>
                <w:sz w:val="20"/>
                <w:szCs w:val="20"/>
                <w:color w:val="auto"/>
              </w:rPr>
            </w:pPr>
            <w:r>
              <w:rPr>
                <w:rFonts w:ascii="Arial" w:cs="Arial" w:eastAsia="Arial" w:hAnsi="Arial"/>
                <w:sz w:val="13"/>
                <w:szCs w:val="13"/>
                <w:b w:val="1"/>
                <w:bCs w:val="1"/>
                <w:color w:val="auto"/>
              </w:rPr>
              <w:t>Record Date</w:t>
            </w:r>
          </w:p>
        </w:tc>
        <w:tc>
          <w:tcPr>
            <w:tcW w:w="2480" w:type="dxa"/>
            <w:vAlign w:val="bottom"/>
            <w:vMerge w:val="restart"/>
          </w:tcPr>
          <w:p>
            <w:pPr>
              <w:ind w:left="440"/>
              <w:spacing w:after="0"/>
              <w:rPr>
                <w:sz w:val="20"/>
                <w:szCs w:val="20"/>
                <w:color w:val="auto"/>
              </w:rPr>
            </w:pPr>
            <w:r>
              <w:rPr>
                <w:rFonts w:ascii="Arial" w:cs="Arial" w:eastAsia="Arial" w:hAnsi="Arial"/>
                <w:sz w:val="13"/>
                <w:szCs w:val="13"/>
                <w:b w:val="1"/>
                <w:bCs w:val="1"/>
                <w:color w:val="auto"/>
              </w:rPr>
              <w:t>Payment Date</w:t>
            </w:r>
          </w:p>
        </w:tc>
        <w:tc>
          <w:tcPr>
            <w:tcW w:w="780" w:type="dxa"/>
            <w:vAlign w:val="bottom"/>
          </w:tcPr>
          <w:p>
            <w:pPr>
              <w:spacing w:after="0"/>
              <w:rPr>
                <w:sz w:val="12"/>
                <w:szCs w:val="12"/>
                <w:color w:val="auto"/>
              </w:rPr>
            </w:pPr>
          </w:p>
        </w:tc>
        <w:tc>
          <w:tcPr>
            <w:tcW w:w="1000" w:type="dxa"/>
            <w:vAlign w:val="bottom"/>
          </w:tcPr>
          <w:p>
            <w:pPr>
              <w:jc w:val="right"/>
              <w:ind w:right="41"/>
              <w:spacing w:after="0"/>
              <w:rPr>
                <w:sz w:val="20"/>
                <w:szCs w:val="20"/>
                <w:color w:val="auto"/>
              </w:rPr>
            </w:pPr>
            <w:r>
              <w:rPr>
                <w:rFonts w:ascii="Arial" w:cs="Arial" w:eastAsia="Arial" w:hAnsi="Arial"/>
                <w:sz w:val="13"/>
                <w:szCs w:val="13"/>
                <w:b w:val="1"/>
                <w:bCs w:val="1"/>
                <w:color w:val="auto"/>
              </w:rPr>
              <w:t>Dividend</w:t>
            </w:r>
          </w:p>
        </w:tc>
        <w:tc>
          <w:tcPr>
            <w:tcW w:w="420" w:type="dxa"/>
            <w:vAlign w:val="bottom"/>
          </w:tcPr>
          <w:p>
            <w:pPr>
              <w:spacing w:after="0"/>
              <w:rPr>
                <w:sz w:val="12"/>
                <w:szCs w:val="12"/>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86"/>
        </w:trPr>
        <w:tc>
          <w:tcPr>
            <w:tcW w:w="2580" w:type="dxa"/>
            <w:vAlign w:val="bottom"/>
            <w:vMerge w:val="continue"/>
          </w:tcPr>
          <w:p>
            <w:pPr>
              <w:spacing w:after="0"/>
              <w:rPr>
                <w:sz w:val="16"/>
                <w:szCs w:val="16"/>
                <w:color w:val="auto"/>
              </w:rPr>
            </w:pPr>
          </w:p>
        </w:tc>
        <w:tc>
          <w:tcPr>
            <w:tcW w:w="2920" w:type="dxa"/>
            <w:vAlign w:val="bottom"/>
            <w:vMerge w:val="continue"/>
          </w:tcPr>
          <w:p>
            <w:pPr>
              <w:spacing w:after="0"/>
              <w:rPr>
                <w:sz w:val="16"/>
                <w:szCs w:val="16"/>
                <w:color w:val="auto"/>
              </w:rPr>
            </w:pPr>
          </w:p>
        </w:tc>
        <w:tc>
          <w:tcPr>
            <w:tcW w:w="248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jc w:val="right"/>
              <w:ind w:right="41"/>
              <w:spacing w:after="0"/>
              <w:rPr>
                <w:sz w:val="20"/>
                <w:szCs w:val="20"/>
                <w:color w:val="auto"/>
              </w:rPr>
            </w:pPr>
            <w:r>
              <w:rPr>
                <w:rFonts w:ascii="Arial" w:cs="Arial" w:eastAsia="Arial" w:hAnsi="Arial"/>
                <w:sz w:val="13"/>
                <w:szCs w:val="13"/>
                <w:b w:val="1"/>
                <w:bCs w:val="1"/>
                <w:color w:val="auto"/>
              </w:rPr>
              <w:t>Per Share</w:t>
            </w:r>
          </w:p>
        </w:tc>
        <w:tc>
          <w:tcPr>
            <w:tcW w:w="4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58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580" w:type="dxa"/>
            <w:vAlign w:val="bottom"/>
          </w:tcPr>
          <w:p>
            <w:pPr>
              <w:ind w:left="20"/>
              <w:spacing w:after="0"/>
              <w:rPr>
                <w:sz w:val="20"/>
                <w:szCs w:val="20"/>
                <w:color w:val="auto"/>
              </w:rPr>
            </w:pPr>
            <w:r>
              <w:rPr>
                <w:rFonts w:ascii="Arial" w:cs="Arial" w:eastAsia="Arial" w:hAnsi="Arial"/>
                <w:sz w:val="13"/>
                <w:szCs w:val="13"/>
                <w:b w:val="1"/>
                <w:bCs w:val="1"/>
                <w:color w:val="auto"/>
              </w:rPr>
              <w:t>Fiscal Year 2025</w:t>
            </w:r>
          </w:p>
        </w:tc>
        <w:tc>
          <w:tcPr>
            <w:tcW w:w="29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58"/>
        </w:trPr>
        <w:tc>
          <w:tcPr>
            <w:tcW w:w="2580" w:type="dxa"/>
            <w:vAlign w:val="bottom"/>
          </w:tcPr>
          <w:p>
            <w:pPr>
              <w:spacing w:after="0"/>
              <w:rPr>
                <w:sz w:val="5"/>
                <w:szCs w:val="5"/>
                <w:color w:val="auto"/>
              </w:rPr>
            </w:pPr>
          </w:p>
        </w:tc>
        <w:tc>
          <w:tcPr>
            <w:tcW w:w="29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58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September 16, 2024</w:t>
            </w:r>
          </w:p>
        </w:tc>
        <w:tc>
          <w:tcPr>
            <w:tcW w:w="2920" w:type="dxa"/>
            <w:vAlign w:val="bottom"/>
            <w:shd w:val="clear" w:color="auto" w:fill="E5E5E5"/>
          </w:tcPr>
          <w:p>
            <w:pPr>
              <w:ind w:left="860"/>
              <w:spacing w:after="0"/>
              <w:rPr>
                <w:sz w:val="20"/>
                <w:szCs w:val="20"/>
                <w:color w:val="auto"/>
              </w:rPr>
            </w:pPr>
            <w:r>
              <w:rPr>
                <w:rFonts w:ascii="Arial" w:cs="Arial" w:eastAsia="Arial" w:hAnsi="Arial"/>
                <w:sz w:val="18"/>
                <w:szCs w:val="18"/>
                <w:b w:val="1"/>
                <w:bCs w:val="1"/>
                <w:color w:val="auto"/>
              </w:rPr>
              <w:t>November 21, 2024</w:t>
            </w:r>
          </w:p>
        </w:tc>
        <w:tc>
          <w:tcPr>
            <w:tcW w:w="2480" w:type="dxa"/>
            <w:vAlign w:val="bottom"/>
            <w:shd w:val="clear" w:color="auto" w:fill="E5E5E5"/>
          </w:tcPr>
          <w:p>
            <w:pPr>
              <w:ind w:left="440"/>
              <w:spacing w:after="0"/>
              <w:rPr>
                <w:sz w:val="20"/>
                <w:szCs w:val="20"/>
                <w:color w:val="auto"/>
              </w:rPr>
            </w:pPr>
            <w:r>
              <w:rPr>
                <w:rFonts w:ascii="Arial" w:cs="Arial" w:eastAsia="Arial" w:hAnsi="Arial"/>
                <w:sz w:val="18"/>
                <w:szCs w:val="18"/>
                <w:b w:val="1"/>
                <w:bCs w:val="1"/>
                <w:color w:val="auto"/>
              </w:rPr>
              <w:t>December 12, 2024</w:t>
            </w:r>
          </w:p>
        </w:tc>
        <w:tc>
          <w:tcPr>
            <w:tcW w:w="780" w:type="dxa"/>
            <w:vAlign w:val="bottom"/>
            <w:shd w:val="clear" w:color="auto" w:fill="E5E5E5"/>
          </w:tcPr>
          <w:p>
            <w:pPr>
              <w:jc w:val="right"/>
              <w:ind w:right="1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5E5E5"/>
          </w:tcPr>
          <w:p>
            <w:pPr>
              <w:jc w:val="right"/>
              <w:ind w:right="41"/>
              <w:spacing w:after="0"/>
              <w:rPr>
                <w:sz w:val="20"/>
                <w:szCs w:val="20"/>
                <w:color w:val="auto"/>
              </w:rPr>
            </w:pPr>
            <w:r>
              <w:rPr>
                <w:rFonts w:ascii="Arial" w:cs="Arial" w:eastAsia="Arial" w:hAnsi="Arial"/>
                <w:sz w:val="18"/>
                <w:szCs w:val="18"/>
                <w:b w:val="1"/>
                <w:bCs w:val="1"/>
                <w:color w:val="auto"/>
              </w:rPr>
              <w:t>0.83</w:t>
            </w:r>
          </w:p>
        </w:tc>
        <w:tc>
          <w:tcPr>
            <w:tcW w:w="42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6,172</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580" w:type="dxa"/>
            <w:vAlign w:val="bottom"/>
          </w:tcPr>
          <w:p>
            <w:pPr>
              <w:ind w:left="20"/>
              <w:spacing w:after="0"/>
              <w:rPr>
                <w:sz w:val="20"/>
                <w:szCs w:val="20"/>
                <w:color w:val="auto"/>
              </w:rPr>
            </w:pPr>
            <w:r>
              <w:rPr>
                <w:rFonts w:ascii="Arial" w:cs="Arial" w:eastAsia="Arial" w:hAnsi="Arial"/>
                <w:sz w:val="13"/>
                <w:szCs w:val="13"/>
                <w:b w:val="1"/>
                <w:bCs w:val="1"/>
                <w:color w:val="auto"/>
              </w:rPr>
              <w:t>Fiscal Year 2024</w:t>
            </w:r>
          </w:p>
        </w:tc>
        <w:tc>
          <w:tcPr>
            <w:tcW w:w="29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580" w:type="dxa"/>
            <w:vAlign w:val="bottom"/>
          </w:tcPr>
          <w:p>
            <w:pPr>
              <w:spacing w:after="0"/>
              <w:rPr>
                <w:sz w:val="5"/>
                <w:szCs w:val="5"/>
                <w:color w:val="auto"/>
              </w:rPr>
            </w:pPr>
          </w:p>
        </w:tc>
        <w:tc>
          <w:tcPr>
            <w:tcW w:w="29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580" w:type="dxa"/>
            <w:vAlign w:val="bottom"/>
            <w:shd w:val="clear" w:color="auto" w:fill="E5E5E5"/>
          </w:tcPr>
          <w:p>
            <w:pPr>
              <w:ind w:left="20"/>
              <w:spacing w:after="0"/>
              <w:rPr>
                <w:sz w:val="20"/>
                <w:szCs w:val="20"/>
                <w:color w:val="auto"/>
              </w:rPr>
            </w:pPr>
            <w:r>
              <w:rPr>
                <w:rFonts w:ascii="Arial" w:cs="Arial" w:eastAsia="Arial" w:hAnsi="Arial"/>
                <w:sz w:val="18"/>
                <w:szCs w:val="18"/>
                <w:color w:val="auto"/>
              </w:rPr>
              <w:t>September 19, 2023</w:t>
            </w:r>
          </w:p>
        </w:tc>
        <w:tc>
          <w:tcPr>
            <w:tcW w:w="2920" w:type="dxa"/>
            <w:vAlign w:val="bottom"/>
            <w:shd w:val="clear" w:color="auto" w:fill="E5E5E5"/>
          </w:tcPr>
          <w:p>
            <w:pPr>
              <w:ind w:left="860"/>
              <w:spacing w:after="0"/>
              <w:rPr>
                <w:sz w:val="20"/>
                <w:szCs w:val="20"/>
                <w:color w:val="auto"/>
              </w:rPr>
            </w:pPr>
            <w:r>
              <w:rPr>
                <w:rFonts w:ascii="Arial" w:cs="Arial" w:eastAsia="Arial" w:hAnsi="Arial"/>
                <w:sz w:val="18"/>
                <w:szCs w:val="18"/>
                <w:color w:val="auto"/>
              </w:rPr>
              <w:t>November 16, 2023</w:t>
            </w:r>
          </w:p>
        </w:tc>
        <w:tc>
          <w:tcPr>
            <w:tcW w:w="24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December 14, 2023</w:t>
            </w:r>
          </w:p>
        </w:tc>
        <w:tc>
          <w:tcPr>
            <w:tcW w:w="780" w:type="dxa"/>
            <w:vAlign w:val="bottom"/>
            <w:shd w:val="clear" w:color="auto" w:fill="E5E5E5"/>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41"/>
              <w:spacing w:after="0"/>
              <w:rPr>
                <w:sz w:val="20"/>
                <w:szCs w:val="20"/>
                <w:color w:val="auto"/>
              </w:rPr>
            </w:pPr>
            <w:r>
              <w:rPr>
                <w:rFonts w:ascii="Arial" w:cs="Arial" w:eastAsia="Arial" w:hAnsi="Arial"/>
                <w:sz w:val="18"/>
                <w:szCs w:val="18"/>
                <w:color w:val="auto"/>
              </w:rPr>
              <w:t>0.75</w:t>
            </w:r>
          </w:p>
        </w:tc>
        <w:tc>
          <w:tcPr>
            <w:tcW w:w="42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5,574</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58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dividend declared on September 16, 2024 was included in other current liabilities as of September 30, 2024.</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6" w:name="page27"/>
    <w:bookmarkEnd w:id="26"/>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50" w:lineRule="exact"/>
        <w:rPr>
          <w:sz w:val="20"/>
          <w:szCs w:val="20"/>
          <w:color w:val="auto"/>
        </w:rPr>
      </w:pPr>
    </w:p>
    <w:p>
      <w:pPr>
        <w:ind w:left="2580"/>
        <w:spacing w:after="0"/>
        <w:rPr>
          <w:sz w:val="20"/>
          <w:szCs w:val="20"/>
          <w:color w:val="auto"/>
        </w:rPr>
      </w:pPr>
      <w:r>
        <w:rPr>
          <w:rFonts w:ascii="Arial" w:cs="Arial" w:eastAsia="Arial" w:hAnsi="Arial"/>
          <w:sz w:val="18"/>
          <w:szCs w:val="18"/>
          <w:u w:val="single" w:color="auto"/>
          <w:color w:val="auto"/>
        </w:rPr>
        <w:t>NOTE 16 — ACCUMULATED OTHER COMPREHENSIVE INCOME (LOSS)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income (loss) by component:</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0383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38340" cy="825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ind w:left="20"/>
              <w:spacing w:after="0"/>
              <w:rPr>
                <w:sz w:val="20"/>
                <w:szCs w:val="20"/>
                <w:color w:val="auto"/>
              </w:rPr>
            </w:pPr>
            <w:r>
              <w:rPr>
                <w:rFonts w:ascii="Arial" w:cs="Arial" w:eastAsia="Arial" w:hAnsi="Arial"/>
                <w:sz w:val="13"/>
                <w:szCs w:val="13"/>
                <w:b w:val="1"/>
                <w:bCs w:val="1"/>
                <w:color w:val="auto"/>
              </w:rPr>
              <w:t>Three Months Ended September 30,</w:t>
            </w:r>
          </w:p>
        </w:tc>
        <w:tc>
          <w:tcPr>
            <w:tcW w:w="7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6"/>
                <w:szCs w:val="16"/>
                <w:color w:val="auto"/>
              </w:rPr>
            </w:pPr>
          </w:p>
        </w:tc>
      </w:tr>
      <w:tr>
        <w:trPr>
          <w:trHeight w:val="243"/>
        </w:trPr>
        <w:tc>
          <w:tcPr>
            <w:tcW w:w="7060" w:type="dxa"/>
            <w:vAlign w:val="bottom"/>
          </w:tcPr>
          <w:p>
            <w:pPr>
              <w:ind w:left="20"/>
              <w:spacing w:after="0"/>
              <w:rPr>
                <w:sz w:val="20"/>
                <w:szCs w:val="20"/>
                <w:color w:val="auto"/>
              </w:rPr>
            </w:pPr>
            <w:r>
              <w:rPr>
                <w:rFonts w:ascii="Arial" w:cs="Arial" w:eastAsia="Arial" w:hAnsi="Arial"/>
                <w:sz w:val="13"/>
                <w:szCs w:val="13"/>
                <w:b w:val="1"/>
                <w:bCs w:val="1"/>
                <w:color w:val="auto"/>
              </w:rPr>
              <w:t>Derivatives</w:t>
            </w:r>
          </w:p>
        </w:tc>
        <w:tc>
          <w:tcPr>
            <w:tcW w:w="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58"/>
        </w:trPr>
        <w:tc>
          <w:tcPr>
            <w:tcW w:w="7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29"/>
        </w:trPr>
        <w:tc>
          <w:tcPr>
            <w:tcW w:w="7060" w:type="dxa"/>
            <w:vAlign w:val="bottom"/>
            <w:shd w:val="clear" w:color="auto" w:fill="E5E5E5"/>
          </w:tcPr>
          <w:p>
            <w:pPr>
              <w:ind w:left="20"/>
              <w:spacing w:after="0"/>
              <w:rPr>
                <w:sz w:val="20"/>
                <w:szCs w:val="20"/>
                <w:color w:val="auto"/>
              </w:rPr>
            </w:pPr>
            <w:r>
              <w:rPr>
                <w:rFonts w:ascii="Arial" w:cs="Arial" w:eastAsia="Arial" w:hAnsi="Arial"/>
                <w:sz w:val="18"/>
                <w:szCs w:val="18"/>
                <w:color w:val="auto"/>
              </w:rPr>
              <w:t>Balance, beginning of period</w:t>
            </w:r>
          </w:p>
        </w:tc>
        <w:tc>
          <w:tcPr>
            <w:tcW w:w="740" w:type="dxa"/>
            <w:vAlign w:val="bottom"/>
            <w:shd w:val="clear" w:color="auto" w:fill="E5E5E5"/>
          </w:tcPr>
          <w:p>
            <w:pPr>
              <w:jc w:val="right"/>
              <w:ind w:right="5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(3 )</w:t>
            </w:r>
          </w:p>
        </w:tc>
        <w:tc>
          <w:tcPr>
            <w:tcW w:w="720" w:type="dxa"/>
            <w:vAlign w:val="bottom"/>
            <w:shd w:val="clear" w:color="auto" w:fill="E5E5E5"/>
          </w:tcPr>
          <w:p>
            <w:pPr>
              <w:jc w:val="right"/>
              <w:ind w:right="51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(27 )</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 xml:space="preserve">Unrealized gains (losses), net of tax of </w:t>
            </w:r>
            <w:r>
              <w:rPr>
                <w:rFonts w:ascii="Arial" w:cs="Arial" w:eastAsia="Arial" w:hAnsi="Arial"/>
                <w:sz w:val="18"/>
                <w:szCs w:val="18"/>
                <w:b w:val="1"/>
                <w:bCs w:val="1"/>
                <w:color w:val="auto"/>
              </w:rPr>
              <w:t>$7</w:t>
            </w:r>
            <w:r>
              <w:rPr>
                <w:rFonts w:ascii="Arial" w:cs="Arial" w:eastAsia="Arial" w:hAnsi="Arial"/>
                <w:sz w:val="18"/>
                <w:szCs w:val="18"/>
                <w:color w:val="auto"/>
              </w:rPr>
              <w:t xml:space="preserve"> and $(4)</w:t>
            </w:r>
          </w:p>
        </w:tc>
        <w:tc>
          <w:tcPr>
            <w:tcW w:w="7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(15 )</w:t>
            </w:r>
          </w:p>
        </w:tc>
      </w:tr>
      <w:tr>
        <w:trPr>
          <w:trHeight w:val="197"/>
        </w:trPr>
        <w:tc>
          <w:tcPr>
            <w:tcW w:w="7060" w:type="dxa"/>
            <w:vAlign w:val="bottom"/>
            <w:shd w:val="clear" w:color="auto" w:fill="E5E5E5"/>
          </w:tcPr>
          <w:p>
            <w:pPr>
              <w:ind w:left="20"/>
              <w:spacing w:after="0" w:line="197" w:lineRule="exact"/>
              <w:rPr>
                <w:sz w:val="20"/>
                <w:szCs w:val="20"/>
                <w:color w:val="auto"/>
              </w:rPr>
            </w:pPr>
            <w:r>
              <w:rPr>
                <w:rFonts w:ascii="Arial" w:cs="Arial" w:eastAsia="Arial" w:hAnsi="Arial"/>
                <w:sz w:val="18"/>
                <w:szCs w:val="18"/>
                <w:color w:val="auto"/>
              </w:rPr>
              <w:t>Reclassification adjustments for (gains) losses included in other income (expense),</w:t>
            </w:r>
          </w:p>
        </w:tc>
        <w:tc>
          <w:tcPr>
            <w:tcW w:w="740" w:type="dxa"/>
            <w:vAlign w:val="bottom"/>
            <w:shd w:val="clear" w:color="auto" w:fill="E5E5E5"/>
          </w:tcPr>
          <w:p>
            <w:pPr>
              <w:spacing w:after="0"/>
              <w:rPr>
                <w:sz w:val="17"/>
                <w:szCs w:val="17"/>
                <w:color w:val="auto"/>
              </w:rPr>
            </w:pPr>
          </w:p>
        </w:tc>
        <w:tc>
          <w:tcPr>
            <w:tcW w:w="11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11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r>
      <w:tr>
        <w:trPr>
          <w:trHeight w:val="235"/>
        </w:trPr>
        <w:tc>
          <w:tcPr>
            <w:tcW w:w="70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net</w:t>
            </w:r>
          </w:p>
        </w:tc>
        <w:tc>
          <w:tcPr>
            <w:tcW w:w="740" w:type="dxa"/>
            <w:vAlign w:val="bottom"/>
            <w:shd w:val="clear" w:color="auto" w:fill="E5E5E5"/>
          </w:tcPr>
          <w:p>
            <w:pPr>
              <w:spacing w:after="0"/>
              <w:rPr>
                <w:sz w:val="20"/>
                <w:szCs w:val="20"/>
                <w:color w:val="auto"/>
              </w:rPr>
            </w:pPr>
          </w:p>
        </w:tc>
        <w:tc>
          <w:tcPr>
            <w:tcW w:w="144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(49 )</w:t>
            </w:r>
          </w:p>
        </w:tc>
        <w:tc>
          <w:tcPr>
            <w:tcW w:w="72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E5E5E5"/>
          </w:tcPr>
          <w:p>
            <w:pPr>
              <w:spacing w:after="0"/>
              <w:rPr>
                <w:sz w:val="20"/>
                <w:szCs w:val="20"/>
                <w:color w:val="auto"/>
              </w:rPr>
            </w:pPr>
          </w:p>
        </w:tc>
      </w:tr>
      <w:tr>
        <w:trPr>
          <w:trHeight w:val="247"/>
        </w:trPr>
        <w:tc>
          <w:tcPr>
            <w:tcW w:w="7060" w:type="dxa"/>
            <w:vAlign w:val="bottom"/>
          </w:tcPr>
          <w:p>
            <w:pPr>
              <w:ind w:left="20"/>
              <w:spacing w:after="0"/>
              <w:rPr>
                <w:sz w:val="20"/>
                <w:szCs w:val="20"/>
                <w:color w:val="auto"/>
              </w:rPr>
            </w:pPr>
            <w:r>
              <w:rPr>
                <w:rFonts w:ascii="Arial" w:cs="Arial" w:eastAsia="Arial" w:hAnsi="Arial"/>
                <w:sz w:val="18"/>
                <w:szCs w:val="18"/>
                <w:color w:val="auto"/>
              </w:rPr>
              <w:t>Tax expense (benefit) included in provision for income taxes</w:t>
            </w:r>
          </w:p>
        </w:tc>
        <w:tc>
          <w:tcPr>
            <w:tcW w:w="7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(10 )</w:t>
            </w:r>
          </w:p>
        </w:tc>
      </w:tr>
      <w:tr>
        <w:trPr>
          <w:trHeight w:val="50"/>
        </w:trPr>
        <w:tc>
          <w:tcPr>
            <w:tcW w:w="70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61"/>
        </w:trPr>
        <w:tc>
          <w:tcPr>
            <w:tcW w:w="7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29"/>
        </w:trPr>
        <w:tc>
          <w:tcPr>
            <w:tcW w:w="70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Amounts reclassified from accumulated other comprehensive loss</w:t>
            </w:r>
          </w:p>
        </w:tc>
        <w:tc>
          <w:tcPr>
            <w:tcW w:w="740" w:type="dxa"/>
            <w:vAlign w:val="bottom"/>
            <w:shd w:val="clear" w:color="auto" w:fill="E5E5E5"/>
          </w:tcPr>
          <w:p>
            <w:pPr>
              <w:spacing w:after="0"/>
              <w:rPr>
                <w:sz w:val="19"/>
                <w:szCs w:val="19"/>
                <w:color w:val="auto"/>
              </w:rPr>
            </w:pPr>
          </w:p>
        </w:tc>
        <w:tc>
          <w:tcPr>
            <w:tcW w:w="144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(39 )</w:t>
            </w:r>
          </w:p>
        </w:tc>
        <w:tc>
          <w:tcPr>
            <w:tcW w:w="720" w:type="dxa"/>
            <w:vAlign w:val="bottom"/>
            <w:shd w:val="clear" w:color="auto" w:fill="E5E5E5"/>
          </w:tcPr>
          <w:p>
            <w:pPr>
              <w:spacing w:after="0"/>
              <w:rPr>
                <w:sz w:val="19"/>
                <w:szCs w:val="19"/>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E5E5E5"/>
          </w:tcPr>
          <w:p>
            <w:pPr>
              <w:spacing w:after="0"/>
              <w:rPr>
                <w:sz w:val="19"/>
                <w:szCs w:val="19"/>
                <w:color w:val="auto"/>
              </w:rPr>
            </w:pPr>
          </w:p>
        </w:tc>
      </w:tr>
      <w:tr>
        <w:trPr>
          <w:trHeight w:val="67"/>
        </w:trPr>
        <w:tc>
          <w:tcPr>
            <w:tcW w:w="70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r>
      <w:tr>
        <w:trPr>
          <w:trHeight w:val="302"/>
        </w:trPr>
        <w:tc>
          <w:tcPr>
            <w:tcW w:w="7060" w:type="dxa"/>
            <w:vAlign w:val="bottom"/>
          </w:tcPr>
          <w:p>
            <w:pPr>
              <w:ind w:left="20"/>
              <w:spacing w:after="0"/>
              <w:rPr>
                <w:sz w:val="20"/>
                <w:szCs w:val="20"/>
                <w:color w:val="auto"/>
              </w:rPr>
            </w:pPr>
            <w:r>
              <w:rPr>
                <w:rFonts w:ascii="Arial" w:cs="Arial" w:eastAsia="Arial" w:hAnsi="Arial"/>
                <w:sz w:val="18"/>
                <w:szCs w:val="18"/>
                <w:color w:val="auto"/>
              </w:rPr>
              <w:t xml:space="preserve">Net change related to derivatives, net of tax of </w:t>
            </w:r>
            <w:r>
              <w:rPr>
                <w:rFonts w:ascii="Arial" w:cs="Arial" w:eastAsia="Arial" w:hAnsi="Arial"/>
                <w:sz w:val="18"/>
                <w:szCs w:val="18"/>
                <w:b w:val="1"/>
                <w:bCs w:val="1"/>
                <w:color w:val="auto"/>
              </w:rPr>
              <w:t>$(3)</w:t>
            </w:r>
            <w:r>
              <w:rPr>
                <w:rFonts w:ascii="Arial" w:cs="Arial" w:eastAsia="Arial" w:hAnsi="Arial"/>
                <w:sz w:val="18"/>
                <w:szCs w:val="18"/>
                <w:color w:val="auto"/>
              </w:rPr>
              <w:t xml:space="preserve"> and $6</w:t>
            </w:r>
          </w:p>
        </w:tc>
        <w:tc>
          <w:tcPr>
            <w:tcW w:w="740" w:type="dxa"/>
            <w:vAlign w:val="bottom"/>
          </w:tcPr>
          <w:p>
            <w:pPr>
              <w:spacing w:after="0"/>
              <w:rPr>
                <w:sz w:val="24"/>
                <w:szCs w:val="2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(10 )</w:t>
            </w:r>
          </w:p>
        </w:tc>
        <w:tc>
          <w:tcPr>
            <w:tcW w:w="7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r>
      <w:tr>
        <w:trPr>
          <w:trHeight w:val="55"/>
        </w:trPr>
        <w:tc>
          <w:tcPr>
            <w:tcW w:w="70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61"/>
        </w:trPr>
        <w:tc>
          <w:tcPr>
            <w:tcW w:w="7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29"/>
        </w:trPr>
        <w:tc>
          <w:tcPr>
            <w:tcW w:w="7060" w:type="dxa"/>
            <w:vAlign w:val="bottom"/>
            <w:shd w:val="clear" w:color="auto" w:fill="E5E5E5"/>
          </w:tcPr>
          <w:p>
            <w:pPr>
              <w:ind w:left="20"/>
              <w:spacing w:after="0"/>
              <w:rPr>
                <w:sz w:val="20"/>
                <w:szCs w:val="20"/>
                <w:color w:val="auto"/>
              </w:rPr>
            </w:pPr>
            <w:r>
              <w:rPr>
                <w:rFonts w:ascii="Arial" w:cs="Arial" w:eastAsia="Arial" w:hAnsi="Arial"/>
                <w:sz w:val="18"/>
                <w:szCs w:val="18"/>
                <w:color w:val="auto"/>
              </w:rPr>
              <w:t>Balance, end of period</w:t>
            </w:r>
          </w:p>
        </w:tc>
        <w:tc>
          <w:tcPr>
            <w:tcW w:w="740" w:type="dxa"/>
            <w:vAlign w:val="bottom"/>
            <w:shd w:val="clear" w:color="auto" w:fill="E5E5E5"/>
          </w:tcPr>
          <w:p>
            <w:pPr>
              <w:jc w:val="right"/>
              <w:ind w:right="5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(13 )</w:t>
            </w:r>
          </w:p>
        </w:tc>
        <w:tc>
          <w:tcPr>
            <w:tcW w:w="720" w:type="dxa"/>
            <w:vAlign w:val="bottom"/>
            <w:shd w:val="clear" w:color="auto" w:fill="E5E5E5"/>
          </w:tcPr>
          <w:p>
            <w:pPr>
              <w:jc w:val="right"/>
              <w:ind w:right="51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(6 )</w:t>
            </w:r>
          </w:p>
        </w:tc>
      </w:tr>
      <w:tr>
        <w:trPr>
          <w:trHeight w:val="67"/>
        </w:trPr>
        <w:tc>
          <w:tcPr>
            <w:tcW w:w="70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r>
      <w:tr>
        <w:trPr>
          <w:trHeight w:val="246"/>
        </w:trPr>
        <w:tc>
          <w:tcPr>
            <w:tcW w:w="7060" w:type="dxa"/>
            <w:vAlign w:val="bottom"/>
          </w:tcPr>
          <w:p>
            <w:pPr>
              <w:ind w:left="20"/>
              <w:spacing w:after="0"/>
              <w:rPr>
                <w:sz w:val="20"/>
                <w:szCs w:val="20"/>
                <w:color w:val="auto"/>
              </w:rPr>
            </w:pPr>
            <w:r>
              <w:rPr>
                <w:rFonts w:ascii="Arial" w:cs="Arial" w:eastAsia="Arial" w:hAnsi="Arial"/>
                <w:sz w:val="13"/>
                <w:szCs w:val="13"/>
                <w:b w:val="1"/>
                <w:bCs w:val="1"/>
                <w:color w:val="auto"/>
              </w:rPr>
              <w:t>Investments</w:t>
            </w:r>
          </w:p>
        </w:tc>
        <w:tc>
          <w:tcPr>
            <w:tcW w:w="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58"/>
        </w:trPr>
        <w:tc>
          <w:tcPr>
            <w:tcW w:w="7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29"/>
        </w:trPr>
        <w:tc>
          <w:tcPr>
            <w:tcW w:w="7060" w:type="dxa"/>
            <w:vAlign w:val="bottom"/>
            <w:shd w:val="clear" w:color="auto" w:fill="E5E5E5"/>
          </w:tcPr>
          <w:p>
            <w:pPr>
              <w:ind w:left="20"/>
              <w:spacing w:after="0"/>
              <w:rPr>
                <w:sz w:val="20"/>
                <w:szCs w:val="20"/>
                <w:color w:val="auto"/>
              </w:rPr>
            </w:pPr>
            <w:r>
              <w:rPr>
                <w:rFonts w:ascii="Arial" w:cs="Arial" w:eastAsia="Arial" w:hAnsi="Arial"/>
                <w:sz w:val="18"/>
                <w:szCs w:val="18"/>
                <w:color w:val="auto"/>
              </w:rPr>
              <w:t>Balance, beginning of period</w:t>
            </w:r>
          </w:p>
        </w:tc>
        <w:tc>
          <w:tcPr>
            <w:tcW w:w="740" w:type="dxa"/>
            <w:vAlign w:val="bottom"/>
            <w:shd w:val="clear" w:color="auto" w:fill="E5E5E5"/>
          </w:tcPr>
          <w:p>
            <w:pPr>
              <w:jc w:val="right"/>
              <w:ind w:right="5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(2,625 )</w:t>
            </w:r>
          </w:p>
        </w:tc>
        <w:tc>
          <w:tcPr>
            <w:tcW w:w="720" w:type="dxa"/>
            <w:vAlign w:val="bottom"/>
            <w:shd w:val="clear" w:color="auto" w:fill="E5E5E5"/>
          </w:tcPr>
          <w:p>
            <w:pPr>
              <w:jc w:val="right"/>
              <w:ind w:right="51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(3,582 )</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 xml:space="preserve">Unrealized gains (losses), net of tax of </w:t>
            </w:r>
            <w:r>
              <w:rPr>
                <w:rFonts w:ascii="Arial" w:cs="Arial" w:eastAsia="Arial" w:hAnsi="Arial"/>
                <w:sz w:val="18"/>
                <w:szCs w:val="18"/>
                <w:b w:val="1"/>
                <w:bCs w:val="1"/>
                <w:color w:val="auto"/>
              </w:rPr>
              <w:t>$297</w:t>
            </w:r>
            <w:r>
              <w:rPr>
                <w:rFonts w:ascii="Arial" w:cs="Arial" w:eastAsia="Arial" w:hAnsi="Arial"/>
                <w:sz w:val="18"/>
                <w:szCs w:val="18"/>
                <w:color w:val="auto"/>
              </w:rPr>
              <w:t xml:space="preserve"> and $(75)</w:t>
            </w:r>
          </w:p>
        </w:tc>
        <w:tc>
          <w:tcPr>
            <w:tcW w:w="7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1,118</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(283 )</w:t>
            </w:r>
          </w:p>
        </w:tc>
      </w:tr>
      <w:tr>
        <w:trPr>
          <w:trHeight w:val="197"/>
        </w:trPr>
        <w:tc>
          <w:tcPr>
            <w:tcW w:w="7060" w:type="dxa"/>
            <w:vAlign w:val="bottom"/>
            <w:shd w:val="clear" w:color="auto" w:fill="E5E5E5"/>
          </w:tcPr>
          <w:p>
            <w:pPr>
              <w:ind w:left="20"/>
              <w:spacing w:after="0" w:line="197" w:lineRule="exact"/>
              <w:rPr>
                <w:sz w:val="20"/>
                <w:szCs w:val="20"/>
                <w:color w:val="auto"/>
              </w:rPr>
            </w:pPr>
            <w:r>
              <w:rPr>
                <w:rFonts w:ascii="Arial" w:cs="Arial" w:eastAsia="Arial" w:hAnsi="Arial"/>
                <w:sz w:val="18"/>
                <w:szCs w:val="18"/>
                <w:color w:val="auto"/>
              </w:rPr>
              <w:t>Reclassification adjustments for (gains) losses included in other income (expense),</w:t>
            </w:r>
          </w:p>
        </w:tc>
        <w:tc>
          <w:tcPr>
            <w:tcW w:w="740" w:type="dxa"/>
            <w:vAlign w:val="bottom"/>
            <w:shd w:val="clear" w:color="auto" w:fill="E5E5E5"/>
          </w:tcPr>
          <w:p>
            <w:pPr>
              <w:spacing w:after="0"/>
              <w:rPr>
                <w:sz w:val="17"/>
                <w:szCs w:val="17"/>
                <w:color w:val="auto"/>
              </w:rPr>
            </w:pPr>
          </w:p>
        </w:tc>
        <w:tc>
          <w:tcPr>
            <w:tcW w:w="11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11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r>
      <w:tr>
        <w:trPr>
          <w:trHeight w:val="235"/>
        </w:trPr>
        <w:tc>
          <w:tcPr>
            <w:tcW w:w="70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net</w:t>
            </w:r>
          </w:p>
        </w:tc>
        <w:tc>
          <w:tcPr>
            <w:tcW w:w="740" w:type="dxa"/>
            <w:vAlign w:val="bottom"/>
            <w:shd w:val="clear" w:color="auto" w:fill="E5E5E5"/>
          </w:tcPr>
          <w:p>
            <w:pPr>
              <w:spacing w:after="0"/>
              <w:rPr>
                <w:sz w:val="20"/>
                <w:szCs w:val="20"/>
                <w:color w:val="auto"/>
              </w:rPr>
            </w:pPr>
          </w:p>
        </w:tc>
        <w:tc>
          <w:tcPr>
            <w:tcW w:w="144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(5 )</w:t>
            </w:r>
          </w:p>
        </w:tc>
        <w:tc>
          <w:tcPr>
            <w:tcW w:w="72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E5E5E5"/>
          </w:tcPr>
          <w:p>
            <w:pPr>
              <w:spacing w:after="0"/>
              <w:rPr>
                <w:sz w:val="20"/>
                <w:szCs w:val="20"/>
                <w:color w:val="auto"/>
              </w:rPr>
            </w:pPr>
          </w:p>
        </w:tc>
      </w:tr>
      <w:tr>
        <w:trPr>
          <w:trHeight w:val="247"/>
        </w:trPr>
        <w:tc>
          <w:tcPr>
            <w:tcW w:w="7060" w:type="dxa"/>
            <w:vAlign w:val="bottom"/>
          </w:tcPr>
          <w:p>
            <w:pPr>
              <w:ind w:left="20"/>
              <w:spacing w:after="0"/>
              <w:rPr>
                <w:sz w:val="20"/>
                <w:szCs w:val="20"/>
                <w:color w:val="auto"/>
              </w:rPr>
            </w:pPr>
            <w:r>
              <w:rPr>
                <w:rFonts w:ascii="Arial" w:cs="Arial" w:eastAsia="Arial" w:hAnsi="Arial"/>
                <w:sz w:val="18"/>
                <w:szCs w:val="18"/>
                <w:color w:val="auto"/>
              </w:rPr>
              <w:t>Tax expense (benefit) included in provision for income taxes</w:t>
            </w:r>
          </w:p>
        </w:tc>
        <w:tc>
          <w:tcPr>
            <w:tcW w:w="7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(6 )</w:t>
            </w:r>
          </w:p>
        </w:tc>
      </w:tr>
      <w:tr>
        <w:trPr>
          <w:trHeight w:val="50"/>
        </w:trPr>
        <w:tc>
          <w:tcPr>
            <w:tcW w:w="70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61"/>
        </w:trPr>
        <w:tc>
          <w:tcPr>
            <w:tcW w:w="7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29"/>
        </w:trPr>
        <w:tc>
          <w:tcPr>
            <w:tcW w:w="70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Amounts reclassified from accumulated other comprehensive loss</w:t>
            </w:r>
          </w:p>
        </w:tc>
        <w:tc>
          <w:tcPr>
            <w:tcW w:w="740" w:type="dxa"/>
            <w:vAlign w:val="bottom"/>
            <w:shd w:val="clear" w:color="auto" w:fill="E5E5E5"/>
          </w:tcPr>
          <w:p>
            <w:pPr>
              <w:spacing w:after="0"/>
              <w:rPr>
                <w:sz w:val="19"/>
                <w:szCs w:val="19"/>
                <w:color w:val="auto"/>
              </w:rPr>
            </w:pPr>
          </w:p>
        </w:tc>
        <w:tc>
          <w:tcPr>
            <w:tcW w:w="144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(4 )</w:t>
            </w:r>
          </w:p>
        </w:tc>
        <w:tc>
          <w:tcPr>
            <w:tcW w:w="720" w:type="dxa"/>
            <w:vAlign w:val="bottom"/>
            <w:shd w:val="clear" w:color="auto" w:fill="E5E5E5"/>
          </w:tcPr>
          <w:p>
            <w:pPr>
              <w:spacing w:after="0"/>
              <w:rPr>
                <w:sz w:val="19"/>
                <w:szCs w:val="19"/>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E5E5E5"/>
          </w:tcPr>
          <w:p>
            <w:pPr>
              <w:spacing w:after="0"/>
              <w:rPr>
                <w:sz w:val="19"/>
                <w:szCs w:val="19"/>
                <w:color w:val="auto"/>
              </w:rPr>
            </w:pPr>
          </w:p>
        </w:tc>
      </w:tr>
      <w:tr>
        <w:trPr>
          <w:trHeight w:val="67"/>
        </w:trPr>
        <w:tc>
          <w:tcPr>
            <w:tcW w:w="70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r>
      <w:tr>
        <w:trPr>
          <w:trHeight w:val="302"/>
        </w:trPr>
        <w:tc>
          <w:tcPr>
            <w:tcW w:w="7060" w:type="dxa"/>
            <w:vAlign w:val="bottom"/>
          </w:tcPr>
          <w:p>
            <w:pPr>
              <w:ind w:left="20"/>
              <w:spacing w:after="0"/>
              <w:rPr>
                <w:sz w:val="20"/>
                <w:szCs w:val="20"/>
                <w:color w:val="auto"/>
              </w:rPr>
            </w:pPr>
            <w:r>
              <w:rPr>
                <w:rFonts w:ascii="Arial" w:cs="Arial" w:eastAsia="Arial" w:hAnsi="Arial"/>
                <w:sz w:val="18"/>
                <w:szCs w:val="18"/>
                <w:color w:val="auto"/>
              </w:rPr>
              <w:t xml:space="preserve">Net change related to investments, net of tax of </w:t>
            </w:r>
            <w:r>
              <w:rPr>
                <w:rFonts w:ascii="Arial" w:cs="Arial" w:eastAsia="Arial" w:hAnsi="Arial"/>
                <w:sz w:val="18"/>
                <w:szCs w:val="18"/>
                <w:b w:val="1"/>
                <w:bCs w:val="1"/>
                <w:color w:val="auto"/>
              </w:rPr>
              <w:t>$296</w:t>
            </w:r>
            <w:r>
              <w:rPr>
                <w:rFonts w:ascii="Arial" w:cs="Arial" w:eastAsia="Arial" w:hAnsi="Arial"/>
                <w:sz w:val="18"/>
                <w:szCs w:val="18"/>
                <w:color w:val="auto"/>
              </w:rPr>
              <w:t xml:space="preserve"> and $(69)</w:t>
            </w:r>
          </w:p>
        </w:tc>
        <w:tc>
          <w:tcPr>
            <w:tcW w:w="7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1,114</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(260 )</w:t>
            </w:r>
          </w:p>
        </w:tc>
      </w:tr>
      <w:tr>
        <w:trPr>
          <w:trHeight w:val="55"/>
        </w:trPr>
        <w:tc>
          <w:tcPr>
            <w:tcW w:w="70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61"/>
        </w:trPr>
        <w:tc>
          <w:tcPr>
            <w:tcW w:w="7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29"/>
        </w:trPr>
        <w:tc>
          <w:tcPr>
            <w:tcW w:w="7060" w:type="dxa"/>
            <w:vAlign w:val="bottom"/>
            <w:shd w:val="clear" w:color="auto" w:fill="E5E5E5"/>
          </w:tcPr>
          <w:p>
            <w:pPr>
              <w:ind w:left="20"/>
              <w:spacing w:after="0"/>
              <w:rPr>
                <w:sz w:val="20"/>
                <w:szCs w:val="20"/>
                <w:color w:val="auto"/>
              </w:rPr>
            </w:pPr>
            <w:r>
              <w:rPr>
                <w:rFonts w:ascii="Arial" w:cs="Arial" w:eastAsia="Arial" w:hAnsi="Arial"/>
                <w:sz w:val="18"/>
                <w:szCs w:val="18"/>
                <w:color w:val="auto"/>
              </w:rPr>
              <w:t>Balance, end of period</w:t>
            </w:r>
          </w:p>
        </w:tc>
        <w:tc>
          <w:tcPr>
            <w:tcW w:w="740" w:type="dxa"/>
            <w:vAlign w:val="bottom"/>
            <w:shd w:val="clear" w:color="auto" w:fill="E5E5E5"/>
          </w:tcPr>
          <w:p>
            <w:pPr>
              <w:jc w:val="right"/>
              <w:ind w:right="5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(1,511 )</w:t>
            </w:r>
          </w:p>
        </w:tc>
        <w:tc>
          <w:tcPr>
            <w:tcW w:w="720" w:type="dxa"/>
            <w:vAlign w:val="bottom"/>
            <w:shd w:val="clear" w:color="auto" w:fill="E5E5E5"/>
          </w:tcPr>
          <w:p>
            <w:pPr>
              <w:jc w:val="right"/>
              <w:ind w:right="51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(3,842 )</w:t>
            </w:r>
          </w:p>
        </w:tc>
      </w:tr>
      <w:tr>
        <w:trPr>
          <w:trHeight w:val="67"/>
        </w:trPr>
        <w:tc>
          <w:tcPr>
            <w:tcW w:w="70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r>
      <w:tr>
        <w:trPr>
          <w:trHeight w:val="246"/>
        </w:trPr>
        <w:tc>
          <w:tcPr>
            <w:tcW w:w="7060" w:type="dxa"/>
            <w:vAlign w:val="bottom"/>
          </w:tcPr>
          <w:p>
            <w:pPr>
              <w:ind w:left="20"/>
              <w:spacing w:after="0"/>
              <w:rPr>
                <w:sz w:val="20"/>
                <w:szCs w:val="20"/>
                <w:color w:val="auto"/>
              </w:rPr>
            </w:pPr>
            <w:r>
              <w:rPr>
                <w:rFonts w:ascii="Arial" w:cs="Arial" w:eastAsia="Arial" w:hAnsi="Arial"/>
                <w:sz w:val="13"/>
                <w:szCs w:val="13"/>
                <w:b w:val="1"/>
                <w:bCs w:val="1"/>
                <w:color w:val="auto"/>
              </w:rPr>
              <w:t>Translation Adjustments and Other</w:t>
            </w:r>
          </w:p>
        </w:tc>
        <w:tc>
          <w:tcPr>
            <w:tcW w:w="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58"/>
        </w:trPr>
        <w:tc>
          <w:tcPr>
            <w:tcW w:w="7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29"/>
        </w:trPr>
        <w:tc>
          <w:tcPr>
            <w:tcW w:w="7060" w:type="dxa"/>
            <w:vAlign w:val="bottom"/>
            <w:shd w:val="clear" w:color="auto" w:fill="E5E5E5"/>
          </w:tcPr>
          <w:p>
            <w:pPr>
              <w:ind w:left="20"/>
              <w:spacing w:after="0"/>
              <w:rPr>
                <w:sz w:val="20"/>
                <w:szCs w:val="20"/>
                <w:color w:val="auto"/>
              </w:rPr>
            </w:pPr>
            <w:r>
              <w:rPr>
                <w:rFonts w:ascii="Arial" w:cs="Arial" w:eastAsia="Arial" w:hAnsi="Arial"/>
                <w:sz w:val="18"/>
                <w:szCs w:val="18"/>
                <w:color w:val="auto"/>
              </w:rPr>
              <w:t>Balance, beginning of period</w:t>
            </w:r>
          </w:p>
        </w:tc>
        <w:tc>
          <w:tcPr>
            <w:tcW w:w="740" w:type="dxa"/>
            <w:vAlign w:val="bottom"/>
            <w:shd w:val="clear" w:color="auto" w:fill="E5E5E5"/>
          </w:tcPr>
          <w:p>
            <w:pPr>
              <w:jc w:val="right"/>
              <w:ind w:right="5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(2,962 )</w:t>
            </w:r>
          </w:p>
        </w:tc>
        <w:tc>
          <w:tcPr>
            <w:tcW w:w="720" w:type="dxa"/>
            <w:vAlign w:val="bottom"/>
            <w:shd w:val="clear" w:color="auto" w:fill="E5E5E5"/>
          </w:tcPr>
          <w:p>
            <w:pPr>
              <w:jc w:val="right"/>
              <w:ind w:right="51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(2,734 )</w:t>
            </w:r>
          </w:p>
        </w:tc>
      </w:tr>
      <w:tr>
        <w:trPr>
          <w:trHeight w:val="247"/>
        </w:trPr>
        <w:tc>
          <w:tcPr>
            <w:tcW w:w="7060" w:type="dxa"/>
            <w:vAlign w:val="bottom"/>
          </w:tcPr>
          <w:p>
            <w:pPr>
              <w:ind w:left="20"/>
              <w:spacing w:after="0"/>
              <w:rPr>
                <w:sz w:val="20"/>
                <w:szCs w:val="20"/>
                <w:color w:val="auto"/>
              </w:rPr>
            </w:pPr>
            <w:r>
              <w:rPr>
                <w:rFonts w:ascii="Arial" w:cs="Arial" w:eastAsia="Arial" w:hAnsi="Arial"/>
                <w:sz w:val="18"/>
                <w:szCs w:val="18"/>
                <w:color w:val="auto"/>
              </w:rPr>
              <w:t xml:space="preserve">Translation adjustments and other, net of tax of </w:t>
            </w:r>
            <w:r>
              <w:rPr>
                <w:rFonts w:ascii="Arial" w:cs="Arial" w:eastAsia="Arial" w:hAnsi="Arial"/>
                <w:sz w:val="18"/>
                <w:szCs w:val="18"/>
                <w:b w:val="1"/>
                <w:bCs w:val="1"/>
                <w:color w:val="auto"/>
              </w:rPr>
              <w:t>$0</w:t>
            </w:r>
            <w:r>
              <w:rPr>
                <w:rFonts w:ascii="Arial" w:cs="Arial" w:eastAsia="Arial" w:hAnsi="Arial"/>
                <w:sz w:val="18"/>
                <w:szCs w:val="18"/>
                <w:color w:val="auto"/>
              </w:rPr>
              <w:t xml:space="preserve"> and $0</w:t>
            </w:r>
          </w:p>
        </w:tc>
        <w:tc>
          <w:tcPr>
            <w:tcW w:w="7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304</w:t>
            </w: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(355 )</w:t>
            </w:r>
          </w:p>
        </w:tc>
      </w:tr>
      <w:tr>
        <w:trPr>
          <w:trHeight w:val="50"/>
        </w:trPr>
        <w:tc>
          <w:tcPr>
            <w:tcW w:w="70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61"/>
        </w:trPr>
        <w:tc>
          <w:tcPr>
            <w:tcW w:w="7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29"/>
        </w:trPr>
        <w:tc>
          <w:tcPr>
            <w:tcW w:w="7060" w:type="dxa"/>
            <w:vAlign w:val="bottom"/>
            <w:shd w:val="clear" w:color="auto" w:fill="E5E5E5"/>
          </w:tcPr>
          <w:p>
            <w:pPr>
              <w:ind w:left="20"/>
              <w:spacing w:after="0"/>
              <w:rPr>
                <w:sz w:val="20"/>
                <w:szCs w:val="20"/>
                <w:color w:val="auto"/>
              </w:rPr>
            </w:pPr>
            <w:r>
              <w:rPr>
                <w:rFonts w:ascii="Arial" w:cs="Arial" w:eastAsia="Arial" w:hAnsi="Arial"/>
                <w:sz w:val="18"/>
                <w:szCs w:val="18"/>
                <w:color w:val="auto"/>
              </w:rPr>
              <w:t>Balance, end of period</w:t>
            </w:r>
          </w:p>
        </w:tc>
        <w:tc>
          <w:tcPr>
            <w:tcW w:w="740" w:type="dxa"/>
            <w:vAlign w:val="bottom"/>
            <w:shd w:val="clear" w:color="auto" w:fill="E5E5E5"/>
          </w:tcPr>
          <w:p>
            <w:pPr>
              <w:jc w:val="right"/>
              <w:ind w:right="5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(2,658 )</w:t>
            </w:r>
          </w:p>
        </w:tc>
        <w:tc>
          <w:tcPr>
            <w:tcW w:w="720" w:type="dxa"/>
            <w:vAlign w:val="bottom"/>
            <w:shd w:val="clear" w:color="auto" w:fill="E5E5E5"/>
          </w:tcPr>
          <w:p>
            <w:pPr>
              <w:jc w:val="right"/>
              <w:ind w:right="51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(3,089 )</w:t>
            </w:r>
          </w:p>
        </w:tc>
      </w:tr>
      <w:tr>
        <w:trPr>
          <w:trHeight w:val="67"/>
        </w:trPr>
        <w:tc>
          <w:tcPr>
            <w:tcW w:w="70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r>
      <w:tr>
        <w:trPr>
          <w:trHeight w:val="302"/>
        </w:trPr>
        <w:tc>
          <w:tcPr>
            <w:tcW w:w="7060" w:type="dxa"/>
            <w:vAlign w:val="bottom"/>
          </w:tcPr>
          <w:p>
            <w:pPr>
              <w:ind w:left="20"/>
              <w:spacing w:after="0"/>
              <w:rPr>
                <w:sz w:val="20"/>
                <w:szCs w:val="20"/>
                <w:color w:val="auto"/>
              </w:rPr>
            </w:pPr>
            <w:r>
              <w:rPr>
                <w:rFonts w:ascii="Arial" w:cs="Arial" w:eastAsia="Arial" w:hAnsi="Arial"/>
                <w:sz w:val="18"/>
                <w:szCs w:val="18"/>
                <w:color w:val="auto"/>
              </w:rPr>
              <w:t>Accumulated other comprehensive loss, end of period</w:t>
            </w:r>
          </w:p>
        </w:tc>
        <w:tc>
          <w:tcPr>
            <w:tcW w:w="7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(4,182 )</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(6,937 )</w:t>
            </w:r>
          </w:p>
        </w:tc>
      </w:tr>
      <w:tr>
        <w:trPr>
          <w:trHeight w:val="62"/>
        </w:trPr>
        <w:tc>
          <w:tcPr>
            <w:tcW w:w="706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17 — SEGMENT INFORMATION AND GEOGRAPHIC DATA</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its operation of the business, management, including our chief operating decision maker, who is also our Chief Executive Officer, reviews certain financial information, including segmented internal profit and loss statements prepared on a basis not consistent with GAAP. During the periods presented, we reported our financial performance based on the following segments: Productivity and Business Processes, Intelligent Cloud, and More Personal Computing.</w:t>
      </w:r>
    </w:p>
    <w:p>
      <w:pPr>
        <w:spacing w:after="0" w:line="12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have recast certain prior period amounts to conform to the way we internally manage and monitor our business. Refer to Note 1 – Accounting Policies for further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described below.</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Productivity and Business Processes</w:t>
      </w:r>
    </w:p>
    <w:p>
      <w:pPr>
        <w:spacing w:after="0" w:line="15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Productivity and Business Processes segment consists of products and services in our portfolio of productivity, communication, and information services, spanning a variety of devices and platforms. This segment primarily comprises:</w:t>
      </w:r>
    </w:p>
    <w:p>
      <w:pPr>
        <w:spacing w:after="0" w:line="18" w:lineRule="exact"/>
        <w:rPr>
          <w:sz w:val="20"/>
          <w:szCs w:val="20"/>
          <w:color w:val="auto"/>
        </w:rPr>
      </w:pPr>
    </w:p>
    <w:p>
      <w:pPr>
        <w:jc w:val="both"/>
        <w:ind w:left="1020" w:hanging="368"/>
        <w:spacing w:after="0" w:line="246"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Commercial products and cloud services, including Microsoft 365 Commercial cloud, comprising Microsoft 365 Commercial, Enterprise Mobility + Security, the cloud portion of Windows Commercial, the per-user portion of Power BI, Exchange, SharePoint, Microsoft Teams, Microsoft 365 Security and Compliance, Microsoft Viva, and Microsoft 365 Copilot; and Microsoft 365 Commercial products, comprising Windows Commercial on-premises and Office licensed on-premises.</w:t>
      </w:r>
    </w:p>
    <w:p>
      <w:pPr>
        <w:sectPr>
          <w:pgSz w:w="11900" w:h="16838" w:orient="portrait"/>
          <w:cols w:equalWidth="0" w:num="1">
            <w:col w:w="11240"/>
          </w:cols>
          <w:pgMar w:left="320" w:top="774" w:right="3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type w:val="continuous"/>
        </w:sectPr>
      </w:pPr>
    </w:p>
    <w:bookmarkStart w:id="27" w:name="page28"/>
    <w:bookmarkEnd w:id="27"/>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50" w:lineRule="exact"/>
        <w:rPr>
          <w:sz w:val="20"/>
          <w:szCs w:val="20"/>
          <w:color w:val="auto"/>
        </w:rPr>
      </w:pPr>
    </w:p>
    <w:p>
      <w:pPr>
        <w:ind w:left="1020" w:hanging="368"/>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Consumer products and cloud services, including Microsoft 365 Consumer subscriptions, Office licensed on-premises, and other consumer services.</w:t>
      </w:r>
    </w:p>
    <w:p>
      <w:pPr>
        <w:spacing w:after="0" w:line="1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LinkedIn, including Talent Solutions, Marketing Solutions, Premium Subscriptions, and Sales Solutions.</w:t>
      </w:r>
    </w:p>
    <w:p>
      <w:pPr>
        <w:spacing w:after="0" w:line="88"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Dynamics products and cloud services, including Dynamics 365, comprising a set of intelligent, cloud-based applications across ERP, CRM, Power Apps, and Power Automate; and on-premises ERP and CRM applications.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Intelligent Cloud</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Intelligent Cloud segment consists of our public, private, and hybrid server products and cloud services that can power modern business and developers. This segment primarily comprises:</w:t>
      </w:r>
    </w:p>
    <w:p>
      <w:pPr>
        <w:spacing w:after="0" w:line="18" w:lineRule="exact"/>
        <w:rPr>
          <w:sz w:val="20"/>
          <w:szCs w:val="20"/>
          <w:color w:val="auto"/>
        </w:rPr>
      </w:pPr>
    </w:p>
    <w:p>
      <w:pPr>
        <w:jc w:val="both"/>
        <w:ind w:left="1020" w:hanging="368"/>
        <w:spacing w:after="0" w:line="246"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Server products and cloud services, including Azure and other cloud services, comprising cloud and AI consumption-based services, GitHub cloud services, Nuance Healthcare cloud services, virtual desktop offerings, and other cloud services; and Server products, comprising SQL Server, Windows Server, Visual Studio, System Center, related Client Access Licenses (“CALs”), and other on-premises offerings.</w:t>
      </w:r>
    </w:p>
    <w:p>
      <w:pPr>
        <w:spacing w:after="0" w:line="40"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Enterprise and partner services, including Enterprise Support Services, Industry Solutions, Nuance professional services, Microsoft Partner Network, and Learning Experience.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Personal Computing</w:t>
      </w:r>
    </w:p>
    <w:p>
      <w:pPr>
        <w:spacing w:after="0" w:line="15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Our More Personal Computing segment consists of products and services that put customers at the center of the experience with our technology. This segment primarily comprises:</w:t>
      </w:r>
    </w:p>
    <w:p>
      <w:pPr>
        <w:spacing w:after="0" w:line="18" w:lineRule="exact"/>
        <w:rPr>
          <w:sz w:val="20"/>
          <w:szCs w:val="20"/>
          <w:color w:val="auto"/>
        </w:rPr>
      </w:pPr>
    </w:p>
    <w:p>
      <w:pPr>
        <w:jc w:val="both"/>
        <w:ind w:left="1020" w:hanging="368"/>
        <w:spacing w:after="0" w:line="252"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Windows and Devices, including Windows, comprising Windows OEM licensing (Windows Pro and non-Pro licenses sold through the OEM channel), Windows Internet of Things, and patent licensing; and Devices, comprising Surface, HoloLens, and PC accessories.</w:t>
      </w:r>
    </w:p>
    <w:p>
      <w:pPr>
        <w:spacing w:after="0" w:line="34"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Gaming, including Xbox hardware and Xbox content and services, comprising first- and third-party content (including games and in-game content), Xbox Game Pass and other subscriptions, Xbox Cloud Gaming, advertising, third-party disc royalties, and other cloud services.</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Search and news advertising, comprising Bing (including Copilot), Microsoft News, Microsoft Edge, and third-party affiliates.</w:t>
      </w:r>
    </w:p>
    <w:p>
      <w:pPr>
        <w:spacing w:after="0" w:line="17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Revenue and costs are generally directly attributed to our segments. However, due to the integrated structure of our business, certain revenue recognized and costs incurred by one segment may benefit other segments. Revenue from certain contracts is allocated among the segments based on the relative value of the underlying products and services, which can include allocation based on actual prices charged, prices when sold separately, or estimated costs plus a profit margin. Cost of revenue is allocated in certain cases based on a relative revenue methodology. Operating expenses that are allocated primarily include those relating to marketing of products and services from which multiple segments benefit and are generally allocated based on relative gross margin.</w:t>
      </w:r>
    </w:p>
    <w:p>
      <w:pPr>
        <w:spacing w:after="0" w:line="12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addition, certain costs are incurred at a corporate level and allocated to our segments. These allocated costs generally include legal, including settlements and fines, information technology, human resources, finance, excise taxes, field selling, shared facilities services, customer service and support, and severance incurred as part of a corporate program. Each allocation is measured differently based on the specific facts and circumstances of the costs being allocated and is generally based on relative gross margin or relative headcount.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8" w:name="page29"/>
    <w:bookmarkEnd w:id="28"/>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operating income were as follows during the periods presented:</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0637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ind w:left="20"/>
              <w:spacing w:after="0"/>
              <w:rPr>
                <w:sz w:val="20"/>
                <w:szCs w:val="20"/>
                <w:color w:val="auto"/>
              </w:rPr>
            </w:pPr>
            <w:r>
              <w:rPr>
                <w:rFonts w:ascii="Arial" w:cs="Arial" w:eastAsia="Arial" w:hAnsi="Arial"/>
                <w:sz w:val="13"/>
                <w:szCs w:val="13"/>
                <w:b w:val="1"/>
                <w:bCs w:val="1"/>
                <w:color w:val="auto"/>
              </w:rPr>
              <w:t>Three Months Ended September 30,</w:t>
            </w: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3"/>
                <w:szCs w:val="13"/>
                <w:b w:val="1"/>
                <w:bCs w:val="1"/>
                <w:color w:val="auto"/>
              </w:rPr>
              <w:t>Revenue</w:t>
            </w: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7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E5E5E5"/>
          </w:tcPr>
          <w:p>
            <w:pPr>
              <w:ind w:left="20"/>
              <w:spacing w:after="0"/>
              <w:rPr>
                <w:sz w:val="20"/>
                <w:szCs w:val="20"/>
                <w:color w:val="auto"/>
              </w:rPr>
            </w:pPr>
            <w:r>
              <w:rPr>
                <w:rFonts w:ascii="Arial" w:cs="Arial" w:eastAsia="Arial" w:hAnsi="Arial"/>
                <w:sz w:val="18"/>
                <w:szCs w:val="18"/>
                <w:color w:val="auto"/>
              </w:rPr>
              <w:t>Productivity and Business Processes</w:t>
            </w:r>
          </w:p>
        </w:tc>
        <w:tc>
          <w:tcPr>
            <w:tcW w:w="560" w:type="dxa"/>
            <w:vAlign w:val="bottom"/>
            <w:shd w:val="clear" w:color="auto" w:fill="E5E5E5"/>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28,317</w:t>
            </w:r>
          </w:p>
        </w:tc>
        <w:tc>
          <w:tcPr>
            <w:tcW w:w="760" w:type="dxa"/>
            <w:vAlign w:val="bottom"/>
            <w:gridSpan w:val="2"/>
            <w:shd w:val="clear" w:color="auto" w:fill="E5E5E5"/>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25,226</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Intelligent Cloud</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24,092</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E5E5E5"/>
          </w:tcPr>
          <w:p>
            <w:pPr>
              <w:ind w:left="20"/>
              <w:spacing w:after="0"/>
              <w:rPr>
                <w:sz w:val="20"/>
                <w:szCs w:val="20"/>
                <w:color w:val="auto"/>
              </w:rPr>
            </w:pPr>
            <w:r>
              <w:rPr>
                <w:rFonts w:ascii="Arial" w:cs="Arial" w:eastAsia="Arial" w:hAnsi="Arial"/>
                <w:sz w:val="18"/>
                <w:szCs w:val="18"/>
                <w:color w:val="auto"/>
              </w:rPr>
              <w:t>More Personal Computing</w:t>
            </w:r>
          </w:p>
        </w:tc>
        <w:tc>
          <w:tcPr>
            <w:tcW w:w="56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13,176</w:t>
            </w:r>
          </w:p>
        </w:tc>
        <w:tc>
          <w:tcPr>
            <w:tcW w:w="200" w:type="dxa"/>
            <w:vAlign w:val="bottom"/>
            <w:shd w:val="clear" w:color="auto" w:fill="E5E5E5"/>
          </w:tcPr>
          <w:p>
            <w:pPr>
              <w:spacing w:after="0"/>
              <w:rPr>
                <w:sz w:val="19"/>
                <w:szCs w:val="19"/>
                <w:color w:val="auto"/>
              </w:rPr>
            </w:pPr>
          </w:p>
        </w:tc>
        <w:tc>
          <w:tcPr>
            <w:tcW w:w="56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11,278</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77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7780" w:type="dxa"/>
            <w:vAlign w:val="bottom"/>
          </w:tcPr>
          <w:p>
            <w:pPr>
              <w:ind w:left="24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65,585</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56,517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77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Operating Income</w:t>
            </w:r>
          </w:p>
        </w:tc>
        <w:tc>
          <w:tcPr>
            <w:tcW w:w="5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7780" w:type="dxa"/>
            <w:vAlign w:val="bottom"/>
            <w:vMerge w:val="continue"/>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7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E5E5E5"/>
          </w:tcPr>
          <w:p>
            <w:pPr>
              <w:ind w:left="20"/>
              <w:spacing w:after="0"/>
              <w:rPr>
                <w:sz w:val="20"/>
                <w:szCs w:val="20"/>
                <w:color w:val="auto"/>
              </w:rPr>
            </w:pPr>
            <w:r>
              <w:rPr>
                <w:rFonts w:ascii="Arial" w:cs="Arial" w:eastAsia="Arial" w:hAnsi="Arial"/>
                <w:sz w:val="18"/>
                <w:szCs w:val="18"/>
                <w:color w:val="auto"/>
              </w:rPr>
              <w:t>Productivity and Business Processes</w:t>
            </w:r>
          </w:p>
        </w:tc>
        <w:tc>
          <w:tcPr>
            <w:tcW w:w="560" w:type="dxa"/>
            <w:vAlign w:val="bottom"/>
            <w:shd w:val="clear" w:color="auto" w:fill="E5E5E5"/>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16,516</w:t>
            </w:r>
          </w:p>
        </w:tc>
        <w:tc>
          <w:tcPr>
            <w:tcW w:w="760" w:type="dxa"/>
            <w:vAlign w:val="bottom"/>
            <w:gridSpan w:val="2"/>
            <w:shd w:val="clear" w:color="auto" w:fill="E5E5E5"/>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14,297</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Intelligent Cloud</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10,503</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E5E5E5"/>
          </w:tcPr>
          <w:p>
            <w:pPr>
              <w:ind w:left="20"/>
              <w:spacing w:after="0"/>
              <w:rPr>
                <w:sz w:val="20"/>
                <w:szCs w:val="20"/>
                <w:color w:val="auto"/>
              </w:rPr>
            </w:pPr>
            <w:r>
              <w:rPr>
                <w:rFonts w:ascii="Arial" w:cs="Arial" w:eastAsia="Arial" w:hAnsi="Arial"/>
                <w:sz w:val="18"/>
                <w:szCs w:val="18"/>
                <w:color w:val="auto"/>
              </w:rPr>
              <w:t>More Personal Computing</w:t>
            </w:r>
          </w:p>
        </w:tc>
        <w:tc>
          <w:tcPr>
            <w:tcW w:w="56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3,533</w:t>
            </w:r>
          </w:p>
        </w:tc>
        <w:tc>
          <w:tcPr>
            <w:tcW w:w="200" w:type="dxa"/>
            <w:vAlign w:val="bottom"/>
            <w:shd w:val="clear" w:color="auto" w:fill="E5E5E5"/>
          </w:tcPr>
          <w:p>
            <w:pPr>
              <w:spacing w:after="0"/>
              <w:rPr>
                <w:sz w:val="19"/>
                <w:szCs w:val="19"/>
                <w:color w:val="auto"/>
              </w:rPr>
            </w:pPr>
          </w:p>
        </w:tc>
        <w:tc>
          <w:tcPr>
            <w:tcW w:w="56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3,690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77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7780" w:type="dxa"/>
            <w:vAlign w:val="bottom"/>
          </w:tcPr>
          <w:p>
            <w:pPr>
              <w:ind w:left="24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30,552</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26,895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778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 sales to an individual customer or country other than the United States accounted for more than 10% of revenue for the three months ended September 30, 2024 or 2023. Revenue, classified by the major geographic areas in which our customers were located, was as follows: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0637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ind w:left="20"/>
              <w:spacing w:after="0"/>
              <w:rPr>
                <w:sz w:val="20"/>
                <w:szCs w:val="20"/>
                <w:color w:val="auto"/>
              </w:rPr>
            </w:pPr>
            <w:r>
              <w:rPr>
                <w:rFonts w:ascii="Arial" w:cs="Arial" w:eastAsia="Arial" w:hAnsi="Arial"/>
                <w:sz w:val="13"/>
                <w:szCs w:val="13"/>
                <w:b w:val="1"/>
                <w:bCs w:val="1"/>
                <w:color w:val="auto"/>
              </w:rPr>
              <w:t>Three Months Ended September 30,</w:t>
            </w: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r>
      <w:tr>
        <w:trPr>
          <w:trHeight w:val="58"/>
        </w:trPr>
        <w:tc>
          <w:tcPr>
            <w:tcW w:w="7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7780" w:type="dxa"/>
            <w:vAlign w:val="bottom"/>
            <w:shd w:val="clear" w:color="auto" w:fill="E5E5E5"/>
          </w:tcPr>
          <w:p>
            <w:pPr>
              <w:ind w:left="20"/>
              <w:spacing w:after="0" w:line="229" w:lineRule="exact"/>
              <w:rPr>
                <w:sz w:val="20"/>
                <w:szCs w:val="20"/>
                <w:color w:val="auto"/>
              </w:rPr>
            </w:pPr>
            <w:r>
              <w:rPr>
                <w:rFonts w:ascii="Arial" w:cs="Arial" w:eastAsia="Arial" w:hAnsi="Arial"/>
                <w:sz w:val="18"/>
                <w:szCs w:val="18"/>
                <w:color w:val="auto"/>
              </w:rPr>
              <w:t xml:space="preserve">United States </w:t>
            </w:r>
            <w:r>
              <w:rPr>
                <w:rFonts w:ascii="Arial" w:cs="Arial" w:eastAsia="Arial" w:hAnsi="Arial"/>
                <w:sz w:val="24"/>
                <w:szCs w:val="24"/>
                <w:color w:val="auto"/>
                <w:vertAlign w:val="superscript"/>
              </w:rPr>
              <w:t>(a)</w:t>
            </w:r>
          </w:p>
        </w:tc>
        <w:tc>
          <w:tcPr>
            <w:tcW w:w="560" w:type="dxa"/>
            <w:vAlign w:val="bottom"/>
            <w:shd w:val="clear" w:color="auto" w:fill="E5E5E5"/>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33,913</w:t>
            </w:r>
          </w:p>
        </w:tc>
        <w:tc>
          <w:tcPr>
            <w:tcW w:w="780" w:type="dxa"/>
            <w:vAlign w:val="bottom"/>
            <w:gridSpan w:val="2"/>
            <w:shd w:val="clear" w:color="auto" w:fill="E5E5E5"/>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28,812</w:t>
            </w:r>
          </w:p>
        </w:tc>
        <w:tc>
          <w:tcPr>
            <w:tcW w:w="100" w:type="dxa"/>
            <w:vAlign w:val="bottom"/>
            <w:shd w:val="clear" w:color="auto" w:fill="E5E5E5"/>
          </w:tcPr>
          <w:p>
            <w:pPr>
              <w:spacing w:after="0"/>
              <w:rPr>
                <w:sz w:val="19"/>
                <w:szCs w:val="19"/>
                <w:color w:val="auto"/>
              </w:rPr>
            </w:pPr>
          </w:p>
        </w:tc>
      </w:tr>
      <w:tr>
        <w:trPr>
          <w:trHeight w:val="247"/>
        </w:trPr>
        <w:tc>
          <w:tcPr>
            <w:tcW w:w="7780" w:type="dxa"/>
            <w:vAlign w:val="bottom"/>
          </w:tcPr>
          <w:p>
            <w:pPr>
              <w:ind w:left="20"/>
              <w:spacing w:after="0"/>
              <w:rPr>
                <w:sz w:val="20"/>
                <w:szCs w:val="20"/>
                <w:color w:val="auto"/>
              </w:rPr>
            </w:pPr>
            <w:r>
              <w:rPr>
                <w:rFonts w:ascii="Arial" w:cs="Arial" w:eastAsia="Arial" w:hAnsi="Arial"/>
                <w:sz w:val="18"/>
                <w:szCs w:val="18"/>
                <w:color w:val="auto"/>
              </w:rPr>
              <w:t>Other countries</w:t>
            </w: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31,672</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27,705</w:t>
            </w:r>
          </w:p>
        </w:tc>
        <w:tc>
          <w:tcPr>
            <w:tcW w:w="100" w:type="dxa"/>
            <w:vAlign w:val="bottom"/>
          </w:tcPr>
          <w:p>
            <w:pPr>
              <w:spacing w:after="0"/>
              <w:rPr>
                <w:sz w:val="21"/>
                <w:szCs w:val="21"/>
                <w:color w:val="auto"/>
              </w:rPr>
            </w:pPr>
          </w:p>
        </w:tc>
      </w:tr>
      <w:tr>
        <w:trPr>
          <w:trHeight w:val="50"/>
        </w:trPr>
        <w:tc>
          <w:tcPr>
            <w:tcW w:w="77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7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77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E5E5E5"/>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65,585</w:t>
            </w:r>
          </w:p>
        </w:tc>
        <w:tc>
          <w:tcPr>
            <w:tcW w:w="780" w:type="dxa"/>
            <w:vAlign w:val="bottom"/>
            <w:gridSpan w:val="2"/>
            <w:shd w:val="clear" w:color="auto" w:fill="E5E5E5"/>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56,517</w:t>
            </w:r>
          </w:p>
        </w:tc>
        <w:tc>
          <w:tcPr>
            <w:tcW w:w="100" w:type="dxa"/>
            <w:vAlign w:val="bottom"/>
            <w:shd w:val="clear" w:color="auto" w:fill="E5E5E5"/>
          </w:tcPr>
          <w:p>
            <w:pPr>
              <w:spacing w:after="0"/>
              <w:rPr>
                <w:sz w:val="19"/>
                <w:szCs w:val="19"/>
                <w:color w:val="auto"/>
              </w:rPr>
            </w:pPr>
          </w:p>
        </w:tc>
      </w:tr>
      <w:tr>
        <w:trPr>
          <w:trHeight w:val="74"/>
        </w:trPr>
        <w:tc>
          <w:tcPr>
            <w:tcW w:w="778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64" w:lineRule="exact"/>
        <w:rPr>
          <w:sz w:val="20"/>
          <w:szCs w:val="20"/>
          <w:color w:val="auto"/>
        </w:rPr>
      </w:pPr>
    </w:p>
    <w:p>
      <w:pPr>
        <w:ind w:left="520" w:hanging="512"/>
        <w:spacing w:after="0" w:line="268"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Includes billings to OEMs and certain multinational organizations because of the nature of these businesses and the impracticability of determining the geographic source of the revenue.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Revenue, classified by significant product and service offerings, was as follows: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0637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ind w:left="20"/>
              <w:spacing w:after="0"/>
              <w:rPr>
                <w:sz w:val="20"/>
                <w:szCs w:val="20"/>
                <w:color w:val="auto"/>
              </w:rPr>
            </w:pPr>
            <w:r>
              <w:rPr>
                <w:rFonts w:ascii="Arial" w:cs="Arial" w:eastAsia="Arial" w:hAnsi="Arial"/>
                <w:sz w:val="13"/>
                <w:szCs w:val="13"/>
                <w:b w:val="1"/>
                <w:bCs w:val="1"/>
                <w:color w:val="auto"/>
              </w:rPr>
              <w:t>Three Months Ended September 30,</w:t>
            </w: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r>
      <w:tr>
        <w:trPr>
          <w:trHeight w:val="58"/>
        </w:trPr>
        <w:tc>
          <w:tcPr>
            <w:tcW w:w="7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7780" w:type="dxa"/>
            <w:vAlign w:val="bottom"/>
            <w:shd w:val="clear" w:color="auto" w:fill="E5E5E5"/>
          </w:tcPr>
          <w:p>
            <w:pPr>
              <w:ind w:left="20"/>
              <w:spacing w:after="0"/>
              <w:rPr>
                <w:sz w:val="20"/>
                <w:szCs w:val="20"/>
                <w:color w:val="auto"/>
              </w:rPr>
            </w:pPr>
            <w:r>
              <w:rPr>
                <w:rFonts w:ascii="Arial" w:cs="Arial" w:eastAsia="Arial" w:hAnsi="Arial"/>
                <w:sz w:val="18"/>
                <w:szCs w:val="18"/>
                <w:color w:val="auto"/>
              </w:rPr>
              <w:t>Server products and cloud services</w:t>
            </w:r>
          </w:p>
        </w:tc>
        <w:tc>
          <w:tcPr>
            <w:tcW w:w="560" w:type="dxa"/>
            <w:vAlign w:val="bottom"/>
            <w:shd w:val="clear" w:color="auto" w:fill="E5E5E5"/>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22,155</w:t>
            </w:r>
          </w:p>
        </w:tc>
        <w:tc>
          <w:tcPr>
            <w:tcW w:w="760" w:type="dxa"/>
            <w:vAlign w:val="bottom"/>
            <w:gridSpan w:val="2"/>
            <w:shd w:val="clear" w:color="auto" w:fill="E5E5E5"/>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18,062</w:t>
            </w:r>
          </w:p>
        </w:tc>
        <w:tc>
          <w:tcPr>
            <w:tcW w:w="100" w:type="dxa"/>
            <w:vAlign w:val="bottom"/>
            <w:shd w:val="clear" w:color="auto" w:fill="E5E5E5"/>
          </w:tcPr>
          <w:p>
            <w:pPr>
              <w:spacing w:after="0"/>
              <w:rPr>
                <w:sz w:val="19"/>
                <w:szCs w:val="19"/>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Microsoft 365 Commercial products and cloud services</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20,449</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18,044</w:t>
            </w:r>
          </w:p>
        </w:tc>
        <w:tc>
          <w:tcPr>
            <w:tcW w:w="100" w:type="dxa"/>
            <w:vAlign w:val="bottom"/>
          </w:tcPr>
          <w:p>
            <w:pPr>
              <w:spacing w:after="0"/>
              <w:rPr>
                <w:sz w:val="19"/>
                <w:szCs w:val="19"/>
                <w:color w:val="auto"/>
              </w:rPr>
            </w:pPr>
          </w:p>
        </w:tc>
      </w:tr>
      <w:tr>
        <w:trPr>
          <w:trHeight w:val="229"/>
        </w:trPr>
        <w:tc>
          <w:tcPr>
            <w:tcW w:w="7780" w:type="dxa"/>
            <w:vAlign w:val="bottom"/>
            <w:shd w:val="clear" w:color="auto" w:fill="E5E5E5"/>
          </w:tcPr>
          <w:p>
            <w:pPr>
              <w:ind w:left="20"/>
              <w:spacing w:after="0"/>
              <w:rPr>
                <w:sz w:val="20"/>
                <w:szCs w:val="20"/>
                <w:color w:val="auto"/>
              </w:rPr>
            </w:pPr>
            <w:r>
              <w:rPr>
                <w:rFonts w:ascii="Arial" w:cs="Arial" w:eastAsia="Arial" w:hAnsi="Arial"/>
                <w:sz w:val="18"/>
                <w:szCs w:val="18"/>
                <w:color w:val="auto"/>
              </w:rPr>
              <w:t>Gaming</w:t>
            </w:r>
          </w:p>
        </w:tc>
        <w:tc>
          <w:tcPr>
            <w:tcW w:w="56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5,621</w:t>
            </w:r>
          </w:p>
        </w:tc>
        <w:tc>
          <w:tcPr>
            <w:tcW w:w="200" w:type="dxa"/>
            <w:vAlign w:val="bottom"/>
            <w:shd w:val="clear" w:color="auto" w:fill="E5E5E5"/>
          </w:tcPr>
          <w:p>
            <w:pPr>
              <w:spacing w:after="0"/>
              <w:rPr>
                <w:sz w:val="19"/>
                <w:szCs w:val="19"/>
                <w:color w:val="auto"/>
              </w:rPr>
            </w:pPr>
          </w:p>
        </w:tc>
        <w:tc>
          <w:tcPr>
            <w:tcW w:w="56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3,919</w:t>
            </w:r>
          </w:p>
        </w:tc>
        <w:tc>
          <w:tcPr>
            <w:tcW w:w="100" w:type="dxa"/>
            <w:vAlign w:val="bottom"/>
            <w:shd w:val="clear" w:color="auto" w:fill="E5E5E5"/>
          </w:tcPr>
          <w:p>
            <w:pPr>
              <w:spacing w:after="0"/>
              <w:rPr>
                <w:sz w:val="19"/>
                <w:szCs w:val="19"/>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Windows and Devices</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4,329</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4,340</w:t>
            </w:r>
          </w:p>
        </w:tc>
        <w:tc>
          <w:tcPr>
            <w:tcW w:w="100" w:type="dxa"/>
            <w:vAlign w:val="bottom"/>
          </w:tcPr>
          <w:p>
            <w:pPr>
              <w:spacing w:after="0"/>
              <w:rPr>
                <w:sz w:val="19"/>
                <w:szCs w:val="19"/>
                <w:color w:val="auto"/>
              </w:rPr>
            </w:pPr>
          </w:p>
        </w:tc>
      </w:tr>
      <w:tr>
        <w:trPr>
          <w:trHeight w:val="229"/>
        </w:trPr>
        <w:tc>
          <w:tcPr>
            <w:tcW w:w="7780" w:type="dxa"/>
            <w:vAlign w:val="bottom"/>
            <w:shd w:val="clear" w:color="auto" w:fill="E5E5E5"/>
          </w:tcPr>
          <w:p>
            <w:pPr>
              <w:ind w:left="20"/>
              <w:spacing w:after="0"/>
              <w:rPr>
                <w:sz w:val="20"/>
                <w:szCs w:val="20"/>
                <w:color w:val="auto"/>
              </w:rPr>
            </w:pPr>
            <w:r>
              <w:rPr>
                <w:rFonts w:ascii="Arial" w:cs="Arial" w:eastAsia="Arial" w:hAnsi="Arial"/>
                <w:sz w:val="18"/>
                <w:szCs w:val="18"/>
                <w:color w:val="auto"/>
              </w:rPr>
              <w:t>LinkedIn</w:t>
            </w:r>
          </w:p>
        </w:tc>
        <w:tc>
          <w:tcPr>
            <w:tcW w:w="56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4,292</w:t>
            </w:r>
          </w:p>
        </w:tc>
        <w:tc>
          <w:tcPr>
            <w:tcW w:w="200" w:type="dxa"/>
            <w:vAlign w:val="bottom"/>
            <w:shd w:val="clear" w:color="auto" w:fill="E5E5E5"/>
          </w:tcPr>
          <w:p>
            <w:pPr>
              <w:spacing w:after="0"/>
              <w:rPr>
                <w:sz w:val="19"/>
                <w:szCs w:val="19"/>
                <w:color w:val="auto"/>
              </w:rPr>
            </w:pPr>
          </w:p>
        </w:tc>
        <w:tc>
          <w:tcPr>
            <w:tcW w:w="56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3,913</w:t>
            </w:r>
          </w:p>
        </w:tc>
        <w:tc>
          <w:tcPr>
            <w:tcW w:w="100" w:type="dxa"/>
            <w:vAlign w:val="bottom"/>
            <w:shd w:val="clear" w:color="auto" w:fill="E5E5E5"/>
          </w:tcPr>
          <w:p>
            <w:pPr>
              <w:spacing w:after="0"/>
              <w:rPr>
                <w:sz w:val="19"/>
                <w:szCs w:val="19"/>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Search and news advertising</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3,225</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19"/>
                <w:szCs w:val="19"/>
                <w:color w:val="auto"/>
              </w:rPr>
            </w:pPr>
          </w:p>
        </w:tc>
      </w:tr>
      <w:tr>
        <w:trPr>
          <w:trHeight w:val="229"/>
        </w:trPr>
        <w:tc>
          <w:tcPr>
            <w:tcW w:w="7780" w:type="dxa"/>
            <w:vAlign w:val="bottom"/>
            <w:shd w:val="clear" w:color="auto" w:fill="E5E5E5"/>
          </w:tcPr>
          <w:p>
            <w:pPr>
              <w:ind w:left="20"/>
              <w:spacing w:after="0"/>
              <w:rPr>
                <w:sz w:val="20"/>
                <w:szCs w:val="20"/>
                <w:color w:val="auto"/>
              </w:rPr>
            </w:pPr>
            <w:r>
              <w:rPr>
                <w:rFonts w:ascii="Arial" w:cs="Arial" w:eastAsia="Arial" w:hAnsi="Arial"/>
                <w:sz w:val="18"/>
                <w:szCs w:val="18"/>
                <w:color w:val="auto"/>
              </w:rPr>
              <w:t>Enterprise and partner services</w:t>
            </w:r>
          </w:p>
        </w:tc>
        <w:tc>
          <w:tcPr>
            <w:tcW w:w="56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1,928</w:t>
            </w:r>
          </w:p>
        </w:tc>
        <w:tc>
          <w:tcPr>
            <w:tcW w:w="200" w:type="dxa"/>
            <w:vAlign w:val="bottom"/>
            <w:shd w:val="clear" w:color="auto" w:fill="E5E5E5"/>
          </w:tcPr>
          <w:p>
            <w:pPr>
              <w:spacing w:after="0"/>
              <w:rPr>
                <w:sz w:val="19"/>
                <w:szCs w:val="19"/>
                <w:color w:val="auto"/>
              </w:rPr>
            </w:pPr>
          </w:p>
        </w:tc>
        <w:tc>
          <w:tcPr>
            <w:tcW w:w="56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E5E5E5"/>
          </w:tcPr>
          <w:p>
            <w:pPr>
              <w:spacing w:after="0"/>
              <w:rPr>
                <w:sz w:val="19"/>
                <w:szCs w:val="19"/>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Dynamics products and cloud services</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1,849</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1,626</w:t>
            </w:r>
          </w:p>
        </w:tc>
        <w:tc>
          <w:tcPr>
            <w:tcW w:w="100" w:type="dxa"/>
            <w:vAlign w:val="bottom"/>
          </w:tcPr>
          <w:p>
            <w:pPr>
              <w:spacing w:after="0"/>
              <w:rPr>
                <w:sz w:val="19"/>
                <w:szCs w:val="19"/>
                <w:color w:val="auto"/>
              </w:rPr>
            </w:pPr>
          </w:p>
        </w:tc>
      </w:tr>
      <w:tr>
        <w:trPr>
          <w:trHeight w:val="229"/>
        </w:trPr>
        <w:tc>
          <w:tcPr>
            <w:tcW w:w="7780" w:type="dxa"/>
            <w:vAlign w:val="bottom"/>
            <w:shd w:val="clear" w:color="auto" w:fill="E5E5E5"/>
          </w:tcPr>
          <w:p>
            <w:pPr>
              <w:ind w:left="20"/>
              <w:spacing w:after="0"/>
              <w:rPr>
                <w:sz w:val="20"/>
                <w:szCs w:val="20"/>
                <w:color w:val="auto"/>
              </w:rPr>
            </w:pPr>
            <w:r>
              <w:rPr>
                <w:rFonts w:ascii="Arial" w:cs="Arial" w:eastAsia="Arial" w:hAnsi="Arial"/>
                <w:sz w:val="18"/>
                <w:szCs w:val="18"/>
                <w:color w:val="auto"/>
              </w:rPr>
              <w:t>Microsoft 365 Consumer products and cloud services</w:t>
            </w:r>
          </w:p>
        </w:tc>
        <w:tc>
          <w:tcPr>
            <w:tcW w:w="56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1,727</w:t>
            </w:r>
          </w:p>
        </w:tc>
        <w:tc>
          <w:tcPr>
            <w:tcW w:w="200" w:type="dxa"/>
            <w:vAlign w:val="bottom"/>
            <w:shd w:val="clear" w:color="auto" w:fill="E5E5E5"/>
          </w:tcPr>
          <w:p>
            <w:pPr>
              <w:spacing w:after="0"/>
              <w:rPr>
                <w:sz w:val="19"/>
                <w:szCs w:val="19"/>
                <w:color w:val="auto"/>
              </w:rPr>
            </w:pPr>
          </w:p>
        </w:tc>
        <w:tc>
          <w:tcPr>
            <w:tcW w:w="56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1,643</w:t>
            </w:r>
          </w:p>
        </w:tc>
        <w:tc>
          <w:tcPr>
            <w:tcW w:w="100" w:type="dxa"/>
            <w:vAlign w:val="bottom"/>
            <w:shd w:val="clear" w:color="auto" w:fill="E5E5E5"/>
          </w:tcPr>
          <w:p>
            <w:pPr>
              <w:spacing w:after="0"/>
              <w:rPr>
                <w:sz w:val="19"/>
                <w:szCs w:val="19"/>
                <w:color w:val="auto"/>
              </w:rPr>
            </w:pPr>
          </w:p>
        </w:tc>
      </w:tr>
      <w:tr>
        <w:trPr>
          <w:trHeight w:val="247"/>
        </w:trPr>
        <w:tc>
          <w:tcPr>
            <w:tcW w:w="7780" w:type="dxa"/>
            <w:vAlign w:val="bottom"/>
          </w:tcPr>
          <w:p>
            <w:pPr>
              <w:ind w:left="20"/>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r>
      <w:tr>
        <w:trPr>
          <w:trHeight w:val="50"/>
        </w:trPr>
        <w:tc>
          <w:tcPr>
            <w:tcW w:w="77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7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77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E5E5E5"/>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65,585</w:t>
            </w:r>
          </w:p>
        </w:tc>
        <w:tc>
          <w:tcPr>
            <w:tcW w:w="760" w:type="dxa"/>
            <w:vAlign w:val="bottom"/>
            <w:gridSpan w:val="2"/>
            <w:shd w:val="clear" w:color="auto" w:fill="E5E5E5"/>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56,517</w:t>
            </w:r>
          </w:p>
        </w:tc>
        <w:tc>
          <w:tcPr>
            <w:tcW w:w="100" w:type="dxa"/>
            <w:vAlign w:val="bottom"/>
            <w:shd w:val="clear" w:color="auto" w:fill="E5E5E5"/>
          </w:tcPr>
          <w:p>
            <w:pPr>
              <w:spacing w:after="0"/>
              <w:rPr>
                <w:sz w:val="19"/>
                <w:szCs w:val="19"/>
                <w:color w:val="auto"/>
              </w:rPr>
            </w:pPr>
          </w:p>
        </w:tc>
      </w:tr>
      <w:tr>
        <w:trPr>
          <w:trHeight w:val="74"/>
        </w:trPr>
        <w:tc>
          <w:tcPr>
            <w:tcW w:w="778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Microsoft Cloud revenue, which includes Microsoft 365 Commercial cloud, Azure and other cloud services, the commercial portion of LinkedIn, and Dynamics 365, was $38.9 billion and $31.9 billion for the three months ended September 30, 2024 and 2023, respectively. These amounts are primarily included in Microsoft 365 Commercial products and cloud services, Server products and cloud services, LinkedIn, and Dynamics products and cloud services in the table above.</w:t>
      </w:r>
    </w:p>
    <w:p>
      <w:pPr>
        <w:spacing w:after="0" w:line="122"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Assets are not allocated to segments for internal reporting presentations. A portion of amortization and depreciation is included with various other costs in an overhead allocation to each segment. It is impracticable for us to separately identify the amount of amortization and depreciation by segment that is included in the measure of segment profit or loss.</w:t>
      </w:r>
    </w:p>
    <w:p>
      <w:pPr>
        <w:sectPr>
          <w:pgSz w:w="11900" w:h="16838" w:orient="portrait"/>
          <w:cols w:equalWidth="0" w:num="1">
            <w:col w:w="11240"/>
          </w:cols>
          <w:pgMar w:left="320" w:top="774" w:right="3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type w:val="continuous"/>
        </w:sectPr>
      </w:pPr>
    </w:p>
    <w:bookmarkStart w:id="29" w:name="page30"/>
    <w:bookmarkEnd w:id="29"/>
    <w:p>
      <w:pPr>
        <w:ind w:left="52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240"/>
        <w:spacing w:after="0"/>
        <w:rPr>
          <w:sz w:val="20"/>
          <w:szCs w:val="20"/>
          <w:color w:val="auto"/>
        </w:rPr>
      </w:pPr>
      <w:r>
        <w:rPr>
          <w:rFonts w:ascii="Arial" w:cs="Arial" w:eastAsia="Arial" w:hAnsi="Arial"/>
          <w:sz w:val="13"/>
          <w:szCs w:val="13"/>
          <w:color w:val="auto"/>
        </w:rPr>
        <w:t>Item 1</w:t>
      </w:r>
    </w:p>
    <w:p>
      <w:pPr>
        <w:spacing w:after="0" w:line="169" w:lineRule="exact"/>
        <w:rPr>
          <w:sz w:val="20"/>
          <w:szCs w:val="20"/>
          <w:color w:val="auto"/>
        </w:rPr>
      </w:pPr>
    </w:p>
    <w:p>
      <w:pPr>
        <w:ind w:right="4620"/>
        <w:spacing w:after="0" w:line="463"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Stockholders and the Board of Directors of Microsoft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Review of Interim Financial Information</w:t>
      </w:r>
    </w:p>
    <w:p>
      <w:pPr>
        <w:spacing w:after="0" w:line="15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reviewed the accompanying consolidated balance sheet of Microsoft Corporation and subsidiaries (the "Company") as of September 30, 2024, the related consolidated statements of income, comprehensive income, cash flows, and stockholders’ equity for the three-month periods ended September 30, 2024 and 2023,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15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June 30, 2024, and the related consolidated statements of income, comprehensive income, cash flows, and stockholders’ equity for the year then ended (not presented herein); and in our report dated July 30, 2024, we expressed an unqualified opinion on those consolidated financial statements. In our opinion, the information set forth in the accompanying consolidated balance sheet as of June 30, 2024, is fairly stated, in all material respects, in relation to the consolidated balance sheet from which it has been derived.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157"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October 30, 2024</w:t>
      </w: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473075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520" w:top="774" w:right="679" w:bottom="1440" w:gutter="0" w:footer="0" w:header="0"/>
        </w:sectPr>
      </w:pPr>
    </w:p>
    <w:bookmarkStart w:id="30" w:name="page31"/>
    <w:bookmarkEnd w:id="30"/>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160" w:lineRule="exact"/>
        <w:rPr>
          <w:sz w:val="20"/>
          <w:szCs w:val="20"/>
          <w:color w:val="auto"/>
        </w:rPr>
      </w:pPr>
    </w:p>
    <w:p>
      <w:pPr>
        <w:jc w:val="center"/>
        <w:ind w:right="40"/>
        <w:spacing w:after="0" w:line="272"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report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“Management’s Discussion and Analysis of Financial Condition and Results of Operations” and “Risk Factors” (Part II, Item 1A of this Form 10-Q).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“Management’s Discussion and Analysis of Financial Condition and Results of Operations,” “Quantitative and Qualitative Disclosures About Market Risk” (Part I, Item 3 of this Form 10-Q), and “Risk Factors”. We undertake no obligation to update or revise publicly any forward-looking statements, whether because of new information, future events, or otherwise.</w:t>
      </w:r>
    </w:p>
    <w:p>
      <w:pPr>
        <w:spacing w:after="0" w:line="1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the results of operations and financial condition of Microsoft Corporation. MD&amp;A is provided as a supplement to, and should be read in conjunction with, our Annual Report on Form 10-K for the year ended June 30, 2024, and our financial statements and the accompanying Notes to Financial Statements (Part I, Item 1 of this Form 10-Q).</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OVERVIEW</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Microsoft is a technology company committed to making digital technology and artificial intelligence (“AI”) available broadly and doing so responsibly, with a mission to empower every person and every organization on the planet to achieve more. We create platforms and tools, powered by AI, that deliver innovative solutions that meet the evolving needs of our customers.</w:t>
      </w:r>
    </w:p>
    <w:p>
      <w:pPr>
        <w:spacing w:after="0" w:line="11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generate revenue by offering a wide range of cloud-based solutions, content, and other services to people and businesses; licensing and supporting an array of software products; delivering relevant online advertising to a global audience; and designing and selling devices. Our most significant expenses are related to compensating employees; supporting and investing in our cloud-based services, including datacenter operations; designing, manufacturing, marketing, and selling our other products and services; and income taxes.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first quarter of fiscal year 2025 compared with the first quarter of fiscal year 2024 included:</w:t>
      </w:r>
    </w:p>
    <w:p>
      <w:pPr>
        <w:spacing w:after="0" w:line="76" w:lineRule="exact"/>
        <w:rPr>
          <w:sz w:val="20"/>
          <w:szCs w:val="20"/>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Cloud revenue increased 22% to $38.9 billion.</w:t>
      </w:r>
    </w:p>
    <w:p>
      <w:pPr>
        <w:spacing w:after="0" w:line="88"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Commercial products and cloud services revenue increased 13% driven by Microsoft 365 Commercial cloud revenue growth of 15%.</w:t>
      </w:r>
    </w:p>
    <w:p>
      <w:pPr>
        <w:spacing w:after="0" w:line="18"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Consumer products and cloud services revenue increased 5% driven by Microsoft 365 Consumer cloud revenue growth of 6%.</w:t>
      </w:r>
    </w:p>
    <w:p>
      <w:pPr>
        <w:spacing w:after="0" w:line="1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LinkedIn revenue increased 10%.</w:t>
      </w:r>
    </w:p>
    <w:p>
      <w:pPr>
        <w:spacing w:after="0" w:line="8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Dynamics products and cloud services revenue increased 14% driven by Dynamics 365 revenue growth of 18%.</w:t>
      </w:r>
    </w:p>
    <w:p>
      <w:pPr>
        <w:spacing w:after="0" w:line="8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Server products and cloud services revenue increased 23% driven by Azure and other cloud services revenue growth of 33%.</w:t>
      </w:r>
    </w:p>
    <w:p>
      <w:pPr>
        <w:spacing w:after="0" w:line="8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Windows OEM and Devices revenue increased 2%.</w:t>
      </w:r>
    </w:p>
    <w:p>
      <w:pPr>
        <w:spacing w:after="0" w:line="88"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Xbox content and services revenue increased 61% driven by 53 points of net impact from the Activision Blizzard Inc. (“Activision Blizzard”) acquisition. The net impact reflects the change of Activision Blizzard content from third-party to first-party.</w:t>
      </w:r>
    </w:p>
    <w:p>
      <w:pPr>
        <w:spacing w:after="0" w:line="1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Search and news advertising revenue excluding traffic acquisition costs increased 18%.</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31" w:name="page32"/>
    <w:bookmarkEnd w:id="31"/>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industry is dynamic and highly competitive, with frequent changes in both technologies and business models. Each industry shift is an opportunity to conceive new products, new technologies, or new ideas that can further transform the industry and our business. At Microsoft, we push the boundaries of what is possible through a broad range of research and development activities that seek to identify and address the changing demands of customers and users, industry trends, and competitive forces.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Challenges, and Risks</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markets for software, devices, and cloud-based services are dynamic and highly competitive. Our competitors are developing new software and devices, while also deploying competing cloud-based services for consumers and businesses. The devices and form factors customers prefer evolve rapidly, influencing how users access services in the cloud and, in some cases, the user’s choice of which suite of cloud-based services to use. Aggregate demand for our software, services, and devices is also correlated to global macroeconomic and geopolitical factors, which remain dynamic. We must continue to evolve and adapt over an extended time in pace with this changing environment.</w:t>
      </w:r>
    </w:p>
    <w:p>
      <w:pPr>
        <w:spacing w:after="0" w:line="12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investments we are making in cloud and AI infrastructure and devices will continue to increase our operating costs and may decrease our operating margins. We continue to identify and evaluate opportunities to expand our datacenter locations and increase our server capacity to meet the evolving needs of our customers, particularly given the growing demand for AI services. Our datacenters depend on the availability of permitted and buildable land, predictable energy, networking supplies, and servers, including graphics processing units (“GPUs”) and other components. Our devices are primarily manufactured by third-party contract manufacturers. For the majority of our products, we have the ability to use other manufacturers if a current vendor becomes unavailable or unable to meet our requirements. However, some of our products contain certain components for which there are very few qualified suppliers. Extended disruptions at these suppliers could impact our ability to manufacture devices on time to meet consumer demand.</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success is highly dependent on our ability to attract and retain qualified employees. We hire a mix of university and industry talent worldwide. We compete for talented individuals globally by offering an exceptional working environment, broad customer reach, scale in resources, the ability to grow one’s career across many different products and businesses, and competitive compensation and benefits.</w:t>
      </w:r>
    </w:p>
    <w:p>
      <w:pPr>
        <w:spacing w:after="0" w:line="11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international operations provide a significant portion of our total revenue and expenses. Many of these revenue and expenses are denominated in currencies other than the U.S. dollar. As a result, changes in foreign exchange rates may significantly affect revenue and expenses. Fluctuations in the U.S. dollar relative to certain foreign currencies did not have a material impact on reported revenue and expenses from our international operations in the first quarter of fiscal year 2025.</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Refer to Risk Factors (Part II, Item 1A of this Form 10-Q) for a discussion of these factors and other risks.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revenue fluctuates quarterly and is generally higher in the fourth quarter of our fiscal year. Fourth quarter revenue is driven by a higher volume of multi-year contracts executed during the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report our financial performance based on the following segments: Productivity and Business Processes, Intelligent Cloud, and More Personal Computing. The segment amounts included in MD&amp;A are presented on a basis consistent with our internal management reporting.</w:t>
      </w:r>
    </w:p>
    <w:p>
      <w:pPr>
        <w:spacing w:after="0" w:line="9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August 2024, we announced changes to the composition of our segments. These changes align our segments with how we currently manage our business, most notably bringing the commercial components of Microsoft 365 together in the Productivity and Business Processes segment. Beginning in fiscal year 2025, the information that our chief operating decision maker is regularly provided and reviews for purposes of allocating resources and assessing performance reflects these segment changes. Prior period segment information has been recast to conform to the way we internally manage and monitor our business during fiscal year 2025.</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32" w:name="page33"/>
    <w:bookmarkEnd w:id="32"/>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33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Additional information on our reportable segments is contained in Note 17 – Segment Information and Geographic Data of the Notes to Financial Statements (Part I, Item 1 of this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Metrics</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use metrics in assessing the performance of our business and to make informed decisions regarding the allocation of resources. We disclose metrics to enable investors to evaluate progress against our ambitions, provide transparency into performance trends, and reflect the continued evolution of our products and services. Our commercial and other business metrics are fundamentally connected based on how customers use our products and services. The metrics are disclosed in the MD&amp;A or the Notes to Financial Statements (Part I, Item 1 of this Form 10-Q). Financial metrics are calculated based on financial results prepared in accordance with accounting principles generally accepted in the United States of America (“GAAP”), and growth comparisons relate to the corresponding period of last fiscal year.</w:t>
      </w:r>
    </w:p>
    <w:p>
      <w:pPr>
        <w:spacing w:after="0" w:line="12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the first quarter of fiscal year 2025, we made updates to our metrics in connection with the segment changes described above. These changes align our metrics with how we manage and monitor certain businesses. The key change was bringing the commercial components of Microsoft 365 together and creating a new Microsoft 365 Commercial cloud revenue growth metric. Other changes include combining Windows OEM and Devices into a single revenue growth metric that brings revenue from PC market-driven businesses together, as well as elevating our cloud revenue growth metrics to align to our strategic focus on cloud growth.</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w:t>
      </w:r>
    </w:p>
    <w:p>
      <w:pPr>
        <w:spacing w:after="0" w:line="15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commercial business primarily consists of Server products and cloud services, Microsoft 365 Commercial products and cloud services, the commercial portion of LinkedIn, Enterprise and partner services, and Dynamics products and cloud services. Our commercial metrics allow management and investors to assess the overall health of our commercial business and include leading indicators of future performance.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ind w:left="180"/>
              <w:spacing w:after="0"/>
              <w:rPr>
                <w:sz w:val="20"/>
                <w:szCs w:val="20"/>
                <w:color w:val="auto"/>
              </w:rPr>
            </w:pPr>
            <w:r>
              <w:rPr>
                <w:rFonts w:ascii="Arial" w:cs="Arial" w:eastAsia="Arial" w:hAnsi="Arial"/>
                <w:sz w:val="18"/>
                <w:szCs w:val="18"/>
                <w:color w:val="auto"/>
              </w:rPr>
              <w:t>Commercial remaining performance obligation</w:t>
            </w:r>
          </w:p>
        </w:tc>
        <w:tc>
          <w:tcPr>
            <w:tcW w:w="7100" w:type="dxa"/>
            <w:vAlign w:val="bottom"/>
          </w:tcPr>
          <w:p>
            <w:pPr>
              <w:ind w:left="260"/>
              <w:spacing w:after="0"/>
              <w:rPr>
                <w:sz w:val="20"/>
                <w:szCs w:val="20"/>
                <w:color w:val="auto"/>
              </w:rPr>
            </w:pPr>
            <w:r>
              <w:rPr>
                <w:rFonts w:ascii="Arial" w:cs="Arial" w:eastAsia="Arial" w:hAnsi="Arial"/>
                <w:sz w:val="18"/>
                <w:szCs w:val="18"/>
                <w:color w:val="auto"/>
              </w:rPr>
              <w:t>Commercial portion of revenue allocated to remaining performance obligations, which</w:t>
            </w:r>
          </w:p>
        </w:tc>
      </w:tr>
      <w:tr>
        <w:trPr>
          <w:trHeight w:val="202"/>
        </w:trPr>
        <w:tc>
          <w:tcPr>
            <w:tcW w:w="4140" w:type="dxa"/>
            <w:vAlign w:val="bottom"/>
          </w:tcPr>
          <w:p>
            <w:pPr>
              <w:spacing w:after="0"/>
              <w:rPr>
                <w:sz w:val="17"/>
                <w:szCs w:val="17"/>
                <w:color w:val="auto"/>
              </w:rPr>
            </w:pPr>
          </w:p>
        </w:tc>
        <w:tc>
          <w:tcPr>
            <w:tcW w:w="7100" w:type="dxa"/>
            <w:vAlign w:val="bottom"/>
          </w:tcPr>
          <w:p>
            <w:pPr>
              <w:ind w:left="260"/>
              <w:spacing w:after="0" w:line="202" w:lineRule="exact"/>
              <w:rPr>
                <w:sz w:val="20"/>
                <w:szCs w:val="20"/>
                <w:color w:val="auto"/>
              </w:rPr>
            </w:pPr>
            <w:r>
              <w:rPr>
                <w:rFonts w:ascii="Arial" w:cs="Arial" w:eastAsia="Arial" w:hAnsi="Arial"/>
                <w:sz w:val="18"/>
                <w:szCs w:val="18"/>
                <w:color w:val="auto"/>
              </w:rPr>
              <w:t>includes unearned revenue and amounts that will be invoiced and recognized as</w:t>
            </w:r>
          </w:p>
        </w:tc>
      </w:tr>
      <w:tr>
        <w:trPr>
          <w:trHeight w:val="239"/>
        </w:trPr>
        <w:tc>
          <w:tcPr>
            <w:tcW w:w="4140" w:type="dxa"/>
            <w:vAlign w:val="bottom"/>
          </w:tcPr>
          <w:p>
            <w:pPr>
              <w:spacing w:after="0"/>
              <w:rPr>
                <w:sz w:val="20"/>
                <w:szCs w:val="20"/>
                <w:color w:val="auto"/>
              </w:rPr>
            </w:pPr>
          </w:p>
        </w:tc>
        <w:tc>
          <w:tcPr>
            <w:tcW w:w="7100" w:type="dxa"/>
            <w:vAlign w:val="bottom"/>
          </w:tcPr>
          <w:p>
            <w:pPr>
              <w:ind w:left="260"/>
              <w:spacing w:after="0"/>
              <w:rPr>
                <w:sz w:val="20"/>
                <w:szCs w:val="20"/>
                <w:color w:val="auto"/>
              </w:rPr>
            </w:pPr>
            <w:r>
              <w:rPr>
                <w:rFonts w:ascii="Arial" w:cs="Arial" w:eastAsia="Arial" w:hAnsi="Arial"/>
                <w:sz w:val="18"/>
                <w:szCs w:val="18"/>
                <w:color w:val="auto"/>
              </w:rPr>
              <w:t>revenue in future periods</w:t>
            </w:r>
          </w:p>
        </w:tc>
      </w:tr>
      <w:tr>
        <w:trPr>
          <w:trHeight w:val="260"/>
        </w:trPr>
        <w:tc>
          <w:tcPr>
            <w:tcW w:w="4140" w:type="dxa"/>
            <w:vAlign w:val="bottom"/>
          </w:tcPr>
          <w:p>
            <w:pPr>
              <w:ind w:left="180"/>
              <w:spacing w:after="0"/>
              <w:rPr>
                <w:sz w:val="20"/>
                <w:szCs w:val="20"/>
                <w:color w:val="auto"/>
              </w:rPr>
            </w:pPr>
            <w:r>
              <w:rPr>
                <w:rFonts w:ascii="Arial" w:cs="Arial" w:eastAsia="Arial" w:hAnsi="Arial"/>
                <w:sz w:val="18"/>
                <w:szCs w:val="18"/>
                <w:color w:val="auto"/>
              </w:rPr>
              <w:t>Microsoft Cloud revenue and revenue growth</w:t>
            </w:r>
          </w:p>
        </w:tc>
        <w:tc>
          <w:tcPr>
            <w:tcW w:w="7100" w:type="dxa"/>
            <w:vAlign w:val="bottom"/>
          </w:tcPr>
          <w:p>
            <w:pPr>
              <w:ind w:left="260"/>
              <w:spacing w:after="0"/>
              <w:rPr>
                <w:sz w:val="20"/>
                <w:szCs w:val="20"/>
                <w:color w:val="auto"/>
              </w:rPr>
            </w:pPr>
            <w:r>
              <w:rPr>
                <w:rFonts w:ascii="Arial" w:cs="Arial" w:eastAsia="Arial" w:hAnsi="Arial"/>
                <w:sz w:val="18"/>
                <w:szCs w:val="18"/>
                <w:color w:val="auto"/>
              </w:rPr>
              <w:t>Revenue from Microsoft 365 Commercial cloud, Azure and other cloud services, the</w:t>
            </w:r>
          </w:p>
        </w:tc>
      </w:tr>
      <w:tr>
        <w:trPr>
          <w:trHeight w:val="239"/>
        </w:trPr>
        <w:tc>
          <w:tcPr>
            <w:tcW w:w="4140" w:type="dxa"/>
            <w:vAlign w:val="bottom"/>
          </w:tcPr>
          <w:p>
            <w:pPr>
              <w:spacing w:after="0"/>
              <w:rPr>
                <w:sz w:val="20"/>
                <w:szCs w:val="20"/>
                <w:color w:val="auto"/>
              </w:rPr>
            </w:pPr>
          </w:p>
        </w:tc>
        <w:tc>
          <w:tcPr>
            <w:tcW w:w="7100" w:type="dxa"/>
            <w:vAlign w:val="bottom"/>
          </w:tcPr>
          <w:p>
            <w:pPr>
              <w:ind w:left="260"/>
              <w:spacing w:after="0"/>
              <w:rPr>
                <w:sz w:val="20"/>
                <w:szCs w:val="20"/>
                <w:color w:val="auto"/>
              </w:rPr>
            </w:pPr>
            <w:r>
              <w:rPr>
                <w:rFonts w:ascii="Arial" w:cs="Arial" w:eastAsia="Arial" w:hAnsi="Arial"/>
                <w:sz w:val="18"/>
                <w:szCs w:val="18"/>
                <w:color w:val="auto"/>
              </w:rPr>
              <w:t>commercial portion of LinkedIn, and Dynamics 365</w:t>
            </w:r>
          </w:p>
        </w:tc>
      </w:tr>
      <w:tr>
        <w:trPr>
          <w:trHeight w:val="297"/>
        </w:trPr>
        <w:tc>
          <w:tcPr>
            <w:tcW w:w="4140" w:type="dxa"/>
            <w:vAlign w:val="bottom"/>
          </w:tcPr>
          <w:p>
            <w:pPr>
              <w:ind w:left="180"/>
              <w:spacing w:after="0"/>
              <w:rPr>
                <w:sz w:val="20"/>
                <w:szCs w:val="20"/>
                <w:color w:val="auto"/>
              </w:rPr>
            </w:pPr>
            <w:r>
              <w:rPr>
                <w:rFonts w:ascii="Arial" w:cs="Arial" w:eastAsia="Arial" w:hAnsi="Arial"/>
                <w:sz w:val="18"/>
                <w:szCs w:val="18"/>
                <w:color w:val="auto"/>
              </w:rPr>
              <w:t>Microsoft Cloud gross margin percentage</w:t>
            </w:r>
          </w:p>
        </w:tc>
        <w:tc>
          <w:tcPr>
            <w:tcW w:w="7100" w:type="dxa"/>
            <w:vAlign w:val="bottom"/>
          </w:tcPr>
          <w:p>
            <w:pPr>
              <w:ind w:left="260"/>
              <w:spacing w:after="0"/>
              <w:rPr>
                <w:sz w:val="20"/>
                <w:szCs w:val="20"/>
                <w:color w:val="auto"/>
              </w:rPr>
            </w:pPr>
            <w:r>
              <w:rPr>
                <w:rFonts w:ascii="Arial" w:cs="Arial" w:eastAsia="Arial" w:hAnsi="Arial"/>
                <w:sz w:val="18"/>
                <w:szCs w:val="18"/>
                <w:color w:val="auto"/>
              </w:rPr>
              <w:t>Gross margin percentage for our Microsoft Cloud business</w:t>
            </w:r>
          </w:p>
        </w:tc>
      </w:tr>
      <w:tr>
        <w:trPr>
          <w:trHeight w:val="608"/>
        </w:trPr>
        <w:tc>
          <w:tcPr>
            <w:tcW w:w="4140" w:type="dxa"/>
            <w:vAlign w:val="bottom"/>
          </w:tcPr>
          <w:p>
            <w:pPr>
              <w:spacing w:after="0"/>
              <w:rPr>
                <w:sz w:val="24"/>
                <w:szCs w:val="24"/>
                <w:color w:val="auto"/>
              </w:rPr>
            </w:pPr>
          </w:p>
        </w:tc>
        <w:tc>
          <w:tcPr>
            <w:tcW w:w="7100" w:type="dxa"/>
            <w:vAlign w:val="bottom"/>
          </w:tcPr>
          <w:p>
            <w:pPr>
              <w:ind w:left="1400"/>
              <w:spacing w:after="0"/>
              <w:rPr>
                <w:sz w:val="20"/>
                <w:szCs w:val="20"/>
                <w:color w:val="auto"/>
              </w:rPr>
            </w:pPr>
            <w:r>
              <w:rPr>
                <w:rFonts w:ascii="Arial" w:cs="Arial" w:eastAsia="Arial" w:hAnsi="Arial"/>
                <w:sz w:val="14"/>
                <w:szCs w:val="14"/>
                <w:color w:val="auto"/>
              </w:rPr>
              <w:t>33</w:t>
            </w:r>
          </w:p>
        </w:tc>
      </w:tr>
      <w:tr>
        <w:trPr>
          <w:trHeight w:val="743"/>
        </w:trPr>
        <w:tc>
          <w:tcPr>
            <w:tcW w:w="4140" w:type="dxa"/>
            <w:vAlign w:val="bottom"/>
            <w:tcBorders>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33" w:name="page34"/>
    <w:bookmarkEnd w:id="33"/>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Productivity and Business Processes and Intelligent Cloud</w:t>
      </w:r>
    </w:p>
    <w:p>
      <w:pPr>
        <w:spacing w:after="0" w:line="15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Metrics related to our Productivity and Business Processes and Intelligent Cloud segments assess the health of our core businesses within these segments. The metrics primarily reflect growth across our cloud services.</w:t>
      </w:r>
    </w:p>
    <w:p>
      <w:pPr>
        <w:spacing w:after="0" w:line="135"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Microsoft 365</w:t>
            </w:r>
          </w:p>
        </w:tc>
        <w:tc>
          <w:tcPr>
            <w:tcW w:w="2920" w:type="dxa"/>
            <w:vAlign w:val="bottom"/>
          </w:tcPr>
          <w:p>
            <w:pPr>
              <w:ind w:left="20"/>
              <w:spacing w:after="0"/>
              <w:rPr>
                <w:sz w:val="20"/>
                <w:szCs w:val="20"/>
                <w:color w:val="auto"/>
              </w:rPr>
            </w:pPr>
            <w:r>
              <w:rPr>
                <w:rFonts w:ascii="Arial" w:cs="Arial" w:eastAsia="Arial" w:hAnsi="Arial"/>
                <w:sz w:val="18"/>
                <w:szCs w:val="18"/>
                <w:color w:val="auto"/>
              </w:rPr>
              <w:t>Commercial cloud revenue growth</w:t>
            </w:r>
          </w:p>
        </w:tc>
        <w:tc>
          <w:tcPr>
            <w:tcW w:w="6980" w:type="dxa"/>
            <w:vAlign w:val="bottom"/>
          </w:tcPr>
          <w:p>
            <w:pPr>
              <w:ind w:left="180"/>
              <w:spacing w:after="0"/>
              <w:rPr>
                <w:sz w:val="20"/>
                <w:szCs w:val="20"/>
                <w:color w:val="auto"/>
              </w:rPr>
            </w:pPr>
            <w:r>
              <w:rPr>
                <w:rFonts w:ascii="Arial" w:cs="Arial" w:eastAsia="Arial" w:hAnsi="Arial"/>
                <w:sz w:val="18"/>
                <w:szCs w:val="18"/>
                <w:color w:val="auto"/>
              </w:rPr>
              <w:t>Revenue from Microsoft 365 Commercial subscriptions, comprising Microsoft 365</w:t>
            </w:r>
          </w:p>
        </w:tc>
      </w:tr>
      <w:tr>
        <w:trPr>
          <w:trHeight w:val="202"/>
        </w:trPr>
        <w:tc>
          <w:tcPr>
            <w:tcW w:w="11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980" w:type="dxa"/>
            <w:vAlign w:val="bottom"/>
          </w:tcPr>
          <w:p>
            <w:pPr>
              <w:ind w:left="180"/>
              <w:spacing w:after="0" w:line="202" w:lineRule="exact"/>
              <w:rPr>
                <w:sz w:val="20"/>
                <w:szCs w:val="20"/>
                <w:color w:val="auto"/>
              </w:rPr>
            </w:pPr>
            <w:r>
              <w:rPr>
                <w:rFonts w:ascii="Arial" w:cs="Arial" w:eastAsia="Arial" w:hAnsi="Arial"/>
                <w:sz w:val="18"/>
                <w:szCs w:val="18"/>
                <w:color w:val="auto"/>
              </w:rPr>
              <w:t>Commercial, Enterprise Mobility + Security, the cloud portion of Windows</w:t>
            </w:r>
          </w:p>
        </w:tc>
      </w:tr>
      <w:tr>
        <w:trPr>
          <w:trHeight w:val="202"/>
        </w:trPr>
        <w:tc>
          <w:tcPr>
            <w:tcW w:w="11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980" w:type="dxa"/>
            <w:vAlign w:val="bottom"/>
          </w:tcPr>
          <w:p>
            <w:pPr>
              <w:ind w:left="180"/>
              <w:spacing w:after="0" w:line="202" w:lineRule="exact"/>
              <w:rPr>
                <w:sz w:val="20"/>
                <w:szCs w:val="20"/>
                <w:color w:val="auto"/>
              </w:rPr>
            </w:pPr>
            <w:r>
              <w:rPr>
                <w:rFonts w:ascii="Arial" w:cs="Arial" w:eastAsia="Arial" w:hAnsi="Arial"/>
                <w:sz w:val="18"/>
                <w:szCs w:val="18"/>
                <w:color w:val="auto"/>
              </w:rPr>
              <w:t>Commercial, the per-user portion of Power BI, Exchange, SharePoint, Microsoft</w:t>
            </w:r>
          </w:p>
        </w:tc>
      </w:tr>
      <w:tr>
        <w:trPr>
          <w:trHeight w:val="202"/>
        </w:trPr>
        <w:tc>
          <w:tcPr>
            <w:tcW w:w="11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980" w:type="dxa"/>
            <w:vAlign w:val="bottom"/>
          </w:tcPr>
          <w:p>
            <w:pPr>
              <w:ind w:left="180"/>
              <w:spacing w:after="0" w:line="202" w:lineRule="exact"/>
              <w:rPr>
                <w:sz w:val="20"/>
                <w:szCs w:val="20"/>
                <w:color w:val="auto"/>
              </w:rPr>
            </w:pPr>
            <w:r>
              <w:rPr>
                <w:rFonts w:ascii="Arial" w:cs="Arial" w:eastAsia="Arial" w:hAnsi="Arial"/>
                <w:sz w:val="18"/>
                <w:szCs w:val="18"/>
                <w:color w:val="auto"/>
              </w:rPr>
              <w:t>Teams, Microsoft 365 Security and Compliance, Microsoft Viva, and Microsoft 365</w:t>
            </w:r>
          </w:p>
        </w:tc>
      </w:tr>
      <w:tr>
        <w:trPr>
          <w:trHeight w:val="239"/>
        </w:trPr>
        <w:tc>
          <w:tcPr>
            <w:tcW w:w="11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Copilot</w:t>
            </w:r>
          </w:p>
        </w:tc>
      </w:tr>
      <w:tr>
        <w:trPr>
          <w:trHeight w:val="260"/>
        </w:trPr>
        <w:tc>
          <w:tcPr>
            <w:tcW w:w="1120" w:type="dxa"/>
            <w:vAlign w:val="bottom"/>
          </w:tcPr>
          <w:p>
            <w:pPr>
              <w:spacing w:after="0"/>
              <w:rPr>
                <w:sz w:val="20"/>
                <w:szCs w:val="20"/>
                <w:color w:val="auto"/>
              </w:rPr>
            </w:pPr>
            <w:r>
              <w:rPr>
                <w:rFonts w:ascii="Arial" w:cs="Arial" w:eastAsia="Arial" w:hAnsi="Arial"/>
                <w:sz w:val="18"/>
                <w:szCs w:val="18"/>
                <w:color w:val="auto"/>
              </w:rPr>
              <w:t>Microsoft 365</w:t>
            </w:r>
          </w:p>
        </w:tc>
        <w:tc>
          <w:tcPr>
            <w:tcW w:w="2920" w:type="dxa"/>
            <w:vAlign w:val="bottom"/>
          </w:tcPr>
          <w:p>
            <w:pPr>
              <w:ind w:left="20"/>
              <w:spacing w:after="0"/>
              <w:rPr>
                <w:sz w:val="20"/>
                <w:szCs w:val="20"/>
                <w:color w:val="auto"/>
              </w:rPr>
            </w:pPr>
            <w:r>
              <w:rPr>
                <w:rFonts w:ascii="Arial" w:cs="Arial" w:eastAsia="Arial" w:hAnsi="Arial"/>
                <w:sz w:val="18"/>
                <w:szCs w:val="18"/>
                <w:color w:val="auto"/>
              </w:rPr>
              <w:t>Commercial seat growth</w:t>
            </w:r>
          </w:p>
        </w:tc>
        <w:tc>
          <w:tcPr>
            <w:tcW w:w="6980" w:type="dxa"/>
            <w:vAlign w:val="bottom"/>
          </w:tcPr>
          <w:p>
            <w:pPr>
              <w:ind w:left="180"/>
              <w:spacing w:after="0"/>
              <w:rPr>
                <w:sz w:val="20"/>
                <w:szCs w:val="20"/>
                <w:color w:val="auto"/>
              </w:rPr>
            </w:pPr>
            <w:r>
              <w:rPr>
                <w:rFonts w:ascii="Arial" w:cs="Arial" w:eastAsia="Arial" w:hAnsi="Arial"/>
                <w:sz w:val="18"/>
                <w:szCs w:val="18"/>
                <w:color w:val="auto"/>
                <w:w w:val="99"/>
              </w:rPr>
              <w:t>The number of Microsoft 365 Commercial seats at end of period where seats are paid</w:t>
            </w:r>
          </w:p>
        </w:tc>
      </w:tr>
      <w:tr>
        <w:trPr>
          <w:trHeight w:val="239"/>
        </w:trPr>
        <w:tc>
          <w:tcPr>
            <w:tcW w:w="11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users covered by a Microsoft 365 Commercial subscription</w:t>
            </w:r>
          </w:p>
        </w:tc>
      </w:tr>
      <w:tr>
        <w:trPr>
          <w:trHeight w:val="297"/>
        </w:trPr>
        <w:tc>
          <w:tcPr>
            <w:tcW w:w="1120" w:type="dxa"/>
            <w:vAlign w:val="bottom"/>
          </w:tcPr>
          <w:p>
            <w:pPr>
              <w:spacing w:after="0"/>
              <w:rPr>
                <w:sz w:val="20"/>
                <w:szCs w:val="20"/>
                <w:color w:val="auto"/>
              </w:rPr>
            </w:pPr>
            <w:r>
              <w:rPr>
                <w:rFonts w:ascii="Arial" w:cs="Arial" w:eastAsia="Arial" w:hAnsi="Arial"/>
                <w:sz w:val="18"/>
                <w:szCs w:val="18"/>
                <w:color w:val="auto"/>
              </w:rPr>
              <w:t>Microsoft 365</w:t>
            </w:r>
          </w:p>
        </w:tc>
        <w:tc>
          <w:tcPr>
            <w:tcW w:w="2920" w:type="dxa"/>
            <w:vAlign w:val="bottom"/>
          </w:tcPr>
          <w:p>
            <w:pPr>
              <w:ind w:left="20"/>
              <w:spacing w:after="0"/>
              <w:rPr>
                <w:sz w:val="20"/>
                <w:szCs w:val="20"/>
                <w:color w:val="auto"/>
              </w:rPr>
            </w:pPr>
            <w:r>
              <w:rPr>
                <w:rFonts w:ascii="Arial" w:cs="Arial" w:eastAsia="Arial" w:hAnsi="Arial"/>
                <w:sz w:val="18"/>
                <w:szCs w:val="18"/>
                <w:color w:val="auto"/>
              </w:rPr>
              <w:t>Consumer cloud revenue growth</w:t>
            </w:r>
          </w:p>
        </w:tc>
        <w:tc>
          <w:tcPr>
            <w:tcW w:w="6980" w:type="dxa"/>
            <w:vAlign w:val="bottom"/>
          </w:tcPr>
          <w:p>
            <w:pPr>
              <w:ind w:left="180"/>
              <w:spacing w:after="0"/>
              <w:rPr>
                <w:sz w:val="20"/>
                <w:szCs w:val="20"/>
                <w:color w:val="auto"/>
              </w:rPr>
            </w:pPr>
            <w:r>
              <w:rPr>
                <w:rFonts w:ascii="Arial" w:cs="Arial" w:eastAsia="Arial" w:hAnsi="Arial"/>
                <w:sz w:val="18"/>
                <w:szCs w:val="18"/>
                <w:color w:val="auto"/>
              </w:rPr>
              <w:t>Revenue from Microsoft 365 Consumer subscriptions and other consumer services</w:t>
            </w:r>
          </w:p>
        </w:tc>
      </w:tr>
      <w:tr>
        <w:trPr>
          <w:trHeight w:val="297"/>
        </w:trPr>
        <w:tc>
          <w:tcPr>
            <w:tcW w:w="1120" w:type="dxa"/>
            <w:vAlign w:val="bottom"/>
          </w:tcPr>
          <w:p>
            <w:pPr>
              <w:spacing w:after="0"/>
              <w:rPr>
                <w:sz w:val="20"/>
                <w:szCs w:val="20"/>
                <w:color w:val="auto"/>
              </w:rPr>
            </w:pPr>
            <w:r>
              <w:rPr>
                <w:rFonts w:ascii="Arial" w:cs="Arial" w:eastAsia="Arial" w:hAnsi="Arial"/>
                <w:sz w:val="18"/>
                <w:szCs w:val="18"/>
                <w:color w:val="auto"/>
              </w:rPr>
              <w:t>Microsoft 365</w:t>
            </w:r>
          </w:p>
        </w:tc>
        <w:tc>
          <w:tcPr>
            <w:tcW w:w="2920" w:type="dxa"/>
            <w:vAlign w:val="bottom"/>
          </w:tcPr>
          <w:p>
            <w:pPr>
              <w:ind w:left="20"/>
              <w:spacing w:after="0"/>
              <w:rPr>
                <w:sz w:val="20"/>
                <w:szCs w:val="20"/>
                <w:color w:val="auto"/>
              </w:rPr>
            </w:pPr>
            <w:r>
              <w:rPr>
                <w:rFonts w:ascii="Arial" w:cs="Arial" w:eastAsia="Arial" w:hAnsi="Arial"/>
                <w:sz w:val="18"/>
                <w:szCs w:val="18"/>
                <w:color w:val="auto"/>
              </w:rPr>
              <w:t>Consumer subscribers</w:t>
            </w:r>
          </w:p>
        </w:tc>
        <w:tc>
          <w:tcPr>
            <w:tcW w:w="6980" w:type="dxa"/>
            <w:vAlign w:val="bottom"/>
          </w:tcPr>
          <w:p>
            <w:pPr>
              <w:ind w:left="180"/>
              <w:spacing w:after="0"/>
              <w:rPr>
                <w:sz w:val="20"/>
                <w:szCs w:val="20"/>
                <w:color w:val="auto"/>
              </w:rPr>
            </w:pPr>
            <w:r>
              <w:rPr>
                <w:rFonts w:ascii="Arial" w:cs="Arial" w:eastAsia="Arial" w:hAnsi="Arial"/>
                <w:sz w:val="18"/>
                <w:szCs w:val="18"/>
                <w:color w:val="auto"/>
              </w:rPr>
              <w:t>The number of Microsoft 365 Consumer subscribers at end of period</w:t>
            </w:r>
          </w:p>
        </w:tc>
      </w:tr>
      <w:tr>
        <w:trPr>
          <w:trHeight w:val="260"/>
        </w:trPr>
        <w:tc>
          <w:tcPr>
            <w:tcW w:w="4040" w:type="dxa"/>
            <w:vAlign w:val="bottom"/>
            <w:gridSpan w:val="2"/>
          </w:tcPr>
          <w:p>
            <w:pPr>
              <w:spacing w:after="0"/>
              <w:rPr>
                <w:sz w:val="20"/>
                <w:szCs w:val="20"/>
                <w:color w:val="auto"/>
              </w:rPr>
            </w:pPr>
            <w:r>
              <w:rPr>
                <w:rFonts w:ascii="Arial" w:cs="Arial" w:eastAsia="Arial" w:hAnsi="Arial"/>
                <w:sz w:val="18"/>
                <w:szCs w:val="18"/>
                <w:color w:val="auto"/>
              </w:rPr>
              <w:t>LinkedIn revenue growth</w:t>
            </w:r>
          </w:p>
        </w:tc>
        <w:tc>
          <w:tcPr>
            <w:tcW w:w="6980" w:type="dxa"/>
            <w:vAlign w:val="bottom"/>
          </w:tcPr>
          <w:p>
            <w:pPr>
              <w:ind w:left="180"/>
              <w:spacing w:after="0"/>
              <w:rPr>
                <w:sz w:val="20"/>
                <w:szCs w:val="20"/>
                <w:color w:val="auto"/>
              </w:rPr>
            </w:pPr>
            <w:r>
              <w:rPr>
                <w:rFonts w:ascii="Arial" w:cs="Arial" w:eastAsia="Arial" w:hAnsi="Arial"/>
                <w:sz w:val="18"/>
                <w:szCs w:val="18"/>
                <w:color w:val="auto"/>
              </w:rPr>
              <w:t>Revenue from LinkedIn, including Talent Solutions, Marketing Solutions, Premium</w:t>
            </w:r>
          </w:p>
        </w:tc>
      </w:tr>
      <w:tr>
        <w:trPr>
          <w:trHeight w:val="239"/>
        </w:trPr>
        <w:tc>
          <w:tcPr>
            <w:tcW w:w="11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Subscriptions, and Sales Solutions</w:t>
            </w:r>
          </w:p>
        </w:tc>
      </w:tr>
      <w:tr>
        <w:trPr>
          <w:trHeight w:val="260"/>
        </w:trPr>
        <w:tc>
          <w:tcPr>
            <w:tcW w:w="4040" w:type="dxa"/>
            <w:vAlign w:val="bottom"/>
            <w:gridSpan w:val="2"/>
          </w:tcPr>
          <w:p>
            <w:pPr>
              <w:spacing w:after="0"/>
              <w:rPr>
                <w:sz w:val="20"/>
                <w:szCs w:val="20"/>
                <w:color w:val="auto"/>
              </w:rPr>
            </w:pPr>
            <w:r>
              <w:rPr>
                <w:rFonts w:ascii="Arial" w:cs="Arial" w:eastAsia="Arial" w:hAnsi="Arial"/>
                <w:sz w:val="18"/>
                <w:szCs w:val="18"/>
                <w:color w:val="auto"/>
              </w:rPr>
              <w:t>Dynamics 365 revenue growth</w:t>
            </w:r>
          </w:p>
        </w:tc>
        <w:tc>
          <w:tcPr>
            <w:tcW w:w="6980" w:type="dxa"/>
            <w:vAlign w:val="bottom"/>
          </w:tcPr>
          <w:p>
            <w:pPr>
              <w:ind w:left="180"/>
              <w:spacing w:after="0"/>
              <w:rPr>
                <w:sz w:val="20"/>
                <w:szCs w:val="20"/>
                <w:color w:val="auto"/>
              </w:rPr>
            </w:pPr>
            <w:r>
              <w:rPr>
                <w:rFonts w:ascii="Arial" w:cs="Arial" w:eastAsia="Arial" w:hAnsi="Arial"/>
                <w:sz w:val="18"/>
                <w:szCs w:val="18"/>
                <w:color w:val="auto"/>
              </w:rPr>
              <w:t>Revenue from Dynamics 365, including a set of intelligent, cloud-based applications</w:t>
            </w:r>
          </w:p>
        </w:tc>
      </w:tr>
      <w:tr>
        <w:trPr>
          <w:trHeight w:val="239"/>
        </w:trPr>
        <w:tc>
          <w:tcPr>
            <w:tcW w:w="11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across ERP, CRM, Power Apps, and Power Automate</w:t>
            </w:r>
          </w:p>
        </w:tc>
      </w:tr>
      <w:tr>
        <w:trPr>
          <w:trHeight w:val="260"/>
        </w:trPr>
        <w:tc>
          <w:tcPr>
            <w:tcW w:w="4040" w:type="dxa"/>
            <w:vAlign w:val="bottom"/>
            <w:gridSpan w:val="2"/>
          </w:tcPr>
          <w:p>
            <w:pPr>
              <w:spacing w:after="0"/>
              <w:rPr>
                <w:sz w:val="20"/>
                <w:szCs w:val="20"/>
                <w:color w:val="auto"/>
              </w:rPr>
            </w:pPr>
            <w:r>
              <w:rPr>
                <w:rFonts w:ascii="Arial" w:cs="Arial" w:eastAsia="Arial" w:hAnsi="Arial"/>
                <w:sz w:val="18"/>
                <w:szCs w:val="18"/>
                <w:color w:val="auto"/>
              </w:rPr>
              <w:t>Azure and other cloud services revenue growth</w:t>
            </w:r>
          </w:p>
        </w:tc>
        <w:tc>
          <w:tcPr>
            <w:tcW w:w="6980" w:type="dxa"/>
            <w:vAlign w:val="bottom"/>
          </w:tcPr>
          <w:p>
            <w:pPr>
              <w:ind w:left="180"/>
              <w:spacing w:after="0"/>
              <w:rPr>
                <w:sz w:val="20"/>
                <w:szCs w:val="20"/>
                <w:color w:val="auto"/>
              </w:rPr>
            </w:pPr>
            <w:r>
              <w:rPr>
                <w:rFonts w:ascii="Arial" w:cs="Arial" w:eastAsia="Arial" w:hAnsi="Arial"/>
                <w:sz w:val="18"/>
                <w:szCs w:val="18"/>
                <w:color w:val="auto"/>
              </w:rPr>
              <w:t>Revenue from Azure and other cloud services, including cloud and AI consumption-</w:t>
            </w:r>
          </w:p>
        </w:tc>
      </w:tr>
      <w:tr>
        <w:trPr>
          <w:trHeight w:val="202"/>
        </w:trPr>
        <w:tc>
          <w:tcPr>
            <w:tcW w:w="11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980" w:type="dxa"/>
            <w:vAlign w:val="bottom"/>
          </w:tcPr>
          <w:p>
            <w:pPr>
              <w:ind w:left="180"/>
              <w:spacing w:after="0" w:line="202" w:lineRule="exact"/>
              <w:rPr>
                <w:sz w:val="20"/>
                <w:szCs w:val="20"/>
                <w:color w:val="auto"/>
              </w:rPr>
            </w:pPr>
            <w:r>
              <w:rPr>
                <w:rFonts w:ascii="Arial" w:cs="Arial" w:eastAsia="Arial" w:hAnsi="Arial"/>
                <w:sz w:val="18"/>
                <w:szCs w:val="18"/>
                <w:color w:val="auto"/>
              </w:rPr>
              <w:t>based services, GitHub cloud services, Nuance Healthcare cloud services, virtual</w:t>
            </w:r>
          </w:p>
        </w:tc>
      </w:tr>
      <w:tr>
        <w:trPr>
          <w:trHeight w:val="239"/>
        </w:trPr>
        <w:tc>
          <w:tcPr>
            <w:tcW w:w="11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desktop offerings, and other cloud services</w:t>
            </w:r>
          </w:p>
        </w:tc>
      </w:tr>
    </w:tbl>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More Personal Computing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Metrics related to our More Personal Computing segment assess the performance of our key consumer businesses.</w:t>
      </w:r>
    </w:p>
    <w:p>
      <w:pPr>
        <w:spacing w:after="0" w:line="198" w:lineRule="exact"/>
        <w:rPr>
          <w:sz w:val="20"/>
          <w:szCs w:val="20"/>
          <w:color w:val="auto"/>
        </w:rPr>
      </w:pPr>
    </w:p>
    <w:p>
      <w:pPr>
        <w:ind w:left="180"/>
        <w:spacing w:after="0"/>
        <w:tabs>
          <w:tab w:leader="none" w:pos="4380" w:val="left"/>
        </w:tabs>
        <w:rPr>
          <w:sz w:val="20"/>
          <w:szCs w:val="20"/>
          <w:color w:val="auto"/>
        </w:rPr>
      </w:pPr>
      <w:r>
        <w:rPr>
          <w:rFonts w:ascii="Arial" w:cs="Arial" w:eastAsia="Arial" w:hAnsi="Arial"/>
          <w:sz w:val="18"/>
          <w:szCs w:val="18"/>
          <w:color w:val="auto"/>
        </w:rPr>
        <w:t>Windows OEM and Devices revenue growth</w:t>
      </w:r>
      <w:r>
        <w:rPr>
          <w:sz w:val="20"/>
          <w:szCs w:val="20"/>
          <w:color w:val="auto"/>
        </w:rPr>
        <w:tab/>
      </w:r>
      <w:r>
        <w:rPr>
          <w:rFonts w:ascii="Arial" w:cs="Arial" w:eastAsia="Arial" w:hAnsi="Arial"/>
          <w:sz w:val="17"/>
          <w:szCs w:val="17"/>
          <w:color w:val="auto"/>
        </w:rPr>
        <w:t>Revenue from sales of Windows Pro and non-Pro licenses sold through the OEM</w:t>
      </w:r>
    </w:p>
    <w:p>
      <w:pPr>
        <w:spacing w:after="0" w:line="13" w:lineRule="exact"/>
        <w:rPr>
          <w:sz w:val="20"/>
          <w:szCs w:val="20"/>
          <w:color w:val="auto"/>
        </w:rPr>
      </w:pPr>
    </w:p>
    <w:p>
      <w:pPr>
        <w:ind w:left="4400" w:right="660"/>
        <w:spacing w:after="0" w:line="250" w:lineRule="auto"/>
        <w:rPr>
          <w:sz w:val="20"/>
          <w:szCs w:val="20"/>
          <w:color w:val="auto"/>
        </w:rPr>
      </w:pPr>
      <w:r>
        <w:rPr>
          <w:rFonts w:ascii="Arial" w:cs="Arial" w:eastAsia="Arial" w:hAnsi="Arial"/>
          <w:sz w:val="18"/>
          <w:szCs w:val="18"/>
          <w:color w:val="auto"/>
        </w:rPr>
        <w:t>channel and sales of first-party Devices, including Surface, HoloLens, and PC accessories</w:t>
      </w:r>
    </w:p>
    <w:p>
      <w:pPr>
        <w:spacing w:after="0" w:line="50" w:lineRule="exact"/>
        <w:rPr>
          <w:sz w:val="20"/>
          <w:szCs w:val="20"/>
          <w:color w:val="auto"/>
        </w:rPr>
      </w:pPr>
    </w:p>
    <w:p>
      <w:pPr>
        <w:ind w:left="180"/>
        <w:spacing w:after="0"/>
        <w:tabs>
          <w:tab w:leader="none" w:pos="4380" w:val="left"/>
        </w:tabs>
        <w:rPr>
          <w:sz w:val="20"/>
          <w:szCs w:val="20"/>
          <w:color w:val="auto"/>
        </w:rPr>
      </w:pPr>
      <w:r>
        <w:rPr>
          <w:rFonts w:ascii="Arial" w:cs="Arial" w:eastAsia="Arial" w:hAnsi="Arial"/>
          <w:sz w:val="18"/>
          <w:szCs w:val="18"/>
          <w:color w:val="auto"/>
        </w:rPr>
        <w:t>Xbox content and services revenue growth</w:t>
      </w:r>
      <w:r>
        <w:rPr>
          <w:sz w:val="20"/>
          <w:szCs w:val="20"/>
          <w:color w:val="auto"/>
        </w:rPr>
        <w:tab/>
      </w:r>
      <w:r>
        <w:rPr>
          <w:rFonts w:ascii="Arial" w:cs="Arial" w:eastAsia="Arial" w:hAnsi="Arial"/>
          <w:sz w:val="17"/>
          <w:szCs w:val="17"/>
          <w:color w:val="auto"/>
        </w:rPr>
        <w:t>Revenue from Xbox content and services, comprising first- and third-party content</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(including games and in-game content), Xbox Game Pass and other subscriptions,</w:t>
      </w:r>
    </w:p>
    <w:p>
      <w:pPr>
        <w:ind w:left="4400"/>
        <w:spacing w:after="0"/>
        <w:rPr>
          <w:sz w:val="20"/>
          <w:szCs w:val="20"/>
          <w:color w:val="auto"/>
        </w:rPr>
      </w:pPr>
      <w:r>
        <w:rPr>
          <w:rFonts w:ascii="Arial" w:cs="Arial" w:eastAsia="Arial" w:hAnsi="Arial"/>
          <w:sz w:val="18"/>
          <w:szCs w:val="18"/>
          <w:color w:val="auto"/>
        </w:rPr>
        <w:t>Xbox Cloud Gaming, advertising, third-party disc royalties, and other cloud services</w:t>
      </w:r>
    </w:p>
    <w:p>
      <w:pPr>
        <w:sectPr>
          <w:pgSz w:w="11900" w:h="16838" w:orient="portrait"/>
          <w:cols w:equalWidth="0" w:num="1">
            <w:col w:w="11240"/>
          </w:cols>
          <w:pgMar w:left="320" w:top="774" w:right="339" w:bottom="1440" w:gutter="0" w:footer="0" w:header="0"/>
        </w:sectPr>
      </w:pPr>
    </w:p>
    <w:p>
      <w:pPr>
        <w:spacing w:after="0" w:line="72" w:lineRule="exact"/>
        <w:rPr>
          <w:sz w:val="20"/>
          <w:szCs w:val="20"/>
          <w:color w:val="auto"/>
        </w:rPr>
      </w:pPr>
    </w:p>
    <w:p>
      <w:pPr>
        <w:ind w:left="180"/>
        <w:spacing w:after="0" w:line="271" w:lineRule="auto"/>
        <w:rPr>
          <w:sz w:val="20"/>
          <w:szCs w:val="20"/>
          <w:color w:val="auto"/>
        </w:rPr>
      </w:pPr>
      <w:r>
        <w:rPr>
          <w:rFonts w:ascii="Arial" w:cs="Arial" w:eastAsia="Arial" w:hAnsi="Arial"/>
          <w:sz w:val="18"/>
          <w:szCs w:val="18"/>
          <w:color w:val="auto"/>
        </w:rPr>
        <w:t>Search and news advertising revenue (ex TAC) growth</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Revenue from search and news advertising excluding traffic acquisition costs (“TAC”) paid to Bing Ads network publishers and news partners</w:t>
      </w:r>
    </w:p>
    <w:p>
      <w:pPr>
        <w:spacing w:after="0" w:line="200" w:lineRule="exact"/>
        <w:rPr>
          <w:sz w:val="20"/>
          <w:szCs w:val="20"/>
          <w:color w:val="auto"/>
        </w:rPr>
      </w:pPr>
    </w:p>
    <w:p>
      <w:pPr>
        <w:sectPr>
          <w:pgSz w:w="11900" w:h="16838" w:orient="portrait"/>
          <w:cols w:equalWidth="0" w:num="2">
            <w:col w:w="3960" w:space="440"/>
            <w:col w:w="6840"/>
          </w:cols>
          <w:pgMar w:left="320" w:top="774" w:right="339" w:bottom="1440" w:gutter="0" w:footer="0" w:header="0"/>
          <w:type w:val="continuous"/>
        </w:sectPr>
      </w:pP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SUMMARY RESULTS OF OPERATIONS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 except percentages and per share amounts)</w:t>
            </w:r>
          </w:p>
        </w:tc>
        <w:tc>
          <w:tcPr>
            <w:tcW w:w="2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20" w:type="dxa"/>
            <w:vAlign w:val="bottom"/>
            <w:gridSpan w:val="2"/>
          </w:tcPr>
          <w:p>
            <w:pPr>
              <w:jc w:val="right"/>
              <w:ind w:right="397"/>
              <w:spacing w:after="0"/>
              <w:rPr>
                <w:sz w:val="20"/>
                <w:szCs w:val="20"/>
                <w:color w:val="auto"/>
              </w:rPr>
            </w:pPr>
            <w:r>
              <w:rPr>
                <w:rFonts w:ascii="Arial" w:cs="Arial" w:eastAsia="Arial" w:hAnsi="Arial"/>
                <w:sz w:val="13"/>
                <w:szCs w:val="13"/>
                <w:b w:val="1"/>
                <w:bCs w:val="1"/>
                <w:color w:val="auto"/>
              </w:rPr>
              <w:t>Three Months Ended</w:t>
            </w:r>
          </w:p>
        </w:tc>
        <w:tc>
          <w:tcPr>
            <w:tcW w:w="13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86"/>
        </w:trPr>
        <w:tc>
          <w:tcPr>
            <w:tcW w:w="4580" w:type="dxa"/>
            <w:vAlign w:val="bottom"/>
            <w:vMerge w:val="continue"/>
          </w:tcPr>
          <w:p>
            <w:pPr>
              <w:spacing w:after="0"/>
              <w:rPr>
                <w:sz w:val="16"/>
                <w:szCs w:val="16"/>
                <w:color w:val="auto"/>
              </w:rPr>
            </w:pPr>
          </w:p>
        </w:tc>
        <w:tc>
          <w:tcPr>
            <w:tcW w:w="2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tcPr>
          <w:p>
            <w:pPr>
              <w:jc w:val="right"/>
              <w:ind w:right="397"/>
              <w:spacing w:after="0"/>
              <w:rPr>
                <w:sz w:val="20"/>
                <w:szCs w:val="20"/>
                <w:color w:val="auto"/>
              </w:rPr>
            </w:pPr>
            <w:r>
              <w:rPr>
                <w:rFonts w:ascii="Arial" w:cs="Arial" w:eastAsia="Arial" w:hAnsi="Arial"/>
                <w:sz w:val="13"/>
                <w:szCs w:val="13"/>
                <w:b w:val="1"/>
                <w:bCs w:val="1"/>
                <w:color w:val="auto"/>
              </w:rPr>
              <w:t>September 30,</w:t>
            </w:r>
          </w:p>
        </w:tc>
        <w:tc>
          <w:tcPr>
            <w:tcW w:w="13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44"/>
        </w:trPr>
        <w:tc>
          <w:tcPr>
            <w:tcW w:w="458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45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3"/>
                <w:szCs w:val="13"/>
                <w:b w:val="1"/>
                <w:bCs w:val="1"/>
                <w:color w:val="auto"/>
              </w:rPr>
              <w:t>2024</w:t>
            </w:r>
          </w:p>
        </w:tc>
        <w:tc>
          <w:tcPr>
            <w:tcW w:w="420" w:type="dxa"/>
            <w:vAlign w:val="bottom"/>
          </w:tcPr>
          <w:p>
            <w:pPr>
              <w:spacing w:after="0"/>
              <w:rPr>
                <w:sz w:val="19"/>
                <w:szCs w:val="19"/>
                <w:color w:val="auto"/>
              </w:rPr>
            </w:pPr>
          </w:p>
        </w:tc>
        <w:tc>
          <w:tcPr>
            <w:tcW w:w="1600" w:type="dxa"/>
            <w:vAlign w:val="bottom"/>
          </w:tcPr>
          <w:p>
            <w:pPr>
              <w:jc w:val="right"/>
              <w:ind w:right="397"/>
              <w:spacing w:after="0"/>
              <w:rPr>
                <w:sz w:val="20"/>
                <w:szCs w:val="20"/>
                <w:color w:val="auto"/>
              </w:rPr>
            </w:pPr>
            <w:r>
              <w:rPr>
                <w:rFonts w:ascii="Arial" w:cs="Arial" w:eastAsia="Arial" w:hAnsi="Arial"/>
                <w:sz w:val="13"/>
                <w:szCs w:val="13"/>
                <w:b w:val="1"/>
                <w:bCs w:val="1"/>
                <w:color w:val="auto"/>
              </w:rPr>
              <w:t>2023</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458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E5E5E5"/>
          </w:tcPr>
          <w:p>
            <w:pPr>
              <w:ind w:left="20"/>
              <w:spacing w:after="0"/>
              <w:rPr>
                <w:sz w:val="20"/>
                <w:szCs w:val="20"/>
                <w:color w:val="auto"/>
              </w:rPr>
            </w:pPr>
            <w:r>
              <w:rPr>
                <w:rFonts w:ascii="Arial" w:cs="Arial" w:eastAsia="Arial" w:hAnsi="Arial"/>
                <w:sz w:val="18"/>
                <w:szCs w:val="18"/>
                <w:color w:val="auto"/>
              </w:rPr>
              <w:t>Revenue</w:t>
            </w:r>
          </w:p>
        </w:tc>
        <w:tc>
          <w:tcPr>
            <w:tcW w:w="2200" w:type="dxa"/>
            <w:vAlign w:val="bottom"/>
            <w:shd w:val="clear" w:color="auto" w:fill="E5E5E5"/>
          </w:tcPr>
          <w:p>
            <w:pPr>
              <w:jc w:val="right"/>
              <w:ind w:right="299"/>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E5E5E5"/>
          </w:tcPr>
          <w:p>
            <w:pPr>
              <w:jc w:val="right"/>
              <w:ind w:right="34"/>
              <w:spacing w:after="0"/>
              <w:rPr>
                <w:sz w:val="20"/>
                <w:szCs w:val="20"/>
                <w:color w:val="auto"/>
              </w:rPr>
            </w:pPr>
            <w:r>
              <w:rPr>
                <w:rFonts w:ascii="Arial" w:cs="Arial" w:eastAsia="Arial" w:hAnsi="Arial"/>
                <w:sz w:val="18"/>
                <w:szCs w:val="18"/>
                <w:b w:val="1"/>
                <w:bCs w:val="1"/>
                <w:color w:val="auto"/>
              </w:rPr>
              <w:t>65,585</w:t>
            </w:r>
          </w:p>
        </w:tc>
        <w:tc>
          <w:tcPr>
            <w:tcW w:w="420" w:type="dxa"/>
            <w:vAlign w:val="bottom"/>
            <w:shd w:val="clear" w:color="auto" w:fill="E5E5E5"/>
          </w:tcPr>
          <w:p>
            <w:pPr>
              <w:jc w:val="right"/>
              <w:ind w:right="101"/>
              <w:spacing w:after="0"/>
              <w:rPr>
                <w:sz w:val="20"/>
                <w:szCs w:val="20"/>
                <w:color w:val="auto"/>
              </w:rPr>
            </w:pPr>
            <w:r>
              <w:rPr>
                <w:rFonts w:ascii="Arial" w:cs="Arial" w:eastAsia="Arial" w:hAnsi="Arial"/>
                <w:sz w:val="18"/>
                <w:szCs w:val="18"/>
                <w:color w:val="auto"/>
              </w:rPr>
              <w:t>$</w:t>
            </w:r>
          </w:p>
        </w:tc>
        <w:tc>
          <w:tcPr>
            <w:tcW w:w="1600" w:type="dxa"/>
            <w:vAlign w:val="bottom"/>
            <w:shd w:val="clear" w:color="auto" w:fill="E5E5E5"/>
          </w:tcPr>
          <w:p>
            <w:pPr>
              <w:jc w:val="right"/>
              <w:ind w:right="397"/>
              <w:spacing w:after="0"/>
              <w:rPr>
                <w:sz w:val="20"/>
                <w:szCs w:val="20"/>
                <w:color w:val="auto"/>
              </w:rPr>
            </w:pPr>
            <w:r>
              <w:rPr>
                <w:rFonts w:ascii="Arial" w:cs="Arial" w:eastAsia="Arial" w:hAnsi="Arial"/>
                <w:sz w:val="18"/>
                <w:szCs w:val="18"/>
                <w:color w:val="auto"/>
              </w:rPr>
              <w:t>56,517</w:t>
            </w: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20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b w:val="1"/>
                <w:bCs w:val="1"/>
                <w:color w:val="auto"/>
              </w:rPr>
              <w:t>45,486</w:t>
            </w:r>
          </w:p>
        </w:tc>
        <w:tc>
          <w:tcPr>
            <w:tcW w:w="420" w:type="dxa"/>
            <w:vAlign w:val="bottom"/>
          </w:tcPr>
          <w:p>
            <w:pPr>
              <w:spacing w:after="0"/>
              <w:rPr>
                <w:sz w:val="18"/>
                <w:szCs w:val="18"/>
                <w:color w:val="auto"/>
              </w:rPr>
            </w:pPr>
          </w:p>
        </w:tc>
        <w:tc>
          <w:tcPr>
            <w:tcW w:w="1600" w:type="dxa"/>
            <w:vAlign w:val="bottom"/>
          </w:tcPr>
          <w:p>
            <w:pPr>
              <w:jc w:val="right"/>
              <w:ind w:right="397"/>
              <w:spacing w:after="0"/>
              <w:rPr>
                <w:sz w:val="20"/>
                <w:szCs w:val="20"/>
                <w:color w:val="auto"/>
              </w:rPr>
            </w:pPr>
            <w:r>
              <w:rPr>
                <w:rFonts w:ascii="Arial" w:cs="Arial" w:eastAsia="Arial" w:hAnsi="Arial"/>
                <w:sz w:val="18"/>
                <w:szCs w:val="18"/>
                <w:color w:val="auto"/>
              </w:rPr>
              <w:t>40,215</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E5E5E5"/>
          </w:tcPr>
          <w:p>
            <w:pPr>
              <w:ind w:left="20"/>
              <w:spacing w:after="0"/>
              <w:rPr>
                <w:sz w:val="20"/>
                <w:szCs w:val="20"/>
                <w:color w:val="auto"/>
              </w:rPr>
            </w:pPr>
            <w:r>
              <w:rPr>
                <w:rFonts w:ascii="Arial" w:cs="Arial" w:eastAsia="Arial" w:hAnsi="Arial"/>
                <w:sz w:val="18"/>
                <w:szCs w:val="18"/>
                <w:color w:val="auto"/>
              </w:rPr>
              <w:t>Operating income</w:t>
            </w:r>
          </w:p>
        </w:tc>
        <w:tc>
          <w:tcPr>
            <w:tcW w:w="220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34"/>
              <w:spacing w:after="0"/>
              <w:rPr>
                <w:sz w:val="20"/>
                <w:szCs w:val="20"/>
                <w:color w:val="auto"/>
              </w:rPr>
            </w:pPr>
            <w:r>
              <w:rPr>
                <w:rFonts w:ascii="Arial" w:cs="Arial" w:eastAsia="Arial" w:hAnsi="Arial"/>
                <w:sz w:val="18"/>
                <w:szCs w:val="18"/>
                <w:b w:val="1"/>
                <w:bCs w:val="1"/>
                <w:color w:val="auto"/>
              </w:rPr>
              <w:t>30,552</w:t>
            </w:r>
          </w:p>
        </w:tc>
        <w:tc>
          <w:tcPr>
            <w:tcW w:w="42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397"/>
              <w:spacing w:after="0"/>
              <w:rPr>
                <w:sz w:val="20"/>
                <w:szCs w:val="20"/>
                <w:color w:val="auto"/>
              </w:rPr>
            </w:pPr>
            <w:r>
              <w:rPr>
                <w:rFonts w:ascii="Arial" w:cs="Arial" w:eastAsia="Arial" w:hAnsi="Arial"/>
                <w:sz w:val="18"/>
                <w:szCs w:val="18"/>
                <w:color w:val="auto"/>
              </w:rPr>
              <w:t>26,895</w:t>
            </w: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b w:val="1"/>
                <w:bCs w:val="1"/>
                <w:color w:val="auto"/>
              </w:rPr>
              <w:t>24,667</w:t>
            </w:r>
          </w:p>
        </w:tc>
        <w:tc>
          <w:tcPr>
            <w:tcW w:w="420" w:type="dxa"/>
            <w:vAlign w:val="bottom"/>
          </w:tcPr>
          <w:p>
            <w:pPr>
              <w:spacing w:after="0"/>
              <w:rPr>
                <w:sz w:val="19"/>
                <w:szCs w:val="19"/>
                <w:color w:val="auto"/>
              </w:rPr>
            </w:pPr>
          </w:p>
        </w:tc>
        <w:tc>
          <w:tcPr>
            <w:tcW w:w="1600" w:type="dxa"/>
            <w:vAlign w:val="bottom"/>
          </w:tcPr>
          <w:p>
            <w:pPr>
              <w:jc w:val="right"/>
              <w:ind w:right="397"/>
              <w:spacing w:after="0"/>
              <w:rPr>
                <w:sz w:val="20"/>
                <w:szCs w:val="20"/>
                <w:color w:val="auto"/>
              </w:rPr>
            </w:pPr>
            <w:r>
              <w:rPr>
                <w:rFonts w:ascii="Arial" w:cs="Arial" w:eastAsia="Arial" w:hAnsi="Arial"/>
                <w:sz w:val="18"/>
                <w:szCs w:val="18"/>
                <w:color w:val="auto"/>
              </w:rPr>
              <w:t>22,291</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E5E5E5"/>
          </w:tcPr>
          <w:p>
            <w:pPr>
              <w:ind w:left="20"/>
              <w:spacing w:after="0"/>
              <w:rPr>
                <w:sz w:val="20"/>
                <w:szCs w:val="20"/>
                <w:color w:val="auto"/>
              </w:rPr>
            </w:pPr>
            <w:r>
              <w:rPr>
                <w:rFonts w:ascii="Arial" w:cs="Arial" w:eastAsia="Arial" w:hAnsi="Arial"/>
                <w:sz w:val="18"/>
                <w:szCs w:val="18"/>
                <w:color w:val="auto"/>
              </w:rPr>
              <w:t>Diluted earnings per share</w:t>
            </w:r>
          </w:p>
        </w:tc>
        <w:tc>
          <w:tcPr>
            <w:tcW w:w="2200" w:type="dxa"/>
            <w:vAlign w:val="bottom"/>
            <w:shd w:val="clear" w:color="auto" w:fill="E5E5E5"/>
          </w:tcPr>
          <w:p>
            <w:pPr>
              <w:spacing w:after="0"/>
              <w:rPr>
                <w:sz w:val="19"/>
                <w:szCs w:val="19"/>
                <w:color w:val="auto"/>
              </w:rPr>
            </w:pPr>
          </w:p>
        </w:tc>
        <w:tc>
          <w:tcPr>
            <w:tcW w:w="1080" w:type="dxa"/>
            <w:vAlign w:val="bottom"/>
            <w:shd w:val="clear" w:color="auto" w:fill="E5E5E5"/>
          </w:tcPr>
          <w:p>
            <w:pPr>
              <w:jc w:val="right"/>
              <w:ind w:right="34"/>
              <w:spacing w:after="0"/>
              <w:rPr>
                <w:sz w:val="20"/>
                <w:szCs w:val="20"/>
                <w:color w:val="auto"/>
              </w:rPr>
            </w:pPr>
            <w:r>
              <w:rPr>
                <w:rFonts w:ascii="Arial" w:cs="Arial" w:eastAsia="Arial" w:hAnsi="Arial"/>
                <w:sz w:val="18"/>
                <w:szCs w:val="18"/>
                <w:b w:val="1"/>
                <w:bCs w:val="1"/>
                <w:color w:val="auto"/>
              </w:rPr>
              <w:t>3.30</w:t>
            </w:r>
          </w:p>
        </w:tc>
        <w:tc>
          <w:tcPr>
            <w:tcW w:w="420" w:type="dxa"/>
            <w:vAlign w:val="bottom"/>
            <w:shd w:val="clear" w:color="auto" w:fill="E5E5E5"/>
          </w:tcPr>
          <w:p>
            <w:pPr>
              <w:spacing w:after="0"/>
              <w:rPr>
                <w:sz w:val="19"/>
                <w:szCs w:val="19"/>
                <w:color w:val="auto"/>
              </w:rPr>
            </w:pPr>
          </w:p>
        </w:tc>
        <w:tc>
          <w:tcPr>
            <w:tcW w:w="1600" w:type="dxa"/>
            <w:vAlign w:val="bottom"/>
            <w:shd w:val="clear" w:color="auto" w:fill="E5E5E5"/>
          </w:tcPr>
          <w:p>
            <w:pPr>
              <w:jc w:val="right"/>
              <w:ind w:right="397"/>
              <w:spacing w:after="0"/>
              <w:rPr>
                <w:sz w:val="20"/>
                <w:szCs w:val="20"/>
                <w:color w:val="auto"/>
              </w:rPr>
            </w:pPr>
            <w:r>
              <w:rPr>
                <w:rFonts w:ascii="Arial" w:cs="Arial" w:eastAsia="Arial" w:hAnsi="Arial"/>
                <w:sz w:val="18"/>
                <w:szCs w:val="18"/>
                <w:color w:val="auto"/>
              </w:rPr>
              <w:t>2.99</w:t>
            </w: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5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6"/>
        </w:trPr>
        <w:tc>
          <w:tcPr>
            <w:tcW w:w="4580" w:type="dxa"/>
            <w:vAlign w:val="bottom"/>
          </w:tcPr>
          <w:p>
            <w:pPr>
              <w:spacing w:after="0"/>
              <w:rPr>
                <w:sz w:val="24"/>
                <w:szCs w:val="24"/>
                <w:color w:val="auto"/>
              </w:rPr>
            </w:pPr>
          </w:p>
        </w:tc>
        <w:tc>
          <w:tcPr>
            <w:tcW w:w="2200" w:type="dxa"/>
            <w:vAlign w:val="bottom"/>
          </w:tcPr>
          <w:p>
            <w:pPr>
              <w:jc w:val="right"/>
              <w:ind w:right="999"/>
              <w:spacing w:after="0"/>
              <w:rPr>
                <w:sz w:val="20"/>
                <w:szCs w:val="20"/>
                <w:color w:val="auto"/>
              </w:rPr>
            </w:pPr>
            <w:r>
              <w:rPr>
                <w:rFonts w:ascii="Arial" w:cs="Arial" w:eastAsia="Arial" w:hAnsi="Arial"/>
                <w:sz w:val="14"/>
                <w:szCs w:val="14"/>
                <w:color w:val="auto"/>
              </w:rPr>
              <w:t>34</w:t>
            </w: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3"/>
        </w:trPr>
        <w:tc>
          <w:tcPr>
            <w:tcW w:w="45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type w:val="continuous"/>
        </w:sectPr>
      </w:pPr>
    </w:p>
    <w:bookmarkStart w:id="34" w:name="page35"/>
    <w:bookmarkEnd w:id="34"/>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2024 Compared with Three Months Ended September 30, 2023</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Revenue increased $9.1 billion or 16% driven by growth across each of our segments. Intelligent Cloud revenue increased driven by Azure. Productivity and Business Processes revenue increased driven by Microsoft 365 Commercial cloud. More Personal Computing revenue increased driven by 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increased $3.8 billion or 23% driven by growth in Microsoft Cloud and Gaming.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Gross margin increased $5.3 billion or 13% driven by growth across each of our segments.</w:t>
      </w:r>
    </w:p>
    <w:p>
      <w:pPr>
        <w:spacing w:after="0" w:line="76" w:lineRule="exact"/>
        <w:rPr>
          <w:sz w:val="20"/>
          <w:szCs w:val="20"/>
          <w:color w:val="auto"/>
        </w:rPr>
      </w:pPr>
    </w:p>
    <w:p>
      <w:pPr>
        <w:ind w:left="1020" w:hanging="368"/>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percentage decreased driven by Intelligent Cloud.</w:t>
      </w:r>
    </w:p>
    <w:p>
      <w:pPr>
        <w:spacing w:after="0" w:line="8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Cloud gross margin percentage decreased to 71% driven by scaling our AI infrastructure.</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Operating expenses increased $1.6 billion or 12% driven by Gaming, with 9 points of growth from the Activision Blizzard acquisition, and investments in cloud engineering.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$3.7 billion or 14% driven by growth in Productivity and Business Processes and Intelligent Cloud.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SEGMENT RESULTS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 except percentages)</w:t>
            </w:r>
          </w:p>
        </w:tc>
        <w:tc>
          <w:tcPr>
            <w:tcW w:w="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18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86"/>
        </w:trPr>
        <w:tc>
          <w:tcPr>
            <w:tcW w:w="620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September 30,</w:t>
            </w:r>
          </w:p>
        </w:tc>
        <w:tc>
          <w:tcPr>
            <w:tcW w:w="18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58"/>
        </w:trPr>
        <w:tc>
          <w:tcPr>
            <w:tcW w:w="62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6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20"/>
              <w:spacing w:after="0"/>
              <w:rPr>
                <w:sz w:val="20"/>
                <w:szCs w:val="20"/>
                <w:color w:val="auto"/>
              </w:rPr>
            </w:pPr>
            <w:r>
              <w:rPr>
                <w:rFonts w:ascii="Arial" w:cs="Arial" w:eastAsia="Arial" w:hAnsi="Arial"/>
                <w:sz w:val="13"/>
                <w:szCs w:val="13"/>
                <w:b w:val="1"/>
                <w:bCs w:val="1"/>
                <w:color w:val="auto"/>
              </w:rPr>
              <w:t>Revenue</w:t>
            </w: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6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E5E5E5"/>
          </w:tcPr>
          <w:p>
            <w:pPr>
              <w:ind w:left="20"/>
              <w:spacing w:after="0"/>
              <w:rPr>
                <w:sz w:val="20"/>
                <w:szCs w:val="20"/>
                <w:color w:val="auto"/>
              </w:rPr>
            </w:pPr>
            <w:r>
              <w:rPr>
                <w:rFonts w:ascii="Arial" w:cs="Arial" w:eastAsia="Arial" w:hAnsi="Arial"/>
                <w:sz w:val="18"/>
                <w:szCs w:val="18"/>
                <w:color w:val="auto"/>
              </w:rPr>
              <w:t>Productivity and Business Processes</w:t>
            </w:r>
          </w:p>
        </w:tc>
        <w:tc>
          <w:tcPr>
            <w:tcW w:w="520" w:type="dxa"/>
            <w:vAlign w:val="bottom"/>
            <w:shd w:val="clear" w:color="auto" w:fill="E5E5E5"/>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28,317</w:t>
            </w:r>
          </w:p>
        </w:tc>
        <w:tc>
          <w:tcPr>
            <w:tcW w:w="36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25,226</w:t>
            </w:r>
          </w:p>
        </w:tc>
        <w:tc>
          <w:tcPr>
            <w:tcW w:w="1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Intelligent Cloud</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24,092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20,013</w:t>
            </w:r>
          </w:p>
        </w:tc>
        <w:tc>
          <w:tcPr>
            <w:tcW w:w="17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E5E5E5"/>
          </w:tcPr>
          <w:p>
            <w:pPr>
              <w:ind w:left="20"/>
              <w:spacing w:after="0"/>
              <w:rPr>
                <w:sz w:val="20"/>
                <w:szCs w:val="20"/>
                <w:color w:val="auto"/>
              </w:rPr>
            </w:pPr>
            <w:r>
              <w:rPr>
                <w:rFonts w:ascii="Arial" w:cs="Arial" w:eastAsia="Arial" w:hAnsi="Arial"/>
                <w:sz w:val="18"/>
                <w:szCs w:val="18"/>
                <w:color w:val="auto"/>
              </w:rPr>
              <w:t>More Personal Computing</w:t>
            </w:r>
          </w:p>
        </w:tc>
        <w:tc>
          <w:tcPr>
            <w:tcW w:w="520" w:type="dxa"/>
            <w:vAlign w:val="bottom"/>
            <w:shd w:val="clear" w:color="auto" w:fill="E5E5E5"/>
          </w:tcPr>
          <w:p>
            <w:pPr>
              <w:spacing w:after="0"/>
              <w:rPr>
                <w:sz w:val="19"/>
                <w:szCs w:val="19"/>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13,176</w:t>
            </w:r>
          </w:p>
        </w:tc>
        <w:tc>
          <w:tcPr>
            <w:tcW w:w="22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11,278</w:t>
            </w:r>
          </w:p>
        </w:tc>
        <w:tc>
          <w:tcPr>
            <w:tcW w:w="1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62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6200" w:type="dxa"/>
            <w:vAlign w:val="bottom"/>
          </w:tcPr>
          <w:p>
            <w:pPr>
              <w:ind w:left="240"/>
              <w:spacing w:after="0"/>
              <w:rPr>
                <w:sz w:val="20"/>
                <w:szCs w:val="20"/>
                <w:color w:val="auto"/>
              </w:rPr>
            </w:pPr>
            <w:r>
              <w:rPr>
                <w:rFonts w:ascii="Arial" w:cs="Arial" w:eastAsia="Arial" w:hAnsi="Arial"/>
                <w:sz w:val="18"/>
                <w:szCs w:val="18"/>
                <w:color w:val="auto"/>
              </w:rPr>
              <w:t>Total</w:t>
            </w:r>
          </w:p>
        </w:tc>
        <w:tc>
          <w:tcPr>
            <w:tcW w:w="5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65,585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56,517</w:t>
            </w:r>
          </w:p>
        </w:tc>
        <w:tc>
          <w:tcPr>
            <w:tcW w:w="17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62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Operating Income</w:t>
            </w:r>
          </w:p>
        </w:tc>
        <w:tc>
          <w:tcPr>
            <w:tcW w:w="5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620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6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E5E5E5"/>
          </w:tcPr>
          <w:p>
            <w:pPr>
              <w:ind w:left="20"/>
              <w:spacing w:after="0"/>
              <w:rPr>
                <w:sz w:val="20"/>
                <w:szCs w:val="20"/>
                <w:color w:val="auto"/>
              </w:rPr>
            </w:pPr>
            <w:r>
              <w:rPr>
                <w:rFonts w:ascii="Arial" w:cs="Arial" w:eastAsia="Arial" w:hAnsi="Arial"/>
                <w:sz w:val="18"/>
                <w:szCs w:val="18"/>
                <w:color w:val="auto"/>
              </w:rPr>
              <w:t>Productivity and Business Processes</w:t>
            </w:r>
          </w:p>
        </w:tc>
        <w:tc>
          <w:tcPr>
            <w:tcW w:w="520" w:type="dxa"/>
            <w:vAlign w:val="bottom"/>
            <w:shd w:val="clear" w:color="auto" w:fill="E5E5E5"/>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16,516</w:t>
            </w:r>
          </w:p>
        </w:tc>
        <w:tc>
          <w:tcPr>
            <w:tcW w:w="36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14,297</w:t>
            </w:r>
          </w:p>
        </w:tc>
        <w:tc>
          <w:tcPr>
            <w:tcW w:w="1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Intelligent Cloud</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10,503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8,908</w:t>
            </w:r>
          </w:p>
        </w:tc>
        <w:tc>
          <w:tcPr>
            <w:tcW w:w="17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E5E5E5"/>
          </w:tcPr>
          <w:p>
            <w:pPr>
              <w:ind w:left="20"/>
              <w:spacing w:after="0"/>
              <w:rPr>
                <w:sz w:val="20"/>
                <w:szCs w:val="20"/>
                <w:color w:val="auto"/>
              </w:rPr>
            </w:pPr>
            <w:r>
              <w:rPr>
                <w:rFonts w:ascii="Arial" w:cs="Arial" w:eastAsia="Arial" w:hAnsi="Arial"/>
                <w:sz w:val="18"/>
                <w:szCs w:val="18"/>
                <w:color w:val="auto"/>
              </w:rPr>
              <w:t>More Personal Computing</w:t>
            </w:r>
          </w:p>
        </w:tc>
        <w:tc>
          <w:tcPr>
            <w:tcW w:w="520" w:type="dxa"/>
            <w:vAlign w:val="bottom"/>
            <w:shd w:val="clear" w:color="auto" w:fill="E5E5E5"/>
          </w:tcPr>
          <w:p>
            <w:pPr>
              <w:spacing w:after="0"/>
              <w:rPr>
                <w:sz w:val="19"/>
                <w:szCs w:val="19"/>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3,533</w:t>
            </w:r>
          </w:p>
        </w:tc>
        <w:tc>
          <w:tcPr>
            <w:tcW w:w="22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3,690</w:t>
            </w:r>
          </w:p>
        </w:tc>
        <w:tc>
          <w:tcPr>
            <w:tcW w:w="1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62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6200" w:type="dxa"/>
            <w:vAlign w:val="bottom"/>
          </w:tcPr>
          <w:p>
            <w:pPr>
              <w:ind w:left="240"/>
              <w:spacing w:after="0"/>
              <w:rPr>
                <w:sz w:val="20"/>
                <w:szCs w:val="20"/>
                <w:color w:val="auto"/>
              </w:rPr>
            </w:pPr>
            <w:r>
              <w:rPr>
                <w:rFonts w:ascii="Arial" w:cs="Arial" w:eastAsia="Arial" w:hAnsi="Arial"/>
                <w:sz w:val="18"/>
                <w:szCs w:val="18"/>
                <w:color w:val="auto"/>
              </w:rPr>
              <w:t>Total</w:t>
            </w:r>
          </w:p>
        </w:tc>
        <w:tc>
          <w:tcPr>
            <w:tcW w:w="5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30,552</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26,895</w:t>
            </w:r>
          </w:p>
        </w:tc>
        <w:tc>
          <w:tcPr>
            <w:tcW w:w="17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620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2024 Compared with Three Months Ended September 30,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$3.1 billion or 12%.</w:t>
      </w:r>
    </w:p>
    <w:p>
      <w:pPr>
        <w:spacing w:after="0" w:line="76" w:lineRule="exact"/>
        <w:rPr>
          <w:sz w:val="20"/>
          <w:szCs w:val="20"/>
          <w:color w:val="auto"/>
        </w:rPr>
      </w:pPr>
    </w:p>
    <w:p>
      <w:pPr>
        <w:jc w:val="both"/>
        <w:ind w:left="1020" w:hanging="368"/>
        <w:spacing w:after="0" w:line="246"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Commercial products and cloud services revenue increased $2.4 billion or 13%. Microsoft 365 Commercial cloud revenue grew 15% with seat growth of 8% driven by small and medium business and frontline worker offerings, as well as growth in revenue per user. Microsoft 365 Commercial products revenue grew 2% driven by the on-premises components of Microsoft 365 suite sales, offset in part by continued shift from Office Commercial products to Microsoft 365 Commercial cloud.</w:t>
      </w:r>
    </w:p>
    <w:p>
      <w:pPr>
        <w:spacing w:after="0" w:line="40" w:lineRule="exact"/>
        <w:rPr>
          <w:rFonts w:ascii="Times New Roman" w:cs="Times New Roman" w:eastAsia="Times New Roman" w:hAnsi="Times New Roman"/>
          <w:sz w:val="18"/>
          <w:szCs w:val="18"/>
          <w:color w:val="auto"/>
        </w:rPr>
      </w:pPr>
    </w:p>
    <w:p>
      <w:pPr>
        <w:ind w:left="1020" w:right="20" w:hanging="368"/>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Consumer products and cloud services revenue increased $84 million or 5%. Microsoft 365 Consumer cloud revenue grew 6% with Microsoft 365 Consumer subscriber growth of 10% to 84.4 million.</w:t>
      </w:r>
    </w:p>
    <w:p>
      <w:pPr>
        <w:spacing w:after="0" w:line="18"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LinkedIn revenue increased $379 million or 10% driven by growth across all lines of business – Talent Solutions, Marketing Solutions, Premium Subscriptions, and Sales Solutions.</w:t>
      </w:r>
    </w:p>
    <w:p>
      <w:pPr>
        <w:spacing w:after="0" w:line="18"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Dynamics products and cloud services revenue increased $223 million or 14% driven by growth in Dynamics 365, offset in part by a decline in Dynamics on-premises products. Dynamics 365 revenue grew 18% driven by growth across all workloads.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35" w:name="page36"/>
    <w:bookmarkEnd w:id="35"/>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$2.2 billion or 16%.</w:t>
      </w:r>
    </w:p>
    <w:p>
      <w:pPr>
        <w:spacing w:after="0" w:line="76" w:lineRule="exact"/>
        <w:rPr>
          <w:sz w:val="20"/>
          <w:szCs w:val="20"/>
          <w:color w:val="auto"/>
        </w:rPr>
      </w:pPr>
    </w:p>
    <w:p>
      <w:pPr>
        <w:ind w:left="1020" w:hanging="368"/>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increased $2.3 billion or 11% driven by growth in Microsoft 365 Commercial cloud. Gross margin percentage decreased slightly driven by scaling our AI infrastructure.</w:t>
      </w:r>
    </w:p>
    <w:p>
      <w:pPr>
        <w:spacing w:after="0" w:line="1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increased $101 million or 2% primarily driven by investments in commercial sales and cloud engineering.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$4.1 billion or 20%.</w:t>
      </w:r>
    </w:p>
    <w:p>
      <w:pPr>
        <w:spacing w:after="0" w:line="63" w:lineRule="exact"/>
        <w:rPr>
          <w:sz w:val="20"/>
          <w:szCs w:val="20"/>
          <w:color w:val="auto"/>
        </w:rPr>
      </w:pPr>
    </w:p>
    <w:p>
      <w:pPr>
        <w:jc w:val="both"/>
        <w:ind w:left="1020" w:hanging="368"/>
        <w:spacing w:after="0" w:line="246"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Server products and cloud services revenue increased $4.1 billion or 23% driven by Azure and other cloud services. Azure and other cloud services revenue grew 33% driven by demand for our portfolio of services, including 12 points from our AI services. Server products revenue decreased 1% driven by lower transactional purchasing ahead of the Windows Server 2025 launch, as well as lower purchasing of licenses running in multi-cloud environments.</w:t>
      </w:r>
    </w:p>
    <w:p>
      <w:pPr>
        <w:spacing w:after="0" w:line="40"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Enterprise and partner services revenue decreased $16 million or 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$1.6 billion or 18%.</w:t>
      </w:r>
    </w:p>
    <w:p>
      <w:pPr>
        <w:spacing w:after="0" w:line="76" w:lineRule="exact"/>
        <w:rPr>
          <w:sz w:val="20"/>
          <w:szCs w:val="20"/>
          <w:color w:val="auto"/>
        </w:rPr>
      </w:pPr>
    </w:p>
    <w:p>
      <w:pPr>
        <w:ind w:left="1020" w:right="20" w:hanging="368"/>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increased $2.0 billion or 15% driven by growth in Azure. Gross margin percentage decreased driven by scaling our AI infrastructure.</w:t>
      </w:r>
    </w:p>
    <w:p>
      <w:pPr>
        <w:spacing w:after="0" w:line="1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increased $372 million or 8% driven by investments in Azure.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$1.9 billion or 17%.</w:t>
      </w:r>
    </w:p>
    <w:p>
      <w:pPr>
        <w:spacing w:after="0" w:line="63" w:lineRule="exact"/>
        <w:rPr>
          <w:sz w:val="20"/>
          <w:szCs w:val="20"/>
          <w:color w:val="auto"/>
        </w:rPr>
      </w:pPr>
    </w:p>
    <w:p>
      <w:pPr>
        <w:ind w:left="1020" w:hanging="368"/>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Windows and Devices revenue decreased slightly. Windows OEM and Devices revenue increased 2% driven by growth in Windows OEM, offset in part by a decline in Devices.</w:t>
      </w:r>
    </w:p>
    <w:p>
      <w:pPr>
        <w:spacing w:after="0" w:line="18"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Gaming revenue increased $1.7 billion or 43% driven by growth in Xbox content and services. Xbox content and services revenue increased 61% driven by 53 points of net impact from the Activision Blizzard acquisition. Xbox hardware revenue decreased 29% driven by lower volume of consoles sold.</w:t>
      </w:r>
    </w:p>
    <w:p>
      <w:pPr>
        <w:spacing w:after="0" w:line="34"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Search and news advertising revenue increased $207 million or 7%. Search and news advertising revenue excluding traffic acquisition costs increased 18% driven by higher search volume and higher revenue per search.</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decreased $157 million or 4%.</w:t>
      </w:r>
    </w:p>
    <w:p>
      <w:pPr>
        <w:spacing w:after="0" w:line="76" w:lineRule="exact"/>
        <w:rPr>
          <w:sz w:val="20"/>
          <w:szCs w:val="20"/>
          <w:color w:val="auto"/>
        </w:rPr>
      </w:pPr>
    </w:p>
    <w:p>
      <w:pPr>
        <w:jc w:val="both"/>
        <w:ind w:left="1020" w:hanging="368"/>
        <w:spacing w:after="0" w:line="252"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increased $984 million or 16% driven by growth in Gaming, with 12 points of net impact from the Activision Blizzard acquisition. Gross margin percentage was relatively unchanged as improvement in Gaming and Search and news advertising was offset by sales mix shift to those businesses.</w:t>
      </w:r>
    </w:p>
    <w:p>
      <w:pPr>
        <w:spacing w:after="0" w:line="34"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increased $1.1 billion or 49% driven by Gaming, with 51 points of growth from the Activision Blizzard acquisition.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OPERATING EXPENSES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 except percentages)</w:t>
            </w:r>
          </w:p>
        </w:tc>
        <w:tc>
          <w:tcPr>
            <w:tcW w:w="2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20" w:type="dxa"/>
            <w:vAlign w:val="bottom"/>
          </w:tcPr>
          <w:p>
            <w:pPr>
              <w:jc w:val="right"/>
              <w:ind w:right="484"/>
              <w:spacing w:after="0"/>
              <w:rPr>
                <w:sz w:val="20"/>
                <w:szCs w:val="20"/>
                <w:color w:val="auto"/>
              </w:rPr>
            </w:pPr>
            <w:r>
              <w:rPr>
                <w:rFonts w:ascii="Arial" w:cs="Arial" w:eastAsia="Arial" w:hAnsi="Arial"/>
                <w:sz w:val="13"/>
                <w:szCs w:val="13"/>
                <w:b w:val="1"/>
                <w:bCs w:val="1"/>
                <w:color w:val="auto"/>
              </w:rPr>
              <w:t>Three Months Ended</w:t>
            </w:r>
          </w:p>
        </w:tc>
        <w:tc>
          <w:tcPr>
            <w:tcW w:w="14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86"/>
        </w:trPr>
        <w:tc>
          <w:tcPr>
            <w:tcW w:w="3880" w:type="dxa"/>
            <w:vAlign w:val="bottom"/>
            <w:vMerge w:val="continue"/>
          </w:tcPr>
          <w:p>
            <w:pPr>
              <w:spacing w:after="0"/>
              <w:rPr>
                <w:sz w:val="16"/>
                <w:szCs w:val="16"/>
                <w:color w:val="auto"/>
              </w:rPr>
            </w:pPr>
          </w:p>
        </w:tc>
        <w:tc>
          <w:tcPr>
            <w:tcW w:w="2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20" w:type="dxa"/>
            <w:vAlign w:val="bottom"/>
          </w:tcPr>
          <w:p>
            <w:pPr>
              <w:jc w:val="right"/>
              <w:ind w:right="484"/>
              <w:spacing w:after="0"/>
              <w:rPr>
                <w:sz w:val="20"/>
                <w:szCs w:val="20"/>
                <w:color w:val="auto"/>
              </w:rPr>
            </w:pPr>
            <w:r>
              <w:rPr>
                <w:rFonts w:ascii="Arial" w:cs="Arial" w:eastAsia="Arial" w:hAnsi="Arial"/>
                <w:sz w:val="13"/>
                <w:szCs w:val="13"/>
                <w:b w:val="1"/>
                <w:bCs w:val="1"/>
                <w:color w:val="auto"/>
              </w:rPr>
              <w:t>September 30,</w:t>
            </w:r>
          </w:p>
        </w:tc>
        <w:tc>
          <w:tcPr>
            <w:tcW w:w="14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58"/>
        </w:trPr>
        <w:tc>
          <w:tcPr>
            <w:tcW w:w="3880" w:type="dxa"/>
            <w:vAlign w:val="bottom"/>
            <w:tcBorders>
              <w:bottom w:val="single" w:sz="8" w:color="auto"/>
            </w:tcBorders>
          </w:tcPr>
          <w:p>
            <w:pPr>
              <w:spacing w:after="0"/>
              <w:rPr>
                <w:sz w:val="5"/>
                <w:szCs w:val="5"/>
                <w:color w:val="auto"/>
              </w:rPr>
            </w:pPr>
          </w:p>
        </w:tc>
        <w:tc>
          <w:tcPr>
            <w:tcW w:w="26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38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040" w:type="dxa"/>
            <w:vAlign w:val="bottom"/>
          </w:tcPr>
          <w:p>
            <w:pPr>
              <w:jc w:val="right"/>
              <w:ind w:right="118"/>
              <w:spacing w:after="0"/>
              <w:rPr>
                <w:sz w:val="20"/>
                <w:szCs w:val="20"/>
                <w:color w:val="auto"/>
              </w:rPr>
            </w:pPr>
            <w:r>
              <w:rPr>
                <w:rFonts w:ascii="Arial" w:cs="Arial" w:eastAsia="Arial" w:hAnsi="Arial"/>
                <w:sz w:val="13"/>
                <w:szCs w:val="13"/>
                <w:b w:val="1"/>
                <w:bCs w:val="1"/>
                <w:color w:val="auto"/>
              </w:rPr>
              <w:t>2024</w:t>
            </w:r>
          </w:p>
        </w:tc>
        <w:tc>
          <w:tcPr>
            <w:tcW w:w="300" w:type="dxa"/>
            <w:vAlign w:val="bottom"/>
          </w:tcPr>
          <w:p>
            <w:pPr>
              <w:spacing w:after="0"/>
              <w:rPr>
                <w:sz w:val="21"/>
                <w:szCs w:val="21"/>
                <w:color w:val="auto"/>
              </w:rPr>
            </w:pPr>
          </w:p>
        </w:tc>
        <w:tc>
          <w:tcPr>
            <w:tcW w:w="1920" w:type="dxa"/>
            <w:vAlign w:val="bottom"/>
          </w:tcPr>
          <w:p>
            <w:pPr>
              <w:jc w:val="right"/>
              <w:ind w:right="484"/>
              <w:spacing w:after="0"/>
              <w:rPr>
                <w:sz w:val="20"/>
                <w:szCs w:val="20"/>
                <w:color w:val="auto"/>
              </w:rPr>
            </w:pPr>
            <w:r>
              <w:rPr>
                <w:rFonts w:ascii="Arial" w:cs="Arial" w:eastAsia="Arial" w:hAnsi="Arial"/>
                <w:sz w:val="13"/>
                <w:szCs w:val="13"/>
                <w:b w:val="1"/>
                <w:bCs w:val="1"/>
                <w:color w:val="auto"/>
              </w:rPr>
              <w:t>2023</w:t>
            </w: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38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E5E5E5"/>
          </w:tcPr>
          <w:p>
            <w:pPr>
              <w:ind w:left="20"/>
              <w:spacing w:after="0"/>
              <w:rPr>
                <w:sz w:val="20"/>
                <w:szCs w:val="20"/>
                <w:color w:val="auto"/>
              </w:rPr>
            </w:pPr>
            <w:r>
              <w:rPr>
                <w:rFonts w:ascii="Arial" w:cs="Arial" w:eastAsia="Arial" w:hAnsi="Arial"/>
                <w:sz w:val="18"/>
                <w:szCs w:val="18"/>
                <w:color w:val="auto"/>
              </w:rPr>
              <w:t>Research and development</w:t>
            </w:r>
          </w:p>
        </w:tc>
        <w:tc>
          <w:tcPr>
            <w:tcW w:w="2660" w:type="dxa"/>
            <w:vAlign w:val="bottom"/>
            <w:shd w:val="clear" w:color="auto" w:fill="E5E5E5"/>
          </w:tcPr>
          <w:p>
            <w:pPr>
              <w:jc w:val="right"/>
              <w:ind w:right="299"/>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E5E5E5"/>
          </w:tcPr>
          <w:p>
            <w:pPr>
              <w:jc w:val="right"/>
              <w:ind w:right="118"/>
              <w:spacing w:after="0"/>
              <w:rPr>
                <w:sz w:val="20"/>
                <w:szCs w:val="20"/>
                <w:color w:val="auto"/>
              </w:rPr>
            </w:pPr>
            <w:r>
              <w:rPr>
                <w:rFonts w:ascii="Arial" w:cs="Arial" w:eastAsia="Arial" w:hAnsi="Arial"/>
                <w:sz w:val="18"/>
                <w:szCs w:val="18"/>
                <w:b w:val="1"/>
                <w:bCs w:val="1"/>
                <w:color w:val="auto"/>
              </w:rPr>
              <w:t>7,544</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E5E5E5"/>
          </w:tcPr>
          <w:p>
            <w:pPr>
              <w:jc w:val="right"/>
              <w:ind w:right="484"/>
              <w:spacing w:after="0"/>
              <w:rPr>
                <w:sz w:val="20"/>
                <w:szCs w:val="20"/>
                <w:color w:val="auto"/>
              </w:rPr>
            </w:pPr>
            <w:r>
              <w:rPr>
                <w:rFonts w:ascii="Arial" w:cs="Arial" w:eastAsia="Arial" w:hAnsi="Arial"/>
                <w:sz w:val="18"/>
                <w:szCs w:val="18"/>
                <w:color w:val="auto"/>
              </w:rPr>
              <w:t>6,659</w:t>
            </w:r>
          </w:p>
        </w:tc>
        <w:tc>
          <w:tcPr>
            <w:tcW w:w="1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880" w:type="dxa"/>
            <w:vAlign w:val="bottom"/>
          </w:tcPr>
          <w:p>
            <w:pPr>
              <w:ind w:left="20"/>
              <w:spacing w:after="0"/>
              <w:rPr>
                <w:sz w:val="20"/>
                <w:szCs w:val="20"/>
                <w:color w:val="auto"/>
              </w:rPr>
            </w:pPr>
            <w:r>
              <w:rPr>
                <w:rFonts w:ascii="Arial" w:cs="Arial" w:eastAsia="Arial" w:hAnsi="Arial"/>
                <w:sz w:val="18"/>
                <w:szCs w:val="18"/>
                <w:color w:val="auto"/>
              </w:rPr>
              <w:t>As a percent of revenue</w:t>
            </w:r>
          </w:p>
        </w:tc>
        <w:tc>
          <w:tcPr>
            <w:tcW w:w="2660" w:type="dxa"/>
            <w:vAlign w:val="bottom"/>
          </w:tcPr>
          <w:p>
            <w:pPr>
              <w:spacing w:after="0"/>
              <w:rPr>
                <w:sz w:val="21"/>
                <w:szCs w:val="21"/>
                <w:color w:val="auto"/>
              </w:rPr>
            </w:pPr>
          </w:p>
        </w:tc>
        <w:tc>
          <w:tcPr>
            <w:tcW w:w="1040" w:type="dxa"/>
            <w:vAlign w:val="bottom"/>
          </w:tcPr>
          <w:p>
            <w:pPr>
              <w:jc w:val="right"/>
              <w:ind w:right="118"/>
              <w:spacing w:after="0"/>
              <w:rPr>
                <w:sz w:val="20"/>
                <w:szCs w:val="20"/>
                <w:color w:val="auto"/>
              </w:rPr>
            </w:pPr>
            <w:r>
              <w:rPr>
                <w:rFonts w:ascii="Arial" w:cs="Arial" w:eastAsia="Arial" w:hAnsi="Arial"/>
                <w:sz w:val="18"/>
                <w:szCs w:val="18"/>
                <w:b w:val="1"/>
                <w:bCs w:val="1"/>
                <w:color w:val="auto"/>
              </w:rPr>
              <w:t>12%</w:t>
            </w:r>
          </w:p>
        </w:tc>
        <w:tc>
          <w:tcPr>
            <w:tcW w:w="300" w:type="dxa"/>
            <w:vAlign w:val="bottom"/>
          </w:tcPr>
          <w:p>
            <w:pPr>
              <w:spacing w:after="0"/>
              <w:rPr>
                <w:sz w:val="21"/>
                <w:szCs w:val="21"/>
                <w:color w:val="auto"/>
              </w:rPr>
            </w:pPr>
          </w:p>
        </w:tc>
        <w:tc>
          <w:tcPr>
            <w:tcW w:w="1920" w:type="dxa"/>
            <w:vAlign w:val="bottom"/>
          </w:tcPr>
          <w:p>
            <w:pPr>
              <w:jc w:val="right"/>
              <w:ind w:right="484"/>
              <w:spacing w:after="0"/>
              <w:rPr>
                <w:sz w:val="20"/>
                <w:szCs w:val="20"/>
                <w:color w:val="auto"/>
              </w:rPr>
            </w:pPr>
            <w:r>
              <w:rPr>
                <w:rFonts w:ascii="Arial" w:cs="Arial" w:eastAsia="Arial" w:hAnsi="Arial"/>
                <w:sz w:val="18"/>
                <w:szCs w:val="18"/>
                <w:color w:val="auto"/>
              </w:rPr>
              <w:t>12%</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0ppt</w:t>
            </w:r>
          </w:p>
        </w:tc>
        <w:tc>
          <w:tcPr>
            <w:tcW w:w="0" w:type="dxa"/>
            <w:vAlign w:val="bottom"/>
          </w:tcPr>
          <w:p>
            <w:pPr>
              <w:spacing w:after="0"/>
              <w:rPr>
                <w:sz w:val="1"/>
                <w:szCs w:val="1"/>
                <w:color w:val="auto"/>
              </w:rPr>
            </w:pPr>
          </w:p>
        </w:tc>
      </w:tr>
      <w:tr>
        <w:trPr>
          <w:trHeight w:val="50"/>
        </w:trPr>
        <w:tc>
          <w:tcPr>
            <w:tcW w:w="388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6"/>
        </w:trPr>
        <w:tc>
          <w:tcPr>
            <w:tcW w:w="3880" w:type="dxa"/>
            <w:vAlign w:val="bottom"/>
          </w:tcPr>
          <w:p>
            <w:pPr>
              <w:spacing w:after="0"/>
              <w:rPr>
                <w:sz w:val="24"/>
                <w:szCs w:val="24"/>
                <w:color w:val="auto"/>
              </w:rPr>
            </w:pPr>
          </w:p>
        </w:tc>
        <w:tc>
          <w:tcPr>
            <w:tcW w:w="2660" w:type="dxa"/>
            <w:vAlign w:val="bottom"/>
          </w:tcPr>
          <w:p>
            <w:pPr>
              <w:jc w:val="right"/>
              <w:ind w:right="759"/>
              <w:spacing w:after="0"/>
              <w:rPr>
                <w:sz w:val="20"/>
                <w:szCs w:val="20"/>
                <w:color w:val="auto"/>
              </w:rPr>
            </w:pPr>
            <w:r>
              <w:rPr>
                <w:rFonts w:ascii="Arial" w:cs="Arial" w:eastAsia="Arial" w:hAnsi="Arial"/>
                <w:sz w:val="14"/>
                <w:szCs w:val="14"/>
                <w:color w:val="auto"/>
              </w:rPr>
              <w:t>36</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3"/>
        </w:trPr>
        <w:tc>
          <w:tcPr>
            <w:tcW w:w="38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36" w:name="page37"/>
    <w:bookmarkEnd w:id="36"/>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Research and development expenses include payroll, employee benefits, stock-based compensation expense, and other headcount-related expenses associated with product development. Research and development expenses also include third-party development and programming costs and the amortization of purchased software code and services content.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2024 Compared with Three Months Ended September 30, 2023</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Research and development expenses increased $885 million or 13% driven by Gaming, with 8 points of growth from the Activision Blizzard acquisition, and investments in cloud engineering.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 except percentages)</w:t>
            </w:r>
          </w:p>
        </w:tc>
        <w:tc>
          <w:tcPr>
            <w:tcW w:w="2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20" w:type="dxa"/>
            <w:vAlign w:val="bottom"/>
          </w:tcPr>
          <w:p>
            <w:pPr>
              <w:jc w:val="right"/>
              <w:ind w:right="484"/>
              <w:spacing w:after="0"/>
              <w:rPr>
                <w:sz w:val="20"/>
                <w:szCs w:val="20"/>
                <w:color w:val="auto"/>
              </w:rPr>
            </w:pPr>
            <w:r>
              <w:rPr>
                <w:rFonts w:ascii="Arial" w:cs="Arial" w:eastAsia="Arial" w:hAnsi="Arial"/>
                <w:sz w:val="13"/>
                <w:szCs w:val="13"/>
                <w:b w:val="1"/>
                <w:bCs w:val="1"/>
                <w:color w:val="auto"/>
              </w:rPr>
              <w:t>Three Months Ended</w:t>
            </w:r>
          </w:p>
        </w:tc>
        <w:tc>
          <w:tcPr>
            <w:tcW w:w="14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86"/>
        </w:trPr>
        <w:tc>
          <w:tcPr>
            <w:tcW w:w="4080" w:type="dxa"/>
            <w:vAlign w:val="bottom"/>
            <w:vMerge w:val="continue"/>
          </w:tcPr>
          <w:p>
            <w:pPr>
              <w:spacing w:after="0"/>
              <w:rPr>
                <w:sz w:val="16"/>
                <w:szCs w:val="16"/>
                <w:color w:val="auto"/>
              </w:rPr>
            </w:pPr>
          </w:p>
        </w:tc>
        <w:tc>
          <w:tcPr>
            <w:tcW w:w="2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20" w:type="dxa"/>
            <w:vAlign w:val="bottom"/>
          </w:tcPr>
          <w:p>
            <w:pPr>
              <w:jc w:val="right"/>
              <w:ind w:right="484"/>
              <w:spacing w:after="0"/>
              <w:rPr>
                <w:sz w:val="20"/>
                <w:szCs w:val="20"/>
                <w:color w:val="auto"/>
              </w:rPr>
            </w:pPr>
            <w:r>
              <w:rPr>
                <w:rFonts w:ascii="Arial" w:cs="Arial" w:eastAsia="Arial" w:hAnsi="Arial"/>
                <w:sz w:val="13"/>
                <w:szCs w:val="13"/>
                <w:b w:val="1"/>
                <w:bCs w:val="1"/>
                <w:color w:val="auto"/>
              </w:rPr>
              <w:t>September 30,</w:t>
            </w:r>
          </w:p>
        </w:tc>
        <w:tc>
          <w:tcPr>
            <w:tcW w:w="14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58"/>
        </w:trPr>
        <w:tc>
          <w:tcPr>
            <w:tcW w:w="4080" w:type="dxa"/>
            <w:vAlign w:val="bottom"/>
            <w:tcBorders>
              <w:bottom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408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040" w:type="dxa"/>
            <w:vAlign w:val="bottom"/>
          </w:tcPr>
          <w:p>
            <w:pPr>
              <w:jc w:val="right"/>
              <w:ind w:right="118"/>
              <w:spacing w:after="0"/>
              <w:rPr>
                <w:sz w:val="20"/>
                <w:szCs w:val="20"/>
                <w:color w:val="auto"/>
              </w:rPr>
            </w:pPr>
            <w:r>
              <w:rPr>
                <w:rFonts w:ascii="Arial" w:cs="Arial" w:eastAsia="Arial" w:hAnsi="Arial"/>
                <w:sz w:val="13"/>
                <w:szCs w:val="13"/>
                <w:b w:val="1"/>
                <w:bCs w:val="1"/>
                <w:color w:val="auto"/>
              </w:rPr>
              <w:t>2024</w:t>
            </w:r>
          </w:p>
        </w:tc>
        <w:tc>
          <w:tcPr>
            <w:tcW w:w="300" w:type="dxa"/>
            <w:vAlign w:val="bottom"/>
          </w:tcPr>
          <w:p>
            <w:pPr>
              <w:spacing w:after="0"/>
              <w:rPr>
                <w:sz w:val="21"/>
                <w:szCs w:val="21"/>
                <w:color w:val="auto"/>
              </w:rPr>
            </w:pPr>
          </w:p>
        </w:tc>
        <w:tc>
          <w:tcPr>
            <w:tcW w:w="1920" w:type="dxa"/>
            <w:vAlign w:val="bottom"/>
          </w:tcPr>
          <w:p>
            <w:pPr>
              <w:jc w:val="right"/>
              <w:ind w:right="484"/>
              <w:spacing w:after="0"/>
              <w:rPr>
                <w:sz w:val="20"/>
                <w:szCs w:val="20"/>
                <w:color w:val="auto"/>
              </w:rPr>
            </w:pPr>
            <w:r>
              <w:rPr>
                <w:rFonts w:ascii="Arial" w:cs="Arial" w:eastAsia="Arial" w:hAnsi="Arial"/>
                <w:sz w:val="13"/>
                <w:szCs w:val="13"/>
                <w:b w:val="1"/>
                <w:bCs w:val="1"/>
                <w:color w:val="auto"/>
              </w:rPr>
              <w:t>2023</w:t>
            </w: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40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E5E5E5"/>
          </w:tcPr>
          <w:p>
            <w:pPr>
              <w:ind w:left="20"/>
              <w:spacing w:after="0"/>
              <w:rPr>
                <w:sz w:val="20"/>
                <w:szCs w:val="20"/>
                <w:color w:val="auto"/>
              </w:rPr>
            </w:pPr>
            <w:r>
              <w:rPr>
                <w:rFonts w:ascii="Arial" w:cs="Arial" w:eastAsia="Arial" w:hAnsi="Arial"/>
                <w:sz w:val="18"/>
                <w:szCs w:val="18"/>
                <w:color w:val="auto"/>
              </w:rPr>
              <w:t>Sales and marketing</w:t>
            </w:r>
          </w:p>
        </w:tc>
        <w:tc>
          <w:tcPr>
            <w:tcW w:w="2460" w:type="dxa"/>
            <w:vAlign w:val="bottom"/>
            <w:shd w:val="clear" w:color="auto" w:fill="E5E5E5"/>
          </w:tcPr>
          <w:p>
            <w:pPr>
              <w:jc w:val="right"/>
              <w:ind w:right="29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E5E5E5"/>
          </w:tcPr>
          <w:p>
            <w:pPr>
              <w:jc w:val="right"/>
              <w:ind w:right="118"/>
              <w:spacing w:after="0"/>
              <w:rPr>
                <w:sz w:val="20"/>
                <w:szCs w:val="20"/>
                <w:color w:val="auto"/>
              </w:rPr>
            </w:pPr>
            <w:r>
              <w:rPr>
                <w:rFonts w:ascii="Arial" w:cs="Arial" w:eastAsia="Arial" w:hAnsi="Arial"/>
                <w:sz w:val="18"/>
                <w:szCs w:val="18"/>
                <w:b w:val="1"/>
                <w:bCs w:val="1"/>
                <w:color w:val="auto"/>
              </w:rPr>
              <w:t>5,717</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E5E5E5"/>
          </w:tcPr>
          <w:p>
            <w:pPr>
              <w:jc w:val="right"/>
              <w:ind w:right="484"/>
              <w:spacing w:after="0"/>
              <w:rPr>
                <w:sz w:val="20"/>
                <w:szCs w:val="20"/>
                <w:color w:val="auto"/>
              </w:rPr>
            </w:pPr>
            <w:r>
              <w:rPr>
                <w:rFonts w:ascii="Arial" w:cs="Arial" w:eastAsia="Arial" w:hAnsi="Arial"/>
                <w:sz w:val="18"/>
                <w:szCs w:val="18"/>
                <w:color w:val="auto"/>
              </w:rPr>
              <w:t>5,187</w:t>
            </w:r>
          </w:p>
        </w:tc>
        <w:tc>
          <w:tcPr>
            <w:tcW w:w="1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80" w:type="dxa"/>
            <w:vAlign w:val="bottom"/>
          </w:tcPr>
          <w:p>
            <w:pPr>
              <w:ind w:left="20"/>
              <w:spacing w:after="0"/>
              <w:rPr>
                <w:sz w:val="20"/>
                <w:szCs w:val="20"/>
                <w:color w:val="auto"/>
              </w:rPr>
            </w:pPr>
            <w:r>
              <w:rPr>
                <w:rFonts w:ascii="Arial" w:cs="Arial" w:eastAsia="Arial" w:hAnsi="Arial"/>
                <w:sz w:val="18"/>
                <w:szCs w:val="18"/>
                <w:color w:val="auto"/>
              </w:rPr>
              <w:t>As a percent of revenue</w:t>
            </w:r>
          </w:p>
        </w:tc>
        <w:tc>
          <w:tcPr>
            <w:tcW w:w="2460" w:type="dxa"/>
            <w:vAlign w:val="bottom"/>
          </w:tcPr>
          <w:p>
            <w:pPr>
              <w:spacing w:after="0"/>
              <w:rPr>
                <w:sz w:val="21"/>
                <w:szCs w:val="21"/>
                <w:color w:val="auto"/>
              </w:rPr>
            </w:pPr>
          </w:p>
        </w:tc>
        <w:tc>
          <w:tcPr>
            <w:tcW w:w="1040" w:type="dxa"/>
            <w:vAlign w:val="bottom"/>
          </w:tcPr>
          <w:p>
            <w:pPr>
              <w:jc w:val="right"/>
              <w:ind w:right="118"/>
              <w:spacing w:after="0"/>
              <w:rPr>
                <w:sz w:val="20"/>
                <w:szCs w:val="20"/>
                <w:color w:val="auto"/>
              </w:rPr>
            </w:pPr>
            <w:r>
              <w:rPr>
                <w:rFonts w:ascii="Arial" w:cs="Arial" w:eastAsia="Arial" w:hAnsi="Arial"/>
                <w:sz w:val="18"/>
                <w:szCs w:val="18"/>
                <w:b w:val="1"/>
                <w:bCs w:val="1"/>
                <w:color w:val="auto"/>
              </w:rPr>
              <w:t>9%</w:t>
            </w:r>
          </w:p>
        </w:tc>
        <w:tc>
          <w:tcPr>
            <w:tcW w:w="300" w:type="dxa"/>
            <w:vAlign w:val="bottom"/>
          </w:tcPr>
          <w:p>
            <w:pPr>
              <w:spacing w:after="0"/>
              <w:rPr>
                <w:sz w:val="21"/>
                <w:szCs w:val="21"/>
                <w:color w:val="auto"/>
              </w:rPr>
            </w:pPr>
          </w:p>
        </w:tc>
        <w:tc>
          <w:tcPr>
            <w:tcW w:w="1920" w:type="dxa"/>
            <w:vAlign w:val="bottom"/>
          </w:tcPr>
          <w:p>
            <w:pPr>
              <w:jc w:val="right"/>
              <w:ind w:right="484"/>
              <w:spacing w:after="0"/>
              <w:rPr>
                <w:sz w:val="20"/>
                <w:szCs w:val="20"/>
                <w:color w:val="auto"/>
              </w:rPr>
            </w:pPr>
            <w:r>
              <w:rPr>
                <w:rFonts w:ascii="Arial" w:cs="Arial" w:eastAsia="Arial" w:hAnsi="Arial"/>
                <w:sz w:val="18"/>
                <w:szCs w:val="18"/>
                <w:color w:val="auto"/>
              </w:rPr>
              <w:t>9%</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0ppt</w:t>
            </w:r>
          </w:p>
        </w:tc>
        <w:tc>
          <w:tcPr>
            <w:tcW w:w="0" w:type="dxa"/>
            <w:vAlign w:val="bottom"/>
          </w:tcPr>
          <w:p>
            <w:pPr>
              <w:spacing w:after="0"/>
              <w:rPr>
                <w:sz w:val="1"/>
                <w:szCs w:val="1"/>
                <w:color w:val="auto"/>
              </w:rPr>
            </w:pPr>
          </w:p>
        </w:tc>
      </w:tr>
      <w:tr>
        <w:trPr>
          <w:trHeight w:val="50"/>
        </w:trPr>
        <w:tc>
          <w:tcPr>
            <w:tcW w:w="408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Sales and marketing expenses include payroll, employee benefits, stock-based compensation expense, and other headcount-related expenses associated with sales and marketing personnel, and the costs of advertising, promotions, trade shows, seminars, and other programs.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2024 Compared with Three Months Ended September 30, 2023</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Sales and marketing expenses increased $530 million or 10% driven by Gaming, with 9 points of growth from the Activision Blizzard acquisition, and investments in commercial sales.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 except percentages)</w:t>
            </w:r>
          </w:p>
        </w:tc>
        <w:tc>
          <w:tcPr>
            <w:tcW w:w="2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20" w:type="dxa"/>
            <w:vAlign w:val="bottom"/>
          </w:tcPr>
          <w:p>
            <w:pPr>
              <w:jc w:val="right"/>
              <w:ind w:right="484"/>
              <w:spacing w:after="0"/>
              <w:rPr>
                <w:sz w:val="20"/>
                <w:szCs w:val="20"/>
                <w:color w:val="auto"/>
              </w:rPr>
            </w:pPr>
            <w:r>
              <w:rPr>
                <w:rFonts w:ascii="Arial" w:cs="Arial" w:eastAsia="Arial" w:hAnsi="Arial"/>
                <w:sz w:val="13"/>
                <w:szCs w:val="13"/>
                <w:b w:val="1"/>
                <w:bCs w:val="1"/>
                <w:color w:val="auto"/>
              </w:rPr>
              <w:t>Three Months Ended</w:t>
            </w:r>
          </w:p>
        </w:tc>
        <w:tc>
          <w:tcPr>
            <w:tcW w:w="14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86"/>
        </w:trPr>
        <w:tc>
          <w:tcPr>
            <w:tcW w:w="4120" w:type="dxa"/>
            <w:vAlign w:val="bottom"/>
            <w:vMerge w:val="continue"/>
          </w:tcPr>
          <w:p>
            <w:pPr>
              <w:spacing w:after="0"/>
              <w:rPr>
                <w:sz w:val="16"/>
                <w:szCs w:val="16"/>
                <w:color w:val="auto"/>
              </w:rPr>
            </w:pPr>
          </w:p>
        </w:tc>
        <w:tc>
          <w:tcPr>
            <w:tcW w:w="2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20" w:type="dxa"/>
            <w:vAlign w:val="bottom"/>
          </w:tcPr>
          <w:p>
            <w:pPr>
              <w:jc w:val="right"/>
              <w:ind w:right="484"/>
              <w:spacing w:after="0"/>
              <w:rPr>
                <w:sz w:val="20"/>
                <w:szCs w:val="20"/>
                <w:color w:val="auto"/>
              </w:rPr>
            </w:pPr>
            <w:r>
              <w:rPr>
                <w:rFonts w:ascii="Arial" w:cs="Arial" w:eastAsia="Arial" w:hAnsi="Arial"/>
                <w:sz w:val="13"/>
                <w:szCs w:val="13"/>
                <w:b w:val="1"/>
                <w:bCs w:val="1"/>
                <w:color w:val="auto"/>
              </w:rPr>
              <w:t>September 30,</w:t>
            </w:r>
          </w:p>
        </w:tc>
        <w:tc>
          <w:tcPr>
            <w:tcW w:w="14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58"/>
        </w:trPr>
        <w:tc>
          <w:tcPr>
            <w:tcW w:w="4120" w:type="dxa"/>
            <w:vAlign w:val="bottom"/>
            <w:tcBorders>
              <w:bottom w:val="single" w:sz="8" w:color="auto"/>
            </w:tcBorders>
          </w:tcPr>
          <w:p>
            <w:pPr>
              <w:spacing w:after="0"/>
              <w:rPr>
                <w:sz w:val="5"/>
                <w:szCs w:val="5"/>
                <w:color w:val="auto"/>
              </w:rPr>
            </w:pPr>
          </w:p>
        </w:tc>
        <w:tc>
          <w:tcPr>
            <w:tcW w:w="24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41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040" w:type="dxa"/>
            <w:vAlign w:val="bottom"/>
          </w:tcPr>
          <w:p>
            <w:pPr>
              <w:jc w:val="right"/>
              <w:ind w:right="118"/>
              <w:spacing w:after="0"/>
              <w:rPr>
                <w:sz w:val="20"/>
                <w:szCs w:val="20"/>
                <w:color w:val="auto"/>
              </w:rPr>
            </w:pPr>
            <w:r>
              <w:rPr>
                <w:rFonts w:ascii="Arial" w:cs="Arial" w:eastAsia="Arial" w:hAnsi="Arial"/>
                <w:sz w:val="13"/>
                <w:szCs w:val="13"/>
                <w:b w:val="1"/>
                <w:bCs w:val="1"/>
                <w:color w:val="auto"/>
              </w:rPr>
              <w:t>2024</w:t>
            </w:r>
          </w:p>
        </w:tc>
        <w:tc>
          <w:tcPr>
            <w:tcW w:w="300" w:type="dxa"/>
            <w:vAlign w:val="bottom"/>
          </w:tcPr>
          <w:p>
            <w:pPr>
              <w:spacing w:after="0"/>
              <w:rPr>
                <w:sz w:val="21"/>
                <w:szCs w:val="21"/>
                <w:color w:val="auto"/>
              </w:rPr>
            </w:pPr>
          </w:p>
        </w:tc>
        <w:tc>
          <w:tcPr>
            <w:tcW w:w="1920" w:type="dxa"/>
            <w:vAlign w:val="bottom"/>
          </w:tcPr>
          <w:p>
            <w:pPr>
              <w:jc w:val="right"/>
              <w:ind w:right="484"/>
              <w:spacing w:after="0"/>
              <w:rPr>
                <w:sz w:val="20"/>
                <w:szCs w:val="20"/>
                <w:color w:val="auto"/>
              </w:rPr>
            </w:pPr>
            <w:r>
              <w:rPr>
                <w:rFonts w:ascii="Arial" w:cs="Arial" w:eastAsia="Arial" w:hAnsi="Arial"/>
                <w:sz w:val="13"/>
                <w:szCs w:val="13"/>
                <w:b w:val="1"/>
                <w:bCs w:val="1"/>
                <w:color w:val="auto"/>
              </w:rPr>
              <w:t>2023</w:t>
            </w: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41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E5E5E5"/>
          </w:tcPr>
          <w:p>
            <w:pPr>
              <w:ind w:left="20"/>
              <w:spacing w:after="0"/>
              <w:rPr>
                <w:sz w:val="20"/>
                <w:szCs w:val="20"/>
                <w:color w:val="auto"/>
              </w:rPr>
            </w:pPr>
            <w:r>
              <w:rPr>
                <w:rFonts w:ascii="Arial" w:cs="Arial" w:eastAsia="Arial" w:hAnsi="Arial"/>
                <w:sz w:val="18"/>
                <w:szCs w:val="18"/>
                <w:color w:val="auto"/>
              </w:rPr>
              <w:t>General and administrative</w:t>
            </w:r>
          </w:p>
        </w:tc>
        <w:tc>
          <w:tcPr>
            <w:tcW w:w="2420" w:type="dxa"/>
            <w:vAlign w:val="bottom"/>
            <w:shd w:val="clear" w:color="auto" w:fill="E5E5E5"/>
          </w:tcPr>
          <w:p>
            <w:pPr>
              <w:jc w:val="right"/>
              <w:ind w:right="29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E5E5E5"/>
          </w:tcPr>
          <w:p>
            <w:pPr>
              <w:jc w:val="right"/>
              <w:ind w:right="118"/>
              <w:spacing w:after="0"/>
              <w:rPr>
                <w:sz w:val="20"/>
                <w:szCs w:val="20"/>
                <w:color w:val="auto"/>
              </w:rPr>
            </w:pPr>
            <w:r>
              <w:rPr>
                <w:rFonts w:ascii="Arial" w:cs="Arial" w:eastAsia="Arial" w:hAnsi="Arial"/>
                <w:sz w:val="18"/>
                <w:szCs w:val="18"/>
                <w:b w:val="1"/>
                <w:bCs w:val="1"/>
                <w:color w:val="auto"/>
              </w:rPr>
              <w:t>1,673</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E5E5E5"/>
          </w:tcPr>
          <w:p>
            <w:pPr>
              <w:jc w:val="right"/>
              <w:ind w:right="484"/>
              <w:spacing w:after="0"/>
              <w:rPr>
                <w:sz w:val="20"/>
                <w:szCs w:val="20"/>
                <w:color w:val="auto"/>
              </w:rPr>
            </w:pPr>
            <w:r>
              <w:rPr>
                <w:rFonts w:ascii="Arial" w:cs="Arial" w:eastAsia="Arial" w:hAnsi="Arial"/>
                <w:sz w:val="18"/>
                <w:szCs w:val="18"/>
                <w:color w:val="auto"/>
              </w:rPr>
              <w:t>1,474</w:t>
            </w:r>
          </w:p>
        </w:tc>
        <w:tc>
          <w:tcPr>
            <w:tcW w:w="1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120" w:type="dxa"/>
            <w:vAlign w:val="bottom"/>
          </w:tcPr>
          <w:p>
            <w:pPr>
              <w:ind w:left="20"/>
              <w:spacing w:after="0"/>
              <w:rPr>
                <w:sz w:val="20"/>
                <w:szCs w:val="20"/>
                <w:color w:val="auto"/>
              </w:rPr>
            </w:pPr>
            <w:r>
              <w:rPr>
                <w:rFonts w:ascii="Arial" w:cs="Arial" w:eastAsia="Arial" w:hAnsi="Arial"/>
                <w:sz w:val="18"/>
                <w:szCs w:val="18"/>
                <w:color w:val="auto"/>
              </w:rPr>
              <w:t>As a percent of revenue</w:t>
            </w:r>
          </w:p>
        </w:tc>
        <w:tc>
          <w:tcPr>
            <w:tcW w:w="2420" w:type="dxa"/>
            <w:vAlign w:val="bottom"/>
          </w:tcPr>
          <w:p>
            <w:pPr>
              <w:spacing w:after="0"/>
              <w:rPr>
                <w:sz w:val="21"/>
                <w:szCs w:val="21"/>
                <w:color w:val="auto"/>
              </w:rPr>
            </w:pPr>
          </w:p>
        </w:tc>
        <w:tc>
          <w:tcPr>
            <w:tcW w:w="1040" w:type="dxa"/>
            <w:vAlign w:val="bottom"/>
          </w:tcPr>
          <w:p>
            <w:pPr>
              <w:jc w:val="right"/>
              <w:ind w:right="118"/>
              <w:spacing w:after="0"/>
              <w:rPr>
                <w:sz w:val="20"/>
                <w:szCs w:val="20"/>
                <w:color w:val="auto"/>
              </w:rPr>
            </w:pPr>
            <w:r>
              <w:rPr>
                <w:rFonts w:ascii="Arial" w:cs="Arial" w:eastAsia="Arial" w:hAnsi="Arial"/>
                <w:sz w:val="18"/>
                <w:szCs w:val="18"/>
                <w:b w:val="1"/>
                <w:bCs w:val="1"/>
                <w:color w:val="auto"/>
              </w:rPr>
              <w:t>3%</w:t>
            </w:r>
          </w:p>
        </w:tc>
        <w:tc>
          <w:tcPr>
            <w:tcW w:w="300" w:type="dxa"/>
            <w:vAlign w:val="bottom"/>
          </w:tcPr>
          <w:p>
            <w:pPr>
              <w:spacing w:after="0"/>
              <w:rPr>
                <w:sz w:val="21"/>
                <w:szCs w:val="21"/>
                <w:color w:val="auto"/>
              </w:rPr>
            </w:pPr>
          </w:p>
        </w:tc>
        <w:tc>
          <w:tcPr>
            <w:tcW w:w="1920" w:type="dxa"/>
            <w:vAlign w:val="bottom"/>
          </w:tcPr>
          <w:p>
            <w:pPr>
              <w:jc w:val="right"/>
              <w:ind w:right="484"/>
              <w:spacing w:after="0"/>
              <w:rPr>
                <w:sz w:val="20"/>
                <w:szCs w:val="20"/>
                <w:color w:val="auto"/>
              </w:rPr>
            </w:pPr>
            <w:r>
              <w:rPr>
                <w:rFonts w:ascii="Arial" w:cs="Arial" w:eastAsia="Arial" w:hAnsi="Arial"/>
                <w:sz w:val="18"/>
                <w:szCs w:val="18"/>
                <w:color w:val="auto"/>
              </w:rPr>
              <w:t>3%</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0ppt</w:t>
            </w:r>
          </w:p>
        </w:tc>
        <w:tc>
          <w:tcPr>
            <w:tcW w:w="0" w:type="dxa"/>
            <w:vAlign w:val="bottom"/>
          </w:tcPr>
          <w:p>
            <w:pPr>
              <w:spacing w:after="0"/>
              <w:rPr>
                <w:sz w:val="1"/>
                <w:szCs w:val="1"/>
                <w:color w:val="auto"/>
              </w:rPr>
            </w:pPr>
          </w:p>
        </w:tc>
      </w:tr>
      <w:tr>
        <w:trPr>
          <w:trHeight w:val="50"/>
        </w:trPr>
        <w:tc>
          <w:tcPr>
            <w:tcW w:w="412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General and administrative expenses include payroll, employee benefits, stock-based compensation expense, employee severance expense incurred as part of a corporate program, and other headcount-related expenses associated with finance, legal, facilities, certain human resources and other administrative personnel, certain taxes, and legal and other administrative fees.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2024 Compared with Three Months Ended September 30, 2023</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General and administrative expenses increased $199 million or 14% driven by Gaming, with 11 points of growth from the Activision Blizzard acquisition.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37" w:name="page38"/>
    <w:bookmarkEnd w:id="37"/>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2" w:lineRule="exact"/>
        <w:rPr>
          <w:sz w:val="20"/>
          <w:szCs w:val="20"/>
          <w:color w:val="auto"/>
        </w:rPr>
      </w:pPr>
    </w:p>
    <w:p>
      <w:pPr>
        <w:ind w:left="4180"/>
        <w:spacing w:after="0"/>
        <w:rPr>
          <w:sz w:val="20"/>
          <w:szCs w:val="20"/>
          <w:color w:val="auto"/>
        </w:rPr>
      </w:pPr>
      <w:r>
        <w:rPr>
          <w:rFonts w:ascii="Arial" w:cs="Arial" w:eastAsia="Arial" w:hAnsi="Arial"/>
          <w:sz w:val="18"/>
          <w:szCs w:val="18"/>
          <w:u w:val="single" w:color="auto"/>
          <w:color w:val="auto"/>
        </w:rPr>
        <w:t>OTHER INCOME (EXPENSE), NET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 (expense), net were as follows: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0383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38340" cy="825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ind w:left="20"/>
              <w:spacing w:after="0"/>
              <w:rPr>
                <w:sz w:val="20"/>
                <w:szCs w:val="20"/>
                <w:color w:val="auto"/>
              </w:rPr>
            </w:pPr>
            <w:r>
              <w:rPr>
                <w:rFonts w:ascii="Arial" w:cs="Arial" w:eastAsia="Arial" w:hAnsi="Arial"/>
                <w:sz w:val="13"/>
                <w:szCs w:val="13"/>
                <w:b w:val="1"/>
                <w:bCs w:val="1"/>
                <w:color w:val="auto"/>
              </w:rPr>
              <w:t>Three Months Ended September 30,</w:t>
            </w: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6"/>
                <w:szCs w:val="16"/>
                <w:color w:val="auto"/>
              </w:rPr>
            </w:pPr>
          </w:p>
        </w:tc>
      </w:tr>
      <w:tr>
        <w:trPr>
          <w:trHeight w:val="58"/>
        </w:trPr>
        <w:tc>
          <w:tcPr>
            <w:tcW w:w="7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29"/>
        </w:trPr>
        <w:tc>
          <w:tcPr>
            <w:tcW w:w="7820" w:type="dxa"/>
            <w:vAlign w:val="bottom"/>
            <w:shd w:val="clear" w:color="auto" w:fill="E5E5E5"/>
          </w:tcPr>
          <w:p>
            <w:pPr>
              <w:ind w:left="20"/>
              <w:spacing w:after="0"/>
              <w:rPr>
                <w:sz w:val="20"/>
                <w:szCs w:val="20"/>
                <w:color w:val="auto"/>
              </w:rPr>
            </w:pPr>
            <w:r>
              <w:rPr>
                <w:rFonts w:ascii="Arial" w:cs="Arial" w:eastAsia="Arial" w:hAnsi="Arial"/>
                <w:sz w:val="18"/>
                <w:szCs w:val="18"/>
                <w:color w:val="auto"/>
              </w:rPr>
              <w:t>Interest and dividends income</w:t>
            </w:r>
          </w:p>
        </w:tc>
        <w:tc>
          <w:tcPr>
            <w:tcW w:w="600" w:type="dxa"/>
            <w:vAlign w:val="bottom"/>
            <w:shd w:val="clear" w:color="auto" w:fill="E5E5E5"/>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681</w:t>
            </w:r>
          </w:p>
        </w:tc>
        <w:tc>
          <w:tcPr>
            <w:tcW w:w="220" w:type="dxa"/>
            <w:vAlign w:val="bottom"/>
            <w:shd w:val="clear" w:color="auto" w:fill="E5E5E5"/>
          </w:tcPr>
          <w:p>
            <w:pPr>
              <w:spacing w:after="0"/>
              <w:rPr>
                <w:sz w:val="19"/>
                <w:szCs w:val="19"/>
                <w:color w:val="auto"/>
              </w:rPr>
            </w:pPr>
          </w:p>
        </w:tc>
        <w:tc>
          <w:tcPr>
            <w:tcW w:w="620" w:type="dxa"/>
            <w:vAlign w:val="bottom"/>
            <w:shd w:val="clear" w:color="auto" w:fill="E5E5E5"/>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1,166</w:t>
            </w:r>
          </w:p>
        </w:tc>
        <w:tc>
          <w:tcPr>
            <w:tcW w:w="140" w:type="dxa"/>
            <w:vAlign w:val="bottom"/>
            <w:shd w:val="clear" w:color="auto" w:fill="E5E5E5"/>
          </w:tcPr>
          <w:p>
            <w:pPr>
              <w:spacing w:after="0"/>
              <w:rPr>
                <w:sz w:val="19"/>
                <w:szCs w:val="19"/>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(582 )</w:t>
            </w:r>
          </w:p>
        </w:tc>
        <w:tc>
          <w:tcPr>
            <w:tcW w:w="6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(525 )</w:t>
            </w:r>
          </w:p>
        </w:tc>
      </w:tr>
      <w:tr>
        <w:trPr>
          <w:trHeight w:val="229"/>
        </w:trPr>
        <w:tc>
          <w:tcPr>
            <w:tcW w:w="7820" w:type="dxa"/>
            <w:vAlign w:val="bottom"/>
            <w:shd w:val="clear" w:color="auto" w:fill="E5E5E5"/>
          </w:tcPr>
          <w:p>
            <w:pPr>
              <w:ind w:left="20"/>
              <w:spacing w:after="0"/>
              <w:rPr>
                <w:sz w:val="20"/>
                <w:szCs w:val="20"/>
                <w:color w:val="auto"/>
              </w:rPr>
            </w:pPr>
            <w:r>
              <w:rPr>
                <w:rFonts w:ascii="Arial" w:cs="Arial" w:eastAsia="Arial" w:hAnsi="Arial"/>
                <w:sz w:val="18"/>
                <w:szCs w:val="18"/>
                <w:color w:val="auto"/>
              </w:rPr>
              <w:t>Net recognized gains (losses) on investments</w:t>
            </w:r>
          </w:p>
        </w:tc>
        <w:tc>
          <w:tcPr>
            <w:tcW w:w="60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463</w:t>
            </w:r>
          </w:p>
        </w:tc>
        <w:tc>
          <w:tcPr>
            <w:tcW w:w="220" w:type="dxa"/>
            <w:vAlign w:val="bottom"/>
            <w:shd w:val="clear" w:color="auto" w:fill="E5E5E5"/>
          </w:tcPr>
          <w:p>
            <w:pPr>
              <w:spacing w:after="0"/>
              <w:rPr>
                <w:sz w:val="19"/>
                <w:szCs w:val="19"/>
                <w:color w:val="auto"/>
              </w:rPr>
            </w:pPr>
          </w:p>
        </w:tc>
        <w:tc>
          <w:tcPr>
            <w:tcW w:w="620" w:type="dxa"/>
            <w:vAlign w:val="bottom"/>
            <w:shd w:val="clear" w:color="auto" w:fill="E5E5E5"/>
          </w:tcPr>
          <w:p>
            <w:pPr>
              <w:spacing w:after="0"/>
              <w:rPr>
                <w:sz w:val="19"/>
                <w:szCs w:val="19"/>
                <w:color w:val="auto"/>
              </w:rPr>
            </w:pPr>
          </w:p>
        </w:tc>
        <w:tc>
          <w:tcPr>
            <w:tcW w:w="110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(107 )</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Net gains (losses) on derivatives</w:t>
            </w:r>
          </w:p>
        </w:tc>
        <w:tc>
          <w:tcPr>
            <w:tcW w:w="6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(338 )</w:t>
            </w: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9"/>
                <w:szCs w:val="19"/>
                <w:color w:val="auto"/>
              </w:rPr>
            </w:pPr>
          </w:p>
        </w:tc>
      </w:tr>
      <w:tr>
        <w:trPr>
          <w:trHeight w:val="229"/>
        </w:trPr>
        <w:tc>
          <w:tcPr>
            <w:tcW w:w="7820" w:type="dxa"/>
            <w:vAlign w:val="bottom"/>
            <w:shd w:val="clear" w:color="auto" w:fill="E5E5E5"/>
          </w:tcPr>
          <w:p>
            <w:pPr>
              <w:ind w:left="20"/>
              <w:spacing w:after="0"/>
              <w:rPr>
                <w:sz w:val="20"/>
                <w:szCs w:val="20"/>
                <w:color w:val="auto"/>
              </w:rPr>
            </w:pPr>
            <w:r>
              <w:rPr>
                <w:rFonts w:ascii="Arial" w:cs="Arial" w:eastAsia="Arial" w:hAnsi="Arial"/>
                <w:sz w:val="18"/>
                <w:szCs w:val="18"/>
                <w:color w:val="auto"/>
              </w:rPr>
              <w:t>Net gains (losses) on foreign currency remeasurements</w:t>
            </w:r>
          </w:p>
        </w:tc>
        <w:tc>
          <w:tcPr>
            <w:tcW w:w="60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176</w:t>
            </w:r>
          </w:p>
        </w:tc>
        <w:tc>
          <w:tcPr>
            <w:tcW w:w="220" w:type="dxa"/>
            <w:vAlign w:val="bottom"/>
            <w:shd w:val="clear" w:color="auto" w:fill="E5E5E5"/>
          </w:tcPr>
          <w:p>
            <w:pPr>
              <w:spacing w:after="0"/>
              <w:rPr>
                <w:sz w:val="19"/>
                <w:szCs w:val="19"/>
                <w:color w:val="auto"/>
              </w:rPr>
            </w:pPr>
          </w:p>
        </w:tc>
        <w:tc>
          <w:tcPr>
            <w:tcW w:w="620" w:type="dxa"/>
            <w:vAlign w:val="bottom"/>
            <w:shd w:val="clear" w:color="auto" w:fill="E5E5E5"/>
          </w:tcPr>
          <w:p>
            <w:pPr>
              <w:spacing w:after="0"/>
              <w:rPr>
                <w:sz w:val="19"/>
                <w:szCs w:val="19"/>
                <w:color w:val="auto"/>
              </w:rPr>
            </w:pPr>
          </w:p>
        </w:tc>
        <w:tc>
          <w:tcPr>
            <w:tcW w:w="110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(101 )</w:t>
            </w:r>
          </w:p>
        </w:tc>
      </w:tr>
      <w:tr>
        <w:trPr>
          <w:trHeight w:val="247"/>
        </w:trPr>
        <w:tc>
          <w:tcPr>
            <w:tcW w:w="7820" w:type="dxa"/>
            <w:vAlign w:val="bottom"/>
          </w:tcPr>
          <w:p>
            <w:pPr>
              <w:ind w:left="20"/>
              <w:spacing w:after="0"/>
              <w:rPr>
                <w:sz w:val="20"/>
                <w:szCs w:val="20"/>
                <w:color w:val="auto"/>
              </w:rPr>
            </w:pPr>
            <w:r>
              <w:rPr>
                <w:rFonts w:ascii="Arial" w:cs="Arial" w:eastAsia="Arial" w:hAnsi="Arial"/>
                <w:sz w:val="18"/>
                <w:szCs w:val="18"/>
                <w:color w:val="auto"/>
              </w:rPr>
              <w:t>Other, net</w:t>
            </w:r>
          </w:p>
        </w:tc>
        <w:tc>
          <w:tcPr>
            <w:tcW w:w="60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(683 )</w:t>
            </w:r>
          </w:p>
        </w:tc>
        <w:tc>
          <w:tcPr>
            <w:tcW w:w="62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(137 )</w:t>
            </w:r>
          </w:p>
        </w:tc>
      </w:tr>
      <w:tr>
        <w:trPr>
          <w:trHeight w:val="50"/>
        </w:trPr>
        <w:tc>
          <w:tcPr>
            <w:tcW w:w="78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61"/>
        </w:trPr>
        <w:tc>
          <w:tcPr>
            <w:tcW w:w="7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29"/>
        </w:trPr>
        <w:tc>
          <w:tcPr>
            <w:tcW w:w="782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E5E5E5"/>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(283 )</w:t>
            </w:r>
          </w:p>
        </w:tc>
        <w:tc>
          <w:tcPr>
            <w:tcW w:w="620" w:type="dxa"/>
            <w:vAlign w:val="bottom"/>
            <w:shd w:val="clear" w:color="auto" w:fill="E5E5E5"/>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389</w:t>
            </w:r>
          </w:p>
        </w:tc>
        <w:tc>
          <w:tcPr>
            <w:tcW w:w="140" w:type="dxa"/>
            <w:vAlign w:val="bottom"/>
            <w:shd w:val="clear" w:color="auto" w:fill="E5E5E5"/>
          </w:tcPr>
          <w:p>
            <w:pPr>
              <w:spacing w:after="0"/>
              <w:rPr>
                <w:sz w:val="19"/>
                <w:szCs w:val="19"/>
                <w:color w:val="auto"/>
              </w:rPr>
            </w:pPr>
          </w:p>
        </w:tc>
      </w:tr>
      <w:tr>
        <w:trPr>
          <w:trHeight w:val="74"/>
        </w:trPr>
        <w:tc>
          <w:tcPr>
            <w:tcW w:w="782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r>
    </w:tbl>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use derivative instruments to manage risks related to foreign currencies, interest rates, equity prices, and credit; to enhance investment returns; and to facilitate portfolio diversification. Gains and losses from changes in fair values of derivatives that are not designated as hedging instruments are primarily recognized in other income (expense), net.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2024 Compared with Three Months Ended September 30, 2023</w:t>
      </w:r>
    </w:p>
    <w:p>
      <w:pPr>
        <w:spacing w:after="0" w:line="15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Interest and dividends income decreased primarily due to lower portfolio balances. Interest expense increased primarily due to higher finance lease interest expense. Net recognized gains on investments increased primarily due to gains on equity investments in the current period as compared to losses in the prior period. Net losses on derivatives increased primarily due to losses on equity derivatives in the current period as compared to gains in the prior period. Other, net primarily reflects net recognized losses on equity method investments, including OpenAI.</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INCOME TAXES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5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effective tax rate was 19% and 18% for the three months ended September 30, 2024 and 2023, respectively. The increase in our effective tax rate for the current quarter compared to the prior year was primarily due to tax benefits from tax law changes in the first quarter of fiscal year 2024, including the impact from the issuance of Notice 2023-55 by the Internal Revenue Service (“IRS”) and U.S. Treasury Department, which delayed the effective date of final foreign tax credit regulations to fiscal year 2024 for Microsoft. Notice 2023-80, issued in the second quarter of fiscal year 2024, further delayed the effective date of final foreign tax credit regulations indefinitely.</w:t>
      </w:r>
    </w:p>
    <w:p>
      <w:pPr>
        <w:spacing w:after="0" w:line="1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effective tax rate was lower than the U.S. federal statutory rate for the three months ended September 30, 2024, primarily due to earnings taxed at lower rates in foreign jurisdictions resulting from producing and distributing our products and services through our foreign regional operations center in Ireland.</w:t>
      </w:r>
    </w:p>
    <w:p>
      <w:pPr>
        <w:spacing w:after="0" w:line="11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Organisation for Economic Co-operation and Development (“OECD”) published its model rules “Tax Challenges Arising From the Digitalisation of the Economy - Global Anti-Base Erosion Model Rules (Pillar Two)” which established a global minimum corporate tax rate of 15% for certain multinational enterprises. Many countries have implemented or are in the process of implementing the Pillar Two legislation, which applies to Microsoft beginning in fiscal year 2025. While we do not currently estimate a material impact to our consolidated financial statements, we continue to monitor the impact as countries implement legislation and the OECD provides additional guidance.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38" w:name="page39"/>
    <w:bookmarkEnd w:id="38"/>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57"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remain under audit by the IRS for tax years 2014 to 2017. With respect to the audit for tax years 2004 to 2013, on September 26, 2023, we received Notices of Proposed Adjustment (“NOPAs”) from the IRS. The primary issues in the NOPAs relate to intercompany transfer pricing. In the NOPAs, the IRS is seeking an additional tax payment of $28.9 billion plus penalties and interest. As of September 30, 2024, we believe our allowances for income tax contingencies are adequate. We disagree with the proposed adjustments and will vigorously contest the NOPAs through the IRS’s administrative appeals office and, if necessary, judicial proceedings. We do not expect a final resolution of these issues in the next 12 months. Based on the information currently available, we do not anticipate a significant increase or decrease to our income tax contingencies for these issues within the next 12 months.</w:t>
      </w:r>
    </w:p>
    <w:p>
      <w:pPr>
        <w:spacing w:after="0" w:line="1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2024, some of which are currently under audit by local tax authorities. The resolution of each of these audits is not expected to be material to our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expect existing cash, cash equivalents, short-term investments, cash flows from operations, and access to capital markets to continue to be sufficient to fund our operating activities and cash commitments for investing and financing activities, such as dividends, share repurchases, debt maturities, material capital expenditures, and the transition tax related to the Tax Cuts and Jobs Act (“TCJA”), for at least the next 12 months and thereafter for the foreseeable future.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Investments</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Cash, cash equivalents, and short-term investments totaled $78.4 billion and $75.5 billion as of September 30, 2024 and June 30, 2024, respectively. Equity and other investments were $ 15.8 billion and $14.6 billion as of September 30, 2024 and June 30, 2024, respectively. Our short-term investments are primarily intended to facilitate liquidity and capital preservation. They consist predominantly of highly liquid investment-grade fixed-income securities, diversified among industries and individual issuers. The investments are predominantly U.S. dollar-denominated securities, but also include foreign currency-denominated securities to diversify risk. Our fixed-income investments are exposed to interest rate risk and credit risk. The credit risk and average maturity of our fixed-income portfolio are managed to achieve economic returns that correlate to certain fixed-income indices. The settlement risk related to these investments is insignificant given that the short-term investments held are primarily highly liquid investment-grade fixed-income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general, and where applicable, we use quoted prices in active markets for identical assets or liabilities to determine the fair value of our financial instruments. This pricing methodology applies to our Level 1 investments, such as U.S. government securities, common and preferred stock, and mutual funds. If quoted prices in active markets for identical assets or liabilities are not available to determine fair value, then we use quoted prices for similar assets and liabilities or inputs other than the quoted prices that are observable either directly or indirectly. This pricing methodology applies to our Level 2 investments, such as commercial paper, certificates of deposit, U.S. agency securities, foreign government bonds, mortgage- and asset-backed securities, corporate notes and bonds, and municipal securities. Level 3 investments are valued using internally-developed models with unobservable inputs. Assets and liabilities measured at fair value on a recurring basis using unobservable inputs are an immaterial portion of our portfolio.</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majority of our investments are priced by pricing vendors and are generally Level 1 or Level 2 investments as these vendors either provide a quoted market price in an active market or use observable inputs for their pricing without applying significant adjustments. Broker pricing is used mainly when a quoted price is not available, the investment is not priced by our pricing vendors, or when a broker price is more reflective of fair values in the market in which the investment trades. Our broker-priced investments are generally classified as Level 2 investments because the broker prices these investments based on similar assets without applying significant adjustments. In addition, all our broker-priced investments have a sufficient level of trading volume to demonstrate that the fair values used are appropriate for these investments. Our fair value processes include controls that are designed to ensure appropriate fair values are recorded. These controls include model validation, review of key model inputs, analysis of period-over-period fluctuations, and independent recalculation of prices where appropriate.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39" w:name="page40"/>
    <w:bookmarkEnd w:id="39"/>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Cash from operations increased $3.6 billion to $34.2 billion for the three months ended September 30, 2024, primarily due to an increase in cash received from customers, offset in part by an increase in cash paid to suppliers and employees. Cash used in financing increased $31.3 billion to $16.6 billion for the three months ended September 30, 2024, primarily due to a $31.0 billion increase in cash used for repayments of debt, net of proceeds. Cash used in investing increased $15.7 billion to $15.2 billion for the three months ended September 30, 2024, primarily due to a $10.1 billion decrease in cash from net investment purchases, sales, and maturities and a $5.0 billion increase in additions to property and equipment.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Proceeds</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issue debt to take advantage of favorable pricing and liquidity in the debt markets, reflecting our credit rating. The proceeds of these issuances were or will be used for general corporate purposes, which may include, among other things, funding for working capital, capital expenditures, repurchases of capital stock, acquisitions, and repayment of existing debt. Refer to Note 10 – Debt of the Notes to Financial Statements (Part I, Item 1 of this Form 10-Q) for further discussion.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Unearned Revenue</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Unearned revenue comprises mainly unearned revenue related to volume licensing programs, which may include Software Assurance (“SA”) and cloud services. Unearned revenue is generally invoiced annually at the beginning of each contract period for multi-year agreements and recognized ratably over the coverage period. Unearned revenue also includes payments for other offerings for which we have been paid in advance and earn the revenue when we transfer control of the product or service.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expected future recognition of unearned revenue as of September 30, 2024:</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0637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80" w:type="dxa"/>
            <w:vAlign w:val="bottom"/>
          </w:tcPr>
          <w:p>
            <w:pPr>
              <w:ind w:left="20"/>
              <w:spacing w:after="0"/>
              <w:rPr>
                <w:sz w:val="20"/>
                <w:szCs w:val="20"/>
                <w:color w:val="auto"/>
              </w:rPr>
            </w:pPr>
            <w:r>
              <w:rPr>
                <w:rFonts w:ascii="Arial" w:cs="Arial" w:eastAsia="Arial" w:hAnsi="Arial"/>
                <w:sz w:val="13"/>
                <w:szCs w:val="13"/>
                <w:b w:val="1"/>
                <w:bCs w:val="1"/>
                <w:color w:val="auto"/>
              </w:rPr>
              <w:t>Three Months Ending</w:t>
            </w: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4"/>
        </w:trPr>
        <w:tc>
          <w:tcPr>
            <w:tcW w:w="9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6"/>
        </w:trPr>
        <w:tc>
          <w:tcPr>
            <w:tcW w:w="9680" w:type="dxa"/>
            <w:vAlign w:val="bottom"/>
            <w:shd w:val="clear" w:color="auto" w:fill="E5E5E5"/>
          </w:tcPr>
          <w:p>
            <w:pPr>
              <w:ind w:left="20"/>
              <w:spacing w:after="0"/>
              <w:rPr>
                <w:sz w:val="20"/>
                <w:szCs w:val="20"/>
                <w:color w:val="auto"/>
              </w:rPr>
            </w:pPr>
            <w:r>
              <w:rPr>
                <w:rFonts w:ascii="Arial" w:cs="Arial" w:eastAsia="Arial" w:hAnsi="Arial"/>
                <w:sz w:val="18"/>
                <w:szCs w:val="18"/>
                <w:color w:val="auto"/>
              </w:rPr>
              <w:t>December 31, 2024</w:t>
            </w:r>
          </w:p>
        </w:tc>
        <w:tc>
          <w:tcPr>
            <w:tcW w:w="500" w:type="dxa"/>
            <w:vAlign w:val="bottom"/>
            <w:shd w:val="clear" w:color="auto" w:fill="E5E5E5"/>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24,279</w:t>
            </w:r>
          </w:p>
        </w:tc>
        <w:tc>
          <w:tcPr>
            <w:tcW w:w="100" w:type="dxa"/>
            <w:vAlign w:val="bottom"/>
            <w:shd w:val="clear" w:color="auto" w:fill="E5E5E5"/>
          </w:tcPr>
          <w:p>
            <w:pPr>
              <w:spacing w:after="0"/>
              <w:rPr>
                <w:sz w:val="18"/>
                <w:szCs w:val="18"/>
                <w:color w:val="auto"/>
              </w:rPr>
            </w:pPr>
          </w:p>
        </w:tc>
      </w:tr>
      <w:tr>
        <w:trPr>
          <w:trHeight w:val="216"/>
        </w:trPr>
        <w:tc>
          <w:tcPr>
            <w:tcW w:w="9680" w:type="dxa"/>
            <w:vAlign w:val="bottom"/>
          </w:tcPr>
          <w:p>
            <w:pPr>
              <w:ind w:left="20"/>
              <w:spacing w:after="0"/>
              <w:rPr>
                <w:sz w:val="20"/>
                <w:szCs w:val="20"/>
                <w:color w:val="auto"/>
              </w:rPr>
            </w:pPr>
            <w:r>
              <w:rPr>
                <w:rFonts w:ascii="Arial" w:cs="Arial" w:eastAsia="Arial" w:hAnsi="Arial"/>
                <w:sz w:val="18"/>
                <w:szCs w:val="18"/>
                <w:color w:val="auto"/>
              </w:rPr>
              <w:t>March 31, 2025</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16,953</w:t>
            </w:r>
          </w:p>
        </w:tc>
        <w:tc>
          <w:tcPr>
            <w:tcW w:w="100" w:type="dxa"/>
            <w:vAlign w:val="bottom"/>
          </w:tcPr>
          <w:p>
            <w:pPr>
              <w:spacing w:after="0"/>
              <w:rPr>
                <w:sz w:val="18"/>
                <w:szCs w:val="18"/>
                <w:color w:val="auto"/>
              </w:rPr>
            </w:pPr>
          </w:p>
        </w:tc>
      </w:tr>
      <w:tr>
        <w:trPr>
          <w:trHeight w:val="216"/>
        </w:trPr>
        <w:tc>
          <w:tcPr>
            <w:tcW w:w="9680" w:type="dxa"/>
            <w:vAlign w:val="bottom"/>
            <w:shd w:val="clear" w:color="auto" w:fill="E5E5E5"/>
          </w:tcPr>
          <w:p>
            <w:pPr>
              <w:ind w:left="20"/>
              <w:spacing w:after="0"/>
              <w:rPr>
                <w:sz w:val="20"/>
                <w:szCs w:val="20"/>
                <w:color w:val="auto"/>
              </w:rPr>
            </w:pPr>
            <w:r>
              <w:rPr>
                <w:rFonts w:ascii="Arial" w:cs="Arial" w:eastAsia="Arial" w:hAnsi="Arial"/>
                <w:sz w:val="18"/>
                <w:szCs w:val="18"/>
                <w:color w:val="auto"/>
              </w:rPr>
              <w:t>June 30, 2025</w:t>
            </w:r>
          </w:p>
        </w:tc>
        <w:tc>
          <w:tcPr>
            <w:tcW w:w="500" w:type="dxa"/>
            <w:vAlign w:val="bottom"/>
            <w:shd w:val="clear" w:color="auto" w:fill="E5E5E5"/>
          </w:tcPr>
          <w:p>
            <w:pPr>
              <w:spacing w:after="0"/>
              <w:rPr>
                <w:sz w:val="18"/>
                <w:szCs w:val="18"/>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9,620</w:t>
            </w:r>
          </w:p>
        </w:tc>
        <w:tc>
          <w:tcPr>
            <w:tcW w:w="100" w:type="dxa"/>
            <w:vAlign w:val="bottom"/>
            <w:shd w:val="clear" w:color="auto" w:fill="E5E5E5"/>
          </w:tcPr>
          <w:p>
            <w:pPr>
              <w:spacing w:after="0"/>
              <w:rPr>
                <w:sz w:val="18"/>
                <w:szCs w:val="18"/>
                <w:color w:val="auto"/>
              </w:rPr>
            </w:pPr>
          </w:p>
        </w:tc>
      </w:tr>
      <w:tr>
        <w:trPr>
          <w:trHeight w:val="216"/>
        </w:trPr>
        <w:tc>
          <w:tcPr>
            <w:tcW w:w="9680" w:type="dxa"/>
            <w:vAlign w:val="bottom"/>
          </w:tcPr>
          <w:p>
            <w:pPr>
              <w:ind w:left="20"/>
              <w:spacing w:after="0"/>
              <w:rPr>
                <w:sz w:val="20"/>
                <w:szCs w:val="20"/>
                <w:color w:val="auto"/>
              </w:rPr>
            </w:pPr>
            <w:r>
              <w:rPr>
                <w:rFonts w:ascii="Arial" w:cs="Arial" w:eastAsia="Arial" w:hAnsi="Arial"/>
                <w:sz w:val="18"/>
                <w:szCs w:val="18"/>
                <w:color w:val="auto"/>
              </w:rPr>
              <w:t>September 30, 2025</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2,174</w:t>
            </w:r>
          </w:p>
        </w:tc>
        <w:tc>
          <w:tcPr>
            <w:tcW w:w="100" w:type="dxa"/>
            <w:vAlign w:val="bottom"/>
          </w:tcPr>
          <w:p>
            <w:pPr>
              <w:spacing w:after="0"/>
              <w:rPr>
                <w:sz w:val="18"/>
                <w:szCs w:val="18"/>
                <w:color w:val="auto"/>
              </w:rPr>
            </w:pPr>
          </w:p>
        </w:tc>
      </w:tr>
      <w:tr>
        <w:trPr>
          <w:trHeight w:val="216"/>
        </w:trPr>
        <w:tc>
          <w:tcPr>
            <w:tcW w:w="9680" w:type="dxa"/>
            <w:vAlign w:val="bottom"/>
            <w:shd w:val="clear" w:color="auto" w:fill="E5E5E5"/>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shd w:val="clear" w:color="auto" w:fill="E5E5E5"/>
          </w:tcPr>
          <w:p>
            <w:pPr>
              <w:spacing w:after="0"/>
              <w:rPr>
                <w:sz w:val="18"/>
                <w:szCs w:val="18"/>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2,663</w:t>
            </w:r>
          </w:p>
        </w:tc>
        <w:tc>
          <w:tcPr>
            <w:tcW w:w="100" w:type="dxa"/>
            <w:vAlign w:val="bottom"/>
            <w:shd w:val="clear" w:color="auto" w:fill="E5E5E5"/>
          </w:tcPr>
          <w:p>
            <w:pPr>
              <w:spacing w:after="0"/>
              <w:rPr>
                <w:sz w:val="18"/>
                <w:szCs w:val="18"/>
                <w:color w:val="auto"/>
              </w:rPr>
            </w:pPr>
          </w:p>
        </w:tc>
      </w:tr>
      <w:tr>
        <w:trPr>
          <w:trHeight w:val="54"/>
        </w:trPr>
        <w:tc>
          <w:tcPr>
            <w:tcW w:w="96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75"/>
        </w:trPr>
        <w:tc>
          <w:tcPr>
            <w:tcW w:w="9680" w:type="dxa"/>
            <w:vAlign w:val="bottom"/>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55,689</w:t>
            </w:r>
          </w:p>
        </w:tc>
        <w:tc>
          <w:tcPr>
            <w:tcW w:w="100" w:type="dxa"/>
            <w:vAlign w:val="bottom"/>
          </w:tcPr>
          <w:p>
            <w:pPr>
              <w:spacing w:after="0"/>
              <w:rPr>
                <w:sz w:val="23"/>
                <w:szCs w:val="23"/>
                <w:color w:val="auto"/>
              </w:rPr>
            </w:pPr>
          </w:p>
        </w:tc>
      </w:tr>
      <w:tr>
        <w:trPr>
          <w:trHeight w:val="49"/>
        </w:trPr>
        <w:tc>
          <w:tcPr>
            <w:tcW w:w="968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bl>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If our customers choose to license cloud-based versions of our products and services rather than licensing transaction-based products and services, the associated revenue will shift from being recognized at the time of the transaction to being recognized over the subscription period or upon consumption, as applicable. Refer to Note 12 – Unearned Revenue of the Notes to Financial Statements (Part I, Item 1 of this Form 10-Q) for further discussion.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and Other Obligations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a result of the TCJA, we are required to pay a one-time transition tax on deferred foreign income not previously subject to U.S. income tax. Under the TCJA, the transition tax is payable in interest-free installments over eight years, with 8% due in each of the first five years, 15% in year six, 20% in year seven, and 25% in year eight. As of September 30, 2024, our eighth transition tax installment of $4.4 billion is short-term and payable in the first quarter of fiscal year 2026.</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40" w:name="page41"/>
    <w:bookmarkEnd w:id="40"/>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5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three months ended September 30, 2024 and 2023, we repurchased 7 million shares and 11 million shares of our common stock for $2.8 billion and $3.6 billion, respectively, through our share repurchase program. All repurchases were made using cash resources. As of September 30, 2024, $7.5 billion remained of our $ 60 billion share repurchase program. Refer to Note 15 – Stockholders’ Equity of the Notes to Financial Statements (Part I, Item 1 of this Form 10-Q) for further discussion.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three months ended September 30, 2024 and 2023, our Board of Directors declared dividends totaling $6.2 billion and $5.6 billion, respectively. We intend to continue returning capital to shareholders in the form of dividends, subject to declaration by our Board of Directors. Refer to Note 15 – Stockholders’ Equity of the Notes to Financial Statements (Part I, Item 1 of this Form 10-Q) for further discussion.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Planned Uses of Capital</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will continue to invest in sales, marketing, product support infrastructure, and existing and advanced areas of technology, as well as acquisitions that align with our business strategy. Additions to property and equipment will continue, including new facilities, datacenters, and computer systems for research and development, sales and marketing, support, and administrative staff. We expect capital expenditures to increase in coming years to support growth in our cloud offerings and our investments in AI infrastructure and training. We have operating and finance leases for datacenters, corporate offices, research and development facilities, Microsoft Experience Centers, and certain equipment. We have not engaged in any related party transactions or arrangements with unconsolidated entities or other persons that are reasonably likely to materially affect liquidity or the availability of capital resources.</w:t>
      </w:r>
    </w:p>
    <w:p>
      <w:pPr>
        <w:spacing w:after="0" w:line="210"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RECENT ACCOUNTING GUIDANCE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 Accounting Policies of the Notes to Financial Statements (Part I, Item 1 of this Form 10-Q) for further discussion.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CRITICAL ACCOUNTING ESTIMATES</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Critical accounting estimates are those estimates that involve a significant level of estimation uncertainty and could have a material impact on our financial condition or results of operations. We have critical accounting estimates in the areas of revenue recognition, impairment of investment securities, goodwill, research and development costs, legal and other contingencies, income taxes, and business combinations – valuation of intangible assets.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57"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spacing w:after="0" w:line="1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41" w:name="page42"/>
    <w:bookmarkEnd w:id="41"/>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33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Due to the various benefits from and the nature of our SA program, judgment is required to assess the pattern of delivery, including the exercise pattern of certain benefits across our portfolio of customers.</w:t>
      </w:r>
    </w:p>
    <w:p>
      <w:pPr>
        <w:spacing w:after="0" w:line="9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Investment Securities</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review debt investments quarterly for credit losses and impairment. If the cost of an investment exceeds its fair value, we evaluate, among other factors, general market conditions, credit quality of debt instrument issuers, and the extent to which the fair value is less than cost. This determination requires significant judgment. In making this judgment, we employ a systematic methodology that considers available quantitative and qualitative evidence in evaluating potential impairment of our investments.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13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Equity investments without readily determinable fair values are written down to fair value if a qualitative assessment indicates that the investment is impaired and the fair value of the investment is less than carrying value. We perform a qualitative assessment on a periodic basis. We are required to estimate the fair value of the investment to determine the amount of the impairment loss. Once an investment is determined to be impaired, an impairment charge is recorded in other income (expense), net.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allocate goodwill to reporting units based on the reporting unit expected to benefit from the business combination. We evaluate our reporting units on an annual basis and, if necessary, reassign goodwill using a relative fair value allocation approach. Goodwill is tested for impairment at the reporting unit level (operating segment or one level below an operating segment) on an annual basis (May 1)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spacing w:after="0" w:line="12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long-term rate of growth for our business, estimation of the useful life over which cash flows will occur, and determination of our weighted average cost of capital.</w:t>
      </w:r>
    </w:p>
    <w:p>
      <w:pPr>
        <w:spacing w:after="0" w:line="1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42" w:name="page43"/>
    <w:bookmarkEnd w:id="42"/>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Costs incurred internally in researching and developing a computer software product are charged to expense until technological feasibility has been established for the product. Once technological feasibility is established, software costs are capitalized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Other Contingencies</w:t>
      </w:r>
    </w:p>
    <w:p>
      <w:pPr>
        <w:spacing w:after="0" w:line="15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Accounting literature also provides guidance on derecognition of income tax assets and liabilities, classification of deferred income tax assets and liabilities, accounting for interest and penalties associated with tax positions, and income tax disclosures. Judgment is required in assessing the future tax consequences of events that have been recognized in our consolidated financial statements or tax returns. Variations in the actual outcome of these future tax consequences could materially impact our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 – Valuation of Intangible Assets</w:t>
      </w:r>
    </w:p>
    <w:p>
      <w:pPr>
        <w:spacing w:after="0" w:line="15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Accounting for business combinations requires significant judgments when allocating the purchase price to the estimated fair values of assets acquired and liabilities assumed at the acquisition date. Determination of fair value involves estimates and assumptions which can be complex, most notably with respect to intangible assets. Critical estimates used in the valuation of intangible assets include, but are not limited to, the amount and timing of projected cash flows, useful lives, and discount rates. While management’s estimates of fair value are based on assumptions that are believed to be reasonable, these assumptions are inherently uncertain as they pertain to forward-looking views of our business and market conditions. The judgments made in this valuation process could materially impact our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Item 3, 4</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exposed to economic risk from foreign exchange rates, interest rates, credit risk, and equity prices. We use derivatives instruments to manage these risks, however, they may still impact our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positions, including hedges. Principal currency exposures include the Euro, Japanese yen, British pound, Canadian dollar, and Australian dollar.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5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the fixed-income portfolio to achieve economic returns that correlate to certain global fixed-income indices.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5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fixed-income portfolio is diversified and consists primarily of investment-grade securities. We manage credit exposures relative to broad-based indices to facilitate portfolio diversification.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Securities held in our equity investments portfolio are subject to price risk.</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SENSITIVITY ANALYSIS</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potential loss in future earnings or fair values, including associated derivatives, resulting from hypothetical changes in relevant market rates or prices: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Risk Categories</w:t>
            </w:r>
          </w:p>
        </w:tc>
        <w:tc>
          <w:tcPr>
            <w:tcW w:w="5240" w:type="dxa"/>
            <w:vAlign w:val="bottom"/>
            <w:vMerge w:val="restart"/>
          </w:tcPr>
          <w:p>
            <w:pPr>
              <w:ind w:left="500"/>
              <w:spacing w:after="0"/>
              <w:rPr>
                <w:sz w:val="20"/>
                <w:szCs w:val="20"/>
                <w:color w:val="auto"/>
              </w:rPr>
            </w:pPr>
            <w:r>
              <w:rPr>
                <w:rFonts w:ascii="Arial" w:cs="Arial" w:eastAsia="Arial" w:hAnsi="Arial"/>
                <w:sz w:val="13"/>
                <w:szCs w:val="13"/>
                <w:b w:val="1"/>
                <w:bCs w:val="1"/>
                <w:color w:val="auto"/>
              </w:rPr>
              <w:t>Hypothetical Change</w:t>
            </w:r>
          </w:p>
        </w:tc>
        <w:tc>
          <w:tcPr>
            <w:tcW w:w="620" w:type="dxa"/>
            <w:vAlign w:val="bottom"/>
          </w:tcPr>
          <w:p>
            <w:pPr>
              <w:spacing w:after="0"/>
              <w:rPr>
                <w:sz w:val="12"/>
                <w:szCs w:val="12"/>
                <w:color w:val="auto"/>
              </w:rPr>
            </w:pPr>
          </w:p>
        </w:tc>
        <w:tc>
          <w:tcPr>
            <w:tcW w:w="1160" w:type="dxa"/>
            <w:vAlign w:val="bottom"/>
          </w:tcPr>
          <w:p>
            <w:pPr>
              <w:jc w:val="right"/>
              <w:ind w:right="77"/>
              <w:spacing w:after="0"/>
              <w:rPr>
                <w:sz w:val="20"/>
                <w:szCs w:val="20"/>
                <w:color w:val="auto"/>
              </w:rPr>
            </w:pPr>
            <w:r>
              <w:rPr>
                <w:rFonts w:ascii="Arial" w:cs="Arial" w:eastAsia="Arial" w:hAnsi="Arial"/>
                <w:sz w:val="13"/>
                <w:szCs w:val="13"/>
                <w:b w:val="1"/>
                <w:bCs w:val="1"/>
                <w:color w:val="auto"/>
              </w:rPr>
              <w:t>September 30,</w:t>
            </w:r>
          </w:p>
        </w:tc>
        <w:tc>
          <w:tcPr>
            <w:tcW w:w="120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Impact</w:t>
            </w:r>
          </w:p>
        </w:tc>
        <w:tc>
          <w:tcPr>
            <w:tcW w:w="0" w:type="dxa"/>
            <w:vAlign w:val="bottom"/>
          </w:tcPr>
          <w:p>
            <w:pPr>
              <w:spacing w:after="0"/>
              <w:rPr>
                <w:sz w:val="1"/>
                <w:szCs w:val="1"/>
                <w:color w:val="auto"/>
              </w:rPr>
            </w:pPr>
          </w:p>
        </w:tc>
      </w:tr>
      <w:tr>
        <w:trPr>
          <w:trHeight w:val="186"/>
        </w:trPr>
        <w:tc>
          <w:tcPr>
            <w:tcW w:w="3020" w:type="dxa"/>
            <w:vAlign w:val="bottom"/>
            <w:vMerge w:val="continue"/>
          </w:tcPr>
          <w:p>
            <w:pPr>
              <w:spacing w:after="0"/>
              <w:rPr>
                <w:sz w:val="16"/>
                <w:szCs w:val="16"/>
                <w:color w:val="auto"/>
              </w:rPr>
            </w:pPr>
          </w:p>
        </w:tc>
        <w:tc>
          <w:tcPr>
            <w:tcW w:w="524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160" w:type="dxa"/>
            <w:vAlign w:val="bottom"/>
          </w:tcPr>
          <w:p>
            <w:pPr>
              <w:jc w:val="right"/>
              <w:ind w:right="77"/>
              <w:spacing w:after="0"/>
              <w:rPr>
                <w:sz w:val="20"/>
                <w:szCs w:val="20"/>
                <w:color w:val="auto"/>
              </w:rPr>
            </w:pPr>
            <w:r>
              <w:rPr>
                <w:rFonts w:ascii="Arial" w:cs="Arial" w:eastAsia="Arial" w:hAnsi="Arial"/>
                <w:sz w:val="13"/>
                <w:szCs w:val="13"/>
                <w:b w:val="1"/>
                <w:bCs w:val="1"/>
                <w:color w:val="auto"/>
              </w:rPr>
              <w:t>2024</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3020" w:type="dxa"/>
            <w:vAlign w:val="bottom"/>
          </w:tcPr>
          <w:p>
            <w:pPr>
              <w:spacing w:after="0"/>
              <w:rPr>
                <w:sz w:val="5"/>
                <w:szCs w:val="5"/>
                <w:color w:val="auto"/>
              </w:rPr>
            </w:pPr>
          </w:p>
        </w:tc>
        <w:tc>
          <w:tcPr>
            <w:tcW w:w="5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E5E5E5"/>
          </w:tcPr>
          <w:p>
            <w:pPr>
              <w:ind w:left="20"/>
              <w:spacing w:after="0"/>
              <w:rPr>
                <w:sz w:val="20"/>
                <w:szCs w:val="20"/>
                <w:color w:val="auto"/>
              </w:rPr>
            </w:pPr>
            <w:r>
              <w:rPr>
                <w:rFonts w:ascii="Arial" w:cs="Arial" w:eastAsia="Arial" w:hAnsi="Arial"/>
                <w:sz w:val="18"/>
                <w:szCs w:val="18"/>
                <w:color w:val="auto"/>
              </w:rPr>
              <w:t>Foreign currency – Revenue</w:t>
            </w:r>
          </w:p>
        </w:tc>
        <w:tc>
          <w:tcPr>
            <w:tcW w:w="5240" w:type="dxa"/>
            <w:vAlign w:val="bottom"/>
            <w:shd w:val="clear" w:color="auto" w:fill="E5E5E5"/>
          </w:tcPr>
          <w:p>
            <w:pPr>
              <w:ind w:left="500"/>
              <w:spacing w:after="0"/>
              <w:rPr>
                <w:sz w:val="20"/>
                <w:szCs w:val="20"/>
                <w:color w:val="auto"/>
              </w:rPr>
            </w:pPr>
            <w:r>
              <w:rPr>
                <w:rFonts w:ascii="Arial" w:cs="Arial" w:eastAsia="Arial" w:hAnsi="Arial"/>
                <w:sz w:val="18"/>
                <w:szCs w:val="18"/>
                <w:color w:val="auto"/>
              </w:rPr>
              <w:t>10% decrease in foreign exchange rates</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(10,349 )</w:t>
            </w:r>
          </w:p>
        </w:tc>
        <w:tc>
          <w:tcPr>
            <w:tcW w:w="1200" w:type="dxa"/>
            <w:vAlign w:val="bottom"/>
            <w:shd w:val="clear" w:color="auto" w:fill="E5E5E5"/>
          </w:tcPr>
          <w:p>
            <w:pPr>
              <w:ind w:left="80"/>
              <w:spacing w:after="0"/>
              <w:rPr>
                <w:sz w:val="20"/>
                <w:szCs w:val="20"/>
                <w:color w:val="auto"/>
              </w:rPr>
            </w:pPr>
            <w:r>
              <w:rPr>
                <w:rFonts w:ascii="Arial" w:cs="Arial" w:eastAsia="Arial" w:hAnsi="Arial"/>
                <w:sz w:val="18"/>
                <w:szCs w:val="18"/>
                <w:color w:val="auto"/>
              </w:rPr>
              <w:t>Earnings</w:t>
            </w: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Foreign currency – Investments</w:t>
            </w:r>
          </w:p>
        </w:tc>
        <w:tc>
          <w:tcPr>
            <w:tcW w:w="5240" w:type="dxa"/>
            <w:vAlign w:val="bottom"/>
          </w:tcPr>
          <w:p>
            <w:pPr>
              <w:ind w:left="500"/>
              <w:spacing w:after="0"/>
              <w:rPr>
                <w:sz w:val="20"/>
                <w:szCs w:val="20"/>
                <w:color w:val="auto"/>
              </w:rPr>
            </w:pPr>
            <w:r>
              <w:rPr>
                <w:rFonts w:ascii="Arial" w:cs="Arial" w:eastAsia="Arial" w:hAnsi="Arial"/>
                <w:sz w:val="18"/>
                <w:szCs w:val="18"/>
                <w:color w:val="auto"/>
              </w:rPr>
              <w:t>10% decrease in foreign exchange rates</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(39 )</w:t>
            </w:r>
          </w:p>
        </w:tc>
        <w:tc>
          <w:tcPr>
            <w:tcW w:w="1200" w:type="dxa"/>
            <w:vAlign w:val="bottom"/>
          </w:tcPr>
          <w:p>
            <w:pPr>
              <w:ind w:left="8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29"/>
        </w:trPr>
        <w:tc>
          <w:tcPr>
            <w:tcW w:w="3020" w:type="dxa"/>
            <w:vAlign w:val="bottom"/>
            <w:shd w:val="clear" w:color="auto" w:fill="E5E5E5"/>
          </w:tcPr>
          <w:p>
            <w:pPr>
              <w:ind w:left="20"/>
              <w:spacing w:after="0"/>
              <w:rPr>
                <w:sz w:val="20"/>
                <w:szCs w:val="20"/>
                <w:color w:val="auto"/>
              </w:rPr>
            </w:pPr>
            <w:r>
              <w:rPr>
                <w:rFonts w:ascii="Arial" w:cs="Arial" w:eastAsia="Arial" w:hAnsi="Arial"/>
                <w:sz w:val="18"/>
                <w:szCs w:val="18"/>
                <w:color w:val="auto"/>
              </w:rPr>
              <w:t>Interest rate</w:t>
            </w:r>
          </w:p>
        </w:tc>
        <w:tc>
          <w:tcPr>
            <w:tcW w:w="5240" w:type="dxa"/>
            <w:vAlign w:val="bottom"/>
            <w:shd w:val="clear" w:color="auto" w:fill="E5E5E5"/>
          </w:tcPr>
          <w:p>
            <w:pPr>
              <w:ind w:left="500"/>
              <w:spacing w:after="0"/>
              <w:rPr>
                <w:sz w:val="20"/>
                <w:szCs w:val="20"/>
                <w:color w:val="auto"/>
              </w:rPr>
            </w:pPr>
            <w:r>
              <w:rPr>
                <w:rFonts w:ascii="Arial" w:cs="Arial" w:eastAsia="Arial" w:hAnsi="Arial"/>
                <w:sz w:val="18"/>
                <w:szCs w:val="18"/>
                <w:color w:val="auto"/>
              </w:rPr>
              <w:t>100 basis point increase in U.S. treasury interest rates</w:t>
            </w:r>
          </w:p>
        </w:tc>
        <w:tc>
          <w:tcPr>
            <w:tcW w:w="620" w:type="dxa"/>
            <w:vAlign w:val="bottom"/>
            <w:shd w:val="clear" w:color="auto" w:fill="E5E5E5"/>
          </w:tcPr>
          <w:p>
            <w:pPr>
              <w:spacing w:after="0"/>
              <w:rPr>
                <w:sz w:val="19"/>
                <w:szCs w:val="19"/>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(1,287 )</w:t>
            </w:r>
          </w:p>
        </w:tc>
        <w:tc>
          <w:tcPr>
            <w:tcW w:w="1200" w:type="dxa"/>
            <w:vAlign w:val="bottom"/>
            <w:shd w:val="clear" w:color="auto" w:fill="E5E5E5"/>
          </w:tcPr>
          <w:p>
            <w:pPr>
              <w:ind w:left="8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Credit</w:t>
            </w:r>
          </w:p>
        </w:tc>
        <w:tc>
          <w:tcPr>
            <w:tcW w:w="5240" w:type="dxa"/>
            <w:vAlign w:val="bottom"/>
          </w:tcPr>
          <w:p>
            <w:pPr>
              <w:ind w:left="500"/>
              <w:spacing w:after="0"/>
              <w:rPr>
                <w:sz w:val="20"/>
                <w:szCs w:val="20"/>
                <w:color w:val="auto"/>
              </w:rPr>
            </w:pPr>
            <w:r>
              <w:rPr>
                <w:rFonts w:ascii="Arial" w:cs="Arial" w:eastAsia="Arial" w:hAnsi="Arial"/>
                <w:sz w:val="18"/>
                <w:szCs w:val="18"/>
                <w:color w:val="auto"/>
              </w:rPr>
              <w:t>100 basis point increase in credit spreads</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(331 )</w:t>
            </w:r>
          </w:p>
        </w:tc>
        <w:tc>
          <w:tcPr>
            <w:tcW w:w="1200" w:type="dxa"/>
            <w:vAlign w:val="bottom"/>
          </w:tcPr>
          <w:p>
            <w:pPr>
              <w:ind w:left="8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29"/>
        </w:trPr>
        <w:tc>
          <w:tcPr>
            <w:tcW w:w="3020" w:type="dxa"/>
            <w:vAlign w:val="bottom"/>
            <w:shd w:val="clear" w:color="auto" w:fill="E5E5E5"/>
          </w:tcPr>
          <w:p>
            <w:pPr>
              <w:ind w:left="20"/>
              <w:spacing w:after="0"/>
              <w:rPr>
                <w:sz w:val="20"/>
                <w:szCs w:val="20"/>
                <w:color w:val="auto"/>
              </w:rPr>
            </w:pPr>
            <w:r>
              <w:rPr>
                <w:rFonts w:ascii="Arial" w:cs="Arial" w:eastAsia="Arial" w:hAnsi="Arial"/>
                <w:sz w:val="18"/>
                <w:szCs w:val="18"/>
                <w:color w:val="auto"/>
              </w:rPr>
              <w:t>Equity</w:t>
            </w:r>
          </w:p>
        </w:tc>
        <w:tc>
          <w:tcPr>
            <w:tcW w:w="5240" w:type="dxa"/>
            <w:vAlign w:val="bottom"/>
            <w:shd w:val="clear" w:color="auto" w:fill="E5E5E5"/>
          </w:tcPr>
          <w:p>
            <w:pPr>
              <w:ind w:left="500"/>
              <w:spacing w:after="0"/>
              <w:rPr>
                <w:sz w:val="20"/>
                <w:szCs w:val="20"/>
                <w:color w:val="auto"/>
              </w:rPr>
            </w:pPr>
            <w:r>
              <w:rPr>
                <w:rFonts w:ascii="Arial" w:cs="Arial" w:eastAsia="Arial" w:hAnsi="Arial"/>
                <w:sz w:val="18"/>
                <w:szCs w:val="18"/>
                <w:color w:val="auto"/>
              </w:rPr>
              <w:t>10% decrease in equity market prices</w:t>
            </w:r>
          </w:p>
        </w:tc>
        <w:tc>
          <w:tcPr>
            <w:tcW w:w="620" w:type="dxa"/>
            <w:vAlign w:val="bottom"/>
            <w:shd w:val="clear" w:color="auto" w:fill="E5E5E5"/>
          </w:tcPr>
          <w:p>
            <w:pPr>
              <w:spacing w:after="0"/>
              <w:rPr>
                <w:sz w:val="19"/>
                <w:szCs w:val="19"/>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(1,133 )</w:t>
            </w:r>
          </w:p>
        </w:tc>
        <w:tc>
          <w:tcPr>
            <w:tcW w:w="1200" w:type="dxa"/>
            <w:vAlign w:val="bottom"/>
            <w:shd w:val="clear" w:color="auto" w:fill="E5E5E5"/>
          </w:tcPr>
          <w:p>
            <w:pPr>
              <w:ind w:left="80"/>
              <w:spacing w:after="0"/>
              <w:rPr>
                <w:sz w:val="20"/>
                <w:szCs w:val="20"/>
                <w:color w:val="auto"/>
              </w:rPr>
            </w:pPr>
            <w:r>
              <w:rPr>
                <w:rFonts w:ascii="Arial" w:cs="Arial" w:eastAsia="Arial" w:hAnsi="Arial"/>
                <w:sz w:val="18"/>
                <w:szCs w:val="18"/>
                <w:color w:val="auto"/>
              </w:rPr>
              <w:t>Earnings</w:t>
            </w:r>
          </w:p>
        </w:tc>
        <w:tc>
          <w:tcPr>
            <w:tcW w:w="0" w:type="dxa"/>
            <w:vAlign w:val="bottom"/>
          </w:tcPr>
          <w:p>
            <w:pPr>
              <w:spacing w:after="0"/>
              <w:rPr>
                <w:sz w:val="1"/>
                <w:szCs w:val="1"/>
                <w:color w:val="auto"/>
              </w:rPr>
            </w:pPr>
          </w:p>
        </w:tc>
      </w:tr>
      <w:tr>
        <w:trPr>
          <w:trHeight w:val="67"/>
        </w:trPr>
        <w:tc>
          <w:tcPr>
            <w:tcW w:w="3020" w:type="dxa"/>
            <w:vAlign w:val="bottom"/>
            <w:tcBorders>
              <w:bottom w:val="single" w:sz="8" w:color="auto"/>
            </w:tcBorders>
          </w:tcPr>
          <w:p>
            <w:pPr>
              <w:spacing w:after="0"/>
              <w:rPr>
                <w:sz w:val="5"/>
                <w:szCs w:val="5"/>
                <w:color w:val="auto"/>
              </w:rPr>
            </w:pPr>
          </w:p>
        </w:tc>
        <w:tc>
          <w:tcPr>
            <w:tcW w:w="52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4. CONTROLS AND PROCEDURES</w:t>
      </w:r>
    </w:p>
    <w:p>
      <w:pPr>
        <w:spacing w:after="0" w:line="16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 There were no changes in our internal control over financial reporting during the quarter ended September 30, 2024 that have materially affected, or are reasonably likely to materially affect, our internal control over financial reporting.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Item 1, 1A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LEGAL PROCEEDINGS</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Refer to Note 14 – Contingencies of the Notes to Financial Statements (Part I, Item 1 of this Form 10-Q) for information regarding legal proceedings in which we are involved.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1A. RISK FACTORS</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below, that could adversely affect our business, operations, financial condition, results of operations, liquidity, and the trading price of our common stock.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STRATEGIC AND COMPETITIVE RISKS</w:t>
      </w:r>
    </w:p>
    <w:p>
      <w:pPr>
        <w:spacing w:after="0" w:line="15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We face intense competition across all markets for our products and services, which may adversely affect our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technology sector</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competitors range in size from diversified global companies with significant research and development resources to small, specialized firms whose narrower product lines may let them be more effective in deploying technical, marketing, and financial resources. Barriers to entry in many of our businesses are low and many of the areas in which we compete evolve rapidly with changing and disruptive technologies, shifting user needs, and frequent introductions of new products and services. If we do not continue to innovate and provide products, devices, and services that appeal to businesses and consumers, we may not remain competitive, which may adversely affect our business,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among platform-based ecosystems</w:t>
      </w:r>
    </w:p>
    <w:p>
      <w:pPr>
        <w:spacing w:after="0" w:line="15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An important element of our business model has been to create platform-based ecosystems on which many participants can build diverse solutions. A well-established ecosystem creates beneficial network effects among users, application developers, and the platform provider that can accelerate growth. Establishing significant scale in the marketplace is necessary to achieve and maintain attractive margins. We face significant competition from firms that provide competing platforms.</w:t>
      </w:r>
    </w:p>
    <w:p>
      <w:pPr>
        <w:spacing w:after="0" w:line="41" w:lineRule="exact"/>
        <w:rPr>
          <w:sz w:val="20"/>
          <w:szCs w:val="20"/>
          <w:color w:val="auto"/>
        </w:rPr>
      </w:pPr>
    </w:p>
    <w:p>
      <w:pPr>
        <w:jc w:val="both"/>
        <w:ind w:left="1020" w:hanging="368"/>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A competing vertically-integrated model, in which a single firm controls the hardware and software elements of a product and related services, has succeeded with some consumer products such as PCs, tablets, smartphones, gaming consoles, wearables, and other endpoint devices. Competitors pursuing this model also earn revenue from services integrated with the hardware and software platform, including applications and content sold through their integrated marketplaces. They may also be able to claim security and performance benefits from their vertically integrated offer. We also offer some vertically-integrated hardware and software products and services. Shifting a portion of our business to a vertically integrated model may increase our cost of revenue and reduce our operating margins.</w:t>
      </w:r>
    </w:p>
    <w:p>
      <w:pPr>
        <w:spacing w:after="0" w:line="47" w:lineRule="exact"/>
        <w:rPr>
          <w:rFonts w:ascii="Times New Roman" w:cs="Times New Roman" w:eastAsia="Times New Roman" w:hAnsi="Times New Roman"/>
          <w:sz w:val="18"/>
          <w:szCs w:val="18"/>
          <w:color w:val="auto"/>
        </w:rPr>
      </w:pPr>
    </w:p>
    <w:p>
      <w:pPr>
        <w:jc w:val="both"/>
        <w:ind w:left="1020" w:hanging="368"/>
        <w:spacing w:after="0" w:line="239"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derive substantial revenue from licenses of Windows operating systems on PCs. We face significant competition from competing platforms developed for new devices and form factors such as smartphones and tablets. These devices compete on multiple bases including price and the perceived utility of the device and its platform. Users continue to turn to these devices to perform functions that in the past were performed by PCs. Even if many users view these devices as complementary to a PC, the prevalence of these devices may make it more difficult to attract application developers to our PC operating system platforms. Competing with operating systems licensed at low or no cost may decrease our PC operating system margins. Popular products or services offered on competing platforms could increase their competitive strength. In addition, some of our devices compete with products made by our OEM partners, which may affect their commitment to our platform.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45" w:name="page46"/>
    <w:bookmarkEnd w:id="45"/>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50" w:lineRule="exact"/>
        <w:rPr>
          <w:sz w:val="20"/>
          <w:szCs w:val="20"/>
          <w:color w:val="auto"/>
        </w:rPr>
      </w:pPr>
    </w:p>
    <w:p>
      <w:pPr>
        <w:jc w:val="both"/>
        <w:ind w:left="1020" w:hanging="368"/>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Competing platforms have content and application marketplaces with scale and significant installed bases. The variety and utility of content and applications available on a platform are important to device purchasing decisions. Users may incur costs to move data and buy new content and applications when switching platforms. To compete, we must successfully enlist developers to write applications for our platform and ensure that these applications have high quality, security, customer appeal, and value. Efforts to compete with competitors’ content and application marketplaces may increase our cost of revenue and lower our operating margins. Competitors’ rules governing their content and applications marketplaces may restrict our ability to distribute products and services through them in accordance with our technical and business model objectives.</w:t>
      </w:r>
    </w:p>
    <w:p>
      <w:pPr>
        <w:spacing w:after="0" w:line="12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For all of these reasons, we may not be able to compete successfully against our current and future competitors, which may adversely affect our business, operations,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 competition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Companies compete with us based on a growing variety of business models.</w:t>
      </w:r>
    </w:p>
    <w:p>
      <w:pPr>
        <w:spacing w:after="0" w:line="76" w:lineRule="exact"/>
        <w:rPr>
          <w:sz w:val="20"/>
          <w:szCs w:val="20"/>
          <w:color w:val="auto"/>
        </w:rPr>
      </w:pPr>
    </w:p>
    <w:p>
      <w:pPr>
        <w:jc w:val="both"/>
        <w:ind w:left="1020" w:hanging="368"/>
        <w:spacing w:after="0" w:line="246"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 material part of our business involves cloud-based services available across the spectrum of computing devices. Our competitors continue to develop and deploy cloud-based services for consumers and business customers, and pricing and delivery models are evolving. We and our competitors are devoting significant resources to develop and deploy our cloud-based strategies.</w:t>
      </w:r>
    </w:p>
    <w:p>
      <w:pPr>
        <w:spacing w:after="0" w:line="40" w:lineRule="exact"/>
        <w:rPr>
          <w:rFonts w:ascii="Times New Roman" w:cs="Times New Roman" w:eastAsia="Times New Roman" w:hAnsi="Times New Roman"/>
          <w:sz w:val="18"/>
          <w:szCs w:val="18"/>
          <w:color w:val="auto"/>
        </w:rPr>
      </w:pPr>
    </w:p>
    <w:p>
      <w:pPr>
        <w:jc w:val="both"/>
        <w:ind w:left="1020" w:hanging="368"/>
        <w:spacing w:after="0" w:line="243"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are investing in artificial intelligence (“AI”) across the entire company and infusing generative AI capabilities into our consumer and commercial offerings. We expect AI technology and services to be a highly competitive and rapidly evolving market, and new competitors continue to enter the market. We will bear significant development and operational costs to build and support the AI models, services, platforms, and infrastructure necessary to meet the needs of our customers. To compete effectively we must also be responsive to technological change, new and potential regulatory developments, and public scrutiny.</w:t>
      </w:r>
    </w:p>
    <w:p>
      <w:pPr>
        <w:spacing w:after="0" w:line="43" w:lineRule="exact"/>
        <w:rPr>
          <w:rFonts w:ascii="Times New Roman" w:cs="Times New Roman" w:eastAsia="Times New Roman" w:hAnsi="Times New Roman"/>
          <w:sz w:val="18"/>
          <w:szCs w:val="18"/>
          <w:color w:val="auto"/>
        </w:rPr>
      </w:pPr>
    </w:p>
    <w:p>
      <w:pPr>
        <w:jc w:val="both"/>
        <w:ind w:left="1020" w:hanging="368"/>
        <w:spacing w:after="0" w:line="243"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Even as we transition more of our business to infrastructure-, platform-, and software-as-a-service business models, the license-based proprietary software model generates a substantial portion of our software revenue. We bear the costs of converting original ideas into software products through investments in research and development, offsetting these costs with the revenue received from licensing our products. Many of our competitors also develop and sell software to businesses and consumers under this model.</w:t>
      </w:r>
    </w:p>
    <w:p>
      <w:pPr>
        <w:spacing w:after="0" w:line="43"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Other competitors develop and offer free applications, online services, and content, and make money by selling third-party advertising. Advertising revenue funds development of products and services these competitors provide to users at little or no cost, competing directly with our revenue-generating products.</w:t>
      </w:r>
    </w:p>
    <w:p>
      <w:pPr>
        <w:spacing w:after="0" w:line="34" w:lineRule="exact"/>
        <w:rPr>
          <w:rFonts w:ascii="Times New Roman" w:cs="Times New Roman" w:eastAsia="Times New Roman" w:hAnsi="Times New Roman"/>
          <w:sz w:val="18"/>
          <w:szCs w:val="18"/>
          <w:color w:val="auto"/>
        </w:rPr>
      </w:pPr>
    </w:p>
    <w:p>
      <w:pPr>
        <w:jc w:val="both"/>
        <w:ind w:left="1020" w:hanging="368"/>
        <w:spacing w:after="0" w:line="246"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Some companies compete with us by modifying and then distributing open source software at little or no cost to end users, developing, making available, or using AI models that are open, and earning revenue on advertising or integrated products and services. These firms do not bear the full costs of research and development for the open source products. Some open source products mimic the features and functionality of our products.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competitive pressures described above may cause decreased sales volumes, price reductions, and/or increased operating costs, such as for research and development, marketing, and sales incentives, which may adversely affect our financial condition and results of operations.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Our focus on cloud-based and AI services presents execution and competitive risks. </w:t>
      </w:r>
      <w:r>
        <w:rPr>
          <w:rFonts w:ascii="Arial" w:cs="Arial" w:eastAsia="Arial" w:hAnsi="Arial"/>
          <w:sz w:val="18"/>
          <w:szCs w:val="18"/>
          <w:color w:val="auto"/>
        </w:rPr>
        <w:t>We are incurring significant costs to build and</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infrastructure to support cloud-based and AI services. These costs will reduce the operating margins. Whether we succeed in cloud-based and AI services depends on our execution in several areas, including:</w:t>
      </w:r>
    </w:p>
    <w:p>
      <w:pPr>
        <w:spacing w:after="0" w:line="36" w:lineRule="exact"/>
        <w:rPr>
          <w:sz w:val="20"/>
          <w:szCs w:val="20"/>
          <w:color w:val="auto"/>
        </w:rPr>
      </w:pPr>
    </w:p>
    <w:p>
      <w:pPr>
        <w:ind w:left="1020" w:right="20" w:hanging="368"/>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Continuing to bring to market compelling cloud-based and AI services and products that generate increasing traffic and market share.</w:t>
      </w:r>
    </w:p>
    <w:p>
      <w:pPr>
        <w:spacing w:after="0" w:line="18"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the utility, compatibility, and performance of our cloud-based and AI services on the growing array of computing devices, including PCs, smartphones, tablets, gaming consoles, and other devices.</w:t>
      </w:r>
    </w:p>
    <w:p>
      <w:pPr>
        <w:spacing w:after="0" w:line="1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Continuing to enhance the attractiveness of our cloud platforms to third-party developers.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46" w:name="page47"/>
    <w:bookmarkEnd w:id="46"/>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50" w:lineRule="exact"/>
        <w:rPr>
          <w:sz w:val="20"/>
          <w:szCs w:val="20"/>
          <w:color w:val="auto"/>
        </w:rPr>
      </w:pPr>
    </w:p>
    <w:p>
      <w:pPr>
        <w:ind w:left="1020" w:hanging="368"/>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Ensuring our cloud-based services meet the reliability expectations and specific requirements of our customers and maintain the security of their data as well as help them meet their own compliance needs.</w:t>
      </w:r>
    </w:p>
    <w:p>
      <w:pPr>
        <w:spacing w:after="0" w:line="18" w:lineRule="exact"/>
        <w:rPr>
          <w:rFonts w:ascii="Times New Roman" w:cs="Times New Roman" w:eastAsia="Times New Roman" w:hAnsi="Times New Roman"/>
          <w:sz w:val="18"/>
          <w:szCs w:val="18"/>
          <w:color w:val="auto"/>
        </w:rPr>
      </w:pPr>
    </w:p>
    <w:p>
      <w:pPr>
        <w:ind w:left="1020" w:right="20" w:hanging="368"/>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Making our suite of cloud-based services platform-agnostic, available on a wide range of devices and ecosystems, including those of our competitors.</w:t>
      </w:r>
    </w:p>
    <w:p>
      <w:pPr>
        <w:spacing w:after="0" w:line="10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It is uncertain whether our strategies will continue to attract users or generate the revenue required to succeed. If we are not effective in executing organizational and technical changes to increase efficiency and accelerate innovation, or if we fail to generate sufficient usage of our new products and services, we may not grow revenue in line with the infrastructure and development investments described above. This may adversely affect our operations, financial condition, and results of operations.</w:t>
      </w:r>
    </w:p>
    <w:p>
      <w:pPr>
        <w:spacing w:after="0" w:line="12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AI systems offer users powerful tools and capabilities. However, there may be instances where these systems are used in ways that are unintended or inappropriate. In addition, some users may also engage in fraudulent or abusive activities through our cloud-based and AI services, such as unauthorized account access, payment fraud, or terms of service violations including cryptocurrency mining or launching cyberattacks. While we are committed to detecting and controlling such misuse of our cloud-based and AI services, our efforts may not be effective, and we may incur reputational damage or experience adverse impacts to our business and results of operations.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 RELATING TO THE EVOLUTION OF OUR BUSINESS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We make significant investments in products and services that may not achieve expected returns. </w:t>
      </w:r>
      <w:r>
        <w:rPr>
          <w:rFonts w:ascii="Arial" w:cs="Arial" w:eastAsia="Arial" w:hAnsi="Arial"/>
          <w:sz w:val="18"/>
          <w:szCs w:val="18"/>
          <w:color w:val="auto"/>
        </w:rPr>
        <w:t>We will continue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investments in research, development, and marketing for existing products, services, and technologies. In addition, we are focused on developing new AI platform services and incorporating AI into existing products and services. We also invest in the development and acquisition of a variety of hardware for productivity, communication, and entertainment, including PCs, tablets, and gaming devices. Investments in new technology are speculative. Commercial success depends on many factors, including innovation, developer support, and effective distribution and marketing. If customers do not perceive our latest offerings as providing significant new functionality or other value, they may reduce their purchases of new software and hardware products or upgrades, unfavorably affecting revenue. We may not achieve significant revenue from new product, service, and distribution channel investments for several years, if at all. New products and services may not be profitable or may not achieve operating margins as high as we have experienced historically. We may not get engagement in certain features that drive post-sale monetization opportunities. Our data-handling practices across our products and services will continue to be under scrutiny. Perceptions of mismanagement, driven by regulatory activity or negative public reaction to our practices or product experiences, could negatively impact product and feature adoption. Developing new technologies is complex. It can require long development and testing periods. We could experience significant delays in new releases or significant problems in creating new products or services. These factors could adversely affect our business, financial condition, and results of operations.</w:t>
      </w:r>
    </w:p>
    <w:p>
      <w:pPr>
        <w:spacing w:after="0" w:line="1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Acquisitions, joint ventures, and strategic alliances may have an adverse effect on our business. </w:t>
      </w:r>
      <w:r>
        <w:rPr>
          <w:rFonts w:ascii="Arial" w:cs="Arial" w:eastAsia="Arial" w:hAnsi="Arial"/>
          <w:sz w:val="18"/>
          <w:szCs w:val="18"/>
          <w:color w:val="auto"/>
        </w:rPr>
        <w:t>We expect to continue making</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and entering into joint ventures and strategic alliances as part of our long-term business strategy. For example, in March 2022 we completed our acquisition of Nuance Communications, Inc., and in October 2023 we completed our acquisition of Activision Blizzard, Inc. (“Activision Blizzard”). In January 2023 we announced the third phase of our OpenAI strategic partnership. Acquisitions and other transactions and arrangements involve significant challenges and risks, including that they do not advance our business strategy, that we get an unsatisfactory return on our investment, that they raise new compliance-related obligations and challenges, that we have difficulty integrating and retaining new employees, business systems, and technology, that they distract management from our other businesses, or that announced transactions may not be completed. If an arrangement fails to adequately anticipate changing circumstances and interests of a party, it may result in early termination or renegotiation of the arrangement. We also have limited ability to control or influence third parties with whom we have arrangements, which may impact our ability to realize the anticipated benefits. The success of these transactions and arrangements depend in part on our ability to leverage them to enhance our existing products and services or develop compelling new ones, as well as the acquired companies’ ability to meet our policies and processes in areas such as data governance, privacy, and cybersecurity. It may take longer than expected to realize the full benefits from these transactions and arrangements, such as increased revenue or enhanced efficiencies, or the benefits may ultimately be smaller than we expected. In addition, an acquisition may be subject to challenge even after it has been completed. For example, the Federal Trade Commission continues to challenge our Activision Blizzard acquisition and could, if successful, alter or unwind the transaction. These events could adversely affect our business, operations, financial condition, and results of operations.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47" w:name="page48"/>
    <w:bookmarkEnd w:id="47"/>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If our goodwill or amortizable intangible assets become impaired, we may be required to record a significant charge to earnings. </w:t>
      </w:r>
      <w:r>
        <w:rPr>
          <w:rFonts w:ascii="Arial" w:cs="Arial" w:eastAsia="Arial" w:hAnsi="Arial"/>
          <w:sz w:val="18"/>
          <w:szCs w:val="18"/>
          <w:color w:val="auto"/>
        </w:rPr>
        <w:t>We acquire other companies and intangible assets and may not realize all the economic benefit from those acquisitions, which could cause an impairment of goodwill or intangibles. We review our amortizable intangible assets for impairment when events or changes in circumstances indicate the carrying value may not be recoverable. We test goodwill for impairment at least annually. Factors that may be a change in circumstances, indicating that the carrying value of our goodwill or amortizable intangible assets may not be recoverable, include a decline in our stock price and market capitalization, reduced future cash flow estimates, and slower growth rates in industry segments in which we participate. We have in the past recorded, and may in the future be required to record, a significant charge in our consolidated financial statements during the period in which any impairment of our goodwill or amortizable intangible assets is determined, negatively affecting our results of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CYBERSECURITY, DATA PRIVACY, AND PLATFORM ABUSE RISKS</w:t>
      </w:r>
    </w:p>
    <w:p>
      <w:pPr>
        <w:spacing w:after="0" w:line="15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Cyberattacks and security vulnerabilities could lead to reduced revenue, increased costs, liability claims, or harm to our reputation or competitive position.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information technology</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Threats to IT security can take a variety of forms. Individual and groups of hackers and sophisticated organizations, including state-sponsored organizations or nation-states, continuously undertake attacks that pose threats to our customers and our IT, and we have experienced cybersecurity incidents in which such actors have gained unauthorized access to our IT systems and data, including customer systems and data. These actors use a wide variety of methods, which include developing and deploying malicious software; exploiting known and potential vulnerabilities or intentionally designed processes in hardware, software, or other infrastructure to attack our products and services or gain access to our networks and datacenters; using social engineering techniques to induce our employees, users, partners, or customers to disclose sensitive information, such as passwords, or take other actions to gain access to our data or our users’ or customers’ data; or acting in a coordinated manner or conducting coordinated attacks. For example, as previously disclosed in our Form 8-K filed with the Securities and Exchange Commission on January 19, 2024 and amended on March 8, 2024, beginning in late November 2023, a nation-state associated threat actor used a password spray attack to compromise a legacy test account and, in turn, gain access to Microsoft email accounts. The threat actor used and may continue to use information it obtained to gain, or attempt to gain, unauthorized access to some of our source code repositories and internal systems, and the threat actor may utilize this information to otherwise adversely affect our business and results of operations. This incident has and may continue to result in harm to our reputation and customer relationships. Additionally, we may discover additional impacts of this or other incidents as part of our ongoing examination of this incident. Nation-state and state-sponsored actors can sustain malicious activities for extended periods and deploy significant resources to plan and carry out attacks. Nation-state attacks against us, our customers, or our partners have and may continue to intensify due to our transparency to our customers, other stakeholders, and the public about cyberattacks, and during elections or periods of intense diplomatic or armed conflict. Cyber incidents and attacks, individually or in the aggregate, could adversely affect our financial condition, results of operations, competitive position, and reputation, or expose us to legal or regulatory risk. Challenges or failures in applying current security patches to all hardware and devices connected to our systems, including legacy network equipment, have and may continue to result in unauthorized access to our IT systems and data in the future.</w:t>
      </w:r>
    </w:p>
    <w:p>
      <w:pPr>
        <w:spacing w:after="0" w:line="13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Inadequate account security or organizational security practices, including those of companies we have acquired or those of the third parties we utilize, have resulted and may result in unauthorized access to our IT systems and data, including customer systems and data, in the future. For example, system administrators may fail to timely remove employee account access when no longer appropriate. Employees or third parties may intentionally compromise our or our users’ security or systems or reveal confidential information. Malicious actors may employ the IT supply chain to introduce malware through software updates or compromised supplier accounts or hardware.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48" w:name="page49"/>
    <w:bookmarkEnd w:id="48"/>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Cyberthreats are constantly evolving and becoming increasingly sophisticated and complex, increasing the difficulty of detecting and successfully defending against them. Threat actors may also utilize emerging technologies, such as AI and machine learning. We may have no current capability to detect certain vulnerabilities or new attack methods, which may allow them to persist in the environment over long periods of time. It may be difficult to determine the best way to investigate, mitigate, contain, and remediate the harm caused by a cyber incident. Such efforts may not be successful, and we may make errors or fail to take necessary actions. It is possible that threat actors may gain undetected access to other networks and systems after establishing a foothold on an internal system. Cyber incidents and attacks can have cascading impacts that unfold with increasing speed across our internal networks and systems, as well as those of our partners and customers. In addition, it may take considerable time for us to investigate and evaluate the full impact of incidents, particularly for sophisticated attacks. These factors may inhibit our ability to provide prompt, full, and reliable information about the incident to our customers, partners, regulators, and the public. Breaches of our facilities, network, or data security can disrupt the security of our systems and business applications, impair our ability to provide services to our customers and protect the privacy of their data, result in product development delays, compromise confidential or technical business information, result in theft or misuse of our intellectual property or other assets, subject us to ransomware attacks, require us to allocate more resources to improve technologies or remediate the impacts of attacks, or otherwise adversely affect our business. In addition, actions taken to remediate an incident could result in outages, data losses, and disruptions of our services.</w:t>
      </w:r>
    </w:p>
    <w:p>
      <w:pPr>
        <w:spacing w:after="0" w:line="13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internal IT environment continues to evolve. Often, we are early adopters of new devices and technologies. We embrace new ways of sharing data and communicating internally and with partners and customers using methods such as social networking and other consumer-oriented technologies. Increasing use of generative AI models in our internal systems may create new attack surfaces or methods for adversaries. Our business policies and internal security controls may not keep pace with these changes as new threats emerge or the emerging cybersecurity regulations in jurisdictions worldwide.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products, services, devices, and customers’ data</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security of our products and services is important in our customers’ decisions to purchase or use our products or services across cloud and on-premises environments. Security threats are a significant challenge to companies like us, whose business is providing technology products and services to others. Threats to or attacks on our own IT infrastructure, such as the nation-state attack described in the prior risk factor, have also affected our customers and may do so in the future. Customers using our cloud-based services rely on the security of our infrastructure, including hardware and other elements provided by third parties, to ensure the reliability of our services and the protection of their data. Adversaries tend to focus their efforts on the most popular operating systems, programs, and services, including many of ours, and we expect that to continue. In addition, adversaries can attack our customers’ on-premises or cloud environments, sometimes exploiting previously unknown (“zero-day”) vulnerabilities, such as the attack in early calendar year 2021 with several of our Exchange Server on-premises products. Vulnerabilities in these or any product can persist even after we have issued security patches if customers have not installed the most recent updates, or if the attackers exploited the vulnerabilities before patching to install additional malware to further compromise customers’ systems. Adversaries will continue to attack customers using our cloud services as customers embrace digital transformation. Adversaries that acquire user account information can use that information to compromise our users’ accounts, including where accounts share the same attributes such as passwords. Inadequate account security practices may also result in unauthorized access, and user activity may result in ransomware or other malicious software impacting a customer’s use of our products or services. There may be vulnerabilities in open source software that may make our products susceptible to cyberattacks as we increasingly incorporate open source software into our products. Additionally, features that rely on generative AI may be susceptible to unanticipated security threats from adversaries as we add new generative AI features to our services while continuously developing our understanding of security risks and protection methods in the new field of generative AI.</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49" w:name="page50"/>
    <w:bookmarkEnd w:id="49"/>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customers operate complex IT systems with third-party hardware and software from multiple vendors that may include systems acquired over many years. They expect our products and services to support all these systems and products, including those that no longer incorporate the strongest current security advances or standards. As a result, we may not be able to discontinue support in our services for a product, service, standard, or feature solely because a more secure alternative is available. Failure to utilize the most current security advances and standards can increase our customers’ vulnerability to attack. Further, customers of widely varied sizes and technical sophistication use our technology, and consequently may still have limited capabilities and resources to help them adopt and implement state-of-the-art cybersecurity practices and technologies. In addition, we must account for this wide variation of technical sophistication when defining default settings for our products and services, including security default settings, as these settings may limit or otherwise impact other aspects of IT operations and some customers may have limited capability to review and reset these defaults.</w:t>
      </w:r>
    </w:p>
    <w:p>
      <w:pPr>
        <w:spacing w:after="0" w:line="12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Cyberattacks may adversely impact our customers even if our production services are not directly compromised. We are committed to notifying our customers whose systems have been impacted as we become aware and have actionable information for customers to help protect themselves. We are also committed to providing guidance and support on detection, tracking, and remediation. We may not be able to detect the existence or extent of these attacks for all of our customers or have information on how to detect or track an attack, especially where an attack involves on-premises software such as Exchange Server where we may have no or limited visibility into our customers’ computing environments.</w:t>
      </w:r>
    </w:p>
    <w:p>
      <w:pPr>
        <w:spacing w:after="0" w:line="12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Any of the foregoing events could result in reputational harm, loss of revenue, increased costs, or otherwise adversely affect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deployment of defensive measures</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To defend against security threats to our internal IT systems, our cloud-based services, and our customers’ systems, we must continuously engineer more secure products and services, enhance security, threat detection, and reliability features, escalate and improve the deployment of software updates to address security vulnerabilities in our own products as well as those provided by others in a timely manner, develop mitigation technologies that help to secure customers from attacks even when software updates are not deployed, maintain the digital security infrastructure that protects the integrity of our network, products, and services, and provide security tools such as firewalls, anti-virus software, and advanced security and information about the need to deploy security measures and the impact of doing so.</w:t>
      </w:r>
    </w:p>
    <w:p>
      <w:pPr>
        <w:spacing w:after="0" w:line="12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cost of measures to protect products and customer-facing services could reduce our operating margins. If we fail to do these things well, actual or perceived security vulnerabilities in our products and services, data corruption issues, or reduced performance could harm our reputation and lead customers to reduce or delay future purchases of products or subscriptions to services, or to use competing products or services. Customers may also spend more on protecting their existing computer systems from attack, which could delay adoption of additional products or services. Customers in certain industries such as financial services, health care, and government may have enhanced or specialized expectations and requirements to which we must engineer our products and services. Customers and third parties granted access to their systems may fail to update their systems, continue to run software or operating systems we no longer support, or may fail to timely install or enable security patches, or may otherwise fail to adopt adequate security practices. Any of these could adversely affect our reputation and results of operations. Actual or perceived vulnerabilities may lead to claims against us. Our license agreements typically contain provisions that eliminate or limit our exposure to liability, but there is no assurance these provisions will withstand legal challenges. At times, to achieve commercial objectives, we may enter into agreements with larger liability exposure to customers.</w:t>
      </w:r>
    </w:p>
    <w:p>
      <w:pPr>
        <w:spacing w:after="0" w:line="1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products operate in conjunction with and are dependent on products and components across a broad ecosystem of third parties. If there is a security vulnerability in one of these components, and if there is a security exploit targeting it, we may experience adverse impacts to our results of operations, reputation, or competitive position.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50" w:name="page51"/>
    <w:bookmarkEnd w:id="50"/>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 xml:space="preserve">Disclosure and misuse of personal data could result in liability and harm our reputation. </w:t>
      </w:r>
      <w:r>
        <w:rPr>
          <w:rFonts w:ascii="Arial" w:cs="Arial" w:eastAsia="Arial" w:hAnsi="Arial"/>
          <w:sz w:val="18"/>
          <w:szCs w:val="18"/>
          <w:color w:val="auto"/>
        </w:rPr>
        <w:t>As we continue to grow the number, breadth,</w:t>
      </w:r>
      <w:r>
        <w:rPr>
          <w:rFonts w:ascii="Arial" w:cs="Arial" w:eastAsia="Arial" w:hAnsi="Arial"/>
          <w:sz w:val="18"/>
          <w:szCs w:val="18"/>
          <w:b w:val="1"/>
          <w:bCs w:val="1"/>
          <w:color w:val="auto"/>
        </w:rPr>
        <w:t xml:space="preserve"> </w:t>
      </w:r>
      <w:r>
        <w:rPr>
          <w:rFonts w:ascii="Arial" w:cs="Arial" w:eastAsia="Arial" w:hAnsi="Arial"/>
          <w:sz w:val="18"/>
          <w:szCs w:val="18"/>
          <w:color w:val="auto"/>
        </w:rPr>
        <w:t>and scale of our cloud-based offerings, we store and process increasingly large amounts of personal data of our customers and users. The continued occurrence of high-profile data breaches provides evidence of an external environment increasingly hostile to information security. Despite our efforts to improve the security controls across our business groups and geographies, it is possible our security controls over personal data, our training of employees and third parties on data security, and other practices we follow may not prevent the improper disclosure or misuse of customer or user data we or our vendors store and manage. Relatedly, despite our efforts to continuously improve security controls, it is possible that we may fail to identify or mitigate insider threat activities that could lead to the misuse of our systems or customer and user data. In addition, third parties who have limited access to our customer or user data may use this data in unauthorized ways. Improper disclosure or misuse could harm our reputation, lead to legal exposure to customers or users, or subject us to liability under laws that protect personal data, resulting in increased costs or loss of revenue. Our software products and services also enable our customers and users to store and process personal data on-premises or in a cloud-based environment we host. Government authorities can sometimes require us to produce customer or user data in response to valid legal orders. In the U.S. and elsewhere, we advocate for transparency concerning these requests and appropriate limitations on government authority to compel disclosure. Despite our efforts to protect customer and user data, perceptions that the collection, use, and retention of personal information is not satisfactorily protected could inhibit sales of our products or services and could limit adoption of our cloud-based solutions by consumers, businesses, and government entities. Additional security measures we take to address customer or user concerns, or constraints on our flexibility to determine where and how to operate datacenters in response to customer or user expectations or governmental rules or actions, may increase costs or hinder sales of our products and services.</w:t>
      </w:r>
    </w:p>
    <w:p>
      <w:pPr>
        <w:spacing w:after="0" w:line="1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 xml:space="preserve">We may not be able to protect information in our products and services from use by others. </w:t>
      </w:r>
      <w:r>
        <w:rPr>
          <w:rFonts w:ascii="Arial" w:cs="Arial" w:eastAsia="Arial" w:hAnsi="Arial"/>
          <w:sz w:val="18"/>
          <w:szCs w:val="18"/>
          <w:color w:val="auto"/>
        </w:rPr>
        <w:t>LinkedIn and other Microsoft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contain valuable information and content protected by contractual restrictions or technical measures. In certain cases, we have made commitments to our members and users to limit access to or use of this information. Changes in the law or interpretations of the law may weaken our ability to prevent third parties from scraping or gathering information or content through use of bots or other measures and using it for their own benefit which could adversely affect our business, financial condition, and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our platforms may harm our reputation or user engagement.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professional, marketplace, and gaming platform abuses</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For platform products and services that provide content or host ads that come from or can be influenced by third parties, our reputation or user engagement may be negatively affected by activity that is hostile or inappropriate. This activity may come from users impersonating other people or organizations, including through the use of AI technologies, dissemination of information that may be viewed as misleading or intended to manipulate the opinions of our users, or the use of our products or services that violates our terms of service or otherwise for objectionable or illegal ends. Preventing or responding to these actions may require us to make substantial investments in people and technology and these investments may not be successful, adversely affecting our business,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digital safety abuses</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consumer services as well as our enterprise services may be used to find, generate, store, or disseminate harmful or illegal content in violation of our terms or applicable law. We may not proactively discover such content due to scale, the limitations of existing technologies, and conflicting legal frameworks. When discovered by users and others, such content may negatively affect our reputation, our brands, and user engagement. Regulations and other initiatives to make platforms responsible for preventing or eliminating harmful content online have been enacted, and we expect this to continue. We may be subject to enhanced regulatory oversight, civil or criminal liability, or reputational damage if we fail to comply with content moderation regulations, adversely affecting our business, financial condition, and results of operations.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51" w:name="page52"/>
    <w:bookmarkEnd w:id="51"/>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Our products and services, how they are used by customers, and how third-party products and services interact with them, may present security, privacy, and execution risks. </w:t>
      </w:r>
      <w:r>
        <w:rPr>
          <w:rFonts w:ascii="Arial" w:cs="Arial" w:eastAsia="Arial" w:hAnsi="Arial"/>
          <w:sz w:val="18"/>
          <w:szCs w:val="18"/>
          <w:color w:val="auto"/>
        </w:rPr>
        <w:t>Our products and services may contain defects in design, manufacture, or operation that</w:t>
      </w:r>
      <w:r>
        <w:rPr>
          <w:rFonts w:ascii="Arial" w:cs="Arial" w:eastAsia="Arial" w:hAnsi="Arial"/>
          <w:sz w:val="18"/>
          <w:szCs w:val="18"/>
          <w:b w:val="1"/>
          <w:bCs w:val="1"/>
          <w:color w:val="auto"/>
        </w:rPr>
        <w:t xml:space="preserve"> </w:t>
      </w:r>
      <w:r>
        <w:rPr>
          <w:rFonts w:ascii="Arial" w:cs="Arial" w:eastAsia="Arial" w:hAnsi="Arial"/>
          <w:sz w:val="18"/>
          <w:szCs w:val="18"/>
          <w:color w:val="auto"/>
        </w:rPr>
        <w:t>make them insecure or ineffective for their intended purposes. For example, an Internet of Things solution may have multiple layers of hardware, sensors, processors, software, and firmware, several of which we may not develop or control, and may have limited ability to be updated or patched. Further, customers control our products and services, including our AI products, within their environments, and may deploy them in high-risk scenarios or utilize them inappropriately. As a result, our products and services may increasingly affect personal health and safety. Our products may also collect large amounts of data in manners which may not satisfy customers or regulatory requirements. Our customers also operate complex IT systems with third-party hardware and software from multiple vendors whose products or personnel may take or fail to take actions which impact the reliability or security of our products and services. If our products and services do not work as intended, are utilized in methods not intended, violate the law, or harm individuals or businesses, we may be subject to legal claims or enforcement actions. These risks, if realized, may increase our costs, damage our reputation, or adversely affect our results of operations.</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Issues in the development and use of AI may result in reputational or competitive harm or liability. </w:t>
      </w:r>
      <w:r>
        <w:rPr>
          <w:rFonts w:ascii="Arial" w:cs="Arial" w:eastAsia="Arial" w:hAnsi="Arial"/>
          <w:sz w:val="18"/>
          <w:szCs w:val="18"/>
          <w:color w:val="auto"/>
        </w:rPr>
        <w:t>We are building AI into many of our</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offerings, including our productivity services, and we are also making AI available for our customers to use in solutions that they build. This AI may be developed by Microsoft or others, including our strategic partner, OpenAI. We expect these elements of our business to grow. We envision a future in which AI operating in devices, applications, and the cloud helps our customers be more productive in their work and personal lives. As with many innovations, AI presents risks and challenges that could affect its adoption, and therefore our business. AI algorithms or training methodologies may be flawed. Datasets may be overbroad, insufficient, or contain biased information. Content generated by AI systems may be offensive, illegal, inaccurate, or otherwise harmful. Ineffective or inadequate AI development or deployment practices by Microsoft or others could result in incidents that impair the acceptance of AI solutions, cause harm to individuals, customers, or society, or result in our products and services not working as intended. Human review of certain inputs and outputs may be required. Our implementation of AI systems could result in legal liability, regulatory action, brand, reputational, or competitive harm, or other adverse impacts. These risks may arise from current copyright infringement and other claims related to AI training and output, new and proposed legislation and regulations, such as the European Union’s (“EU”) AI Act and the U.S.’s AI Executive Order, and new applications of data protection, privacy, consumer protection, intellectual property, and other laws. Some AI scenarios present ethical issues or may have broad impacts on society. If we enable or offer AI solutions that have unintended consequences, unintended usage or customization by our customers and partners, are contrary to our responsible AI policies and practices, or are otherwise controversial because of their impact on human rights, privacy, employment, or other social, economic, or political issues, our reputation, competitive position, business, financial condition, and results of operations may be adversely affected.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OPERATIONAL RISKS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We may have excessive outages, data losses, and disruptions of our online services if we fail to maintain an adequate operations infrastructure. </w:t>
      </w:r>
      <w:r>
        <w:rPr>
          <w:rFonts w:ascii="Arial" w:cs="Arial" w:eastAsia="Arial" w:hAnsi="Arial"/>
          <w:sz w:val="18"/>
          <w:szCs w:val="18"/>
          <w:color w:val="auto"/>
        </w:rPr>
        <w:t>Our increasing user traffic, growth in services, and the complexity of our products and services demand more computing</w:t>
      </w:r>
      <w:r>
        <w:rPr>
          <w:rFonts w:ascii="Arial" w:cs="Arial" w:eastAsia="Arial" w:hAnsi="Arial"/>
          <w:sz w:val="18"/>
          <w:szCs w:val="18"/>
          <w:b w:val="1"/>
          <w:bCs w:val="1"/>
          <w:color w:val="auto"/>
        </w:rPr>
        <w:t xml:space="preserve"> </w:t>
      </w:r>
      <w:r>
        <w:rPr>
          <w:rFonts w:ascii="Arial" w:cs="Arial" w:eastAsia="Arial" w:hAnsi="Arial"/>
          <w:sz w:val="18"/>
          <w:szCs w:val="18"/>
          <w:color w:val="auto"/>
        </w:rPr>
        <w:t>power. We spend substantial amounts to build, purchase, or lease datacenters and equipment and to upgrade our technology and network infrastructure to handle more traffic on our websites and in our datacenters. Our datacenters depend on the availability of permitted and buildable land, predictable energy, networking supplies, and servers, including graphics processing units and other components. The cost or availability of these dependencies could be adversely affected by a variety of factors, including the transition to a clean energy economy, local and regional environmental regulations, and geopolitical disruptions. These demands continue to increase as we introduce new products and services and support the growth and the augmentation of existing services, including through the incorporation of AI features and/or functionality. We are rapidly growing our business of providing a platform and back-end hosting for services provided by third parties to their end users. Maintaining, securing, and expanding this infrastructure is expensive and complex, and requires development of principles for datacenter builds in geographies with higher safety and reliability risks. It requires that we maintain an Internet connectivity infrastructure and storage and compute capacity that is robust and reliable within competitive and regulatory constraints that continue to evolve. Inefficiencies or operational failures, including temporary or permanent loss of customer data, outages, insufficient Internet connectivity, insufficient or unavailable power or water supply, or inadequate storage and compute capacity could diminish the quality of our products, services, and user experience, resulting in contractual liability, claims by customers and other third parties, regulatory actions, damage to our reputation, and loss of current and potential users, subscribers, and advertisers, each of which may adversely affect our business, operations, financial condition, and results of operations.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52" w:name="page53"/>
    <w:bookmarkEnd w:id="52"/>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We may experience supply or quality problems. </w:t>
      </w:r>
      <w:r>
        <w:rPr>
          <w:rFonts w:ascii="Arial" w:cs="Arial" w:eastAsia="Arial" w:hAnsi="Arial"/>
          <w:sz w:val="18"/>
          <w:szCs w:val="18"/>
          <w:color w:val="auto"/>
        </w:rPr>
        <w:t>There are limited suppliers for certain device and datacenter components. We continue to</w:t>
      </w:r>
      <w:r>
        <w:rPr>
          <w:rFonts w:ascii="Arial" w:cs="Arial" w:eastAsia="Arial" w:hAnsi="Arial"/>
          <w:sz w:val="18"/>
          <w:szCs w:val="18"/>
          <w:b w:val="1"/>
          <w:bCs w:val="1"/>
          <w:color w:val="auto"/>
        </w:rPr>
        <w:t xml:space="preserve"> </w:t>
      </w:r>
      <w:r>
        <w:rPr>
          <w:rFonts w:ascii="Arial" w:cs="Arial" w:eastAsia="Arial" w:hAnsi="Arial"/>
          <w:sz w:val="18"/>
          <w:szCs w:val="18"/>
          <w:color w:val="auto"/>
        </w:rPr>
        <w:t>identify and evaluate opportunities to expand our datacenter locations and increase our server capacity to meet the evolving needs of our customers, particularly given the growing demand for AI services. Capacity available to us may be affected as competitors use some of the same suppliers and materials for hardware components. If components are delayed or become unavailable, whether because of supplier capacity constraint, industry shortages, legal or regulatory changes that restrict supply sources, or other reasons, we may not obtain timely replacement supplies, resulting in reduced sales or inadequate datacenter capacity to support the delivery and continued development of our products and services. Component shortages, excess or obsolete inventory, or price reductions resulting in inventory adjustments may increase our cost of revenue. Datacenter servers, Xbox consoles, Surface devices, and other hardware are assembled in Asia and other geographies that may be subject to disruptions in the supply chain, resulting in shortages which may adversely affect our business, operations, financial condition, and results of operations.</w:t>
      </w:r>
    </w:p>
    <w:p>
      <w:pPr>
        <w:spacing w:after="0" w:line="13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software products and services also may experience quality or reliability problems. The highly sophisticated software we develop may contain bugs and other defects that interfere with their intended operation. Our customers increasingly rely on us for critical business functions and multiple workloads. Many of our products and services are interdependent on one another. Our products and services may be impacted by interaction with third-party products and services. Our customers may also utilize their own or third-party products and services whose reliability is dependent on interaction with our products and services. Each of these circumstances potentially magnifies the impact of quality or reliability issues. Any defects we do not detect and fix in pre-release testing could cause reduced sales, damage to our reputation, repair or remediation costs, delays in the release of new products or versions, or legal liability, which could adversely affect our business, financial condition, and results of operations. Although our license agreements typically contain provisions that eliminate or limit our exposure to liability, there is no assurance these provisions will withstand legal challenge.</w:t>
      </w:r>
    </w:p>
    <w:p>
      <w:pPr>
        <w:spacing w:after="0" w:line="127"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Our hardware products such as Xbox consoles, Surface devices, and other devices we design and market are highly complex. Failure to prevent, detect, or address defects in design, manufacture, or associated software could result in recalls, safety alerts, or product liability claims, which could adversely affect our business and results of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LEGAL, REGULATORY, AND LITIGATION RISKS</w:t>
      </w:r>
    </w:p>
    <w:p>
      <w:pPr>
        <w:spacing w:after="0" w:line="15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 xml:space="preserve">Government enforcement under competition laws and new market regulation may limit how we design and market our products. </w:t>
      </w:r>
      <w:r>
        <w:rPr>
          <w:rFonts w:ascii="Arial" w:cs="Arial" w:eastAsia="Arial" w:hAnsi="Arial"/>
          <w:sz w:val="18"/>
          <w:szCs w:val="18"/>
          <w:color w:val="auto"/>
        </w:rPr>
        <w:t>Government agencies closely scrutinize us under U.S. and foreign competition laws. Governments are actively enforcing competition laws and regulations and enacting new regulations to intervene in digital markets, and this includes markets such as the EU, the United Kingdom, the U.S., and China. Some jurisdictions also allow competitors or consumers to assert claims of anti-competitive conduct. U.S. and foreign antitrust authorities have previously brought enforcement actions and continue to scrutinize our business.</w:t>
      </w:r>
    </w:p>
    <w:p>
      <w:pPr>
        <w:spacing w:after="0" w:line="12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For example, the European Commission (“the Commission”) has designated Windows and LinkedIn as core platform services subject to obligations under the EU Digital Markets Act, which prohibits certain self-preferencing behaviors and places limitations on certain data use among other obligations. The Commission also continues to closely scrutinize the design of high-volume Microsoft products and the terms on which we make certain technologies used in these products, such as file formats, programming interfaces, and protocols, available to other companies. Flagship product releases such as Microsoft 365 and Windows can receive significant scrutiny under EU or other competition laws.</w:t>
      </w:r>
    </w:p>
    <w:p>
      <w:pPr>
        <w:spacing w:after="0" w:line="12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portfolio of first-party devices continues to grow; at the same time, our OEM partners offer a large variety of devices for our platforms. As a result, we increasingly both cooperate and compete with our OEM partners, creating a risk that we fail to do so in compliance with competition rules. Regulatory scrutiny in this area may increase. Certain foreign governments, particularly in China and other countries in Asia, have advanced arguments under their competition laws that exert downward pressure on royalties for our intellectual property.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53" w:name="page54"/>
    <w:bookmarkEnd w:id="53"/>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Competition law enforcement actions and court decisions along with new market regulations may result in fines or hinder our ability to provide the benefits of our software to consumers and businesses, reducing the attractiveness of our products and the revenue that comes from them. New competition law actions or obligations under market regulation schemes could be initiated, potentially using previous actions as precedent. The outcome of such actions, or steps taken to avoid them, could adversely affect us in a variety of ways, including causing us to withdraw products from or modify products for certain markets, decreasing the value of our assets, adversely affecting our ability to monetize our products, or inhibiting our ability to consummate acquisition or impose conditions on acquisitions that may reduce their value, which may adversely affect our business, financial condition, and results of operations.</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Laws and regulations relating to anti-corruption and trade could result in increased costs, fines, criminal penalties, or reputational damage. </w:t>
      </w:r>
      <w:r>
        <w:rPr>
          <w:rFonts w:ascii="Arial" w:cs="Arial" w:eastAsia="Arial" w:hAnsi="Arial"/>
          <w:sz w:val="18"/>
          <w:szCs w:val="18"/>
          <w:color w:val="auto"/>
        </w:rPr>
        <w:t>The Foreign Corrupt Practices Act (“FCPA”) and other anti-corruption laws and regulations (“Anti-Corruption Laws”) prohibit corrupt</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by our employees, vendors, or agents, and the accounting provisions of the FCPA require us to maintain accurate books and records and adequate internal controls. From time to time, we receive inquiries from authorities in the U.S. and elsewhere which may be based on reports from employees and others about our business activities outside the U.S. and our compliance with Anti-Corruption Laws. Periodically, we receive such reports directly and investigate them, and also cooperate with investigations by U.S. and foreign law enforcement authorities. Most countries in which we operate also have competition laws that prohibit competitors from colluding or otherwise attempting to reduce competition between themselves. While we devote substantial resources to our U.S. and international compliance programs and have implemented policies, training, and internal controls designed to reduce the risk of corrupt payments and collusive activity, our employees, partners, vendors, or agents may violate our policies. Our failure to comply with Anti-Corruption Laws or competition laws could result in significant fines and penalties, criminal sanctions against us, our officers, or our employees, prohibitions on the conduct of our business, and damage to our reputation, which could adversely affect our business, financial condition, and results of operations.</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Increasing trade laws, policies, sanctions, and other regulatory requirements also affect our operations in and outside the U.S. relating to trade and investment. Economic sanctions in the U.S., the EU, and other countries prohibit most business with restricted entities or countries. U.S. export controls restrict Microsoft from offering many of its products and services to, or making investments in, certain entities in specified countries. U.S. import controls restrict us from integrating certain information and communication technologies into our supply chain and allow for government review of transactions involving information and communications technology from countries determined to be foreign adversaries. Supply chain regulations may impact the availability of goods or result in additional regulatory scrutiny. Periods of intense diplomatic or armed conflict, such as the ongoing conflict in Ukraine, may result in (1) new and rapidly evolving sanctions and trade restrictions, which may impair trade with sanctioned individuals and countries, and (2) negative impacts to regional trade ecosystems among our customers, partners, and us. Non-compliance with sanctions as well as general ecosystem disruptions could result in reputational harm, operational delays, monetary fines, loss of revenue, increased costs, loss of export privileges, or criminal sanctions, which could adversely affect our business, financial condition, and results of operations.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54" w:name="page55"/>
    <w:bookmarkEnd w:id="54"/>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 xml:space="preserve">Laws and regulations relating to the handling of personal data may impede the adoption of our services or result in increased costs, legal claims, fines against us, or reputational damage. </w:t>
      </w:r>
      <w:r>
        <w:rPr>
          <w:rFonts w:ascii="Arial" w:cs="Arial" w:eastAsia="Arial" w:hAnsi="Arial"/>
          <w:sz w:val="18"/>
          <w:szCs w:val="18"/>
          <w:color w:val="auto"/>
        </w:rPr>
        <w:t>The growth of our Internet- and cloud-based services internationally relies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increasingly on the movement of data across national boundaries. Legal requirements relating to the collection, storage, handling, and transfer of personal data continue to evolve. For example, while the EU-U.S. Data Privacy Framework (“DPF”) has been recognized as adequate under EU law to allow transfers of personal data from the EU to certified companies in the U.S., the DPF is subject to further legal challenge which could cause the legal requirements for data transfers from the EU to be uncertain. EU data protection authorities have and may again block the use of certain U.S.-based services that involve the transfer of data to the U.S. In the EU and other markets, potential new rules and restrictions on the flow of data across borders could increase the cost and complexity of delivering our products and services. In addition, the EU General Data Protection Regulation (“GDPR”), which applies to all of our activities conducted from an establishment in the EU or related to products and services offered in the EU, imposes a range of compliance obligations regarding the handling of personal data. More recently, the EU has been developing new requirements related to the use of data, including in the Digital Markets Act, the Digital Services Act, and the Data Act, that add additional rules and restriction on the use of data in our products and services. Engineering efforts to build and maintain capabilities to facilitate compliance with these laws involve substantial expense and the diversion of engineering resources from other projects. We might experience reduced demand for our offerings if we are unable to engineer products that meet our legal duties or help our customers meet their obligations under these and other data regulations, or if our implementation to comply makes our offerings less attractive. Compliance with these obligations depends in part on how particular regulators interpret and apply them. If we fail to comply, or if regulators assert we have failed to comply (including in response to complaints made by customers), it may lead to regulatory enforcement actions, which can result in significant monetary penalties, private lawsuits, reputational damage, blockage of product offerings or of international data transfers, and loss of customers. The highest fines assessed under GDPR have recently been increasing, especially against large technology companies, and European data protection authorities have taken action to block or remove services from their markets. Jurisdictions around the world, such as China, India, and states in the U.S. have adopted, or are considering adopting or expanding, laws and regulations imposing obligations regarding the collection, handling, and transfer of personal data.</w:t>
      </w:r>
    </w:p>
    <w:p>
      <w:pPr>
        <w:spacing w:after="0" w:line="1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investment in gaining insights from data is becoming central to the value of the services we deliver to customers, including AI services, to operational efficiency and key opportunities in monetization, and to customer perceptions of quality. Our ability to use data in this way may be constrained by regulatory developments that impede realizing the expected return from this investment. Ongoing legal analyses, reviews, and inquiries by regulators of Microsoft practices, or relevant practices of other organizations, may result in burdensome or inconsistent requirements, including data sovereignty and localization requirements, affecting the location, movement, collection, and use of our customer and internal employee data as well as the management of that data. Compliance with applicable laws and regulations regarding personal data may require changes in services, business practices, or internal systems that result in increased costs, lower revenue, reduced efficiency, or greater difficulty in competing with foreign-based firms. Compliance with data regulations might limit our ability to innovate or offer certain features and functionality in some jurisdictions where we operate. Failure to comply with existing or new rules may result in significant penalties or orders to stop the alleged noncompliant activity, negative publicity, and diversion of management time and effort.</w:t>
      </w:r>
    </w:p>
    <w:p>
      <w:pPr>
        <w:spacing w:after="0" w:line="1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Existing and increasing legal and regulatory requirements could adversely affect our results of operations. </w:t>
      </w:r>
      <w:r>
        <w:rPr>
          <w:rFonts w:ascii="Arial" w:cs="Arial" w:eastAsia="Arial" w:hAnsi="Arial"/>
          <w:sz w:val="18"/>
          <w:szCs w:val="18"/>
          <w:color w:val="auto"/>
        </w:rPr>
        <w:t>We are subject to a wide</w:t>
      </w:r>
      <w:r>
        <w:rPr>
          <w:rFonts w:ascii="Arial" w:cs="Arial" w:eastAsia="Arial" w:hAnsi="Arial"/>
          <w:sz w:val="18"/>
          <w:szCs w:val="18"/>
          <w:b w:val="1"/>
          <w:bCs w:val="1"/>
          <w:color w:val="auto"/>
        </w:rPr>
        <w:t xml:space="preserve"> </w:t>
      </w:r>
      <w:r>
        <w:rPr>
          <w:rFonts w:ascii="Arial" w:cs="Arial" w:eastAsia="Arial" w:hAnsi="Arial"/>
          <w:sz w:val="18"/>
          <w:szCs w:val="18"/>
          <w:color w:val="auto"/>
        </w:rPr>
        <w:t>range of laws, regulations, and legal requirements in the U.S. and globally, including those that may apply to our products and online services offerings, and those that impose requirements related to user privacy, telecommunications, data storage and protection, digital accessibility, advertising, and online content. Laws in several jurisdictions, including EU Member State laws under the European Electronic Communications Code and the Digital Services Act, increasingly define certain of our services as regulated services. This trend may continue and will result in these offerings being subject to additional data protection, security, digital safety, law enforcement surveillance, and other obligations. Regulators and private litigants may assert that our collection, use, and management of customer data and other information is inconsistent with their laws and regulations, including laws that apply to the tracking of users via technology such as cookies. In addition, laws requiring us to retrieve and produce customer data in response to compulsory legal demands from law enforcement and governmental authorities are expanding and the requests we are experiencing are increasing in volume and complexity. New environmental, social, and governance laws and regulations are expanding mandatory disclosure, reporting, and diligence requirements. Legislative or regulatory action relating to cybersecurity requirements may increase the costs to develop, implement, or secure our products and services. Legislative and regulatory action is emerging in the areas of AI and content moderation, which could increase costs or restrict opportunity. For example, the EU’s AI Act may increase costs or impact the provision or operation of our AI models and services in the European market.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55" w:name="page56"/>
    <w:bookmarkEnd w:id="55"/>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How these laws and regulations apply to our business is often unclear, subject to change over time, and sometimes may be inconsistent from jurisdiction to jurisdiction. In addition, governments’ approach to enforcement, and our products and services, are continuing to evolve. Compliance with existing, expanding, or new laws and regulations may involve significant costs or require changes in products or business practices that could adversely affect our results of operations. Noncompliance could result in the imposition of penalties, criminal sanctions, or orders to cease the alleged noncompliant activity. In addition, there is increasing pressure from advocacy groups, regulators, competitors, customers, and other stakeholders across many of these areas. If our products do not meet customer expectations or legal requirements, we could face regulatory or legal actions, and our business, operations, financial condition, and results of operations could be adversely affected.</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have claims and lawsuits against us that may result in adverse outcomes. </w:t>
      </w:r>
      <w:r>
        <w:rPr>
          <w:rFonts w:ascii="Arial" w:cs="Arial" w:eastAsia="Arial" w:hAnsi="Arial"/>
          <w:sz w:val="18"/>
          <w:szCs w:val="18"/>
          <w:color w:val="auto"/>
        </w:rPr>
        <w:t>We are subject to a variety of claims and lawsuits. These</w:t>
      </w:r>
      <w:r>
        <w:rPr>
          <w:rFonts w:ascii="Arial" w:cs="Arial" w:eastAsia="Arial" w:hAnsi="Arial"/>
          <w:sz w:val="18"/>
          <w:szCs w:val="18"/>
          <w:b w:val="1"/>
          <w:bCs w:val="1"/>
          <w:color w:val="auto"/>
        </w:rPr>
        <w:t xml:space="preserve"> </w:t>
      </w:r>
      <w:r>
        <w:rPr>
          <w:rFonts w:ascii="Arial" w:cs="Arial" w:eastAsia="Arial" w:hAnsi="Arial"/>
          <w:sz w:val="18"/>
          <w:szCs w:val="18"/>
          <w:color w:val="auto"/>
        </w:rPr>
        <w:t>claims may arise from a wide variety of business practices and initiatives, including major new product releases, AI services, significant business transactions, warranty or product claims, employment practices, and regulation. As we continue to expand our business and offerings, we may experience new and novel legal claims. Adverse outcomes in some or all of these claims may result in significant monetary damages or injunctive relief that could adversely affect our ability to conduct our business. Litigation and other claims are subject to inherent uncertainties and management’s view of these matters may change in the future. A material adverse impact to our financial condition and results of operations could occur for the period in which the effect of an unfavorable outcome becomes probable and reasonably estimable.</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Our business with government customers may present additional uncertainties. </w:t>
      </w:r>
      <w:r>
        <w:rPr>
          <w:rFonts w:ascii="Arial" w:cs="Arial" w:eastAsia="Arial" w:hAnsi="Arial"/>
          <w:sz w:val="18"/>
          <w:szCs w:val="18"/>
          <w:color w:val="auto"/>
        </w:rPr>
        <w:t>We derive substantial revenue from government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Government contracts generally can present risks and challenges not present in private commercial agreements. For instance, we may be subject to government audits and investigations relating to these contracts, we could be suspended or debarred as a governmental contractor, we could incur civil and criminal fines and penalties, and under certain circumstances contracts may be rescinded. Some agreements may allow a government to terminate without cause and provide for higher liability limits for certain losses. Some contracts may be subject to periodic funding approval, reductions, cancellations, or delays which could adversely impact public-sector demand for our products and services. These events could negatively impact our financial condition, results of operations, and reputation.</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may have additional tax liabilities. </w:t>
      </w:r>
      <w:r>
        <w:rPr>
          <w:rFonts w:ascii="Arial" w:cs="Arial" w:eastAsia="Arial" w:hAnsi="Arial"/>
          <w:sz w:val="18"/>
          <w:szCs w:val="18"/>
          <w:color w:val="auto"/>
        </w:rPr>
        <w:t>We are subject to income taxes in the U.S. and many foreign jurisdictions. Significant judgment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in determining our worldwide provision for income taxes. In the course of our business, there are many transactions and calculations where the ultimate tax determination is uncertain. We may recognize additional tax expense and be subject to additional tax liabilities due to changes in tax laws, regulations, and administrative practices and principles, including changes to the global tax framework, in various jurisdictions. In recent years, multiple domestic and international tax proposals were proposed to impose greater tax burdens on large multinational enterprises. For example, the Organisation for Economic Co-operation and Development continues to advance proposals or guidance in international taxation, including the establishment of a global minimum tax.</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regularly under audit by tax authorities in different jurisdictions. Although we believe that our provision for income taxes and our tax estimates are reasonable, tax authorities may disagree with certain positions we have taken. In addition, economic and political pressures to increase tax revenue in various jurisdictions may make resolving tax disputes favorably more difficult. We are currently under Internal Revenue Service (“IRS”) audit for prior tax years and have received Notices of Proposed Adjustment (“NOPAs”) from the IRS for the tax years 2004 to 2013. The primary issues in the NOPAs relate to intercompany transfer pricing. In the NOPAs, the IRS is seeking an additional tax payment of $28.9 billion plus penalties and interest. The final resolution of the proposed adjustments, and other audits or litigation, may differ from the amounts recorded in our consolidated financial statements and adversely affect our results of operations in the period or periods in which that determination is made.</w:t>
      </w:r>
    </w:p>
    <w:p>
      <w:pPr>
        <w:spacing w:after="0" w:line="13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earn a significant amount of our operating income outside the U.S. A change in the mix of earnings and losses in countries with differing statutory tax rates, changes in our business or structure, or the expiration of or disputes about certain tax agreements in a particular country may result in higher effective tax rates for the company. In addition, changes in U.S. federal and state or international tax laws applicable to corporate multinationals, other global fundamental law changes currently being considered by many countries, including in the U.S., and changes in taxing jurisdictions’ administrative interpretations, decisions, policies, and positions may materially adversely affect our financial condition and results of operations.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56" w:name="page57"/>
    <w:bookmarkEnd w:id="56"/>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We are subject to evolving sustainability regulatory requirements and expectations, which exposes us to increased costs and legal and reputational risks. </w:t>
      </w:r>
      <w:r>
        <w:rPr>
          <w:rFonts w:ascii="Arial" w:cs="Arial" w:eastAsia="Arial" w:hAnsi="Arial"/>
          <w:sz w:val="18"/>
          <w:szCs w:val="18"/>
          <w:color w:val="auto"/>
        </w:rPr>
        <w:t>Laws, regulations, and policies relating to environmental, social, and governance matters are being developed and</w:t>
      </w:r>
      <w:r>
        <w:rPr>
          <w:rFonts w:ascii="Arial" w:cs="Arial" w:eastAsia="Arial" w:hAnsi="Arial"/>
          <w:sz w:val="18"/>
          <w:szCs w:val="18"/>
          <w:b w:val="1"/>
          <w:bCs w:val="1"/>
          <w:color w:val="auto"/>
        </w:rPr>
        <w:t xml:space="preserve"> </w:t>
      </w:r>
      <w:r>
        <w:rPr>
          <w:rFonts w:ascii="Arial" w:cs="Arial" w:eastAsia="Arial" w:hAnsi="Arial"/>
          <w:sz w:val="18"/>
          <w:szCs w:val="18"/>
          <w:color w:val="auto"/>
        </w:rPr>
        <w:t>formalized in Europe, the U.S., and elsewhere, which may include specific, target-driven frameworks and disclosure requirements. In addition, we have established and publicly announced goals and commitments to become carbon negative, water positive, zero waste, and protect more land than we use. Any failure or perceived failure to pursue or fulfill our sustainability goals and commitments or to satisfy various sustainability reporting standards or regulatory requirements within the timelines we announce, or at all, could result in claims and lawsuits, regulatory actions, or damage to our reputation, each of which may adversely affect our business, operations, financial condition, and results of operations.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INTELLECTUAL PROPERTY RISKS</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color w:val="auto"/>
        </w:rPr>
        <w:t xml:space="preserve">We face risks related to the protection and utilization of our intellectual property that may result in our business and operating results being harmed. </w:t>
      </w:r>
      <w:r>
        <w:rPr>
          <w:rFonts w:ascii="Arial" w:cs="Arial" w:eastAsia="Arial" w:hAnsi="Arial"/>
          <w:sz w:val="18"/>
          <w:szCs w:val="18"/>
          <w:color w:val="auto"/>
        </w:rPr>
        <w:t>Protecting our intellectual property rights and combating unlicensed copying and use of our software, source code,</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intellectual property on a global basis is difficult. Similarly, the absence of harmonized patent laws makes it more difficult to ensure consistent respect for patent rights.</w:t>
      </w:r>
    </w:p>
    <w:p>
      <w:pPr>
        <w:spacing w:after="0" w:line="1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Changes in the law may continue to weaken our ability to prevent the use of patented technology. Our increasing engagement with open source software will also cause us to license our intellectual property rights broadly in certain situations. If we are unable to protect our intellectual property, our results of operations may be adversely affected.</w:t>
      </w:r>
    </w:p>
    <w:p>
      <w:pPr>
        <w:spacing w:after="0" w:line="11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Source code, the detailed program commands for our operating systems and other software programs, is critical to our business. If our source code leaks, we might lose future trade secret protection for that code. It may then become easier for third parties to compete with our products by copying functionality, which could adversely affect our results of operations. Unauthorized access to or disclosure of source code or other intellectual property also could increase the security risks described elsewhere in these risk factors.</w:t>
      </w:r>
    </w:p>
    <w:p>
      <w:pPr>
        <w:spacing w:after="0" w:line="12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Third parties may claim that we infringe their intellectual property. </w:t>
      </w:r>
      <w:r>
        <w:rPr>
          <w:rFonts w:ascii="Arial" w:cs="Arial" w:eastAsia="Arial" w:hAnsi="Arial"/>
          <w:sz w:val="18"/>
          <w:szCs w:val="18"/>
          <w:color w:val="auto"/>
        </w:rPr>
        <w:t>From time to time, others claim we infringe their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including current copyright infringement and other claims arising from AI training and output. To resolve these claims, we may enter into royalty-bearing data access or licensing agreements on terms that are less favorable than currently available, stop selling or redesign affected products or services, or pay damages to satisfy indemnification commitments with our customers. Adverse outcomes could also include monetary damages or injunctive relief that may limit or prevent importing, marketing, and selling our products or services that have infringing technologies. We have paid significant amounts to settle claims related to the use of technology and intellectual property rights and to procure intellectual property rights as part of our strategy to manage this risk, and may continue to do so, which could adversely affect our results of operations.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RISKS</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 xml:space="preserve">If our reputation or our brands are damaged, our business and results of operations may be harmed. </w:t>
      </w:r>
      <w:r>
        <w:rPr>
          <w:rFonts w:ascii="Arial" w:cs="Arial" w:eastAsia="Arial" w:hAnsi="Arial"/>
          <w:sz w:val="18"/>
          <w:szCs w:val="18"/>
          <w:color w:val="auto"/>
        </w:rPr>
        <w:t>Our reputation and brands are</w:t>
      </w:r>
      <w:r>
        <w:rPr>
          <w:rFonts w:ascii="Arial" w:cs="Arial" w:eastAsia="Arial" w:hAnsi="Arial"/>
          <w:sz w:val="18"/>
          <w:szCs w:val="18"/>
          <w:b w:val="1"/>
          <w:bCs w:val="1"/>
          <w:color w:val="auto"/>
        </w:rPr>
        <w:t xml:space="preserve"> </w:t>
      </w:r>
      <w:r>
        <w:rPr>
          <w:rFonts w:ascii="Arial" w:cs="Arial" w:eastAsia="Arial" w:hAnsi="Arial"/>
          <w:sz w:val="18"/>
          <w:szCs w:val="18"/>
          <w:color w:val="auto"/>
        </w:rPr>
        <w:t>globally recognized and are important to our business. Our reputation and brands affect our ability to attract and retain consumer, business, and public-sector customers. There are numerous ways our reputation or brands could be damaged. These include product safety or quality issues, our environmental impact and sustainability, supply chain practices, or human rights record. We may experience backlash from customers, government entities, advocacy groups, employees, and other stakeholders that disagree with our product offering decisions, public policy positions, or corporate philanthropic initiatives. Damage to our reputation or our brands may occur from, among other things:</w:t>
      </w:r>
    </w:p>
    <w:p>
      <w:pPr>
        <w:spacing w:after="0" w:line="47" w:lineRule="exact"/>
        <w:rPr>
          <w:sz w:val="20"/>
          <w:szCs w:val="20"/>
          <w:color w:val="auto"/>
        </w:rPr>
      </w:pPr>
    </w:p>
    <w:p>
      <w:pPr>
        <w:ind w:left="1020" w:hanging="368"/>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introduction of new features, products, services, or terms of service that customers, users, or partners do not like.</w:t>
      </w:r>
    </w:p>
    <w:p>
      <w:pPr>
        <w:spacing w:after="0" w:line="8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Public scrutiny of our decisions regarding user privacy, data practices, content, or development and deployment of AI.</w:t>
      </w:r>
    </w:p>
    <w:p>
      <w:pPr>
        <w:spacing w:after="0" w:line="88"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Data security breaches, cybersecurity incidents, responsible AI failures, compliance failures, or actions of partners or individual employees.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57" w:name="page58"/>
    <w:bookmarkEnd w:id="57"/>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Social media may increase the likelihood, speed, and magnitude of negative brand events. If our brands or reputation are damaged, it could adversely affect our business, results of operations, or ability to attract the most highly qualified employees.</w:t>
      </w:r>
    </w:p>
    <w:p>
      <w:pPr>
        <w:spacing w:after="0" w:line="9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color w:val="auto"/>
        </w:rPr>
        <w:t xml:space="preserve">Adverse economic or market conditions may harm our business. </w:t>
      </w:r>
      <w:r>
        <w:rPr>
          <w:rFonts w:ascii="Arial" w:cs="Arial" w:eastAsia="Arial" w:hAnsi="Arial"/>
          <w:sz w:val="18"/>
          <w:szCs w:val="18"/>
          <w:color w:val="auto"/>
        </w:rPr>
        <w:t>Worsening economic conditions, including inflation, recession,</w:t>
      </w:r>
      <w:r>
        <w:rPr>
          <w:rFonts w:ascii="Arial" w:cs="Arial" w:eastAsia="Arial" w:hAnsi="Arial"/>
          <w:sz w:val="18"/>
          <w:szCs w:val="18"/>
          <w:b w:val="1"/>
          <w:bCs w:val="1"/>
          <w:color w:val="auto"/>
        </w:rPr>
        <w:t xml:space="preserve"> </w:t>
      </w:r>
      <w:r>
        <w:rPr>
          <w:rFonts w:ascii="Arial" w:cs="Arial" w:eastAsia="Arial" w:hAnsi="Arial"/>
          <w:sz w:val="18"/>
          <w:szCs w:val="18"/>
          <w:color w:val="auto"/>
        </w:rPr>
        <w:t>pandemic, or other changes in economic conditions, may cause lower IT spending and adversely affect our results of operations. If demand for PCs, servers, and other computing devices declines, or consumer or business spending for those products declines, our results of operations may be adversely affected.</w:t>
      </w:r>
    </w:p>
    <w:p>
      <w:pPr>
        <w:spacing w:after="0" w:line="1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product distribution system relies on an extensive partner and retail network. OEMs building devices that run our software have also been a significant means of distribution. The impact of economic conditions on our partners, such as the bankruptcy of a major distributor, OEM, or retailer, could cause sales channel disruption.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Challenging economic conditions also may impair the ability of our customers to pay for products and services they have purchased. As a result, allowances for doubtful accounts and write-offs of accounts receivable may increase.</w:t>
      </w:r>
    </w:p>
    <w:p>
      <w:pPr>
        <w:spacing w:after="0" w:line="9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maintain an investment portfolio of various holdings, types, and maturities. These investments are subject to general credit, liquidity, market, and interest rate risks, which may be exacerbated by market downturns or events that affect global financial markets. A significant part of our investment portfolio comprises U.S. government securities. If global financial markets decline for long periods, or if there is a downgrade of the U.S. government credit rating due to an actual or threatened default on government debt, our investment portfolio may be adversely affected and we could determine that more of our investments have experienced a decline in fair value, requiring impairment charges that could adversely affect our financial condition and results of operations.</w:t>
      </w:r>
    </w:p>
    <w:p>
      <w:pPr>
        <w:spacing w:after="0" w:line="12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Catastrophic events or geopolitical conditions may disrupt our business. </w:t>
      </w:r>
      <w:r>
        <w:rPr>
          <w:rFonts w:ascii="Arial" w:cs="Arial" w:eastAsia="Arial" w:hAnsi="Arial"/>
          <w:sz w:val="18"/>
          <w:szCs w:val="18"/>
          <w:color w:val="auto"/>
        </w:rPr>
        <w:t>A disruption or failure of our systems, operations, or supply</w:t>
      </w:r>
      <w:r>
        <w:rPr>
          <w:rFonts w:ascii="Arial" w:cs="Arial" w:eastAsia="Arial" w:hAnsi="Arial"/>
          <w:sz w:val="18"/>
          <w:szCs w:val="18"/>
          <w:b w:val="1"/>
          <w:bCs w:val="1"/>
          <w:color w:val="auto"/>
        </w:rPr>
        <w:t xml:space="preserve"> </w:t>
      </w:r>
      <w:r>
        <w:rPr>
          <w:rFonts w:ascii="Arial" w:cs="Arial" w:eastAsia="Arial" w:hAnsi="Arial"/>
          <w:sz w:val="18"/>
          <w:szCs w:val="18"/>
          <w:color w:val="auto"/>
        </w:rPr>
        <w:t>chain because of a major earthquake, weather event, cyberattack, terrorist attack, pandemic, or other catastrophic event could cause delays in completing sales, providing services, or performing other critical functions. Our corporate headquarters, a significant portion of our research and development activities, and certain other essential business operations are in the Seattle, Washington area, and we have other business operations in the Silicon Valley area of California, both of which are seismically active regions. A catastrophic event that results in the destruction or disruption of any of our critical business or IT systems, or the infrastructure or systems they rely on, such as power grids, could harm our ability to conduct normal business operations or adversely affect our results of operations. Providing our customers with more services and solutions in the cloud puts a premium on the resilience of our systems and strength of our business continuity management plans and magnifies the potential negative consequences of prolonged service outages.</w:t>
      </w:r>
    </w:p>
    <w:p>
      <w:pPr>
        <w:spacing w:after="0" w:line="1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Abrupt political change, terrorist activity, and armed conflict, such as the ongoing conflict in Ukraine, pose economic and other risks, which may negatively impact our ability to sell to and collect from customers, increase our operating costs, or otherwise disrupt our operations in markets both directly and indirectly impacted by such events. These conditions also may add uncertainty to the timing and budget for technology investment decisions by our customers and may cause supply chain disruptions for hardware manufacturers. Geopolitical change may result in changing regulatory systems and requirements and market interventions that could impact our operating strategies, access to national, regional, and global markets, hiring, and profitability. Geopolitical instability may lead to sanctions and impact our ability to do business in some markets or with some public-sector customers. Any of these changes may negatively affect our results of operations.</w:t>
      </w:r>
    </w:p>
    <w:p>
      <w:pPr>
        <w:spacing w:after="0" w:line="12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occurrence of regional epidemics or a global pandemic, such as COVID-19, may adversely affect our business, operations, financial condition, and results of operations. The extent to which global pandemics impact our business going forward will depend on factors such as the duration and scope of the pandemic; governmental, business, and individuals' actions in response to the pandemic; and the impact on economic activity, including the possibility of recession or financial market instability. Measures to contain a global pandemic may intensify other risks described in these Risk Factors.</w:t>
      </w:r>
    </w:p>
    <w:p>
      <w:pPr>
        <w:spacing w:after="0" w:line="12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long-term effects of climate change on the global economy and the IT industry in particular are unclear. Environmental regulations or changes in the supply, demand, or available sources of energy or other resources may affect the availability or cost of goods and services, including natural resources, necessary to run our business. Changes in climate where we operate may increase the costs of powering and cooling computer hardware we use to develop software and provide cloud-based services.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58" w:name="page59"/>
    <w:bookmarkEnd w:id="58"/>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Our global business exposes us to operational and economic risks. </w:t>
      </w:r>
      <w:r>
        <w:rPr>
          <w:rFonts w:ascii="Arial" w:cs="Arial" w:eastAsia="Arial" w:hAnsi="Arial"/>
          <w:sz w:val="18"/>
          <w:szCs w:val="18"/>
          <w:color w:val="auto"/>
        </w:rPr>
        <w:t>Our customers are located throughout the world and a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our revenue comes from international sales. The global nature of our business creates operational, economic, and geopolitical risks. Global, regional, and local economic developments, monetary policy, inflation, and recession, as well as political and military disputes, may adversely affect our results of operations. In addition, our international growth strategy includes certain markets, the developing nature of which presents several risks, including deterioration of social, political, labor, or economic conditions in a country or region, and difficulties in staffing and managing foreign operations. Emerging nationalist and protectionist trends and concerns about human rights, the environment, and political expression in specific countries may significantly alter the trade and commercial environments. Changes to trade policy or agreements as a result of populism, protectionism, or economic nationalism may result in higher tariffs, local sourcing initiatives, and non-local sourcing restrictions, export controls, investment restrictions, or other developments that make it more difficult to sell our products in foreign countries. Disruptions of these kinds in developed or emerging markets could negatively impact demand for our products and services, impair our ability to operate in certain regions, or increase operating costs. Although we hedge a portion of our international currency exposure, significant fluctuations in foreign exchange rates between the U.S. dollar and foreign currencies may adversely affect our results of operations.</w:t>
      </w:r>
    </w:p>
    <w:p>
      <w:pPr>
        <w:spacing w:after="0" w:line="1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Our business depends on our ability to attract and retain talented employees. </w:t>
      </w:r>
      <w:r>
        <w:rPr>
          <w:rFonts w:ascii="Arial" w:cs="Arial" w:eastAsia="Arial" w:hAnsi="Arial"/>
          <w:sz w:val="18"/>
          <w:szCs w:val="18"/>
          <w:color w:val="auto"/>
        </w:rPr>
        <w:t>Our business is based on successfully attracting,</w:t>
      </w:r>
      <w:r>
        <w:rPr>
          <w:rFonts w:ascii="Arial" w:cs="Arial" w:eastAsia="Arial" w:hAnsi="Arial"/>
          <w:sz w:val="18"/>
          <w:szCs w:val="18"/>
          <w:b w:val="1"/>
          <w:bCs w:val="1"/>
          <w:color w:val="auto"/>
        </w:rPr>
        <w:t xml:space="preserve"> </w:t>
      </w:r>
      <w:r>
        <w:rPr>
          <w:rFonts w:ascii="Arial" w:cs="Arial" w:eastAsia="Arial" w:hAnsi="Arial"/>
          <w:sz w:val="18"/>
          <w:szCs w:val="18"/>
          <w:color w:val="auto"/>
        </w:rPr>
        <w:t>training, and retaining talented employees representing diverse backgrounds, experiences, and skill sets. The market for highly skilled workers and leaders in our industry is extremely competitive. Maintaining our brand and reputation, as well as a diverse and inclusive work environment that enables all our employees to thrive, are important to our ability to recruit and retain employees. We are also limited in our ability to recruit internationally by restrictive domestic immigration laws. Restraints on the flow of technical and professional talent, including as a result of changes to U.S. immigration policies or laws, may inhibit our ability to adequately staff our research and development efforts. If we are less successful in our recruiting efforts, or if we cannot retain highly skilled workers and key leaders, our ability to develop and deliver successful products and services may be adversely affected. Effective succession planning is also important to our long-term success. Failure to ensure effective transfer of knowledge and smooth transitions involving key employees could hinder our strategic planning and execution. How employment-related laws are interpreted and applied to our workforce practices may result in increased operating costs and less flexibility in how we meet our workforce needs. Our global workforce is predominantly non-unionized, although we do have some employees in the U.S. and internationally who are represented by unions or works councils. In the U.S., there has been a general increase in workers exercising their right to form or join a union. The unionization of significant employee populations could result in higher costs and other operational changes necessary to respond to changing conditions and to establish new relationships with worker representatives.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59" w:name="page60"/>
    <w:bookmarkEnd w:id="59"/>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61" w:lineRule="exact"/>
        <w:rPr>
          <w:sz w:val="20"/>
          <w:szCs w:val="20"/>
          <w:color w:val="auto"/>
        </w:rPr>
      </w:pPr>
    </w:p>
    <w:p>
      <w:pPr>
        <w:ind w:left="3880"/>
        <w:spacing w:after="0"/>
        <w:rPr>
          <w:sz w:val="20"/>
          <w:szCs w:val="20"/>
          <w:color w:val="auto"/>
        </w:rPr>
      </w:pPr>
      <w:r>
        <w:rPr>
          <w:rFonts w:ascii="Arial" w:cs="Arial" w:eastAsia="Arial" w:hAnsi="Arial"/>
          <w:sz w:val="18"/>
          <w:szCs w:val="18"/>
          <w:u w:val="single" w:color="auto"/>
          <w:color w:val="auto"/>
        </w:rPr>
        <w:t>SHARE REPURCHASES AND DIVIDENDS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Following are our monthly share repurchases for the first quarter of fiscal year 2025: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Total Number</w:t>
            </w:r>
          </w:p>
        </w:tc>
        <w:tc>
          <w:tcPr>
            <w:tcW w:w="400" w:type="dxa"/>
            <w:vAlign w:val="bottom"/>
          </w:tcPr>
          <w:p>
            <w:pPr>
              <w:spacing w:after="0"/>
              <w:rPr>
                <w:sz w:val="13"/>
                <w:szCs w:val="13"/>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Approximate</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of Shares</w:t>
            </w:r>
          </w:p>
        </w:tc>
        <w:tc>
          <w:tcPr>
            <w:tcW w:w="400" w:type="dxa"/>
            <w:vAlign w:val="bottom"/>
          </w:tcPr>
          <w:p>
            <w:pPr>
              <w:spacing w:after="0"/>
              <w:rPr>
                <w:sz w:val="12"/>
                <w:szCs w:val="12"/>
                <w:color w:val="auto"/>
              </w:rPr>
            </w:pPr>
          </w:p>
        </w:tc>
        <w:tc>
          <w:tcPr>
            <w:tcW w:w="1340" w:type="dxa"/>
            <w:vAlign w:val="bottom"/>
            <w:gridSpan w:val="2"/>
          </w:tcPr>
          <w:p>
            <w:pPr>
              <w:jc w:val="right"/>
              <w:ind w:right="120"/>
              <w:spacing w:after="0" w:line="149" w:lineRule="exact"/>
              <w:rPr>
                <w:sz w:val="20"/>
                <w:szCs w:val="20"/>
                <w:color w:val="auto"/>
              </w:rPr>
            </w:pPr>
            <w:r>
              <w:rPr>
                <w:rFonts w:ascii="Arial" w:cs="Arial" w:eastAsia="Arial" w:hAnsi="Arial"/>
                <w:sz w:val="13"/>
                <w:szCs w:val="13"/>
                <w:b w:val="1"/>
                <w:bCs w:val="1"/>
                <w:color w:val="auto"/>
              </w:rPr>
              <w:t>Dollar Value of</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 Number</w:t>
            </w:r>
          </w:p>
        </w:tc>
        <w:tc>
          <w:tcPr>
            <w:tcW w:w="700" w:type="dxa"/>
            <w:vAlign w:val="bottom"/>
          </w:tcPr>
          <w:p>
            <w:pPr>
              <w:spacing w:after="0"/>
              <w:rPr>
                <w:sz w:val="12"/>
                <w:szCs w:val="12"/>
                <w:color w:val="auto"/>
              </w:rPr>
            </w:pPr>
          </w:p>
        </w:tc>
        <w:tc>
          <w:tcPr>
            <w:tcW w:w="1360" w:type="dxa"/>
            <w:vAlign w:val="bottom"/>
            <w:vMerge w:val="restart"/>
          </w:tcPr>
          <w:p>
            <w:pPr>
              <w:jc w:val="right"/>
              <w:ind w:right="281"/>
              <w:spacing w:after="0"/>
              <w:rPr>
                <w:sz w:val="20"/>
                <w:szCs w:val="20"/>
                <w:color w:val="auto"/>
              </w:rPr>
            </w:pPr>
            <w:r>
              <w:rPr>
                <w:rFonts w:ascii="Arial" w:cs="Arial" w:eastAsia="Arial" w:hAnsi="Arial"/>
                <w:sz w:val="13"/>
                <w:szCs w:val="13"/>
                <w:b w:val="1"/>
                <w:bCs w:val="1"/>
                <w:color w:val="auto"/>
              </w:rPr>
              <w:t>Average</w:t>
            </w:r>
          </w:p>
        </w:tc>
        <w:tc>
          <w:tcPr>
            <w:tcW w:w="13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Purchased as</w:t>
            </w:r>
          </w:p>
        </w:tc>
        <w:tc>
          <w:tcPr>
            <w:tcW w:w="400" w:type="dxa"/>
            <w:vAlign w:val="bottom"/>
          </w:tcPr>
          <w:p>
            <w:pPr>
              <w:spacing w:after="0"/>
              <w:rPr>
                <w:sz w:val="12"/>
                <w:szCs w:val="12"/>
                <w:color w:val="auto"/>
              </w:rPr>
            </w:pPr>
          </w:p>
        </w:tc>
        <w:tc>
          <w:tcPr>
            <w:tcW w:w="1340" w:type="dxa"/>
            <w:vAlign w:val="bottom"/>
            <w:gridSpan w:val="2"/>
          </w:tcPr>
          <w:p>
            <w:pPr>
              <w:jc w:val="right"/>
              <w:ind w:right="120"/>
              <w:spacing w:after="0" w:line="149" w:lineRule="exact"/>
              <w:rPr>
                <w:sz w:val="20"/>
                <w:szCs w:val="20"/>
                <w:color w:val="auto"/>
              </w:rPr>
            </w:pPr>
            <w:r>
              <w:rPr>
                <w:rFonts w:ascii="Arial" w:cs="Arial" w:eastAsia="Arial" w:hAnsi="Arial"/>
                <w:sz w:val="13"/>
                <w:szCs w:val="13"/>
                <w:b w:val="1"/>
                <w:bCs w:val="1"/>
                <w:color w:val="auto"/>
              </w:rPr>
              <w:t>Shares That May</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Part of Publicly</w:t>
            </w:r>
          </w:p>
        </w:tc>
        <w:tc>
          <w:tcPr>
            <w:tcW w:w="400" w:type="dxa"/>
            <w:vAlign w:val="bottom"/>
          </w:tcPr>
          <w:p>
            <w:pPr>
              <w:spacing w:after="0"/>
              <w:rPr>
                <w:sz w:val="12"/>
                <w:szCs w:val="12"/>
                <w:color w:val="auto"/>
              </w:rPr>
            </w:pPr>
          </w:p>
        </w:tc>
        <w:tc>
          <w:tcPr>
            <w:tcW w:w="1340" w:type="dxa"/>
            <w:vAlign w:val="bottom"/>
            <w:gridSpan w:val="2"/>
          </w:tcPr>
          <w:p>
            <w:pPr>
              <w:jc w:val="right"/>
              <w:ind w:right="120"/>
              <w:spacing w:after="0" w:line="149" w:lineRule="exact"/>
              <w:rPr>
                <w:sz w:val="20"/>
                <w:szCs w:val="20"/>
                <w:color w:val="auto"/>
              </w:rPr>
            </w:pPr>
            <w:r>
              <w:rPr>
                <w:rFonts w:ascii="Arial" w:cs="Arial" w:eastAsia="Arial" w:hAnsi="Arial"/>
                <w:sz w:val="13"/>
                <w:szCs w:val="13"/>
                <w:b w:val="1"/>
                <w:bCs w:val="1"/>
                <w:color w:val="auto"/>
              </w:rPr>
              <w:t>Yet Be Purchased</w:t>
            </w:r>
          </w:p>
        </w:tc>
        <w:tc>
          <w:tcPr>
            <w:tcW w:w="0" w:type="dxa"/>
            <w:vAlign w:val="bottom"/>
          </w:tcPr>
          <w:p>
            <w:pPr>
              <w:spacing w:after="0"/>
              <w:rPr>
                <w:sz w:val="1"/>
                <w:szCs w:val="1"/>
                <w:color w:val="auto"/>
              </w:rPr>
            </w:pPr>
          </w:p>
        </w:tc>
      </w:tr>
      <w:tr>
        <w:trPr>
          <w:trHeight w:val="148"/>
        </w:trPr>
        <w:tc>
          <w:tcPr>
            <w:tcW w:w="47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Period</w:t>
            </w:r>
          </w:p>
        </w:tc>
        <w:tc>
          <w:tcPr>
            <w:tcW w:w="13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of Shares</w:t>
            </w:r>
          </w:p>
        </w:tc>
        <w:tc>
          <w:tcPr>
            <w:tcW w:w="700" w:type="dxa"/>
            <w:vAlign w:val="bottom"/>
          </w:tcPr>
          <w:p>
            <w:pPr>
              <w:spacing w:after="0"/>
              <w:rPr>
                <w:sz w:val="12"/>
                <w:szCs w:val="12"/>
                <w:color w:val="auto"/>
              </w:rPr>
            </w:pPr>
          </w:p>
        </w:tc>
        <w:tc>
          <w:tcPr>
            <w:tcW w:w="1360" w:type="dxa"/>
            <w:vAlign w:val="bottom"/>
          </w:tcPr>
          <w:p>
            <w:pPr>
              <w:jc w:val="right"/>
              <w:ind w:right="281"/>
              <w:spacing w:after="0" w:line="149" w:lineRule="exact"/>
              <w:rPr>
                <w:sz w:val="20"/>
                <w:szCs w:val="20"/>
                <w:color w:val="auto"/>
              </w:rPr>
            </w:pPr>
            <w:r>
              <w:rPr>
                <w:rFonts w:ascii="Arial" w:cs="Arial" w:eastAsia="Arial" w:hAnsi="Arial"/>
                <w:sz w:val="13"/>
                <w:szCs w:val="13"/>
                <w:b w:val="1"/>
                <w:bCs w:val="1"/>
                <w:color w:val="auto"/>
              </w:rPr>
              <w:t>Price Paid</w:t>
            </w:r>
          </w:p>
        </w:tc>
        <w:tc>
          <w:tcPr>
            <w:tcW w:w="13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Announced Plans</w:t>
            </w:r>
          </w:p>
        </w:tc>
        <w:tc>
          <w:tcPr>
            <w:tcW w:w="400" w:type="dxa"/>
            <w:vAlign w:val="bottom"/>
          </w:tcPr>
          <w:p>
            <w:pPr>
              <w:spacing w:after="0"/>
              <w:rPr>
                <w:sz w:val="12"/>
                <w:szCs w:val="12"/>
                <w:color w:val="auto"/>
              </w:rPr>
            </w:pPr>
          </w:p>
        </w:tc>
        <w:tc>
          <w:tcPr>
            <w:tcW w:w="1340" w:type="dxa"/>
            <w:vAlign w:val="bottom"/>
            <w:gridSpan w:val="2"/>
          </w:tcPr>
          <w:p>
            <w:pPr>
              <w:jc w:val="right"/>
              <w:ind w:right="120"/>
              <w:spacing w:after="0" w:line="149" w:lineRule="exact"/>
              <w:rPr>
                <w:sz w:val="20"/>
                <w:szCs w:val="20"/>
                <w:color w:val="auto"/>
              </w:rPr>
            </w:pPr>
            <w:r>
              <w:rPr>
                <w:rFonts w:ascii="Arial" w:cs="Arial" w:eastAsia="Arial" w:hAnsi="Arial"/>
                <w:sz w:val="13"/>
                <w:szCs w:val="13"/>
                <w:b w:val="1"/>
                <w:bCs w:val="1"/>
                <w:color w:val="auto"/>
              </w:rPr>
              <w:t>Under the Plans</w:t>
            </w:r>
          </w:p>
        </w:tc>
        <w:tc>
          <w:tcPr>
            <w:tcW w:w="0" w:type="dxa"/>
            <w:vAlign w:val="bottom"/>
          </w:tcPr>
          <w:p>
            <w:pPr>
              <w:spacing w:after="0"/>
              <w:rPr>
                <w:sz w:val="1"/>
                <w:szCs w:val="1"/>
                <w:color w:val="auto"/>
              </w:rPr>
            </w:pPr>
          </w:p>
        </w:tc>
      </w:tr>
      <w:tr>
        <w:trPr>
          <w:trHeight w:val="186"/>
        </w:trPr>
        <w:tc>
          <w:tcPr>
            <w:tcW w:w="4760" w:type="dxa"/>
            <w:vAlign w:val="bottom"/>
            <w:vMerge w:val="continue"/>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Purchased</w:t>
            </w:r>
          </w:p>
        </w:tc>
        <w:tc>
          <w:tcPr>
            <w:tcW w:w="700" w:type="dxa"/>
            <w:vAlign w:val="bottom"/>
          </w:tcPr>
          <w:p>
            <w:pPr>
              <w:spacing w:after="0"/>
              <w:rPr>
                <w:sz w:val="16"/>
                <w:szCs w:val="16"/>
                <w:color w:val="auto"/>
              </w:rPr>
            </w:pPr>
          </w:p>
        </w:tc>
        <w:tc>
          <w:tcPr>
            <w:tcW w:w="1360" w:type="dxa"/>
            <w:vAlign w:val="bottom"/>
          </w:tcPr>
          <w:p>
            <w:pPr>
              <w:jc w:val="right"/>
              <w:ind w:right="281"/>
              <w:spacing w:after="0"/>
              <w:rPr>
                <w:sz w:val="20"/>
                <w:szCs w:val="20"/>
                <w:color w:val="auto"/>
              </w:rPr>
            </w:pPr>
            <w:r>
              <w:rPr>
                <w:rFonts w:ascii="Arial" w:cs="Arial" w:eastAsia="Arial" w:hAnsi="Arial"/>
                <w:sz w:val="13"/>
                <w:szCs w:val="13"/>
                <w:b w:val="1"/>
                <w:bCs w:val="1"/>
                <w:color w:val="auto"/>
              </w:rPr>
              <w:t>Per Share</w:t>
            </w: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or Programs</w:t>
            </w:r>
          </w:p>
        </w:tc>
        <w:tc>
          <w:tcPr>
            <w:tcW w:w="40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or Programs</w:t>
            </w:r>
          </w:p>
        </w:tc>
        <w:tc>
          <w:tcPr>
            <w:tcW w:w="0" w:type="dxa"/>
            <w:vAlign w:val="bottom"/>
          </w:tcPr>
          <w:p>
            <w:pPr>
              <w:spacing w:after="0"/>
              <w:rPr>
                <w:sz w:val="1"/>
                <w:szCs w:val="1"/>
                <w:color w:val="auto"/>
              </w:rPr>
            </w:pPr>
          </w:p>
        </w:tc>
      </w:tr>
      <w:tr>
        <w:trPr>
          <w:trHeight w:val="58"/>
        </w:trPr>
        <w:tc>
          <w:tcPr>
            <w:tcW w:w="47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47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58"/>
        </w:trPr>
        <w:tc>
          <w:tcPr>
            <w:tcW w:w="47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E5E5E5"/>
          </w:tcPr>
          <w:p>
            <w:pPr>
              <w:ind w:left="20"/>
              <w:spacing w:after="0"/>
              <w:rPr>
                <w:sz w:val="20"/>
                <w:szCs w:val="20"/>
                <w:color w:val="auto"/>
              </w:rPr>
            </w:pPr>
            <w:r>
              <w:rPr>
                <w:rFonts w:ascii="Arial" w:cs="Arial" w:eastAsia="Arial" w:hAnsi="Arial"/>
                <w:sz w:val="18"/>
                <w:szCs w:val="18"/>
                <w:color w:val="auto"/>
              </w:rPr>
              <w:t>July 1, 2024 – July 31, 2024</w:t>
            </w:r>
          </w:p>
        </w:tc>
        <w:tc>
          <w:tcPr>
            <w:tcW w:w="13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2,270,780</w:t>
            </w:r>
          </w:p>
        </w:tc>
        <w:tc>
          <w:tcPr>
            <w:tcW w:w="700" w:type="dxa"/>
            <w:vAlign w:val="bottom"/>
            <w:shd w:val="clear" w:color="auto" w:fill="E5E5E5"/>
          </w:tcPr>
          <w:p>
            <w:pPr>
              <w:jc w:val="right"/>
              <w:ind w:right="25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E5E5E5"/>
          </w:tcPr>
          <w:p>
            <w:pPr>
              <w:jc w:val="right"/>
              <w:ind w:right="281"/>
              <w:spacing w:after="0"/>
              <w:rPr>
                <w:sz w:val="20"/>
                <w:szCs w:val="20"/>
                <w:color w:val="auto"/>
              </w:rPr>
            </w:pPr>
            <w:r>
              <w:rPr>
                <w:rFonts w:ascii="Arial" w:cs="Arial" w:eastAsia="Arial" w:hAnsi="Arial"/>
                <w:sz w:val="18"/>
                <w:szCs w:val="18"/>
                <w:b w:val="1"/>
                <w:bCs w:val="1"/>
                <w:color w:val="auto"/>
              </w:rPr>
              <w:t>443.99</w:t>
            </w:r>
          </w:p>
        </w:tc>
        <w:tc>
          <w:tcPr>
            <w:tcW w:w="13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2,270,780</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9,341</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August 1, 2024 – August 31, 2024</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2,398,061</w:t>
            </w:r>
          </w:p>
        </w:tc>
        <w:tc>
          <w:tcPr>
            <w:tcW w:w="700" w:type="dxa"/>
            <w:vAlign w:val="bottom"/>
          </w:tcPr>
          <w:p>
            <w:pPr>
              <w:spacing w:after="0"/>
              <w:rPr>
                <w:sz w:val="19"/>
                <w:szCs w:val="19"/>
                <w:color w:val="auto"/>
              </w:rPr>
            </w:pPr>
          </w:p>
        </w:tc>
        <w:tc>
          <w:tcPr>
            <w:tcW w:w="1360" w:type="dxa"/>
            <w:vAlign w:val="bottom"/>
          </w:tcPr>
          <w:p>
            <w:pPr>
              <w:jc w:val="right"/>
              <w:ind w:right="281"/>
              <w:spacing w:after="0"/>
              <w:rPr>
                <w:sz w:val="20"/>
                <w:szCs w:val="20"/>
                <w:color w:val="auto"/>
              </w:rPr>
            </w:pPr>
            <w:r>
              <w:rPr>
                <w:rFonts w:ascii="Arial" w:cs="Arial" w:eastAsia="Arial" w:hAnsi="Arial"/>
                <w:sz w:val="18"/>
                <w:szCs w:val="18"/>
                <w:b w:val="1"/>
                <w:bCs w:val="1"/>
                <w:color w:val="auto"/>
              </w:rPr>
              <w:t>412.62</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2,398,061</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E5E5E5"/>
          </w:tcPr>
          <w:p>
            <w:pPr>
              <w:ind w:left="20"/>
              <w:spacing w:after="0"/>
              <w:rPr>
                <w:sz w:val="20"/>
                <w:szCs w:val="20"/>
                <w:color w:val="auto"/>
              </w:rPr>
            </w:pPr>
            <w:r>
              <w:rPr>
                <w:rFonts w:ascii="Arial" w:cs="Arial" w:eastAsia="Arial" w:hAnsi="Arial"/>
                <w:sz w:val="18"/>
                <w:szCs w:val="18"/>
                <w:color w:val="auto"/>
              </w:rPr>
              <w:t>September 1, 2024 – September 30, 2024</w:t>
            </w:r>
          </w:p>
        </w:tc>
        <w:tc>
          <w:tcPr>
            <w:tcW w:w="13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1,894,908</w:t>
            </w:r>
          </w:p>
        </w:tc>
        <w:tc>
          <w:tcPr>
            <w:tcW w:w="700" w:type="dxa"/>
            <w:vAlign w:val="bottom"/>
            <w:shd w:val="clear" w:color="auto" w:fill="E5E5E5"/>
          </w:tcPr>
          <w:p>
            <w:pPr>
              <w:spacing w:after="0"/>
              <w:rPr>
                <w:sz w:val="19"/>
                <w:szCs w:val="19"/>
                <w:color w:val="auto"/>
              </w:rPr>
            </w:pPr>
          </w:p>
        </w:tc>
        <w:tc>
          <w:tcPr>
            <w:tcW w:w="1360" w:type="dxa"/>
            <w:vAlign w:val="bottom"/>
            <w:shd w:val="clear" w:color="auto" w:fill="E5E5E5"/>
          </w:tcPr>
          <w:p>
            <w:pPr>
              <w:jc w:val="right"/>
              <w:ind w:right="281"/>
              <w:spacing w:after="0"/>
              <w:rPr>
                <w:sz w:val="20"/>
                <w:szCs w:val="20"/>
                <w:color w:val="auto"/>
              </w:rPr>
            </w:pPr>
            <w:r>
              <w:rPr>
                <w:rFonts w:ascii="Arial" w:cs="Arial" w:eastAsia="Arial" w:hAnsi="Arial"/>
                <w:sz w:val="18"/>
                <w:szCs w:val="18"/>
                <w:b w:val="1"/>
                <w:bCs w:val="1"/>
                <w:color w:val="auto"/>
              </w:rPr>
              <w:t>423.40</w:t>
            </w:r>
          </w:p>
        </w:tc>
        <w:tc>
          <w:tcPr>
            <w:tcW w:w="13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1,894,908</w:t>
            </w:r>
          </w:p>
        </w:tc>
        <w:tc>
          <w:tcPr>
            <w:tcW w:w="400" w:type="dxa"/>
            <w:vAlign w:val="bottom"/>
            <w:shd w:val="clear" w:color="auto" w:fill="E5E5E5"/>
          </w:tcPr>
          <w:p>
            <w:pPr>
              <w:spacing w:after="0"/>
              <w:rPr>
                <w:sz w:val="19"/>
                <w:szCs w:val="19"/>
                <w:color w:val="auto"/>
              </w:rPr>
            </w:pPr>
          </w:p>
        </w:tc>
        <w:tc>
          <w:tcPr>
            <w:tcW w:w="12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7,549</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47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7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47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6,563,749</w:t>
            </w: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6,563,749</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4760" w:type="dxa"/>
            <w:vAlign w:val="bottom"/>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7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share repurchases were made using cash resources. Our share repurchases may occur through open market purchases or pursuant to a Rule 10b5-1 trading plan. The above table excludes shares repurchased to settle employee tax withholding related to the vesting of stock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 during the first quarter of fiscal year 2025: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Declaration Date</w:t>
            </w:r>
          </w:p>
        </w:tc>
        <w:tc>
          <w:tcPr>
            <w:tcW w:w="2820" w:type="dxa"/>
            <w:vAlign w:val="bottom"/>
            <w:vMerge w:val="restart"/>
          </w:tcPr>
          <w:p>
            <w:pPr>
              <w:ind w:left="680"/>
              <w:spacing w:after="0"/>
              <w:rPr>
                <w:sz w:val="20"/>
                <w:szCs w:val="20"/>
                <w:color w:val="auto"/>
              </w:rPr>
            </w:pPr>
            <w:r>
              <w:rPr>
                <w:rFonts w:ascii="Arial" w:cs="Arial" w:eastAsia="Arial" w:hAnsi="Arial"/>
                <w:sz w:val="13"/>
                <w:szCs w:val="13"/>
                <w:b w:val="1"/>
                <w:bCs w:val="1"/>
                <w:color w:val="auto"/>
              </w:rPr>
              <w:t>Record Date</w:t>
            </w:r>
          </w:p>
        </w:tc>
        <w:tc>
          <w:tcPr>
            <w:tcW w:w="2520" w:type="dxa"/>
            <w:vAlign w:val="bottom"/>
            <w:vMerge w:val="restart"/>
          </w:tcPr>
          <w:p>
            <w:pPr>
              <w:ind w:left="480"/>
              <w:spacing w:after="0"/>
              <w:rPr>
                <w:sz w:val="20"/>
                <w:szCs w:val="20"/>
                <w:color w:val="auto"/>
              </w:rPr>
            </w:pPr>
            <w:r>
              <w:rPr>
                <w:rFonts w:ascii="Arial" w:cs="Arial" w:eastAsia="Arial" w:hAnsi="Arial"/>
                <w:sz w:val="13"/>
                <w:szCs w:val="13"/>
                <w:b w:val="1"/>
                <w:bCs w:val="1"/>
                <w:color w:val="auto"/>
              </w:rPr>
              <w:t>Payment Date</w:t>
            </w:r>
          </w:p>
        </w:tc>
        <w:tc>
          <w:tcPr>
            <w:tcW w:w="880" w:type="dxa"/>
            <w:vAlign w:val="bottom"/>
          </w:tcPr>
          <w:p>
            <w:pPr>
              <w:spacing w:after="0"/>
              <w:rPr>
                <w:sz w:val="13"/>
                <w:szCs w:val="13"/>
                <w:color w:val="auto"/>
              </w:rPr>
            </w:pPr>
          </w:p>
        </w:tc>
        <w:tc>
          <w:tcPr>
            <w:tcW w:w="1080" w:type="dxa"/>
            <w:vAlign w:val="bottom"/>
          </w:tcPr>
          <w:p>
            <w:pPr>
              <w:jc w:val="right"/>
              <w:ind w:right="45"/>
              <w:spacing w:after="0"/>
              <w:rPr>
                <w:sz w:val="20"/>
                <w:szCs w:val="20"/>
                <w:color w:val="auto"/>
              </w:rPr>
            </w:pPr>
            <w:r>
              <w:rPr>
                <w:rFonts w:ascii="Arial" w:cs="Arial" w:eastAsia="Arial" w:hAnsi="Arial"/>
                <w:sz w:val="13"/>
                <w:szCs w:val="13"/>
                <w:b w:val="1"/>
                <w:bCs w:val="1"/>
                <w:color w:val="auto"/>
              </w:rPr>
              <w:t>Dividend</w:t>
            </w:r>
          </w:p>
        </w:tc>
        <w:tc>
          <w:tcPr>
            <w:tcW w:w="460" w:type="dxa"/>
            <w:vAlign w:val="bottom"/>
          </w:tcPr>
          <w:p>
            <w:pPr>
              <w:spacing w:after="0"/>
              <w:rPr>
                <w:sz w:val="13"/>
                <w:szCs w:val="13"/>
                <w:color w:val="auto"/>
              </w:rPr>
            </w:pP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86"/>
        </w:trPr>
        <w:tc>
          <w:tcPr>
            <w:tcW w:w="2380" w:type="dxa"/>
            <w:vAlign w:val="bottom"/>
            <w:vMerge w:val="continue"/>
          </w:tcPr>
          <w:p>
            <w:pPr>
              <w:spacing w:after="0"/>
              <w:rPr>
                <w:sz w:val="16"/>
                <w:szCs w:val="16"/>
                <w:color w:val="auto"/>
              </w:rPr>
            </w:pPr>
          </w:p>
        </w:tc>
        <w:tc>
          <w:tcPr>
            <w:tcW w:w="2820" w:type="dxa"/>
            <w:vAlign w:val="bottom"/>
            <w:vMerge w:val="continue"/>
          </w:tcPr>
          <w:p>
            <w:pPr>
              <w:spacing w:after="0"/>
              <w:rPr>
                <w:sz w:val="16"/>
                <w:szCs w:val="16"/>
                <w:color w:val="auto"/>
              </w:rPr>
            </w:pPr>
          </w:p>
        </w:tc>
        <w:tc>
          <w:tcPr>
            <w:tcW w:w="252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jc w:val="right"/>
              <w:ind w:right="45"/>
              <w:spacing w:after="0"/>
              <w:rPr>
                <w:sz w:val="20"/>
                <w:szCs w:val="20"/>
                <w:color w:val="auto"/>
              </w:rPr>
            </w:pPr>
            <w:r>
              <w:rPr>
                <w:rFonts w:ascii="Arial" w:cs="Arial" w:eastAsia="Arial" w:hAnsi="Arial"/>
                <w:sz w:val="13"/>
                <w:szCs w:val="13"/>
                <w:b w:val="1"/>
                <w:bCs w:val="1"/>
                <w:color w:val="auto"/>
              </w:rPr>
              <w:t>Per Share</w:t>
            </w:r>
          </w:p>
        </w:tc>
        <w:tc>
          <w:tcPr>
            <w:tcW w:w="4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380" w:type="dxa"/>
            <w:vAlign w:val="bottom"/>
            <w:tcBorders>
              <w:bottom w:val="single" w:sz="8" w:color="auto"/>
            </w:tcBorders>
          </w:tcPr>
          <w:p>
            <w:pPr>
              <w:spacing w:after="0"/>
              <w:rPr>
                <w:sz w:val="5"/>
                <w:szCs w:val="5"/>
                <w:color w:val="auto"/>
              </w:rPr>
            </w:pPr>
          </w:p>
        </w:tc>
        <w:tc>
          <w:tcPr>
            <w:tcW w:w="282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3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58"/>
        </w:trPr>
        <w:tc>
          <w:tcPr>
            <w:tcW w:w="2380" w:type="dxa"/>
            <w:vAlign w:val="bottom"/>
          </w:tcPr>
          <w:p>
            <w:pPr>
              <w:spacing w:after="0"/>
              <w:rPr>
                <w:sz w:val="5"/>
                <w:szCs w:val="5"/>
                <w:color w:val="auto"/>
              </w:rPr>
            </w:pPr>
          </w:p>
        </w:tc>
        <w:tc>
          <w:tcPr>
            <w:tcW w:w="28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September 16, 2024</w:t>
            </w:r>
          </w:p>
        </w:tc>
        <w:tc>
          <w:tcPr>
            <w:tcW w:w="2820" w:type="dxa"/>
            <w:vAlign w:val="bottom"/>
            <w:shd w:val="clear" w:color="auto" w:fill="E5E5E5"/>
          </w:tcPr>
          <w:p>
            <w:pPr>
              <w:ind w:left="680"/>
              <w:spacing w:after="0"/>
              <w:rPr>
                <w:sz w:val="20"/>
                <w:szCs w:val="20"/>
                <w:color w:val="auto"/>
              </w:rPr>
            </w:pPr>
            <w:r>
              <w:rPr>
                <w:rFonts w:ascii="Arial" w:cs="Arial" w:eastAsia="Arial" w:hAnsi="Arial"/>
                <w:sz w:val="18"/>
                <w:szCs w:val="18"/>
                <w:b w:val="1"/>
                <w:bCs w:val="1"/>
                <w:color w:val="auto"/>
              </w:rPr>
              <w:t>November 21, 2024</w:t>
            </w:r>
          </w:p>
        </w:tc>
        <w:tc>
          <w:tcPr>
            <w:tcW w:w="2520" w:type="dxa"/>
            <w:vAlign w:val="bottom"/>
            <w:shd w:val="clear" w:color="auto" w:fill="E5E5E5"/>
          </w:tcPr>
          <w:p>
            <w:pPr>
              <w:ind w:left="480"/>
              <w:spacing w:after="0"/>
              <w:rPr>
                <w:sz w:val="20"/>
                <w:szCs w:val="20"/>
                <w:color w:val="auto"/>
              </w:rPr>
            </w:pPr>
            <w:r>
              <w:rPr>
                <w:rFonts w:ascii="Arial" w:cs="Arial" w:eastAsia="Arial" w:hAnsi="Arial"/>
                <w:sz w:val="18"/>
                <w:szCs w:val="18"/>
                <w:b w:val="1"/>
                <w:bCs w:val="1"/>
                <w:color w:val="auto"/>
              </w:rPr>
              <w:t>December 12, 2024</w:t>
            </w:r>
          </w:p>
        </w:tc>
        <w:tc>
          <w:tcPr>
            <w:tcW w:w="880" w:type="dxa"/>
            <w:vAlign w:val="bottom"/>
            <w:shd w:val="clear" w:color="auto" w:fill="E5E5E5"/>
          </w:tcPr>
          <w:p>
            <w:pPr>
              <w:jc w:val="right"/>
              <w:ind w:right="25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E5E5E5"/>
          </w:tcPr>
          <w:p>
            <w:pPr>
              <w:jc w:val="right"/>
              <w:ind w:right="45"/>
              <w:spacing w:after="0"/>
              <w:rPr>
                <w:sz w:val="20"/>
                <w:szCs w:val="20"/>
                <w:color w:val="auto"/>
              </w:rPr>
            </w:pPr>
            <w:r>
              <w:rPr>
                <w:rFonts w:ascii="Arial" w:cs="Arial" w:eastAsia="Arial" w:hAnsi="Arial"/>
                <w:sz w:val="18"/>
                <w:szCs w:val="18"/>
                <w:b w:val="1"/>
                <w:bCs w:val="1"/>
                <w:color w:val="auto"/>
              </w:rPr>
              <w:t>0.83</w:t>
            </w:r>
          </w:p>
        </w:tc>
        <w:tc>
          <w:tcPr>
            <w:tcW w:w="460" w:type="dxa"/>
            <w:vAlign w:val="bottom"/>
            <w:shd w:val="clear" w:color="auto" w:fill="E5E5E5"/>
          </w:tcPr>
          <w:p>
            <w:pPr>
              <w:jc w:val="right"/>
              <w:ind w:right="13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5E5E5"/>
          </w:tcPr>
          <w:p>
            <w:pPr>
              <w:jc w:val="right"/>
              <w:ind w:right="5"/>
              <w:spacing w:after="0"/>
              <w:rPr>
                <w:sz w:val="20"/>
                <w:szCs w:val="20"/>
                <w:color w:val="auto"/>
              </w:rPr>
            </w:pPr>
            <w:r>
              <w:rPr>
                <w:rFonts w:ascii="Arial" w:cs="Arial" w:eastAsia="Arial" w:hAnsi="Arial"/>
                <w:sz w:val="18"/>
                <w:szCs w:val="18"/>
                <w:b w:val="1"/>
                <w:bCs w:val="1"/>
                <w:color w:val="auto"/>
              </w:rPr>
              <w:t>6,172</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380" w:type="dxa"/>
            <w:vAlign w:val="bottom"/>
            <w:tcBorders>
              <w:bottom w:val="single" w:sz="8" w:color="auto"/>
            </w:tcBorders>
          </w:tcPr>
          <w:p>
            <w:pPr>
              <w:spacing w:after="0"/>
              <w:rPr>
                <w:sz w:val="5"/>
                <w:szCs w:val="5"/>
                <w:color w:val="auto"/>
              </w:rPr>
            </w:pPr>
          </w:p>
        </w:tc>
        <w:tc>
          <w:tcPr>
            <w:tcW w:w="282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returned $9.0 billion to shareholders in the form of share repurchases and dividends in the first quarter of fiscal year 2025. Refer to Note 15 – Stockholders’ Equity of the Notes to Financial Statements (Part I, Item 1 of this Form 10-Q) for further discussion regarding share repurchases and dividends.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60" w:name="page61"/>
    <w:bookmarkEnd w:id="60"/>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5</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ITEM 5. OTHER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Arrangements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None of our officers or directors, as defined in Rule 16a-1(f) of the Securities Exchange Act of 1934, adopted, modified, or terminated a “Rule 10b5-1 trading arrangement” or a “non-Rule 10b5-1 trading arrangement,” as defined in Item 408 of Regulation S-K, during the three months ended September 30, 2024.</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61" w:name="page62"/>
    <w:bookmarkEnd w:id="61"/>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6</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6. EXHIBITS</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8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Incorporated by Reference</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20" w:type="dxa"/>
            <w:vAlign w:val="bottom"/>
          </w:tcPr>
          <w:p>
            <w:pPr>
              <w:spacing w:after="0" w:line="141" w:lineRule="exact"/>
              <w:rPr>
                <w:sz w:val="20"/>
                <w:szCs w:val="20"/>
                <w:color w:val="auto"/>
              </w:rPr>
            </w:pPr>
            <w:r>
              <w:rPr>
                <w:rFonts w:ascii="Arial" w:cs="Arial" w:eastAsia="Arial" w:hAnsi="Arial"/>
                <w:sz w:val="13"/>
                <w:szCs w:val="13"/>
                <w:b w:val="1"/>
                <w:bCs w:val="1"/>
                <w:color w:val="auto"/>
              </w:rPr>
              <w:t>Exhibit</w:t>
            </w:r>
          </w:p>
        </w:tc>
        <w:tc>
          <w:tcPr>
            <w:tcW w:w="3080" w:type="dxa"/>
            <w:vAlign w:val="bottom"/>
            <w:vMerge w:val="restart"/>
          </w:tcPr>
          <w:p>
            <w:pPr>
              <w:ind w:left="320"/>
              <w:spacing w:after="0"/>
              <w:rPr>
                <w:sz w:val="20"/>
                <w:szCs w:val="20"/>
                <w:color w:val="auto"/>
              </w:rPr>
            </w:pPr>
            <w:r>
              <w:rPr>
                <w:rFonts w:ascii="Arial" w:cs="Arial" w:eastAsia="Arial" w:hAnsi="Arial"/>
                <w:sz w:val="13"/>
                <w:szCs w:val="13"/>
                <w:b w:val="1"/>
                <w:bCs w:val="1"/>
                <w:color w:val="auto"/>
              </w:rPr>
              <w:t>Exhibit Description</w:t>
            </w:r>
          </w:p>
        </w:tc>
        <w:tc>
          <w:tcPr>
            <w:tcW w:w="2500" w:type="dxa"/>
            <w:vAlign w:val="bottom"/>
          </w:tcPr>
          <w:p>
            <w:pPr>
              <w:jc w:val="center"/>
              <w:ind w:left="1053"/>
              <w:spacing w:after="0" w:line="141" w:lineRule="exact"/>
              <w:rPr>
                <w:sz w:val="20"/>
                <w:szCs w:val="20"/>
                <w:color w:val="auto"/>
              </w:rPr>
            </w:pPr>
            <w:r>
              <w:rPr>
                <w:rFonts w:ascii="Arial" w:cs="Arial" w:eastAsia="Arial" w:hAnsi="Arial"/>
                <w:sz w:val="13"/>
                <w:szCs w:val="13"/>
                <w:b w:val="1"/>
                <w:bCs w:val="1"/>
                <w:color w:val="auto"/>
                <w:w w:val="98"/>
              </w:rPr>
              <w:t>Filed</w:t>
            </w:r>
          </w:p>
        </w:tc>
        <w:tc>
          <w:tcPr>
            <w:tcW w:w="1340" w:type="dxa"/>
            <w:vAlign w:val="bottom"/>
            <w:vMerge w:val="restart"/>
          </w:tcPr>
          <w:p>
            <w:pPr>
              <w:ind w:left="780"/>
              <w:spacing w:after="0"/>
              <w:rPr>
                <w:sz w:val="20"/>
                <w:szCs w:val="20"/>
                <w:color w:val="auto"/>
              </w:rPr>
            </w:pPr>
            <w:r>
              <w:rPr>
                <w:rFonts w:ascii="Arial" w:cs="Arial" w:eastAsia="Arial" w:hAnsi="Arial"/>
                <w:sz w:val="13"/>
                <w:szCs w:val="13"/>
                <w:b w:val="1"/>
                <w:bCs w:val="1"/>
                <w:color w:val="auto"/>
              </w:rPr>
              <w:t>Form</w:t>
            </w:r>
          </w:p>
        </w:tc>
        <w:tc>
          <w:tcPr>
            <w:tcW w:w="1360" w:type="dxa"/>
            <w:vAlign w:val="bottom"/>
          </w:tcPr>
          <w:p>
            <w:pPr>
              <w:jc w:val="right"/>
              <w:ind w:right="313"/>
              <w:spacing w:after="0" w:line="141" w:lineRule="exact"/>
              <w:rPr>
                <w:sz w:val="20"/>
                <w:szCs w:val="20"/>
                <w:color w:val="auto"/>
              </w:rPr>
            </w:pPr>
            <w:r>
              <w:rPr>
                <w:rFonts w:ascii="Arial" w:cs="Arial" w:eastAsia="Arial" w:hAnsi="Arial"/>
                <w:sz w:val="13"/>
                <w:szCs w:val="13"/>
                <w:b w:val="1"/>
                <w:bCs w:val="1"/>
                <w:color w:val="auto"/>
              </w:rPr>
              <w:t>Period</w:t>
            </w:r>
          </w:p>
        </w:tc>
        <w:tc>
          <w:tcPr>
            <w:tcW w:w="1140" w:type="dxa"/>
            <w:vAlign w:val="bottom"/>
            <w:vMerge w:val="restart"/>
          </w:tcPr>
          <w:p>
            <w:pPr>
              <w:ind w:left="400"/>
              <w:spacing w:after="0"/>
              <w:rPr>
                <w:sz w:val="20"/>
                <w:szCs w:val="20"/>
                <w:color w:val="auto"/>
              </w:rPr>
            </w:pPr>
            <w:r>
              <w:rPr>
                <w:rFonts w:ascii="Arial" w:cs="Arial" w:eastAsia="Arial" w:hAnsi="Arial"/>
                <w:sz w:val="13"/>
                <w:szCs w:val="13"/>
                <w:b w:val="1"/>
                <w:bCs w:val="1"/>
                <w:color w:val="auto"/>
              </w:rPr>
              <w:t>Exhibit</w:t>
            </w:r>
          </w:p>
        </w:tc>
        <w:tc>
          <w:tcPr>
            <w:tcW w:w="980" w:type="dxa"/>
            <w:vAlign w:val="bottom"/>
            <w:vMerge w:val="restart"/>
          </w:tcPr>
          <w:p>
            <w:pPr>
              <w:ind w:left="280"/>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20"/>
                <w:szCs w:val="20"/>
                <w:color w:val="auto"/>
              </w:rPr>
            </w:pPr>
            <w:r>
              <w:rPr>
                <w:rFonts w:ascii="Arial" w:cs="Arial" w:eastAsia="Arial" w:hAnsi="Arial"/>
                <w:sz w:val="13"/>
                <w:szCs w:val="13"/>
                <w:b w:val="1"/>
                <w:bCs w:val="1"/>
                <w:color w:val="auto"/>
              </w:rPr>
              <w:t>Number</w:t>
            </w:r>
          </w:p>
        </w:tc>
        <w:tc>
          <w:tcPr>
            <w:tcW w:w="3080" w:type="dxa"/>
            <w:vAlign w:val="bottom"/>
            <w:vMerge w:val="continue"/>
          </w:tcPr>
          <w:p>
            <w:pPr>
              <w:spacing w:after="0"/>
              <w:rPr>
                <w:sz w:val="16"/>
                <w:szCs w:val="16"/>
                <w:color w:val="auto"/>
              </w:rPr>
            </w:pPr>
          </w:p>
        </w:tc>
        <w:tc>
          <w:tcPr>
            <w:tcW w:w="2500" w:type="dxa"/>
            <w:vAlign w:val="bottom"/>
          </w:tcPr>
          <w:p>
            <w:pPr>
              <w:jc w:val="center"/>
              <w:ind w:left="1053"/>
              <w:spacing w:after="0"/>
              <w:rPr>
                <w:sz w:val="20"/>
                <w:szCs w:val="20"/>
                <w:color w:val="auto"/>
              </w:rPr>
            </w:pPr>
            <w:r>
              <w:rPr>
                <w:rFonts w:ascii="Arial" w:cs="Arial" w:eastAsia="Arial" w:hAnsi="Arial"/>
                <w:sz w:val="13"/>
                <w:szCs w:val="13"/>
                <w:b w:val="1"/>
                <w:bCs w:val="1"/>
                <w:color w:val="auto"/>
              </w:rPr>
              <w:t>Herewith</w:t>
            </w:r>
          </w:p>
        </w:tc>
        <w:tc>
          <w:tcPr>
            <w:tcW w:w="1340" w:type="dxa"/>
            <w:vAlign w:val="bottom"/>
            <w:vMerge w:val="continue"/>
          </w:tcPr>
          <w:p>
            <w:pPr>
              <w:spacing w:after="0"/>
              <w:rPr>
                <w:sz w:val="16"/>
                <w:szCs w:val="16"/>
                <w:color w:val="auto"/>
              </w:rPr>
            </w:pPr>
          </w:p>
        </w:tc>
        <w:tc>
          <w:tcPr>
            <w:tcW w:w="1360" w:type="dxa"/>
            <w:vAlign w:val="bottom"/>
          </w:tcPr>
          <w:p>
            <w:pPr>
              <w:jc w:val="right"/>
              <w:ind w:right="313"/>
              <w:spacing w:after="0"/>
              <w:rPr>
                <w:sz w:val="20"/>
                <w:szCs w:val="20"/>
                <w:color w:val="auto"/>
              </w:rPr>
            </w:pPr>
            <w:r>
              <w:rPr>
                <w:rFonts w:ascii="Arial" w:cs="Arial" w:eastAsia="Arial" w:hAnsi="Arial"/>
                <w:sz w:val="13"/>
                <w:szCs w:val="13"/>
                <w:b w:val="1"/>
                <w:bCs w:val="1"/>
                <w:color w:val="auto"/>
              </w:rPr>
              <w:t>Ending</w:t>
            </w:r>
          </w:p>
        </w:tc>
        <w:tc>
          <w:tcPr>
            <w:tcW w:w="11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15.1</w:t>
            </w:r>
          </w:p>
        </w:tc>
        <w:tc>
          <w:tcPr>
            <w:tcW w:w="3840" w:type="dxa"/>
            <w:vAlign w:val="bottom"/>
            <w:gridSpan w:val="6"/>
          </w:tcPr>
          <w:p>
            <w:pPr>
              <w:spacing w:after="0"/>
              <w:rPr>
                <w:sz w:val="20"/>
                <w:szCs w:val="20"/>
                <w:color w:val="auto"/>
              </w:rPr>
            </w:pPr>
            <w:r>
              <w:rPr>
                <w:rFonts w:ascii="Arial" w:cs="Arial" w:eastAsia="Arial" w:hAnsi="Arial"/>
                <w:sz w:val="18"/>
                <w:szCs w:val="18"/>
                <w:color w:val="auto"/>
              </w:rPr>
              <w:t>Letter regarding unaudited interim financial</w:t>
            </w:r>
          </w:p>
        </w:tc>
      </w:tr>
      <w:tr>
        <w:trPr>
          <w:trHeight w:val="182"/>
        </w:trPr>
        <w:tc>
          <w:tcPr>
            <w:tcW w:w="1140" w:type="dxa"/>
            <w:vAlign w:val="bottom"/>
          </w:tcPr>
          <w:p>
            <w:pPr>
              <w:spacing w:after="0"/>
              <w:rPr>
                <w:sz w:val="15"/>
                <w:szCs w:val="15"/>
                <w:color w:val="auto"/>
              </w:rPr>
            </w:pPr>
          </w:p>
        </w:tc>
        <w:tc>
          <w:tcPr>
            <w:tcW w:w="9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auto"/>
                <w:w w:val="98"/>
              </w:rPr>
              <w:t>information</w:t>
            </w:r>
          </w:p>
        </w:tc>
        <w:tc>
          <w:tcPr>
            <w:tcW w:w="256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17"/>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38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auto"/>
              </w:rPr>
              <w:t>Certification of Chief Executive Officer Pursuant</w:t>
            </w:r>
          </w:p>
        </w:tc>
      </w:tr>
      <w:tr>
        <w:trPr>
          <w:trHeight w:val="182"/>
        </w:trPr>
        <w:tc>
          <w:tcPr>
            <w:tcW w:w="1140" w:type="dxa"/>
            <w:vAlign w:val="bottom"/>
          </w:tcPr>
          <w:p>
            <w:pPr>
              <w:spacing w:after="0"/>
              <w:rPr>
                <w:sz w:val="15"/>
                <w:szCs w:val="15"/>
                <w:color w:val="auto"/>
              </w:rPr>
            </w:pPr>
          </w:p>
        </w:tc>
        <w:tc>
          <w:tcPr>
            <w:tcW w:w="3840" w:type="dxa"/>
            <w:vAlign w:val="bottom"/>
            <w:gridSpan w:val="6"/>
          </w:tcPr>
          <w:p>
            <w:pPr>
              <w:spacing w:after="0" w:line="182" w:lineRule="exact"/>
              <w:rPr>
                <w:sz w:val="20"/>
                <w:szCs w:val="20"/>
                <w:color w:val="auto"/>
              </w:rPr>
            </w:pPr>
            <w:r>
              <w:rPr>
                <w:rFonts w:ascii="Arial" w:cs="Arial" w:eastAsia="Arial" w:hAnsi="Arial"/>
                <w:sz w:val="18"/>
                <w:szCs w:val="18"/>
                <w:color w:val="auto"/>
              </w:rPr>
              <w:t>to Section 302 of the Sarbanes-Oxley Act of</w:t>
            </w:r>
          </w:p>
        </w:tc>
      </w:tr>
      <w:tr>
        <w:trPr>
          <w:trHeight w:val="182"/>
        </w:trPr>
        <w:tc>
          <w:tcPr>
            <w:tcW w:w="114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auto"/>
                <w:w w:val="94"/>
              </w:rPr>
              <w:t>2002</w:t>
            </w:r>
          </w:p>
        </w:tc>
        <w:tc>
          <w:tcPr>
            <w:tcW w:w="500" w:type="dxa"/>
            <w:vAlign w:val="bottom"/>
            <w:tcBorders>
              <w:top w:val="single" w:sz="8" w:color="0000EE"/>
            </w:tcBorders>
          </w:tcPr>
          <w:p>
            <w:pPr>
              <w:spacing w:after="0"/>
              <w:rPr>
                <w:sz w:val="15"/>
                <w:szCs w:val="15"/>
                <w:color w:val="auto"/>
              </w:rPr>
            </w:pPr>
          </w:p>
        </w:tc>
        <w:tc>
          <w:tcPr>
            <w:tcW w:w="25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17"/>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3840" w:type="dxa"/>
            <w:vAlign w:val="bottom"/>
            <w:gridSpan w:val="6"/>
          </w:tcPr>
          <w:p>
            <w:pPr>
              <w:spacing w:after="0"/>
              <w:rPr>
                <w:sz w:val="20"/>
                <w:szCs w:val="20"/>
                <w:color w:val="auto"/>
              </w:rPr>
            </w:pPr>
            <w:r>
              <w:rPr>
                <w:rFonts w:ascii="Arial" w:cs="Arial" w:eastAsia="Arial" w:hAnsi="Arial"/>
                <w:sz w:val="18"/>
                <w:szCs w:val="18"/>
                <w:color w:val="auto"/>
              </w:rPr>
              <w:t>Certification of Chief Financial Officer Pursuant</w:t>
            </w:r>
          </w:p>
        </w:tc>
      </w:tr>
      <w:tr>
        <w:trPr>
          <w:trHeight w:val="182"/>
        </w:trPr>
        <w:tc>
          <w:tcPr>
            <w:tcW w:w="1140" w:type="dxa"/>
            <w:vAlign w:val="bottom"/>
          </w:tcPr>
          <w:p>
            <w:pPr>
              <w:spacing w:after="0"/>
              <w:rPr>
                <w:sz w:val="15"/>
                <w:szCs w:val="15"/>
                <w:color w:val="auto"/>
              </w:rPr>
            </w:pPr>
          </w:p>
        </w:tc>
        <w:tc>
          <w:tcPr>
            <w:tcW w:w="378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auto"/>
              </w:rPr>
              <w:t>to Section 302 of the Sarbanes-Oxley Act of</w:t>
            </w:r>
          </w:p>
        </w:tc>
        <w:tc>
          <w:tcPr>
            <w:tcW w:w="60" w:type="dxa"/>
            <w:vAlign w:val="bottom"/>
          </w:tcPr>
          <w:p>
            <w:pPr>
              <w:spacing w:after="0"/>
              <w:rPr>
                <w:sz w:val="15"/>
                <w:szCs w:val="15"/>
                <w:color w:val="auto"/>
              </w:rPr>
            </w:pPr>
          </w:p>
        </w:tc>
      </w:tr>
      <w:tr>
        <w:trPr>
          <w:trHeight w:val="182"/>
        </w:trPr>
        <w:tc>
          <w:tcPr>
            <w:tcW w:w="114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auto"/>
                <w:w w:val="94"/>
              </w:rPr>
              <w:t>2002</w:t>
            </w:r>
          </w:p>
        </w:tc>
        <w:tc>
          <w:tcPr>
            <w:tcW w:w="500" w:type="dxa"/>
            <w:vAlign w:val="bottom"/>
            <w:tcBorders>
              <w:top w:val="single" w:sz="8" w:color="0000EE"/>
            </w:tcBorders>
          </w:tcPr>
          <w:p>
            <w:pPr>
              <w:spacing w:after="0"/>
              <w:rPr>
                <w:sz w:val="15"/>
                <w:szCs w:val="15"/>
                <w:color w:val="auto"/>
              </w:rPr>
            </w:pPr>
          </w:p>
        </w:tc>
        <w:tc>
          <w:tcPr>
            <w:tcW w:w="25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17"/>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38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auto"/>
              </w:rPr>
              <w:t>Certification of Chief Executive Officer Pursuant</w:t>
            </w:r>
          </w:p>
        </w:tc>
      </w:tr>
      <w:tr>
        <w:trPr>
          <w:trHeight w:val="182"/>
        </w:trPr>
        <w:tc>
          <w:tcPr>
            <w:tcW w:w="1140" w:type="dxa"/>
            <w:vAlign w:val="bottom"/>
          </w:tcPr>
          <w:p>
            <w:pPr>
              <w:spacing w:after="0"/>
              <w:rPr>
                <w:sz w:val="15"/>
                <w:szCs w:val="15"/>
                <w:color w:val="auto"/>
              </w:rPr>
            </w:pPr>
          </w:p>
        </w:tc>
        <w:tc>
          <w:tcPr>
            <w:tcW w:w="3840" w:type="dxa"/>
            <w:vAlign w:val="bottom"/>
            <w:gridSpan w:val="6"/>
          </w:tcPr>
          <w:p>
            <w:pPr>
              <w:spacing w:after="0" w:line="182" w:lineRule="exact"/>
              <w:rPr>
                <w:sz w:val="20"/>
                <w:szCs w:val="20"/>
                <w:color w:val="auto"/>
              </w:rPr>
            </w:pPr>
            <w:r>
              <w:rPr>
                <w:rFonts w:ascii="Arial" w:cs="Arial" w:eastAsia="Arial" w:hAnsi="Arial"/>
                <w:sz w:val="18"/>
                <w:szCs w:val="18"/>
                <w:color w:val="auto"/>
              </w:rPr>
              <w:t>to Section 906 of the Sarbanes-Oxley Act of</w:t>
            </w:r>
          </w:p>
        </w:tc>
      </w:tr>
      <w:tr>
        <w:trPr>
          <w:trHeight w:val="182"/>
        </w:trPr>
        <w:tc>
          <w:tcPr>
            <w:tcW w:w="114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auto"/>
                <w:w w:val="94"/>
              </w:rPr>
              <w:t>2002</w:t>
            </w:r>
          </w:p>
        </w:tc>
        <w:tc>
          <w:tcPr>
            <w:tcW w:w="500" w:type="dxa"/>
            <w:vAlign w:val="bottom"/>
            <w:tcBorders>
              <w:top w:val="single" w:sz="8" w:color="0000EE"/>
            </w:tcBorders>
          </w:tcPr>
          <w:p>
            <w:pPr>
              <w:spacing w:after="0"/>
              <w:rPr>
                <w:sz w:val="15"/>
                <w:szCs w:val="15"/>
                <w:color w:val="auto"/>
              </w:rPr>
            </w:pPr>
          </w:p>
        </w:tc>
        <w:tc>
          <w:tcPr>
            <w:tcW w:w="25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17"/>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3840" w:type="dxa"/>
            <w:vAlign w:val="bottom"/>
            <w:gridSpan w:val="6"/>
          </w:tcPr>
          <w:p>
            <w:pPr>
              <w:spacing w:after="0"/>
              <w:rPr>
                <w:sz w:val="20"/>
                <w:szCs w:val="20"/>
                <w:color w:val="auto"/>
              </w:rPr>
            </w:pPr>
            <w:r>
              <w:rPr>
                <w:rFonts w:ascii="Arial" w:cs="Arial" w:eastAsia="Arial" w:hAnsi="Arial"/>
                <w:sz w:val="18"/>
                <w:szCs w:val="18"/>
                <w:color w:val="auto"/>
              </w:rPr>
              <w:t>Certification of Chief Financial Officer Pursuant</w:t>
            </w:r>
          </w:p>
        </w:tc>
      </w:tr>
      <w:tr>
        <w:trPr>
          <w:trHeight w:val="182"/>
        </w:trPr>
        <w:tc>
          <w:tcPr>
            <w:tcW w:w="1140" w:type="dxa"/>
            <w:vAlign w:val="bottom"/>
          </w:tcPr>
          <w:p>
            <w:pPr>
              <w:spacing w:after="0"/>
              <w:rPr>
                <w:sz w:val="15"/>
                <w:szCs w:val="15"/>
                <w:color w:val="auto"/>
              </w:rPr>
            </w:pPr>
          </w:p>
        </w:tc>
        <w:tc>
          <w:tcPr>
            <w:tcW w:w="378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auto"/>
              </w:rPr>
              <w:t>to Section 906 of the Sarbanes-Oxley Act of</w:t>
            </w:r>
          </w:p>
        </w:tc>
        <w:tc>
          <w:tcPr>
            <w:tcW w:w="60" w:type="dxa"/>
            <w:vAlign w:val="bottom"/>
          </w:tcPr>
          <w:p>
            <w:pPr>
              <w:spacing w:after="0"/>
              <w:rPr>
                <w:sz w:val="15"/>
                <w:szCs w:val="15"/>
                <w:color w:val="auto"/>
              </w:rPr>
            </w:pPr>
          </w:p>
        </w:tc>
      </w:tr>
      <w:tr>
        <w:trPr>
          <w:trHeight w:val="182"/>
        </w:trPr>
        <w:tc>
          <w:tcPr>
            <w:tcW w:w="114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auto"/>
                <w:w w:val="94"/>
              </w:rPr>
              <w:t>2002</w:t>
            </w:r>
          </w:p>
        </w:tc>
        <w:tc>
          <w:tcPr>
            <w:tcW w:w="500" w:type="dxa"/>
            <w:vAlign w:val="bottom"/>
            <w:tcBorders>
              <w:top w:val="single" w:sz="8" w:color="0000EE"/>
            </w:tcBorders>
          </w:tcPr>
          <w:p>
            <w:pPr>
              <w:spacing w:after="0"/>
              <w:rPr>
                <w:sz w:val="15"/>
                <w:szCs w:val="15"/>
                <w:color w:val="auto"/>
              </w:rPr>
            </w:pPr>
          </w:p>
        </w:tc>
        <w:tc>
          <w:tcPr>
            <w:tcW w:w="25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25"/>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3840" w:type="dxa"/>
            <w:vAlign w:val="bottom"/>
            <w:gridSpan w:val="6"/>
          </w:tcPr>
          <w:p>
            <w:pPr>
              <w:spacing w:after="0"/>
              <w:rPr>
                <w:sz w:val="20"/>
                <w:szCs w:val="20"/>
                <w:color w:val="auto"/>
              </w:rPr>
            </w:pPr>
            <w:r>
              <w:rPr>
                <w:rFonts w:ascii="Arial" w:cs="Arial" w:eastAsia="Arial" w:hAnsi="Arial"/>
                <w:sz w:val="18"/>
                <w:szCs w:val="18"/>
                <w:color w:val="auto"/>
              </w:rPr>
              <w:t>Inline XBRL Instance Document–the instance</w:t>
            </w:r>
          </w:p>
        </w:tc>
      </w:tr>
      <w:tr>
        <w:trPr>
          <w:trHeight w:val="202"/>
        </w:trPr>
        <w:tc>
          <w:tcPr>
            <w:tcW w:w="1140" w:type="dxa"/>
            <w:vAlign w:val="bottom"/>
          </w:tcPr>
          <w:p>
            <w:pPr>
              <w:spacing w:after="0"/>
              <w:rPr>
                <w:sz w:val="17"/>
                <w:szCs w:val="17"/>
                <w:color w:val="auto"/>
              </w:rPr>
            </w:pPr>
          </w:p>
        </w:tc>
        <w:tc>
          <w:tcPr>
            <w:tcW w:w="3840" w:type="dxa"/>
            <w:vAlign w:val="bottom"/>
            <w:gridSpan w:val="6"/>
          </w:tcPr>
          <w:p>
            <w:pPr>
              <w:spacing w:after="0" w:line="202" w:lineRule="exact"/>
              <w:rPr>
                <w:sz w:val="20"/>
                <w:szCs w:val="20"/>
                <w:color w:val="auto"/>
              </w:rPr>
            </w:pPr>
            <w:r>
              <w:rPr>
                <w:rFonts w:ascii="Arial" w:cs="Arial" w:eastAsia="Arial" w:hAnsi="Arial"/>
                <w:sz w:val="18"/>
                <w:szCs w:val="18"/>
                <w:color w:val="auto"/>
              </w:rPr>
              <w:t>document does not appear in the Interactive</w:t>
            </w:r>
          </w:p>
        </w:tc>
      </w:tr>
      <w:tr>
        <w:trPr>
          <w:trHeight w:val="202"/>
        </w:trPr>
        <w:tc>
          <w:tcPr>
            <w:tcW w:w="1140" w:type="dxa"/>
            <w:vAlign w:val="bottom"/>
          </w:tcPr>
          <w:p>
            <w:pPr>
              <w:spacing w:after="0"/>
              <w:rPr>
                <w:sz w:val="17"/>
                <w:szCs w:val="17"/>
                <w:color w:val="auto"/>
              </w:rPr>
            </w:pPr>
          </w:p>
        </w:tc>
        <w:tc>
          <w:tcPr>
            <w:tcW w:w="3840" w:type="dxa"/>
            <w:vAlign w:val="bottom"/>
            <w:gridSpan w:val="6"/>
          </w:tcPr>
          <w:p>
            <w:pPr>
              <w:spacing w:after="0" w:line="202" w:lineRule="exact"/>
              <w:rPr>
                <w:sz w:val="20"/>
                <w:szCs w:val="20"/>
                <w:color w:val="auto"/>
              </w:rPr>
            </w:pPr>
            <w:r>
              <w:rPr>
                <w:rFonts w:ascii="Arial" w:cs="Arial" w:eastAsia="Arial" w:hAnsi="Arial"/>
                <w:sz w:val="18"/>
                <w:szCs w:val="18"/>
                <w:color w:val="auto"/>
                <w:w w:val="99"/>
              </w:rPr>
              <w:t>Data File as its XBRL tags are embedded within</w:t>
            </w:r>
          </w:p>
        </w:tc>
      </w:tr>
      <w:tr>
        <w:trPr>
          <w:trHeight w:val="239"/>
        </w:trPr>
        <w:tc>
          <w:tcPr>
            <w:tcW w:w="1140" w:type="dxa"/>
            <w:vAlign w:val="bottom"/>
          </w:tcPr>
          <w:p>
            <w:pPr>
              <w:spacing w:after="0"/>
              <w:rPr>
                <w:sz w:val="20"/>
                <w:szCs w:val="20"/>
                <w:color w:val="auto"/>
              </w:rPr>
            </w:pPr>
          </w:p>
        </w:tc>
        <w:tc>
          <w:tcPr>
            <w:tcW w:w="3840" w:type="dxa"/>
            <w:vAlign w:val="bottom"/>
            <w:gridSpan w:val="6"/>
          </w:tcPr>
          <w:p>
            <w:pPr>
              <w:spacing w:after="0"/>
              <w:rPr>
                <w:sz w:val="20"/>
                <w:szCs w:val="20"/>
                <w:color w:val="auto"/>
              </w:rPr>
            </w:pPr>
            <w:r>
              <w:rPr>
                <w:rFonts w:ascii="Arial" w:cs="Arial" w:eastAsia="Arial" w:hAnsi="Arial"/>
                <w:sz w:val="18"/>
                <w:szCs w:val="18"/>
                <w:color w:val="auto"/>
              </w:rPr>
              <w:t>the Inline XBRL document</w:t>
            </w:r>
          </w:p>
        </w:tc>
      </w:tr>
      <w:tr>
        <w:trPr>
          <w:trHeight w:val="301"/>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384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with</w:t>
            </w:r>
          </w:p>
        </w:tc>
      </w:tr>
      <w:tr>
        <w:trPr>
          <w:trHeight w:val="239"/>
        </w:trPr>
        <w:tc>
          <w:tcPr>
            <w:tcW w:w="1140" w:type="dxa"/>
            <w:vAlign w:val="bottom"/>
          </w:tcPr>
          <w:p>
            <w:pPr>
              <w:spacing w:after="0"/>
              <w:rPr>
                <w:sz w:val="20"/>
                <w:szCs w:val="20"/>
                <w:color w:val="auto"/>
              </w:rPr>
            </w:pPr>
          </w:p>
        </w:tc>
        <w:tc>
          <w:tcPr>
            <w:tcW w:w="3840" w:type="dxa"/>
            <w:vAlign w:val="bottom"/>
            <w:gridSpan w:val="6"/>
          </w:tcPr>
          <w:p>
            <w:pPr>
              <w:spacing w:after="0"/>
              <w:rPr>
                <w:sz w:val="20"/>
                <w:szCs w:val="20"/>
                <w:color w:val="auto"/>
              </w:rPr>
            </w:pPr>
            <w:r>
              <w:rPr>
                <w:rFonts w:ascii="Arial" w:cs="Arial" w:eastAsia="Arial" w:hAnsi="Arial"/>
                <w:sz w:val="18"/>
                <w:szCs w:val="18"/>
                <w:color w:val="auto"/>
              </w:rPr>
              <w:t>Embedded Linkbase Documents</w:t>
            </w:r>
          </w:p>
        </w:tc>
      </w:tr>
    </w:tbl>
    <w:p>
      <w:pPr>
        <w:spacing w:after="0" w:line="98" w:lineRule="exact"/>
        <w:rPr>
          <w:sz w:val="20"/>
          <w:szCs w:val="20"/>
          <w:color w:val="auto"/>
        </w:rPr>
      </w:pPr>
    </w:p>
    <w:p>
      <w:pPr>
        <w:ind w:left="1160" w:right="500" w:hanging="1139"/>
        <w:spacing w:after="0" w:line="271"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Cover page formatted as Inline XBRL and contained in Exhibit 101</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77" w:lineRule="exact"/>
        <w:rPr>
          <w:sz w:val="20"/>
          <w:szCs w:val="20"/>
          <w:color w:val="auto"/>
        </w:rPr>
      </w:pPr>
    </w:p>
    <w:p>
      <w:pPr>
        <w:sectPr>
          <w:pgSz w:w="11900" w:h="16838" w:orient="portrait"/>
          <w:cols w:equalWidth="0" w:num="2">
            <w:col w:w="5000" w:space="680"/>
            <w:col w:w="5560"/>
          </w:cols>
          <w:pgMar w:left="320" w:top="774" w:right="339" w:bottom="1440" w:gutter="0" w:footer="0" w:header="0"/>
          <w:type w:val="continuous"/>
        </w:sectPr>
      </w:pPr>
    </w:p>
    <w:p>
      <w:pPr>
        <w:spacing w:after="0" w:line="36"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Furnished, not filed.</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and 4 are not applicable and have been omitted.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type w:val="continuous"/>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ICROSOFT</w:t>
      </w:r>
      <w:r>
        <w:rPr>
          <w:rFonts w:ascii="Arial" w:cs="Arial" w:eastAsia="Arial" w:hAnsi="Arial"/>
          <w:sz w:val="18"/>
          <w:szCs w:val="18"/>
          <w:color w:val="auto"/>
        </w:rPr>
        <w:t xml:space="preserve"> C</w:t>
      </w:r>
      <w:r>
        <w:rPr>
          <w:rFonts w:ascii="Arial" w:cs="Arial" w:eastAsia="Arial" w:hAnsi="Arial"/>
          <w:sz w:val="13"/>
          <w:szCs w:val="13"/>
          <w:color w:val="auto"/>
        </w:rPr>
        <w:t>ORPORATION</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LICE</w:t>
      </w:r>
      <w:r>
        <w:rPr>
          <w:rFonts w:ascii="Arial" w:cs="Arial" w:eastAsia="Arial" w:hAnsi="Arial"/>
          <w:sz w:val="18"/>
          <w:szCs w:val="18"/>
          <w:color w:val="auto"/>
        </w:rPr>
        <w:t xml:space="preserve"> L. J</w:t>
      </w:r>
      <w:r>
        <w:rPr>
          <w:rFonts w:ascii="Arial" w:cs="Arial" w:eastAsia="Arial" w:hAnsi="Arial"/>
          <w:sz w:val="13"/>
          <w:szCs w:val="13"/>
          <w:color w:val="auto"/>
        </w:rPr>
        <w:t>OLLA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5617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Alice L. Jolla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Corporate Vice President and Chief Accounting Officer (Duly</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Authorized Officer)</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30, 2024</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0" w:right="35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15.1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October 30, 2024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Microsoft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Microsoft Way</w:t>
      </w:r>
    </w:p>
    <w:p>
      <w:pPr>
        <w:spacing w:after="0"/>
        <w:rPr>
          <w:sz w:val="20"/>
          <w:szCs w:val="20"/>
          <w:color w:val="auto"/>
        </w:rPr>
      </w:pPr>
      <w:r>
        <w:rPr>
          <w:rFonts w:ascii="Arial" w:cs="Arial" w:eastAsia="Arial" w:hAnsi="Arial"/>
          <w:sz w:val="18"/>
          <w:szCs w:val="18"/>
          <w:color w:val="auto"/>
        </w:rPr>
        <w:t>Redmond, WA 98052-6399</w:t>
      </w:r>
    </w:p>
    <w:p>
      <w:pPr>
        <w:spacing w:after="0" w:line="139"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We are aware that our report dated October 30, 2024, on our review of the interim financial information of Microsoft Corporation and subsidiaries (“Microsoft”) appearing in Microsoft’s Quarterly Report on Form 10-Q for the quarter ended September 30, 2024, is incorporated by reference in Registration Statement Nos. 333-109185, 333-118764, 333-52852, 333-132100, 333-161516, 333-75243, 333-185757, and 333-221833 on Form S-8 and Registration Statement No. 333-261590 on Form S-3.</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749935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20" w:top="984" w:right="37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31.1</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Satya Nadella, certify that:</w:t>
      </w:r>
    </w:p>
    <w:p>
      <w:pPr>
        <w:spacing w:after="0" w:line="157" w:lineRule="exact"/>
        <w:rPr>
          <w:sz w:val="20"/>
          <w:szCs w:val="20"/>
          <w:color w:val="auto"/>
        </w:rPr>
      </w:pPr>
    </w:p>
    <w:p>
      <w:pPr>
        <w:ind w:left="200" w:hanging="192"/>
        <w:spacing w:after="0"/>
        <w:tabs>
          <w:tab w:leader="none" w:pos="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Microsoft Corporation;</w:t>
      </w:r>
    </w:p>
    <w:p>
      <w:pPr>
        <w:spacing w:after="0" w:line="157" w:lineRule="exact"/>
        <w:rPr>
          <w:rFonts w:ascii="Arial" w:cs="Arial" w:eastAsia="Arial" w:hAnsi="Arial"/>
          <w:sz w:val="18"/>
          <w:szCs w:val="18"/>
          <w:color w:val="auto"/>
        </w:rPr>
      </w:pPr>
    </w:p>
    <w:p>
      <w:pPr>
        <w:jc w:val="both"/>
        <w:ind w:firstLine="8"/>
        <w:spacing w:after="0" w:line="252" w:lineRule="auto"/>
        <w:tabs>
          <w:tab w:leader="none" w:pos="20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firstLine="8"/>
        <w:spacing w:after="0" w:line="271" w:lineRule="auto"/>
        <w:tabs>
          <w:tab w:leader="none" w:pos="229"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8"/>
          <w:szCs w:val="18"/>
          <w:color w:val="auto"/>
        </w:rPr>
      </w:pPr>
    </w:p>
    <w:p>
      <w:pPr>
        <w:jc w:val="both"/>
        <w:ind w:firstLine="8"/>
        <w:spacing w:after="0" w:line="252" w:lineRule="auto"/>
        <w:tabs>
          <w:tab w:leader="none" w:pos="2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sz w:val="20"/>
          <w:szCs w:val="20"/>
          <w:color w:val="auto"/>
        </w:rPr>
      </w:pPr>
    </w:p>
    <w:p>
      <w:pPr>
        <w:jc w:val="both"/>
        <w:ind w:right="20" w:firstLine="8"/>
        <w:spacing w:after="0" w:line="252" w:lineRule="auto"/>
        <w:tabs>
          <w:tab w:leader="none" w:pos="253"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jc w:val="both"/>
        <w:ind w:firstLine="8"/>
        <w:spacing w:after="0" w:line="252" w:lineRule="auto"/>
        <w:tabs>
          <w:tab w:leader="none" w:pos="223"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right="20" w:firstLine="8"/>
        <w:spacing w:after="0" w:line="271" w:lineRule="auto"/>
        <w:tabs>
          <w:tab w:leader="none" w:pos="212"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8"/>
          <w:szCs w:val="18"/>
          <w:color w:val="auto"/>
        </w:rPr>
      </w:pPr>
    </w:p>
    <w:p>
      <w:pPr>
        <w:jc w:val="both"/>
        <w:ind w:firstLine="8"/>
        <w:spacing w:after="0" w:line="252" w:lineRule="auto"/>
        <w:tabs>
          <w:tab w:leader="none" w:pos="229"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sz w:val="20"/>
          <w:szCs w:val="20"/>
          <w:color w:val="auto"/>
        </w:rPr>
      </w:pPr>
    </w:p>
    <w:p>
      <w:pPr>
        <w:jc w:val="both"/>
        <w:ind w:firstLine="8"/>
        <w:spacing w:after="0" w:line="252" w:lineRule="auto"/>
        <w:tabs>
          <w:tab w:leader="none" w:pos="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7" w:lineRule="exact"/>
        <w:rPr>
          <w:sz w:val="20"/>
          <w:szCs w:val="20"/>
          <w:color w:val="auto"/>
        </w:rPr>
      </w:pPr>
    </w:p>
    <w:p>
      <w:pPr>
        <w:ind w:right="20" w:firstLine="8"/>
        <w:spacing w:after="0" w:line="271" w:lineRule="auto"/>
        <w:tabs>
          <w:tab w:leader="none" w:pos="247"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Arial" w:cs="Arial" w:eastAsia="Arial" w:hAnsi="Arial"/>
          <w:sz w:val="18"/>
          <w:szCs w:val="18"/>
          <w:color w:val="auto"/>
        </w:rPr>
      </w:pPr>
    </w:p>
    <w:p>
      <w:pPr>
        <w:ind w:right="20" w:firstLine="8"/>
        <w:spacing w:after="0" w:line="271" w:lineRule="auto"/>
        <w:tabs>
          <w:tab w:leader="none" w:pos="2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511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Satya Nadella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31.2</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Amy E. Hood, certify that:</w:t>
      </w:r>
    </w:p>
    <w:p>
      <w:pPr>
        <w:spacing w:after="0" w:line="157" w:lineRule="exact"/>
        <w:rPr>
          <w:sz w:val="20"/>
          <w:szCs w:val="20"/>
          <w:color w:val="auto"/>
        </w:rPr>
      </w:pPr>
    </w:p>
    <w:p>
      <w:pPr>
        <w:ind w:left="200" w:hanging="192"/>
        <w:spacing w:after="0"/>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Microsoft Corporation;</w:t>
      </w:r>
    </w:p>
    <w:p>
      <w:pPr>
        <w:spacing w:after="0" w:line="157" w:lineRule="exact"/>
        <w:rPr>
          <w:rFonts w:ascii="Arial" w:cs="Arial" w:eastAsia="Arial" w:hAnsi="Arial"/>
          <w:sz w:val="18"/>
          <w:szCs w:val="18"/>
          <w:color w:val="auto"/>
        </w:rPr>
      </w:pPr>
    </w:p>
    <w:p>
      <w:pPr>
        <w:jc w:val="both"/>
        <w:ind w:firstLine="8"/>
        <w:spacing w:after="0" w:line="252" w:lineRule="auto"/>
        <w:tabs>
          <w:tab w:leader="none" w:pos="208"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firstLine="8"/>
        <w:spacing w:after="0" w:line="271" w:lineRule="auto"/>
        <w:tabs>
          <w:tab w:leader="none" w:pos="229"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8"/>
          <w:szCs w:val="18"/>
          <w:color w:val="auto"/>
        </w:rPr>
      </w:pPr>
    </w:p>
    <w:p>
      <w:pPr>
        <w:jc w:val="both"/>
        <w:ind w:firstLine="8"/>
        <w:spacing w:after="0" w:line="252" w:lineRule="auto"/>
        <w:tabs>
          <w:tab w:leader="none" w:pos="2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sz w:val="20"/>
          <w:szCs w:val="20"/>
          <w:color w:val="auto"/>
        </w:rPr>
      </w:pPr>
    </w:p>
    <w:p>
      <w:pPr>
        <w:jc w:val="both"/>
        <w:ind w:right="20" w:firstLine="8"/>
        <w:spacing w:after="0" w:line="252" w:lineRule="auto"/>
        <w:tabs>
          <w:tab w:leader="none" w:pos="253"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jc w:val="both"/>
        <w:ind w:firstLine="8"/>
        <w:spacing w:after="0" w:line="252" w:lineRule="auto"/>
        <w:tabs>
          <w:tab w:leader="none" w:pos="223"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right="20" w:firstLine="8"/>
        <w:spacing w:after="0" w:line="271" w:lineRule="auto"/>
        <w:tabs>
          <w:tab w:leader="none" w:pos="2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8"/>
          <w:szCs w:val="18"/>
          <w:color w:val="auto"/>
        </w:rPr>
      </w:pPr>
    </w:p>
    <w:p>
      <w:pPr>
        <w:jc w:val="both"/>
        <w:ind w:firstLine="8"/>
        <w:spacing w:after="0" w:line="252" w:lineRule="auto"/>
        <w:tabs>
          <w:tab w:leader="none" w:pos="229"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sz w:val="20"/>
          <w:szCs w:val="20"/>
          <w:color w:val="auto"/>
        </w:rPr>
      </w:pPr>
    </w:p>
    <w:p>
      <w:pPr>
        <w:jc w:val="both"/>
        <w:ind w:firstLine="8"/>
        <w:spacing w:after="0" w:line="252" w:lineRule="auto"/>
        <w:tabs>
          <w:tab w:leader="none" w:pos="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7" w:lineRule="exact"/>
        <w:rPr>
          <w:sz w:val="20"/>
          <w:szCs w:val="20"/>
          <w:color w:val="auto"/>
        </w:rPr>
      </w:pPr>
    </w:p>
    <w:p>
      <w:pPr>
        <w:ind w:right="20" w:firstLine="8"/>
        <w:spacing w:after="0" w:line="271" w:lineRule="auto"/>
        <w:tabs>
          <w:tab w:leader="none" w:pos="247"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Arial" w:cs="Arial" w:eastAsia="Arial" w:hAnsi="Arial"/>
          <w:sz w:val="18"/>
          <w:szCs w:val="18"/>
          <w:color w:val="auto"/>
        </w:rPr>
      </w:pPr>
    </w:p>
    <w:p>
      <w:pPr>
        <w:ind w:right="20" w:firstLine="8"/>
        <w:spacing w:after="0" w:line="271" w:lineRule="auto"/>
        <w:tabs>
          <w:tab w:leader="none" w:pos="2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511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Amy E. Hood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6" w:name="page67"/>
    <w:bookmarkEnd w:id="66"/>
    <w:p>
      <w:pPr>
        <w:ind w:left="10260"/>
        <w:spacing w:after="0"/>
        <w:rPr>
          <w:sz w:val="20"/>
          <w:szCs w:val="20"/>
          <w:color w:val="auto"/>
        </w:rPr>
      </w:pPr>
      <w:r>
        <w:rPr>
          <w:rFonts w:ascii="Arial" w:cs="Arial" w:eastAsia="Arial" w:hAnsi="Arial"/>
          <w:sz w:val="18"/>
          <w:szCs w:val="18"/>
          <w:color w:val="auto"/>
        </w:rPr>
        <w:t>Exhibit 32.1</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the Quarterly Report of Microsoft Corporation, a Washington corporation (the “Company”), on Form 10-Q for the quarter ended September 30, 2024, as filed with the Securities and Exchange Commission (the “Report”), Satya Nadella, Chief Executive Officer of the Company, does hereby certify, pursuant to § 906 of the Sarbanes-Oxley Act of 2002 (18 U.S.C. § 1350), that to his knowledge:</w:t>
      </w:r>
    </w:p>
    <w:p>
      <w:pPr>
        <w:spacing w:after="0" w:line="117" w:lineRule="exact"/>
        <w:rPr>
          <w:sz w:val="20"/>
          <w:szCs w:val="20"/>
          <w:color w:val="auto"/>
        </w:rPr>
      </w:pPr>
    </w:p>
    <w:p>
      <w:pPr>
        <w:ind w:left="280" w:hanging="272"/>
        <w:spacing w:after="0"/>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71" w:lineRule="auto"/>
        <w:tabs>
          <w:tab w:leader="none" w:pos="28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511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Satya Nadella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October 30, 2024</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67" w:name="page68"/>
    <w:bookmarkEnd w:id="67"/>
    <w:p>
      <w:pPr>
        <w:ind w:left="10260"/>
        <w:spacing w:after="0"/>
        <w:rPr>
          <w:sz w:val="20"/>
          <w:szCs w:val="20"/>
          <w:color w:val="auto"/>
        </w:rPr>
      </w:pPr>
      <w:r>
        <w:rPr>
          <w:rFonts w:ascii="Arial" w:cs="Arial" w:eastAsia="Arial" w:hAnsi="Arial"/>
          <w:sz w:val="18"/>
          <w:szCs w:val="18"/>
          <w:color w:val="auto"/>
        </w:rPr>
        <w:t>Exhibit 32.2</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the Quarterly Report of Microsoft Corporation, a Washington corporation (the “Company”), on Form 10-Q for the quarter ended September 30, 2024, as filed with the Securities and Exchange Commission (the “Report”), Amy E. Hood, Chief Financial Officer of the Company, does hereby certify, pursuant to § 906 of the Sarbanes-Oxley Act of 2002 (18 U.S.C. § 1350), that to her knowledge:</w:t>
      </w:r>
    </w:p>
    <w:p>
      <w:pPr>
        <w:spacing w:after="0" w:line="117" w:lineRule="exact"/>
        <w:rPr>
          <w:sz w:val="20"/>
          <w:szCs w:val="20"/>
          <w:color w:val="auto"/>
        </w:rPr>
      </w:pPr>
    </w:p>
    <w:p>
      <w:pPr>
        <w:ind w:left="280" w:hanging="272"/>
        <w:spacing w:after="0"/>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71" w:lineRule="auto"/>
        <w:tabs>
          <w:tab w:leader="none" w:pos="28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511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Amy E. Hood</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w:t>
      </w:r>
    </w:p>
    <w:p>
      <w:pPr>
        <w:ind w:left="20"/>
        <w:spacing w:after="0"/>
        <w:rPr>
          <w:sz w:val="20"/>
          <w:szCs w:val="20"/>
          <w:color w:val="auto"/>
        </w:rPr>
      </w:pPr>
      <w:r>
        <w:rPr>
          <w:rFonts w:ascii="Arial" w:cs="Arial" w:eastAsia="Arial" w:hAnsi="Arial"/>
          <w:sz w:val="18"/>
          <w:szCs w:val="18"/>
          <w:color w:val="auto"/>
        </w:rPr>
        <w:t>Chief Financial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October 30, 2024</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68" w:name="page69"/>
    <w:bookmarkEnd w:id="6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425"/>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lowerLetter"/>
      <w:start w:val="1"/>
    </w:lvl>
  </w:abstractNum>
  <w:abstractNum w:abstractNumId="6">
    <w:nsid w:val="2443A858"/>
    <w:multiLevelType w:val="hybridMultilevel"/>
    <w:lvl w:ilvl="0">
      <w:lvlJc w:val="left"/>
      <w:lvlText w:val="(%1)"/>
      <w:numFmt w:val="lowerLetter"/>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1)"/>
      <w:numFmt w:val="lowerLetter"/>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decimal"/>
      <w:start w:val="104"/>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decimal"/>
      <w:start w:val="5"/>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decimal"/>
      <w:start w:val="5"/>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2024-10-30T15:24:42Z</dcterms:created>
  <dcterms:modified xsi:type="dcterms:W3CDTF">2024-10-30T15:24:42Z</dcterms:modified>
</cp:coreProperties>
</file>