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229235</wp:posOffset>
            </wp:positionV>
            <wp:extent cx="2091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252095</wp:posOffset>
            </wp:positionV>
            <wp:extent cx="2091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237490</wp:posOffset>
            </wp:positionV>
            <wp:extent cx="2091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Microsoft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2451735</wp:posOffset>
            </wp:positionH>
            <wp:positionV relativeFrom="paragraph">
              <wp:posOffset>156845</wp:posOffset>
            </wp:positionV>
            <wp:extent cx="2091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80" w:lineRule="exact"/>
        <w:rPr>
          <w:sz w:val="24"/>
          <w:szCs w:val="24"/>
          <w:color w:val="auto"/>
        </w:rPr>
      </w:pPr>
    </w:p>
    <w:tbl>
      <w:tblPr>
        <w:tblLayout w:type="fixed"/>
        <w:tblInd w:w="944" w:type="dxa"/>
        <w:tblCellMar>
          <w:top w:w="0" w:type="dxa"/>
          <w:left w:w="0" w:type="dxa"/>
          <w:bottom w:w="0" w:type="dxa"/>
          <w:right w:w="0" w:type="dxa"/>
        </w:tblCellMar>
      </w:tblPr>
      <w:tr>
        <w:trPr>
          <w:trHeight w:val="209"/>
        </w:trPr>
        <w:tc>
          <w:tcPr>
            <w:tcW w:w="3960" w:type="dxa"/>
            <w:vAlign w:val="bottom"/>
          </w:tcPr>
          <w:p>
            <w:pPr>
              <w:jc w:val="center"/>
              <w:ind w:right="2021"/>
              <w:spacing w:after="0"/>
              <w:rPr>
                <w:sz w:val="20"/>
                <w:szCs w:val="20"/>
                <w:color w:val="auto"/>
              </w:rPr>
            </w:pPr>
            <w:r>
              <w:rPr>
                <w:rFonts w:ascii="Arial" w:cs="Arial" w:eastAsia="Arial" w:hAnsi="Arial"/>
                <w:sz w:val="18"/>
                <w:szCs w:val="18"/>
                <w:b w:val="1"/>
                <w:bCs w:val="1"/>
                <w:color w:val="auto"/>
                <w:w w:val="98"/>
              </w:rPr>
              <w:t>Washington</w:t>
            </w:r>
          </w:p>
        </w:tc>
        <w:tc>
          <w:tcPr>
            <w:tcW w:w="2060" w:type="dxa"/>
            <w:vAlign w:val="bottom"/>
          </w:tcPr>
          <w:p>
            <w:pPr>
              <w:ind w:left="280"/>
              <w:spacing w:after="0"/>
              <w:rPr>
                <w:sz w:val="20"/>
                <w:szCs w:val="20"/>
                <w:color w:val="auto"/>
              </w:rPr>
            </w:pPr>
            <w:r>
              <w:rPr>
                <w:rFonts w:ascii="Arial" w:cs="Arial" w:eastAsia="Arial" w:hAnsi="Arial"/>
                <w:sz w:val="18"/>
                <w:szCs w:val="18"/>
                <w:b w:val="1"/>
                <w:bCs w:val="1"/>
                <w:color w:val="auto"/>
              </w:rPr>
              <w:t>001-37845</w:t>
            </w:r>
          </w:p>
        </w:tc>
        <w:tc>
          <w:tcPr>
            <w:tcW w:w="2860" w:type="dxa"/>
            <w:vAlign w:val="bottom"/>
          </w:tcPr>
          <w:p>
            <w:pPr>
              <w:jc w:val="center"/>
              <w:ind w:left="1661"/>
              <w:spacing w:after="0"/>
              <w:rPr>
                <w:sz w:val="20"/>
                <w:szCs w:val="20"/>
                <w:color w:val="auto"/>
              </w:rPr>
            </w:pPr>
            <w:r>
              <w:rPr>
                <w:rFonts w:ascii="Arial" w:cs="Arial" w:eastAsia="Arial" w:hAnsi="Arial"/>
                <w:sz w:val="18"/>
                <w:szCs w:val="18"/>
                <w:b w:val="1"/>
                <w:bCs w:val="1"/>
                <w:color w:val="auto"/>
                <w:w w:val="99"/>
              </w:rPr>
              <w:t>91-1144442</w:t>
            </w:r>
          </w:p>
        </w:tc>
      </w:tr>
      <w:tr>
        <w:trPr>
          <w:trHeight w:val="148"/>
        </w:trPr>
        <w:tc>
          <w:tcPr>
            <w:tcW w:w="3960" w:type="dxa"/>
            <w:vAlign w:val="bottom"/>
          </w:tcPr>
          <w:p>
            <w:pPr>
              <w:jc w:val="center"/>
              <w:ind w:right="2021"/>
              <w:spacing w:after="0"/>
              <w:rPr>
                <w:sz w:val="20"/>
                <w:szCs w:val="20"/>
                <w:color w:val="auto"/>
              </w:rPr>
            </w:pPr>
            <w:r>
              <w:rPr>
                <w:rFonts w:ascii="Arial" w:cs="Arial" w:eastAsia="Arial" w:hAnsi="Arial"/>
                <w:sz w:val="13"/>
                <w:szCs w:val="13"/>
                <w:b w:val="1"/>
                <w:bCs w:val="1"/>
                <w:color w:val="auto"/>
              </w:rPr>
              <w:t>(State or Other Jurisdiction</w:t>
            </w:r>
          </w:p>
        </w:tc>
        <w:tc>
          <w:tcPr>
            <w:tcW w:w="2060" w:type="dxa"/>
            <w:vAlign w:val="bottom"/>
          </w:tcPr>
          <w:p>
            <w:pPr>
              <w:ind w:left="300"/>
              <w:spacing w:after="0"/>
              <w:rPr>
                <w:sz w:val="20"/>
                <w:szCs w:val="20"/>
                <w:color w:val="auto"/>
              </w:rPr>
            </w:pPr>
            <w:r>
              <w:rPr>
                <w:rFonts w:ascii="Arial" w:cs="Arial" w:eastAsia="Arial" w:hAnsi="Arial"/>
                <w:sz w:val="13"/>
                <w:szCs w:val="13"/>
                <w:b w:val="1"/>
                <w:bCs w:val="1"/>
                <w:color w:val="auto"/>
              </w:rPr>
              <w:t>(Commission</w:t>
            </w:r>
          </w:p>
        </w:tc>
        <w:tc>
          <w:tcPr>
            <w:tcW w:w="2860" w:type="dxa"/>
            <w:vAlign w:val="bottom"/>
          </w:tcPr>
          <w:p>
            <w:pPr>
              <w:jc w:val="center"/>
              <w:ind w:left="1641"/>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960" w:type="dxa"/>
            <w:vAlign w:val="bottom"/>
          </w:tcPr>
          <w:p>
            <w:pPr>
              <w:jc w:val="center"/>
              <w:ind w:right="2041"/>
              <w:spacing w:after="0"/>
              <w:rPr>
                <w:sz w:val="20"/>
                <w:szCs w:val="20"/>
                <w:color w:val="auto"/>
              </w:rPr>
            </w:pPr>
            <w:r>
              <w:rPr>
                <w:rFonts w:ascii="Arial" w:cs="Arial" w:eastAsia="Arial" w:hAnsi="Arial"/>
                <w:sz w:val="13"/>
                <w:szCs w:val="13"/>
                <w:b w:val="1"/>
                <w:bCs w:val="1"/>
                <w:color w:val="auto"/>
              </w:rPr>
              <w:t>of Incorporation)</w:t>
            </w:r>
          </w:p>
        </w:tc>
        <w:tc>
          <w:tcPr>
            <w:tcW w:w="2060" w:type="dxa"/>
            <w:vAlign w:val="bottom"/>
          </w:tcPr>
          <w:p>
            <w:pPr>
              <w:ind w:left="300"/>
              <w:spacing w:after="0"/>
              <w:rPr>
                <w:sz w:val="20"/>
                <w:szCs w:val="20"/>
                <w:color w:val="auto"/>
              </w:rPr>
            </w:pPr>
            <w:r>
              <w:rPr>
                <w:rFonts w:ascii="Arial" w:cs="Arial" w:eastAsia="Arial" w:hAnsi="Arial"/>
                <w:sz w:val="13"/>
                <w:szCs w:val="13"/>
                <w:b w:val="1"/>
                <w:bCs w:val="1"/>
                <w:color w:val="auto"/>
              </w:rPr>
              <w:t>File Number)</w:t>
            </w:r>
          </w:p>
        </w:tc>
        <w:tc>
          <w:tcPr>
            <w:tcW w:w="2860" w:type="dxa"/>
            <w:vAlign w:val="bottom"/>
          </w:tcPr>
          <w:p>
            <w:pPr>
              <w:jc w:val="center"/>
              <w:ind w:left="1641"/>
              <w:spacing w:after="0"/>
              <w:rPr>
                <w:sz w:val="20"/>
                <w:szCs w:val="20"/>
                <w:color w:val="auto"/>
              </w:rPr>
            </w:pPr>
            <w:r>
              <w:rPr>
                <w:rFonts w:ascii="Arial" w:cs="Arial" w:eastAsia="Arial" w:hAnsi="Arial"/>
                <w:sz w:val="13"/>
                <w:szCs w:val="13"/>
                <w:b w:val="1"/>
                <w:bCs w:val="1"/>
                <w:color w:val="auto"/>
              </w:rPr>
              <w:t>Identification No.)</w:t>
            </w:r>
          </w:p>
        </w:tc>
      </w:tr>
      <w:tr>
        <w:trPr>
          <w:trHeight w:val="459"/>
        </w:trPr>
        <w:tc>
          <w:tcPr>
            <w:tcW w:w="3960" w:type="dxa"/>
            <w:vAlign w:val="bottom"/>
          </w:tcPr>
          <w:p>
            <w:pPr>
              <w:spacing w:after="0"/>
              <w:rPr>
                <w:sz w:val="20"/>
                <w:szCs w:val="20"/>
                <w:color w:val="auto"/>
              </w:rPr>
            </w:pPr>
            <w:r>
              <w:rPr>
                <w:rFonts w:ascii="Arial" w:cs="Arial" w:eastAsia="Arial" w:hAnsi="Arial"/>
                <w:sz w:val="18"/>
                <w:szCs w:val="18"/>
                <w:b w:val="1"/>
                <w:bCs w:val="1"/>
                <w:color w:val="auto"/>
              </w:rPr>
              <w:t>One Microsoft Way, Redmond, Washington</w:t>
            </w:r>
          </w:p>
        </w:tc>
        <w:tc>
          <w:tcPr>
            <w:tcW w:w="2060" w:type="dxa"/>
            <w:vAlign w:val="bottom"/>
          </w:tcPr>
          <w:p>
            <w:pPr>
              <w:spacing w:after="0"/>
              <w:rPr>
                <w:sz w:val="24"/>
                <w:szCs w:val="24"/>
                <w:color w:val="auto"/>
              </w:rPr>
            </w:pPr>
          </w:p>
        </w:tc>
        <w:tc>
          <w:tcPr>
            <w:tcW w:w="2860" w:type="dxa"/>
            <w:vAlign w:val="bottom"/>
          </w:tcPr>
          <w:p>
            <w:pPr>
              <w:jc w:val="right"/>
              <w:ind w:right="921"/>
              <w:spacing w:after="0"/>
              <w:rPr>
                <w:sz w:val="20"/>
                <w:szCs w:val="20"/>
                <w:color w:val="auto"/>
              </w:rPr>
            </w:pPr>
            <w:r>
              <w:rPr>
                <w:rFonts w:ascii="Arial" w:cs="Arial" w:eastAsia="Arial" w:hAnsi="Arial"/>
                <w:sz w:val="18"/>
                <w:szCs w:val="18"/>
                <w:b w:val="1"/>
                <w:bCs w:val="1"/>
                <w:color w:val="auto"/>
              </w:rPr>
              <w:t>98052-6399</w:t>
            </w:r>
          </w:p>
        </w:tc>
      </w:tr>
    </w:tbl>
    <w:p>
      <w:pPr>
        <w:spacing w:after="0" w:line="19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(425) 882-8080</w:t>
      </w:r>
    </w:p>
    <w:p>
      <w:pPr>
        <w:spacing w:after="0" w:line="18"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www.microsoft.com/investor</w:t>
      </w:r>
    </w:p>
    <w:p>
      <w:pPr>
        <w:spacing w:after="0" w:line="215" w:lineRule="exact"/>
        <w:rPr>
          <w:sz w:val="24"/>
          <w:szCs w:val="24"/>
          <w:color w:val="auto"/>
        </w:rPr>
      </w:pPr>
    </w:p>
    <w:p>
      <w:pPr>
        <w:ind w:left="4" w:right="2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71"/>
        </w:trPr>
        <w:tc>
          <w:tcPr>
            <w:tcW w:w="6600" w:type="dxa"/>
            <w:vAlign w:val="bottom"/>
            <w:gridSpan w:val="2"/>
          </w:tcPr>
          <w:p>
            <w:pPr>
              <w:ind w:left="2660"/>
              <w:spacing w:after="0"/>
              <w:rPr>
                <w:sz w:val="20"/>
                <w:szCs w:val="20"/>
                <w:color w:val="auto"/>
              </w:rPr>
            </w:pPr>
            <w:r>
              <w:rPr>
                <w:rFonts w:ascii="Arial" w:cs="Arial" w:eastAsia="Arial" w:hAnsi="Arial"/>
                <w:sz w:val="14"/>
                <w:szCs w:val="14"/>
                <w:color w:val="auto"/>
              </w:rPr>
              <w:t>Title of each class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Trading Symbol</w:t>
            </w:r>
          </w:p>
        </w:tc>
        <w:tc>
          <w:tcPr>
            <w:tcW w:w="2880" w:type="dxa"/>
            <w:vAlign w:val="bottom"/>
          </w:tcPr>
          <w:p>
            <w:pPr>
              <w:jc w:val="center"/>
              <w:spacing w:after="0"/>
              <w:rPr>
                <w:sz w:val="20"/>
                <w:szCs w:val="20"/>
                <w:color w:val="auto"/>
              </w:rPr>
            </w:pPr>
            <w:r>
              <w:rPr>
                <w:rFonts w:ascii="Arial" w:cs="Arial" w:eastAsia="Arial" w:hAnsi="Arial"/>
                <w:sz w:val="14"/>
                <w:szCs w:val="14"/>
                <w:color w:val="auto"/>
              </w:rPr>
              <w:t>Name of exchange on which registered</w:t>
            </w:r>
          </w:p>
        </w:tc>
      </w:tr>
      <w:tr>
        <w:trPr>
          <w:trHeight w:val="173"/>
        </w:trPr>
        <w:tc>
          <w:tcPr>
            <w:tcW w:w="64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b w:val="1"/>
                <w:bCs w:val="1"/>
                <w:color w:val="auto"/>
              </w:rPr>
              <w:t>Common stock, $0.00000625 par value per share</w:t>
            </w:r>
          </w:p>
        </w:tc>
        <w:tc>
          <w:tcPr>
            <w:tcW w:w="120" w:type="dxa"/>
            <w:vAlign w:val="bottom"/>
          </w:tcPr>
          <w:p>
            <w:pPr>
              <w:spacing w:after="0"/>
              <w:rPr>
                <w:sz w:val="15"/>
                <w:szCs w:val="15"/>
                <w:color w:val="auto"/>
              </w:rPr>
            </w:pPr>
          </w:p>
        </w:tc>
        <w:tc>
          <w:tcPr>
            <w:tcW w:w="142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rPr>
              <w:t>MSFT</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2.125% Notes due 2021</w:t>
            </w:r>
          </w:p>
        </w:tc>
        <w:tc>
          <w:tcPr>
            <w:tcW w:w="15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3.125% Notes due 2028</w:t>
            </w:r>
          </w:p>
        </w:tc>
        <w:tc>
          <w:tcPr>
            <w:tcW w:w="154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NASDAQ</w:t>
            </w:r>
          </w:p>
        </w:tc>
      </w:tr>
      <w:tr>
        <w:trPr>
          <w:trHeight w:val="239"/>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2.625% Notes due 2033</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MSFT</w:t>
            </w:r>
          </w:p>
        </w:tc>
        <w:tc>
          <w:tcPr>
            <w:tcW w:w="288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r>
    </w:tbl>
    <w:p>
      <w:pPr>
        <w:spacing w:after="0" w:line="202" w:lineRule="exact"/>
        <w:rPr>
          <w:sz w:val="24"/>
          <w:szCs w:val="24"/>
          <w:color w:val="auto"/>
        </w:rPr>
      </w:pPr>
    </w:p>
    <w:p>
      <w:pPr>
        <w:jc w:val="both"/>
        <w:ind w:left="4"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95" w:lineRule="exact"/>
        <w:rPr>
          <w:sz w:val="24"/>
          <w:szCs w:val="24"/>
          <w:color w:val="auto"/>
        </w:rPr>
      </w:pPr>
    </w:p>
    <w:p>
      <w:pPr>
        <w:jc w:val="both"/>
        <w:ind w:left="4" w:right="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06"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 Results of Operations and Financial Condition</w:t>
      </w:r>
    </w:p>
    <w:p>
      <w:pPr>
        <w:spacing w:after="0" w:line="12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January 26, 2021, Microsoft Corporation issued a press release announcing its financial results for the fiscal quarter ended December 31, 2020. A copy of the press release is furnished as Exhibit 99.1 to this report.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34" w:lineRule="exact"/>
        <w:rPr>
          <w:sz w:val="20"/>
          <w:szCs w:val="20"/>
          <w:color w:val="auto"/>
        </w:rPr>
      </w:pPr>
    </w:p>
    <w:p>
      <w:pPr>
        <w:ind w:left="440"/>
        <w:spacing w:after="0"/>
        <w:tabs>
          <w:tab w:leader="none" w:pos="960" w:val="left"/>
        </w:tabs>
        <w:rPr>
          <w:rFonts w:ascii="Arial" w:cs="Arial" w:eastAsia="Arial" w:hAnsi="Arial"/>
          <w:sz w:val="17"/>
          <w:szCs w:val="17"/>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7"/>
            <w:szCs w:val="17"/>
            <w:u w:val="single" w:color="auto"/>
            <w:color w:val="0000EE"/>
          </w:rPr>
          <w:t>Press release, dated January 26, 2021, issued by Microsoft Corporation</w:t>
        </w:r>
      </w:hyperlink>
    </w:p>
    <w:p>
      <w:pPr>
        <w:ind w:left="440"/>
        <w:spacing w:after="0"/>
        <w:tabs>
          <w:tab w:leader="none" w:pos="9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ectPr>
          <w:pgSz w:w="11900" w:h="16838" w:orient="portrait"/>
          <w:cols w:equalWidth="0" w:num="1">
            <w:col w:w="11020"/>
          </w:cols>
          <w:pgMar w:left="440" w:top="292"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9"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MICROSOFT CORPORATION</w:t>
      </w:r>
    </w:p>
    <w:p>
      <w:pPr>
        <w:jc w:val="center"/>
        <w:ind w:left="5620"/>
        <w:spacing w:after="0"/>
        <w:rPr>
          <w:sz w:val="20"/>
          <w:szCs w:val="20"/>
          <w:color w:val="auto"/>
        </w:rPr>
      </w:pPr>
      <w:r>
        <w:rPr>
          <w:rFonts w:ascii="Arial" w:cs="Arial" w:eastAsia="Arial" w:hAnsi="Arial"/>
          <w:sz w:val="18"/>
          <w:szCs w:val="18"/>
          <w:color w:val="auto"/>
        </w:rPr>
        <w:t>(Registrant)</w:t>
      </w:r>
    </w:p>
    <w:p>
      <w:pPr>
        <w:spacing w:after="0" w:line="212" w:lineRule="exact"/>
        <w:rPr>
          <w:sz w:val="20"/>
          <w:szCs w:val="20"/>
          <w:color w:val="auto"/>
        </w:rPr>
      </w:pPr>
    </w:p>
    <w:p>
      <w:pPr>
        <w:spacing w:after="0"/>
        <w:tabs>
          <w:tab w:leader="none" w:pos="7680" w:val="left"/>
        </w:tabs>
        <w:rPr>
          <w:sz w:val="20"/>
          <w:szCs w:val="20"/>
          <w:color w:val="auto"/>
        </w:rPr>
      </w:pPr>
      <w:r>
        <w:rPr>
          <w:rFonts w:ascii="Arial" w:cs="Arial" w:eastAsia="Arial" w:hAnsi="Arial"/>
          <w:sz w:val="18"/>
          <w:szCs w:val="18"/>
          <w:color w:val="auto"/>
        </w:rPr>
        <w:t>Date: January 26, 2021</w:t>
      </w:r>
      <w:r>
        <w:rPr>
          <w:sz w:val="20"/>
          <w:szCs w:val="20"/>
          <w:color w:val="auto"/>
        </w:rPr>
        <w:tab/>
      </w:r>
      <w:r>
        <w:rPr>
          <w:rFonts w:ascii="Arial" w:cs="Arial" w:eastAsia="Arial" w:hAnsi="Arial"/>
          <w:sz w:val="17"/>
          <w:szCs w:val="17"/>
          <w:color w:val="auto"/>
        </w:rPr>
        <w:t>/s/ Alice L. Jolla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-1905</wp:posOffset>
            </wp:positionV>
            <wp:extent cx="34201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jc w:val="center"/>
        <w:ind w:left="5620"/>
        <w:spacing w:after="0"/>
        <w:rPr>
          <w:sz w:val="20"/>
          <w:szCs w:val="20"/>
          <w:color w:val="auto"/>
        </w:rPr>
      </w:pPr>
      <w:r>
        <w:rPr>
          <w:rFonts w:ascii="Arial" w:cs="Arial" w:eastAsia="Arial" w:hAnsi="Arial"/>
          <w:sz w:val="18"/>
          <w:szCs w:val="18"/>
          <w:color w:val="auto"/>
        </w:rPr>
        <w:t>Alice L. Jolla</w:t>
      </w:r>
    </w:p>
    <w:p>
      <w:pPr>
        <w:jc w:val="center"/>
        <w:ind w:left="5620"/>
        <w:spacing w:after="0" w:line="234" w:lineRule="auto"/>
        <w:rPr>
          <w:sz w:val="20"/>
          <w:szCs w:val="20"/>
          <w:color w:val="auto"/>
        </w:rPr>
      </w:pPr>
      <w:r>
        <w:rPr>
          <w:rFonts w:ascii="Arial" w:cs="Arial" w:eastAsia="Arial" w:hAnsi="Arial"/>
          <w:sz w:val="18"/>
          <w:szCs w:val="18"/>
          <w:color w:val="auto"/>
        </w:rPr>
        <w:t>Corporate Vice President</w:t>
      </w:r>
    </w:p>
    <w:p>
      <w:pPr>
        <w:spacing w:after="0" w:line="1"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and Chief Accounting Officer</w:t>
      </w:r>
    </w:p>
    <w:p>
      <w:pPr>
        <w:sectPr>
          <w:pgSz w:w="11900" w:h="16838" w:orient="portrait"/>
          <w:cols w:equalWidth="0" w:num="1">
            <w:col w:w="11000"/>
          </w:cols>
          <w:pgMar w:left="440" w:top="292"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color w:val="666666"/>
        </w:rPr>
        <w:t>Microsoft Cloud Strength Drives Second Quarter Results</w:t>
      </w:r>
    </w:p>
    <w:p>
      <w:pPr>
        <w:spacing w:after="0" w:line="208"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666666"/>
        </w:rPr>
        <w:t xml:space="preserve">REDMOND, Wash. — January 26, 2021 — </w:t>
      </w:r>
      <w:r>
        <w:rPr>
          <w:rFonts w:ascii="Arial" w:cs="Arial" w:eastAsia="Arial" w:hAnsi="Arial"/>
          <w:sz w:val="18"/>
          <w:szCs w:val="18"/>
          <w:color w:val="666666"/>
        </w:rPr>
        <w:t>Microsoft Corp. today announced the following results for the quarter ended December 31,</w:t>
      </w:r>
      <w:r>
        <w:rPr>
          <w:rFonts w:ascii="Arial" w:cs="Arial" w:eastAsia="Arial" w:hAnsi="Arial"/>
          <w:sz w:val="18"/>
          <w:szCs w:val="18"/>
          <w:b w:val="1"/>
          <w:bCs w:val="1"/>
          <w:color w:val="666666"/>
        </w:rPr>
        <w:t xml:space="preserve"> </w:t>
      </w:r>
      <w:r>
        <w:rPr>
          <w:rFonts w:ascii="Arial" w:cs="Arial" w:eastAsia="Arial" w:hAnsi="Arial"/>
          <w:sz w:val="18"/>
          <w:szCs w:val="18"/>
          <w:color w:val="666666"/>
        </w:rPr>
        <w:t>2020, as compared to the corresponding period of last fiscal year:</w:t>
      </w:r>
    </w:p>
    <w:p>
      <w:pPr>
        <w:spacing w:after="0" w:line="198"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Revenue was $43.1 billion and increased 17%</w:t>
      </w:r>
    </w:p>
    <w:p>
      <w:pPr>
        <w:ind w:left="960" w:hanging="424"/>
        <w:spacing w:after="0" w:line="234" w:lineRule="auto"/>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Operating income was $17.9 billion and increased 29%</w:t>
      </w:r>
    </w:p>
    <w:p>
      <w:pPr>
        <w:ind w:left="960" w:hanging="424"/>
        <w:spacing w:after="0" w:line="234" w:lineRule="auto"/>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Net income was $15.5 billion and increased 33%</w:t>
      </w:r>
    </w:p>
    <w:p>
      <w:pPr>
        <w:ind w:left="960" w:hanging="424"/>
        <w:spacing w:after="0"/>
        <w:tabs>
          <w:tab w:leader="none" w:pos="9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Diluted earnings per share was $2.03 and increased 34%</w:t>
      </w:r>
    </w:p>
    <w:p>
      <w:pPr>
        <w:spacing w:after="0" w:line="212"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666666"/>
        </w:rPr>
        <w:t>“What we have witnessed over the past year is the dawn of a second wave of digital transformation sweeping every company and every industry,” said Satya Nadella, chief executive officer of Microsoft. “Building their own digital capability is the new currency driving every organization’s resilience and growth. Microsoft is powering this shift with the world’s largest and most comprehensive cloud platform.”</w:t>
      </w:r>
    </w:p>
    <w:p>
      <w:pPr>
        <w:spacing w:after="0" w:line="186" w:lineRule="exact"/>
        <w:rPr>
          <w:sz w:val="20"/>
          <w:szCs w:val="20"/>
          <w:color w:val="auto"/>
        </w:rPr>
      </w:pPr>
    </w:p>
    <w:p>
      <w:pPr>
        <w:ind w:right="220"/>
        <w:spacing w:after="0"/>
        <w:rPr>
          <w:sz w:val="20"/>
          <w:szCs w:val="20"/>
          <w:color w:val="auto"/>
        </w:rPr>
      </w:pPr>
      <w:r>
        <w:rPr>
          <w:rFonts w:ascii="Arial" w:cs="Arial" w:eastAsia="Arial" w:hAnsi="Arial"/>
          <w:sz w:val="18"/>
          <w:szCs w:val="18"/>
          <w:color w:val="666666"/>
        </w:rPr>
        <w:t>“Accelerating demand for our differentiated offerings drove commercial cloud revenue to $16.7 billion, up 34% year over year,” said Amy Hood, executive vice president and chief financial officer of Microsoft. “We continue to benefit from our investments in strategic, high-growth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Business Highlights</w:t>
      </w:r>
    </w:p>
    <w:p>
      <w:pPr>
        <w:spacing w:after="0" w:line="23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666666"/>
        </w:rPr>
        <w:t>Revenue in Productivity and Business Processes was $13.4 billion and increased 13% (up 11% in constant currency), with the following business highlights:</w:t>
      </w:r>
    </w:p>
    <w:p>
      <w:pPr>
        <w:spacing w:after="0" w:line="224" w:lineRule="exact"/>
        <w:rPr>
          <w:sz w:val="20"/>
          <w:szCs w:val="20"/>
          <w:color w:val="auto"/>
        </w:rPr>
      </w:pPr>
    </w:p>
    <w:p>
      <w:pPr>
        <w:ind w:left="960" w:right="360" w:hanging="424"/>
        <w:spacing w:after="0" w:line="234"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Office Commercial products and cloud services revenue increased 11% (up 9% in constant currency) driven by Office 365 Commercial revenue growth of 21% (up 20% in constant currency)</w:t>
      </w:r>
    </w:p>
    <w:p>
      <w:pPr>
        <w:spacing w:after="0" w:line="1" w:lineRule="exact"/>
        <w:rPr>
          <w:rFonts w:ascii="Arial" w:cs="Arial" w:eastAsia="Arial" w:hAnsi="Arial"/>
          <w:sz w:val="18"/>
          <w:szCs w:val="18"/>
          <w:color w:val="666666"/>
        </w:rPr>
      </w:pPr>
    </w:p>
    <w:p>
      <w:pPr>
        <w:ind w:left="960" w:right="760" w:hanging="424"/>
        <w:spacing w:after="0" w:line="234"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Office Consumer products and cloud services revenue increased 7% (up 6% in constant currency) and Microsoft 365 Consumer subscribers increased to 47.5 million</w:t>
      </w:r>
    </w:p>
    <w:p>
      <w:pPr>
        <w:spacing w:after="0" w:line="1" w:lineRule="exact"/>
        <w:rPr>
          <w:rFonts w:ascii="Arial" w:cs="Arial" w:eastAsia="Arial" w:hAnsi="Arial"/>
          <w:sz w:val="18"/>
          <w:szCs w:val="18"/>
          <w:color w:val="666666"/>
        </w:rPr>
      </w:pPr>
    </w:p>
    <w:p>
      <w:pPr>
        <w:ind w:left="960" w:hanging="424"/>
        <w:spacing w:after="0" w:line="234"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LinkedIn revenue increased 23% (up 22% in constant currency)</w:t>
      </w:r>
    </w:p>
    <w:p>
      <w:pPr>
        <w:ind w:left="960" w:right="640" w:hanging="424"/>
        <w:spacing w:after="0" w:line="246" w:lineRule="auto"/>
        <w:tabs>
          <w:tab w:leader="none" w:pos="9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Dynamics products and cloud services revenue increased 21% (up 18% in constant currency) driven by Dynamics 365 revenue growth of 39% (up 37% in constant currency)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66666"/>
        </w:rPr>
        <w:t>Revenue in Intelligent Cloud was $14.6 billion and increased 23% (up 22% in constant currency), with the following business highlights:</w:t>
      </w:r>
    </w:p>
    <w:p>
      <w:pPr>
        <w:spacing w:after="0" w:line="239" w:lineRule="exact"/>
        <w:rPr>
          <w:sz w:val="20"/>
          <w:szCs w:val="20"/>
          <w:color w:val="auto"/>
        </w:rPr>
      </w:pPr>
    </w:p>
    <w:p>
      <w:pPr>
        <w:ind w:left="960" w:right="80" w:hanging="424"/>
        <w:spacing w:after="0" w:line="246" w:lineRule="auto"/>
        <w:tabs>
          <w:tab w:leader="none" w:pos="96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Server products and cloud services revenue increased 26% (up 24% in constant currency) driven by Azure revenue growth of 50% (up 48% in constant currency)</w:t>
      </w:r>
    </w:p>
    <w:p>
      <w:pPr>
        <w:spacing w:after="0" w:line="19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666666"/>
        </w:rPr>
        <w:t>Revenue in More Personal Computing was $15.1 billion and increased 14% (up 13% in constant currency), with the following business highlights:</w:t>
      </w:r>
    </w:p>
    <w:p>
      <w:pPr>
        <w:spacing w:after="0" w:line="219"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Windows OEM revenue increased 1%</w:t>
      </w:r>
    </w:p>
    <w:p>
      <w:pPr>
        <w:ind w:left="960" w:hanging="424"/>
        <w:spacing w:after="0" w:line="234" w:lineRule="auto"/>
        <w:tabs>
          <w:tab w:leader="none" w:pos="9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Windows Commercial products and cloud services revenue increased 10% (up 8% in constant currency)</w:t>
      </w:r>
    </w:p>
    <w:p>
      <w:pPr>
        <w:ind w:left="960" w:hanging="424"/>
        <w:spacing w:after="0"/>
        <w:tabs>
          <w:tab w:leader="none" w:pos="96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Xbox content and services revenue increased 40% (up 38% in constant currency)</w:t>
      </w:r>
    </w:p>
    <w:p>
      <w:pPr>
        <w:sectPr>
          <w:pgSz w:w="11900" w:h="16838" w:orient="portrait"/>
          <w:cols w:equalWidth="0" w:num="1">
            <w:col w:w="11020"/>
          </w:cols>
          <w:pgMar w:left="440" w:top="140" w:right="439" w:bottom="1440" w:gutter="0" w:footer="0" w:header="0"/>
        </w:sectPr>
      </w:pPr>
    </w:p>
    <w:bookmarkStart w:id="4" w:name="page5"/>
    <w:bookmarkEnd w:id="4"/>
    <w:p>
      <w:pPr>
        <w:ind w:left="960" w:hanging="424"/>
        <w:spacing w:after="0"/>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Surface revenue increased 3% (up 1% in constant currency)</w:t>
      </w:r>
    </w:p>
    <w:p>
      <w:pPr>
        <w:ind w:left="960" w:hanging="424"/>
        <w:spacing w:after="0"/>
        <w:tabs>
          <w:tab w:leader="none" w:pos="96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Search advertising revenue excluding traffic acquisition costs increased 2% (up 1% in constant currency)</w:t>
      </w:r>
    </w:p>
    <w:p>
      <w:pPr>
        <w:spacing w:after="0" w:line="21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666666"/>
        </w:rPr>
        <w:t>Microsoft returned $10 billion to shareholders in the form of share repurchases and dividends in the second quarter of fiscal year 2021, an increase of 18% compared to the second quarter of fiscal year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Business Outlook</w:t>
      </w:r>
    </w:p>
    <w:p>
      <w:pPr>
        <w:spacing w:after="0" w:line="23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666666"/>
        </w:rPr>
        <w:t>Microsoft will provide forward-looking guidance in connection with this quarterly earnings announcement on its earnings conference call and webcast.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Quarterly Highlights, Product Releases, and Enhancements</w:t>
      </w:r>
    </w:p>
    <w:p>
      <w:pPr>
        <w:spacing w:after="0" w:line="234" w:lineRule="exact"/>
        <w:rPr>
          <w:sz w:val="20"/>
          <w:szCs w:val="20"/>
          <w:color w:val="auto"/>
        </w:rPr>
      </w:pPr>
    </w:p>
    <w:p>
      <w:pPr>
        <w:ind w:right="300"/>
        <w:spacing w:after="0"/>
        <w:rPr>
          <w:sz w:val="20"/>
          <w:szCs w:val="20"/>
          <w:color w:val="auto"/>
        </w:rPr>
      </w:pPr>
      <w:r>
        <w:rPr>
          <w:rFonts w:ascii="Arial" w:cs="Arial" w:eastAsia="Arial" w:hAnsi="Arial"/>
          <w:sz w:val="18"/>
          <w:szCs w:val="18"/>
          <w:color w:val="666666"/>
        </w:rPr>
        <w:t>Every quarter Microsoft delivers hundreds of products, either as new releases, services, or enhancements to current products and services. These releases are a result of significant research and development investments, made over multiple years, designed to help customers be more productive and secure and to deliver differentiated value across the cloud and the edge.</w:t>
      </w:r>
    </w:p>
    <w:p>
      <w:pPr>
        <w:spacing w:after="0" w:line="203"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666666"/>
        </w:rPr>
        <w:t xml:space="preserve">Here are the </w:t>
      </w:r>
      <w:r>
        <w:rPr>
          <w:rFonts w:ascii="Arial" w:cs="Arial" w:eastAsia="Arial" w:hAnsi="Arial"/>
          <w:sz w:val="18"/>
          <w:szCs w:val="18"/>
          <w:u w:val="single" w:color="auto"/>
          <w:color w:val="666666"/>
        </w:rPr>
        <w:t>major product releases and other highlights</w:t>
      </w:r>
      <w:r>
        <w:rPr>
          <w:rFonts w:ascii="Arial" w:cs="Arial" w:eastAsia="Arial" w:hAnsi="Arial"/>
          <w:sz w:val="18"/>
          <w:szCs w:val="18"/>
          <w:color w:val="666666"/>
        </w:rPr>
        <w:t xml:space="preserve"> for the quarter, organized by product categories, to help illustrate how we are accelerating innovation across our businesses while expanding our market opportunities.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Responding to COVID-19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 xml:space="preserve">At Microsoft, our focus remains on ensuring the safety of our employees, striving to protect the health and well-being of the communities in which we operate, and providing technology and resources to our customers and partners to help them do their best work while remote. Additional information about Microsoft’s COVID-19 response can be found </w:t>
      </w:r>
      <w:r>
        <w:rPr>
          <w:rFonts w:ascii="Arial" w:cs="Arial" w:eastAsia="Arial" w:hAnsi="Arial"/>
          <w:sz w:val="18"/>
          <w:szCs w:val="18"/>
          <w:u w:val="single" w:color="auto"/>
          <w:color w:val="666666"/>
        </w:rPr>
        <w:t>here</w:t>
      </w:r>
      <w:r>
        <w:rPr>
          <w:rFonts w:ascii="Arial" w:cs="Arial" w:eastAsia="Arial" w:hAnsi="Arial"/>
          <w:sz w:val="18"/>
          <w:szCs w:val="18"/>
          <w:color w:val="666666"/>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Environmental, Social, and Governance (ESG)</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666666"/>
        </w:rPr>
        <w:t xml:space="preserve">To better execute on Microsoft’s mission, we focus our Environmental, Social, and Governance (ESG) efforts where we can have the most positive impact. To learn more about our latest initiatives and priorities, please visit our investor relations </w:t>
      </w:r>
      <w:r>
        <w:rPr>
          <w:rFonts w:ascii="Arial" w:cs="Arial" w:eastAsia="Arial" w:hAnsi="Arial"/>
          <w:sz w:val="18"/>
          <w:szCs w:val="18"/>
          <w:u w:val="single" w:color="auto"/>
          <w:color w:val="666666"/>
        </w:rPr>
        <w:t>ESG website</w:t>
      </w:r>
      <w:r>
        <w:rPr>
          <w:rFonts w:ascii="Arial" w:cs="Arial" w:eastAsia="Arial" w:hAnsi="Arial"/>
          <w:sz w:val="18"/>
          <w:szCs w:val="18"/>
          <w:color w:val="666666"/>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Webcast Details</w:t>
      </w:r>
    </w:p>
    <w:p>
      <w:pPr>
        <w:spacing w:after="0" w:line="23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666666"/>
        </w:rPr>
        <w:t xml:space="preserve">Satya Nadella, chief executive officer, Amy Hood, executive vice president and chief financial officer, Alice Jolla, chief accounting officer, Keith Dolliver, deputy general counsel, and Michael Spencer, general manager of investor relations, will host a conference call and webcast at 2:30 p.m. Pacific time (5:30 p.m. Eastern time) today to discuss details of the company’s performance for the quarter and certain forward-looking information. The session may be accessed at </w:t>
      </w:r>
      <w:r>
        <w:rPr>
          <w:rFonts w:ascii="Arial" w:cs="Arial" w:eastAsia="Arial" w:hAnsi="Arial"/>
          <w:sz w:val="18"/>
          <w:szCs w:val="18"/>
          <w:u w:val="single" w:color="auto"/>
          <w:color w:val="666666"/>
        </w:rPr>
        <w:t>http://www.microsoft.com/en-us/investor</w:t>
      </w:r>
      <w:r>
        <w:rPr>
          <w:rFonts w:ascii="Arial" w:cs="Arial" w:eastAsia="Arial" w:hAnsi="Arial"/>
          <w:sz w:val="18"/>
          <w:szCs w:val="18"/>
          <w:color w:val="666666"/>
        </w:rPr>
        <w:t>. The webcast will be available for replay through the close of business on January 26, 2022.</w:t>
      </w:r>
    </w:p>
    <w:p>
      <w:pPr>
        <w:sectPr>
          <w:pgSz w:w="11900" w:h="16838" w:orient="portrait"/>
          <w:cols w:equalWidth="0" w:num="1">
            <w:col w:w="11000"/>
          </w:cols>
          <w:pgMar w:left="440" w:top="283"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Constant Currency</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666666"/>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sectPr>
          <w:pgSz w:w="11900" w:h="16838" w:orient="portrait"/>
          <w:cols w:equalWidth="0" w:num="1">
            <w:col w:w="10960"/>
          </w:cols>
          <w:pgMar w:left="440" w:top="265" w:right="499" w:bottom="1440" w:gutter="0" w:footer="0" w:header="0"/>
        </w:sectPr>
      </w:pPr>
    </w:p>
    <w:bookmarkStart w:id="6" w:name="page7"/>
    <w:bookmarkEnd w:id="6"/>
    <w:p>
      <w:pPr>
        <w:ind w:left="980"/>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Performance Constant Currency Reconciliation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8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666666"/>
              </w:rPr>
              <w:t>Three Months Ended December 31,</w:t>
            </w:r>
          </w:p>
        </w:tc>
        <w:tc>
          <w:tcPr>
            <w:tcW w:w="1180" w:type="dxa"/>
            <w:vAlign w:val="bottom"/>
          </w:tcPr>
          <w:p>
            <w:pPr>
              <w:spacing w:after="0"/>
              <w:rPr>
                <w:sz w:val="16"/>
                <w:szCs w:val="16"/>
                <w:color w:val="auto"/>
              </w:rPr>
            </w:pPr>
          </w:p>
        </w:tc>
      </w:tr>
      <w:tr>
        <w:trPr>
          <w:trHeight w:val="80"/>
        </w:trPr>
        <w:tc>
          <w:tcPr>
            <w:tcW w:w="44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42"/>
        </w:trPr>
        <w:tc>
          <w:tcPr>
            <w:tcW w:w="44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180" w:type="dxa"/>
            <w:vAlign w:val="bottom"/>
          </w:tcPr>
          <w:p>
            <w:pPr>
              <w:jc w:val="center"/>
              <w:spacing w:after="0" w:line="143" w:lineRule="exact"/>
              <w:rPr>
                <w:sz w:val="20"/>
                <w:szCs w:val="20"/>
                <w:color w:val="auto"/>
              </w:rPr>
            </w:pPr>
            <w:r>
              <w:rPr>
                <w:rFonts w:ascii="Arial" w:cs="Arial" w:eastAsia="Arial" w:hAnsi="Arial"/>
                <w:sz w:val="14"/>
                <w:szCs w:val="14"/>
                <w:b w:val="1"/>
                <w:bCs w:val="1"/>
                <w:color w:val="666666"/>
              </w:rPr>
              <w:t>Diluted</w:t>
            </w:r>
          </w:p>
        </w:tc>
      </w:tr>
      <w:tr>
        <w:trPr>
          <w:trHeight w:val="162"/>
        </w:trPr>
        <w:tc>
          <w:tcPr>
            <w:tcW w:w="44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666666"/>
              </w:rPr>
              <w:t>Operating</w:t>
            </w:r>
          </w:p>
        </w:tc>
        <w:tc>
          <w:tcPr>
            <w:tcW w:w="15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666666"/>
              </w:rPr>
              <w:t>Earnings per</w:t>
            </w:r>
          </w:p>
        </w:tc>
      </w:tr>
      <w:tr>
        <w:trPr>
          <w:trHeight w:val="190"/>
        </w:trPr>
        <w:tc>
          <w:tcPr>
            <w:tcW w:w="4460" w:type="dxa"/>
            <w:vAlign w:val="bottom"/>
          </w:tcPr>
          <w:p>
            <w:pPr>
              <w:ind w:left="120"/>
              <w:spacing w:after="0"/>
              <w:rPr>
                <w:sz w:val="20"/>
                <w:szCs w:val="20"/>
                <w:color w:val="auto"/>
              </w:rPr>
            </w:pPr>
            <w:r>
              <w:rPr>
                <w:rFonts w:ascii="Arial" w:cs="Arial" w:eastAsia="Arial" w:hAnsi="Arial"/>
                <w:sz w:val="14"/>
                <w:szCs w:val="14"/>
                <w:color w:val="666666"/>
              </w:rPr>
              <w:t>($ in millions, except per share amounts)</w:t>
            </w:r>
          </w:p>
        </w:tc>
        <w:tc>
          <w:tcPr>
            <w:tcW w:w="2560" w:type="dxa"/>
            <w:vAlign w:val="bottom"/>
          </w:tcPr>
          <w:p>
            <w:pPr>
              <w:jc w:val="right"/>
              <w:ind w:right="268"/>
              <w:spacing w:after="0"/>
              <w:rPr>
                <w:sz w:val="20"/>
                <w:szCs w:val="20"/>
                <w:color w:val="auto"/>
              </w:rPr>
            </w:pPr>
            <w:r>
              <w:rPr>
                <w:rFonts w:ascii="Arial" w:cs="Arial" w:eastAsia="Arial" w:hAnsi="Arial"/>
                <w:sz w:val="14"/>
                <w:szCs w:val="14"/>
                <w:b w:val="1"/>
                <w:bCs w:val="1"/>
                <w:color w:val="666666"/>
              </w:rPr>
              <w:t>Revenue</w:t>
            </w:r>
          </w:p>
        </w:tc>
        <w:tc>
          <w:tcPr>
            <w:tcW w:w="1320" w:type="dxa"/>
            <w:vAlign w:val="bottom"/>
          </w:tcPr>
          <w:p>
            <w:pPr>
              <w:jc w:val="right"/>
              <w:ind w:right="368"/>
              <w:spacing w:after="0"/>
              <w:rPr>
                <w:sz w:val="20"/>
                <w:szCs w:val="20"/>
                <w:color w:val="auto"/>
              </w:rPr>
            </w:pPr>
            <w:r>
              <w:rPr>
                <w:rFonts w:ascii="Arial" w:cs="Arial" w:eastAsia="Arial" w:hAnsi="Arial"/>
                <w:sz w:val="14"/>
                <w:szCs w:val="14"/>
                <w:b w:val="1"/>
                <w:bCs w:val="1"/>
                <w:color w:val="666666"/>
              </w:rPr>
              <w:t>Income</w:t>
            </w:r>
          </w:p>
        </w:tc>
        <w:tc>
          <w:tcPr>
            <w:tcW w:w="1500" w:type="dxa"/>
            <w:vAlign w:val="bottom"/>
          </w:tcPr>
          <w:p>
            <w:pPr>
              <w:jc w:val="right"/>
              <w:ind w:right="388"/>
              <w:spacing w:after="0"/>
              <w:rPr>
                <w:sz w:val="20"/>
                <w:szCs w:val="20"/>
                <w:color w:val="auto"/>
              </w:rPr>
            </w:pPr>
            <w:r>
              <w:rPr>
                <w:rFonts w:ascii="Arial" w:cs="Arial" w:eastAsia="Arial" w:hAnsi="Arial"/>
                <w:sz w:val="14"/>
                <w:szCs w:val="14"/>
                <w:b w:val="1"/>
                <w:bCs w:val="1"/>
                <w:color w:val="666666"/>
              </w:rPr>
              <w:t>Net Income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666666"/>
              </w:rPr>
              <w:t>Share</w:t>
            </w:r>
          </w:p>
        </w:tc>
      </w:tr>
      <w:tr>
        <w:trPr>
          <w:trHeight w:val="80"/>
        </w:trPr>
        <w:tc>
          <w:tcPr>
            <w:tcW w:w="4460" w:type="dxa"/>
            <w:vAlign w:val="bottom"/>
            <w:tcBorders>
              <w:bottom w:val="single" w:sz="8" w:color="666666"/>
            </w:tcBorders>
          </w:tcPr>
          <w:p>
            <w:pPr>
              <w:spacing w:after="0"/>
              <w:rPr>
                <w:sz w:val="6"/>
                <w:szCs w:val="6"/>
                <w:color w:val="auto"/>
              </w:rPr>
            </w:pPr>
          </w:p>
        </w:tc>
        <w:tc>
          <w:tcPr>
            <w:tcW w:w="2560" w:type="dxa"/>
            <w:vAlign w:val="bottom"/>
            <w:tcBorders>
              <w:bottom w:val="single" w:sz="8" w:color="666666"/>
            </w:tcBorders>
          </w:tcPr>
          <w:p>
            <w:pPr>
              <w:spacing w:after="0"/>
              <w:rPr>
                <w:sz w:val="6"/>
                <w:szCs w:val="6"/>
                <w:color w:val="auto"/>
              </w:rPr>
            </w:pPr>
          </w:p>
        </w:tc>
        <w:tc>
          <w:tcPr>
            <w:tcW w:w="1320" w:type="dxa"/>
            <w:vAlign w:val="bottom"/>
            <w:tcBorders>
              <w:bottom w:val="single" w:sz="8" w:color="666666"/>
            </w:tcBorders>
          </w:tcPr>
          <w:p>
            <w:pPr>
              <w:spacing w:after="0"/>
              <w:rPr>
                <w:sz w:val="6"/>
                <w:szCs w:val="6"/>
                <w:color w:val="auto"/>
              </w:rPr>
            </w:pPr>
          </w:p>
        </w:tc>
        <w:tc>
          <w:tcPr>
            <w:tcW w:w="1500" w:type="dxa"/>
            <w:vAlign w:val="bottom"/>
            <w:tcBorders>
              <w:bottom w:val="single" w:sz="8" w:color="666666"/>
            </w:tcBorders>
          </w:tcPr>
          <w:p>
            <w:pPr>
              <w:spacing w:after="0"/>
              <w:rPr>
                <w:sz w:val="6"/>
                <w:szCs w:val="6"/>
                <w:color w:val="auto"/>
              </w:rPr>
            </w:pPr>
          </w:p>
        </w:tc>
        <w:tc>
          <w:tcPr>
            <w:tcW w:w="1180" w:type="dxa"/>
            <w:vAlign w:val="bottom"/>
            <w:tcBorders>
              <w:bottom w:val="single" w:sz="8" w:color="666666"/>
            </w:tcBorders>
          </w:tcPr>
          <w:p>
            <w:pPr>
              <w:spacing w:after="0"/>
              <w:rPr>
                <w:sz w:val="6"/>
                <w:szCs w:val="6"/>
                <w:color w:val="auto"/>
              </w:rPr>
            </w:pPr>
          </w:p>
        </w:tc>
      </w:tr>
      <w:tr>
        <w:trPr>
          <w:trHeight w:val="242"/>
        </w:trPr>
        <w:tc>
          <w:tcPr>
            <w:tcW w:w="4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2019 As Reported</w:t>
            </w:r>
          </w:p>
        </w:tc>
        <w:tc>
          <w:tcPr>
            <w:tcW w:w="25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666666"/>
              </w:rPr>
              <w:t>$36,906</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666666"/>
              </w:rPr>
              <w:t>$13,891</w:t>
            </w:r>
          </w:p>
        </w:tc>
        <w:tc>
          <w:tcPr>
            <w:tcW w:w="15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b w:val="1"/>
                <w:bCs w:val="1"/>
                <w:color w:val="666666"/>
              </w:rPr>
              <w:t>$11,649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$1.51</w:t>
            </w:r>
          </w:p>
        </w:tc>
      </w:tr>
      <w:tr>
        <w:trPr>
          <w:trHeight w:val="211"/>
        </w:trPr>
        <w:tc>
          <w:tcPr>
            <w:tcW w:w="44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2020 As Reported</w:t>
            </w:r>
          </w:p>
        </w:tc>
        <w:tc>
          <w:tcPr>
            <w:tcW w:w="25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$43,076</w:t>
            </w:r>
          </w:p>
        </w:tc>
        <w:tc>
          <w:tcPr>
            <w:tcW w:w="13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$17,897</w:t>
            </w:r>
          </w:p>
        </w:tc>
        <w:tc>
          <w:tcPr>
            <w:tcW w:w="15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666666"/>
              </w:rPr>
              <w:t>$15,463</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$2.03</w:t>
            </w:r>
          </w:p>
        </w:tc>
      </w:tr>
      <w:tr>
        <w:trPr>
          <w:trHeight w:val="26"/>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2"/>
        </w:trPr>
        <w:tc>
          <w:tcPr>
            <w:tcW w:w="4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666666"/>
              </w:rPr>
              <w:t>Percentage Change Y/Y</w:t>
            </w:r>
          </w:p>
        </w:tc>
        <w:tc>
          <w:tcPr>
            <w:tcW w:w="25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17%</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29%</w:t>
            </w:r>
          </w:p>
        </w:tc>
        <w:tc>
          <w:tcPr>
            <w:tcW w:w="15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666666"/>
              </w:rPr>
              <w:t>33%</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34%</w:t>
            </w:r>
          </w:p>
        </w:tc>
      </w:tr>
      <w:tr>
        <w:trPr>
          <w:trHeight w:val="211"/>
        </w:trPr>
        <w:tc>
          <w:tcPr>
            <w:tcW w:w="44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Constant Currency Impact</w:t>
            </w:r>
          </w:p>
        </w:tc>
        <w:tc>
          <w:tcPr>
            <w:tcW w:w="25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666666"/>
              </w:rPr>
              <w:t>$494</w:t>
            </w:r>
          </w:p>
        </w:tc>
        <w:tc>
          <w:tcPr>
            <w:tcW w:w="132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666666"/>
              </w:rPr>
              <w:t>$383</w:t>
            </w:r>
          </w:p>
        </w:tc>
        <w:tc>
          <w:tcPr>
            <w:tcW w:w="1500" w:type="dxa"/>
            <w:vAlign w:val="bottom"/>
            <w:tcBorders>
              <w:top w:val="single" w:sz="8" w:color="auto"/>
            </w:tcBorders>
          </w:tcPr>
          <w:p>
            <w:pPr>
              <w:jc w:val="right"/>
              <w:ind w:right="288"/>
              <w:spacing w:after="0"/>
              <w:rPr>
                <w:sz w:val="20"/>
                <w:szCs w:val="20"/>
                <w:color w:val="auto"/>
              </w:rPr>
            </w:pPr>
            <w:r>
              <w:rPr>
                <w:rFonts w:ascii="Arial" w:cs="Arial" w:eastAsia="Arial" w:hAnsi="Arial"/>
                <w:sz w:val="14"/>
                <w:szCs w:val="14"/>
                <w:b w:val="1"/>
                <w:bCs w:val="1"/>
                <w:color w:val="666666"/>
              </w:rPr>
              <w:t>$379</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$0.05</w:t>
            </w:r>
          </w:p>
        </w:tc>
      </w:tr>
      <w:tr>
        <w:trPr>
          <w:trHeight w:val="26"/>
        </w:trPr>
        <w:tc>
          <w:tcPr>
            <w:tcW w:w="4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4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666666"/>
              </w:rPr>
              <w:t>Percentage Change Y/Y Constant Currency</w:t>
            </w:r>
          </w:p>
        </w:tc>
        <w:tc>
          <w:tcPr>
            <w:tcW w:w="25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666666"/>
              </w:rPr>
              <w:t>15%</w:t>
            </w:r>
          </w:p>
        </w:tc>
        <w:tc>
          <w:tcPr>
            <w:tcW w:w="132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666666"/>
              </w:rPr>
              <w:t>26%</w:t>
            </w:r>
          </w:p>
        </w:tc>
        <w:tc>
          <w:tcPr>
            <w:tcW w:w="150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666666"/>
              </w:rPr>
              <w:t>29%</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31%</w:t>
            </w:r>
          </w:p>
        </w:tc>
      </w:tr>
      <w:tr>
        <w:trPr>
          <w:trHeight w:val="20"/>
        </w:trPr>
        <w:tc>
          <w:tcPr>
            <w:tcW w:w="446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666666"/>
        </w:rPr>
        <w:t>Segment Revenue Constant Currency Reconciliation</w:t>
      </w:r>
    </w:p>
    <w:p>
      <w:pPr>
        <w:spacing w:after="0" w:line="248"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666666"/>
        </w:rPr>
        <w:t>Three Months Ended December 31,</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Borders>
              <w:top w:val="single" w:sz="8" w:color="auto"/>
            </w:tcBorders>
          </w:tcPr>
          <w:p>
            <w:pPr>
              <w:spacing w:after="0"/>
              <w:rPr>
                <w:sz w:val="14"/>
                <w:szCs w:val="14"/>
                <w:color w:val="auto"/>
              </w:rPr>
            </w:pPr>
          </w:p>
        </w:tc>
        <w:tc>
          <w:tcPr>
            <w:tcW w:w="32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666666"/>
              </w:rPr>
              <w:t>Productivity and</w:t>
            </w:r>
          </w:p>
        </w:tc>
        <w:tc>
          <w:tcPr>
            <w:tcW w:w="18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666666"/>
              </w:rPr>
              <w:t>More Personal</w:t>
            </w:r>
          </w:p>
        </w:tc>
      </w:tr>
      <w:tr>
        <w:trPr>
          <w:trHeight w:val="190"/>
        </w:trPr>
        <w:tc>
          <w:tcPr>
            <w:tcW w:w="4400" w:type="dxa"/>
            <w:vAlign w:val="bottom"/>
          </w:tcPr>
          <w:p>
            <w:pPr>
              <w:ind w:left="120"/>
              <w:spacing w:after="0"/>
              <w:rPr>
                <w:sz w:val="20"/>
                <w:szCs w:val="20"/>
                <w:color w:val="auto"/>
              </w:rPr>
            </w:pPr>
            <w:r>
              <w:rPr>
                <w:rFonts w:ascii="Arial" w:cs="Arial" w:eastAsia="Arial" w:hAnsi="Arial"/>
                <w:sz w:val="14"/>
                <w:szCs w:val="14"/>
                <w:color w:val="666666"/>
              </w:rPr>
              <w:t>($ in millions)</w:t>
            </w:r>
          </w:p>
        </w:tc>
        <w:tc>
          <w:tcPr>
            <w:tcW w:w="3260" w:type="dxa"/>
            <w:vAlign w:val="bottom"/>
          </w:tcPr>
          <w:p>
            <w:pPr>
              <w:jc w:val="right"/>
              <w:ind w:right="228"/>
              <w:spacing w:after="0"/>
              <w:rPr>
                <w:sz w:val="20"/>
                <w:szCs w:val="20"/>
                <w:color w:val="auto"/>
              </w:rPr>
            </w:pPr>
            <w:r>
              <w:rPr>
                <w:rFonts w:ascii="Arial" w:cs="Arial" w:eastAsia="Arial" w:hAnsi="Arial"/>
                <w:sz w:val="14"/>
                <w:szCs w:val="14"/>
                <w:b w:val="1"/>
                <w:bCs w:val="1"/>
                <w:color w:val="666666"/>
              </w:rPr>
              <w:t>Business Processes</w:t>
            </w:r>
          </w:p>
        </w:tc>
        <w:tc>
          <w:tcPr>
            <w:tcW w:w="1820" w:type="dxa"/>
            <w:vAlign w:val="bottom"/>
          </w:tcPr>
          <w:p>
            <w:pPr>
              <w:jc w:val="right"/>
              <w:ind w:right="308"/>
              <w:spacing w:after="0"/>
              <w:rPr>
                <w:sz w:val="20"/>
                <w:szCs w:val="20"/>
                <w:color w:val="auto"/>
              </w:rPr>
            </w:pPr>
            <w:r>
              <w:rPr>
                <w:rFonts w:ascii="Arial" w:cs="Arial" w:eastAsia="Arial" w:hAnsi="Arial"/>
                <w:sz w:val="14"/>
                <w:szCs w:val="14"/>
                <w:b w:val="1"/>
                <w:bCs w:val="1"/>
                <w:color w:val="666666"/>
              </w:rPr>
              <w:t>Intelligent Cloud</w:t>
            </w:r>
          </w:p>
        </w:tc>
        <w:tc>
          <w:tcPr>
            <w:tcW w:w="1540" w:type="dxa"/>
            <w:vAlign w:val="bottom"/>
          </w:tcPr>
          <w:p>
            <w:pPr>
              <w:jc w:val="right"/>
              <w:ind w:right="208"/>
              <w:spacing w:after="0"/>
              <w:rPr>
                <w:sz w:val="20"/>
                <w:szCs w:val="20"/>
                <w:color w:val="auto"/>
              </w:rPr>
            </w:pPr>
            <w:r>
              <w:rPr>
                <w:rFonts w:ascii="Arial" w:cs="Arial" w:eastAsia="Arial" w:hAnsi="Arial"/>
                <w:sz w:val="14"/>
                <w:szCs w:val="14"/>
                <w:b w:val="1"/>
                <w:bCs w:val="1"/>
                <w:color w:val="666666"/>
              </w:rPr>
              <w:t>Computing</w:t>
            </w:r>
          </w:p>
        </w:tc>
      </w:tr>
      <w:tr>
        <w:trPr>
          <w:trHeight w:val="80"/>
        </w:trPr>
        <w:tc>
          <w:tcPr>
            <w:tcW w:w="4400" w:type="dxa"/>
            <w:vAlign w:val="bottom"/>
            <w:tcBorders>
              <w:bottom w:val="single" w:sz="8" w:color="666666"/>
            </w:tcBorders>
          </w:tcPr>
          <w:p>
            <w:pPr>
              <w:spacing w:after="0"/>
              <w:rPr>
                <w:sz w:val="6"/>
                <w:szCs w:val="6"/>
                <w:color w:val="auto"/>
              </w:rPr>
            </w:pPr>
          </w:p>
        </w:tc>
        <w:tc>
          <w:tcPr>
            <w:tcW w:w="3260" w:type="dxa"/>
            <w:vAlign w:val="bottom"/>
            <w:tcBorders>
              <w:bottom w:val="single" w:sz="8" w:color="666666"/>
            </w:tcBorders>
          </w:tcPr>
          <w:p>
            <w:pPr>
              <w:spacing w:after="0"/>
              <w:rPr>
                <w:sz w:val="6"/>
                <w:szCs w:val="6"/>
                <w:color w:val="auto"/>
              </w:rPr>
            </w:pPr>
          </w:p>
        </w:tc>
        <w:tc>
          <w:tcPr>
            <w:tcW w:w="1820" w:type="dxa"/>
            <w:vAlign w:val="bottom"/>
            <w:tcBorders>
              <w:bottom w:val="single" w:sz="8" w:color="666666"/>
            </w:tcBorders>
          </w:tcPr>
          <w:p>
            <w:pPr>
              <w:spacing w:after="0"/>
              <w:rPr>
                <w:sz w:val="6"/>
                <w:szCs w:val="6"/>
                <w:color w:val="auto"/>
              </w:rPr>
            </w:pPr>
          </w:p>
        </w:tc>
        <w:tc>
          <w:tcPr>
            <w:tcW w:w="1540" w:type="dxa"/>
            <w:vAlign w:val="bottom"/>
            <w:tcBorders>
              <w:bottom w:val="single" w:sz="8" w:color="666666"/>
            </w:tcBorders>
          </w:tcPr>
          <w:p>
            <w:pPr>
              <w:spacing w:after="0"/>
              <w:rPr>
                <w:sz w:val="6"/>
                <w:szCs w:val="6"/>
                <w:color w:val="auto"/>
              </w:rPr>
            </w:pPr>
          </w:p>
        </w:tc>
      </w:tr>
      <w:tr>
        <w:trPr>
          <w:trHeight w:val="241"/>
        </w:trPr>
        <w:tc>
          <w:tcPr>
            <w:tcW w:w="4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2019 As Reported</w:t>
            </w:r>
          </w:p>
        </w:tc>
        <w:tc>
          <w:tcPr>
            <w:tcW w:w="326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666666"/>
              </w:rPr>
              <w:t>$11,826</w:t>
            </w:r>
          </w:p>
        </w:tc>
        <w:tc>
          <w:tcPr>
            <w:tcW w:w="182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b w:val="1"/>
                <w:bCs w:val="1"/>
                <w:color w:val="666666"/>
              </w:rPr>
              <w:t>$11,869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$13,211</w:t>
            </w:r>
          </w:p>
        </w:tc>
      </w:tr>
      <w:tr>
        <w:trPr>
          <w:trHeight w:val="211"/>
        </w:trPr>
        <w:tc>
          <w:tcPr>
            <w:tcW w:w="44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2020 As Reported</w:t>
            </w:r>
          </w:p>
        </w:tc>
        <w:tc>
          <w:tcPr>
            <w:tcW w:w="326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666666"/>
              </w:rPr>
              <w:t>$13,353</w:t>
            </w:r>
          </w:p>
        </w:tc>
        <w:tc>
          <w:tcPr>
            <w:tcW w:w="1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666666"/>
              </w:rPr>
              <w:t>$14,601</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$15,122</w:t>
            </w:r>
          </w:p>
        </w:tc>
      </w:tr>
      <w:tr>
        <w:trPr>
          <w:trHeight w:val="26"/>
        </w:trPr>
        <w:tc>
          <w:tcPr>
            <w:tcW w:w="44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2"/>
        </w:trPr>
        <w:tc>
          <w:tcPr>
            <w:tcW w:w="4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666666"/>
              </w:rPr>
              <w:t>Percentage Change Y/Y</w:t>
            </w:r>
          </w:p>
        </w:tc>
        <w:tc>
          <w:tcPr>
            <w:tcW w:w="326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666666"/>
              </w:rPr>
              <w:t>13%</w:t>
            </w:r>
          </w:p>
        </w:tc>
        <w:tc>
          <w:tcPr>
            <w:tcW w:w="182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666666"/>
              </w:rPr>
              <w:t>23%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14%</w:t>
            </w:r>
          </w:p>
        </w:tc>
      </w:tr>
      <w:tr>
        <w:trPr>
          <w:trHeight w:val="211"/>
        </w:trPr>
        <w:tc>
          <w:tcPr>
            <w:tcW w:w="44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Constant Currency Impact</w:t>
            </w:r>
          </w:p>
        </w:tc>
        <w:tc>
          <w:tcPr>
            <w:tcW w:w="326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666666"/>
              </w:rPr>
              <w:t>$173</w:t>
            </w:r>
          </w:p>
        </w:tc>
        <w:tc>
          <w:tcPr>
            <w:tcW w:w="182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666666"/>
              </w:rPr>
              <w:t>$168</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$153</w:t>
            </w:r>
          </w:p>
        </w:tc>
      </w:tr>
      <w:tr>
        <w:trPr>
          <w:trHeight w:val="26"/>
        </w:trPr>
        <w:tc>
          <w:tcPr>
            <w:tcW w:w="44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7"/>
        </w:trPr>
        <w:tc>
          <w:tcPr>
            <w:tcW w:w="4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666666"/>
              </w:rPr>
              <w:t>Percentage Change Y/Y Constant Currency</w:t>
            </w:r>
          </w:p>
        </w:tc>
        <w:tc>
          <w:tcPr>
            <w:tcW w:w="326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666666"/>
              </w:rPr>
              <w:t>11%</w:t>
            </w:r>
          </w:p>
        </w:tc>
        <w:tc>
          <w:tcPr>
            <w:tcW w:w="182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666666"/>
              </w:rPr>
              <w:t>22%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666666"/>
              </w:rPr>
              <w:t>13%</w:t>
            </w:r>
          </w:p>
        </w:tc>
      </w:tr>
      <w:tr>
        <w:trPr>
          <w:trHeight w:val="20"/>
        </w:trPr>
        <w:tc>
          <w:tcPr>
            <w:tcW w:w="440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bl>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666666"/>
        </w:rPr>
        <w:t>Selected Product and Service Revenue Constant Currency Reconciliation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666666"/>
              </w:rPr>
              <w:t>Three Months Ended December 31,</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50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270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40" w:type="dxa"/>
            <w:vAlign w:val="bottom"/>
          </w:tcPr>
          <w:p>
            <w:pPr>
              <w:jc w:val="center"/>
              <w:ind w:left="8"/>
              <w:spacing w:after="0" w:line="143" w:lineRule="exact"/>
              <w:rPr>
                <w:sz w:val="20"/>
                <w:szCs w:val="20"/>
                <w:color w:val="auto"/>
              </w:rPr>
            </w:pPr>
            <w:r>
              <w:rPr>
                <w:rFonts w:ascii="Arial" w:cs="Arial" w:eastAsia="Arial" w:hAnsi="Arial"/>
                <w:sz w:val="14"/>
                <w:szCs w:val="14"/>
                <w:b w:val="1"/>
                <w:bCs w:val="1"/>
                <w:color w:val="666666"/>
              </w:rPr>
              <w:t>Percentage Change</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2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666666"/>
              </w:rPr>
              <w:t>Percentage Change</w:t>
            </w:r>
          </w:p>
        </w:tc>
        <w:tc>
          <w:tcPr>
            <w:tcW w:w="2700" w:type="dxa"/>
            <w:vAlign w:val="bottom"/>
          </w:tcPr>
          <w:p>
            <w:pPr>
              <w:jc w:val="center"/>
              <w:spacing w:after="0"/>
              <w:rPr>
                <w:sz w:val="20"/>
                <w:szCs w:val="20"/>
                <w:color w:val="auto"/>
              </w:rPr>
            </w:pPr>
            <w:r>
              <w:rPr>
                <w:rFonts w:ascii="Arial" w:cs="Arial" w:eastAsia="Arial" w:hAnsi="Arial"/>
                <w:sz w:val="14"/>
                <w:szCs w:val="14"/>
                <w:b w:val="1"/>
                <w:bCs w:val="1"/>
                <w:color w:val="666666"/>
              </w:rPr>
              <w:t>Constant Currency</w:t>
            </w:r>
          </w:p>
        </w:tc>
        <w:tc>
          <w:tcPr>
            <w:tcW w:w="1540" w:type="dxa"/>
            <w:vAlign w:val="bottom"/>
          </w:tcPr>
          <w:p>
            <w:pPr>
              <w:jc w:val="center"/>
              <w:ind w:left="28"/>
              <w:spacing w:after="0"/>
              <w:rPr>
                <w:sz w:val="20"/>
                <w:szCs w:val="20"/>
                <w:color w:val="auto"/>
              </w:rPr>
            </w:pPr>
            <w:r>
              <w:rPr>
                <w:rFonts w:ascii="Arial" w:cs="Arial" w:eastAsia="Arial" w:hAnsi="Arial"/>
                <w:sz w:val="14"/>
                <w:szCs w:val="14"/>
                <w:b w:val="1"/>
                <w:bCs w:val="1"/>
                <w:color w:val="666666"/>
              </w:rPr>
              <w:t>Y/Y Constant</w:t>
            </w:r>
          </w:p>
        </w:tc>
        <w:tc>
          <w:tcPr>
            <w:tcW w:w="0" w:type="dxa"/>
            <w:vAlign w:val="bottom"/>
          </w:tcPr>
          <w:p>
            <w:pPr>
              <w:spacing w:after="0"/>
              <w:rPr>
                <w:sz w:val="1"/>
                <w:szCs w:val="1"/>
                <w:color w:val="auto"/>
              </w:rPr>
            </w:pPr>
          </w:p>
        </w:tc>
      </w:tr>
      <w:tr>
        <w:trPr>
          <w:trHeight w:val="81"/>
        </w:trPr>
        <w:tc>
          <w:tcPr>
            <w:tcW w:w="450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2700" w:type="dxa"/>
            <w:vAlign w:val="bottom"/>
            <w:vMerge w:val="restart"/>
          </w:tcPr>
          <w:p>
            <w:pPr>
              <w:jc w:val="center"/>
              <w:spacing w:after="0"/>
              <w:rPr>
                <w:sz w:val="20"/>
                <w:szCs w:val="20"/>
                <w:color w:val="auto"/>
              </w:rPr>
            </w:pPr>
            <w:r>
              <w:rPr>
                <w:rFonts w:ascii="Arial" w:cs="Arial" w:eastAsia="Arial" w:hAnsi="Arial"/>
                <w:sz w:val="14"/>
                <w:szCs w:val="14"/>
                <w:b w:val="1"/>
                <w:bCs w:val="1"/>
                <w:color w:val="666666"/>
              </w:rPr>
              <w:t>Impact</w:t>
            </w:r>
          </w:p>
        </w:tc>
        <w:tc>
          <w:tcPr>
            <w:tcW w:w="15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666666"/>
              </w:rPr>
              <w:t>Currency</w:t>
            </w:r>
          </w:p>
        </w:tc>
        <w:tc>
          <w:tcPr>
            <w:tcW w:w="0" w:type="dxa"/>
            <w:vAlign w:val="bottom"/>
          </w:tcPr>
          <w:p>
            <w:pPr>
              <w:spacing w:after="0"/>
              <w:rPr>
                <w:sz w:val="1"/>
                <w:szCs w:val="1"/>
                <w:color w:val="auto"/>
              </w:rPr>
            </w:pPr>
          </w:p>
        </w:tc>
      </w:tr>
      <w:tr>
        <w:trPr>
          <w:trHeight w:val="109"/>
        </w:trPr>
        <w:tc>
          <w:tcPr>
            <w:tcW w:w="4500" w:type="dxa"/>
            <w:vAlign w:val="bottom"/>
          </w:tcPr>
          <w:p>
            <w:pPr>
              <w:spacing w:after="0"/>
              <w:rPr>
                <w:sz w:val="9"/>
                <w:szCs w:val="9"/>
                <w:color w:val="auto"/>
              </w:rPr>
            </w:pPr>
          </w:p>
        </w:tc>
        <w:tc>
          <w:tcPr>
            <w:tcW w:w="22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666666"/>
              </w:rPr>
              <w:t>Y/Y (GAAP)</w:t>
            </w:r>
          </w:p>
        </w:tc>
        <w:tc>
          <w:tcPr>
            <w:tcW w:w="27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4500" w:type="dxa"/>
            <w:vAlign w:val="bottom"/>
            <w:tcBorders>
              <w:bottom w:val="single" w:sz="8" w:color="666666"/>
            </w:tcBorders>
          </w:tcPr>
          <w:p>
            <w:pPr>
              <w:spacing w:after="0"/>
              <w:rPr>
                <w:sz w:val="6"/>
                <w:szCs w:val="6"/>
                <w:color w:val="auto"/>
              </w:rPr>
            </w:pPr>
          </w:p>
        </w:tc>
        <w:tc>
          <w:tcPr>
            <w:tcW w:w="2280" w:type="dxa"/>
            <w:vAlign w:val="bottom"/>
            <w:tcBorders>
              <w:bottom w:val="single" w:sz="8" w:color="666666"/>
            </w:tcBorders>
            <w:vMerge w:val="continue"/>
          </w:tcPr>
          <w:p>
            <w:pPr>
              <w:spacing w:after="0"/>
              <w:rPr>
                <w:sz w:val="6"/>
                <w:szCs w:val="6"/>
                <w:color w:val="auto"/>
              </w:rPr>
            </w:pPr>
          </w:p>
        </w:tc>
        <w:tc>
          <w:tcPr>
            <w:tcW w:w="2700" w:type="dxa"/>
            <w:vAlign w:val="bottom"/>
            <w:tcBorders>
              <w:bottom w:val="single" w:sz="8" w:color="666666"/>
            </w:tcBorders>
          </w:tcPr>
          <w:p>
            <w:pPr>
              <w:spacing w:after="0"/>
              <w:rPr>
                <w:sz w:val="6"/>
                <w:szCs w:val="6"/>
                <w:color w:val="auto"/>
              </w:rPr>
            </w:pPr>
          </w:p>
        </w:tc>
        <w:tc>
          <w:tcPr>
            <w:tcW w:w="1540" w:type="dxa"/>
            <w:vAlign w:val="bottom"/>
            <w:tcBorders>
              <w:bottom w:val="single" w:sz="8" w:color="666666"/>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Office Commercial products and cloud services</w:t>
            </w:r>
          </w:p>
        </w:tc>
        <w:tc>
          <w:tcPr>
            <w:tcW w:w="2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11%</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9%</w:t>
            </w:r>
          </w:p>
        </w:tc>
        <w:tc>
          <w:tcPr>
            <w:tcW w:w="0" w:type="dxa"/>
            <w:vAlign w:val="bottom"/>
          </w:tcPr>
          <w:p>
            <w:pPr>
              <w:spacing w:after="0"/>
              <w:rPr>
                <w:sz w:val="1"/>
                <w:szCs w:val="1"/>
                <w:color w:val="auto"/>
              </w:rPr>
            </w:pP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Office 365 Commercial</w:t>
            </w:r>
          </w:p>
        </w:tc>
        <w:tc>
          <w:tcPr>
            <w:tcW w:w="2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21%</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(1)%</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20%</w:t>
            </w:r>
          </w:p>
        </w:tc>
        <w:tc>
          <w:tcPr>
            <w:tcW w:w="0" w:type="dxa"/>
            <w:vAlign w:val="bottom"/>
          </w:tcPr>
          <w:p>
            <w:pPr>
              <w:spacing w:after="0"/>
              <w:rPr>
                <w:sz w:val="1"/>
                <w:szCs w:val="1"/>
                <w:color w:val="auto"/>
              </w:rPr>
            </w:pPr>
          </w:p>
        </w:tc>
      </w:tr>
      <w:tr>
        <w:trPr>
          <w:trHeight w:val="25"/>
        </w:trPr>
        <w:tc>
          <w:tcPr>
            <w:tcW w:w="45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Office Consumer products and cloud services</w:t>
            </w:r>
          </w:p>
        </w:tc>
        <w:tc>
          <w:tcPr>
            <w:tcW w:w="2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7%</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6%</w:t>
            </w:r>
          </w:p>
        </w:tc>
        <w:tc>
          <w:tcPr>
            <w:tcW w:w="0" w:type="dxa"/>
            <w:vAlign w:val="bottom"/>
          </w:tcPr>
          <w:p>
            <w:pPr>
              <w:spacing w:after="0"/>
              <w:rPr>
                <w:sz w:val="1"/>
                <w:szCs w:val="1"/>
                <w:color w:val="auto"/>
              </w:rPr>
            </w:pP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LinkedIn</w:t>
            </w:r>
          </w:p>
        </w:tc>
        <w:tc>
          <w:tcPr>
            <w:tcW w:w="2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23%</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(1)%</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22%</w:t>
            </w:r>
          </w:p>
        </w:tc>
        <w:tc>
          <w:tcPr>
            <w:tcW w:w="0" w:type="dxa"/>
            <w:vAlign w:val="bottom"/>
          </w:tcPr>
          <w:p>
            <w:pPr>
              <w:spacing w:after="0"/>
              <w:rPr>
                <w:sz w:val="1"/>
                <w:szCs w:val="1"/>
                <w:color w:val="auto"/>
              </w:rPr>
            </w:pPr>
          </w:p>
        </w:tc>
      </w:tr>
      <w:tr>
        <w:trPr>
          <w:trHeight w:val="25"/>
        </w:trPr>
        <w:tc>
          <w:tcPr>
            <w:tcW w:w="45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Dynamics products and cloud services</w:t>
            </w:r>
          </w:p>
        </w:tc>
        <w:tc>
          <w:tcPr>
            <w:tcW w:w="2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21%</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(3)%</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18%</w:t>
            </w:r>
          </w:p>
        </w:tc>
        <w:tc>
          <w:tcPr>
            <w:tcW w:w="0" w:type="dxa"/>
            <w:vAlign w:val="bottom"/>
          </w:tcPr>
          <w:p>
            <w:pPr>
              <w:spacing w:after="0"/>
              <w:rPr>
                <w:sz w:val="1"/>
                <w:szCs w:val="1"/>
                <w:color w:val="auto"/>
              </w:rPr>
            </w:pP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Dynamics 365</w:t>
            </w:r>
          </w:p>
        </w:tc>
        <w:tc>
          <w:tcPr>
            <w:tcW w:w="2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39%</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37%</w:t>
            </w:r>
          </w:p>
        </w:tc>
        <w:tc>
          <w:tcPr>
            <w:tcW w:w="0" w:type="dxa"/>
            <w:vAlign w:val="bottom"/>
          </w:tcPr>
          <w:p>
            <w:pPr>
              <w:spacing w:after="0"/>
              <w:rPr>
                <w:sz w:val="1"/>
                <w:szCs w:val="1"/>
                <w:color w:val="auto"/>
              </w:rPr>
            </w:pPr>
          </w:p>
        </w:tc>
      </w:tr>
      <w:tr>
        <w:trPr>
          <w:trHeight w:val="25"/>
        </w:trPr>
        <w:tc>
          <w:tcPr>
            <w:tcW w:w="45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Server products and cloud services</w:t>
            </w:r>
          </w:p>
        </w:tc>
        <w:tc>
          <w:tcPr>
            <w:tcW w:w="2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26%</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24%</w:t>
            </w:r>
          </w:p>
        </w:tc>
        <w:tc>
          <w:tcPr>
            <w:tcW w:w="0" w:type="dxa"/>
            <w:vAlign w:val="bottom"/>
          </w:tcPr>
          <w:p>
            <w:pPr>
              <w:spacing w:after="0"/>
              <w:rPr>
                <w:sz w:val="1"/>
                <w:szCs w:val="1"/>
                <w:color w:val="auto"/>
              </w:rPr>
            </w:pP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Azure</w:t>
            </w:r>
          </w:p>
        </w:tc>
        <w:tc>
          <w:tcPr>
            <w:tcW w:w="2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50%</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48%</w:t>
            </w:r>
          </w:p>
        </w:tc>
        <w:tc>
          <w:tcPr>
            <w:tcW w:w="0" w:type="dxa"/>
            <w:vAlign w:val="bottom"/>
          </w:tcPr>
          <w:p>
            <w:pPr>
              <w:spacing w:after="0"/>
              <w:rPr>
                <w:sz w:val="1"/>
                <w:szCs w:val="1"/>
                <w:color w:val="auto"/>
              </w:rPr>
            </w:pPr>
          </w:p>
        </w:tc>
      </w:tr>
      <w:tr>
        <w:trPr>
          <w:trHeight w:val="25"/>
        </w:trPr>
        <w:tc>
          <w:tcPr>
            <w:tcW w:w="45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Windows OEM</w:t>
            </w:r>
          </w:p>
        </w:tc>
        <w:tc>
          <w:tcPr>
            <w:tcW w:w="2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1%</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0%</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w:t>
            </w:r>
          </w:p>
        </w:tc>
        <w:tc>
          <w:tcPr>
            <w:tcW w:w="0" w:type="dxa"/>
            <w:vAlign w:val="bottom"/>
          </w:tcPr>
          <w:p>
            <w:pPr>
              <w:spacing w:after="0"/>
              <w:rPr>
                <w:sz w:val="1"/>
                <w:szCs w:val="1"/>
                <w:color w:val="auto"/>
              </w:rPr>
            </w:pP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Windows Commercial products and cloud services</w:t>
            </w:r>
          </w:p>
        </w:tc>
        <w:tc>
          <w:tcPr>
            <w:tcW w:w="2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10%</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8%</w:t>
            </w:r>
          </w:p>
        </w:tc>
        <w:tc>
          <w:tcPr>
            <w:tcW w:w="0" w:type="dxa"/>
            <w:vAlign w:val="bottom"/>
          </w:tcPr>
          <w:p>
            <w:pPr>
              <w:spacing w:after="0"/>
              <w:rPr>
                <w:sz w:val="1"/>
                <w:szCs w:val="1"/>
                <w:color w:val="auto"/>
              </w:rPr>
            </w:pPr>
          </w:p>
        </w:tc>
      </w:tr>
      <w:tr>
        <w:trPr>
          <w:trHeight w:val="25"/>
        </w:trPr>
        <w:tc>
          <w:tcPr>
            <w:tcW w:w="45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Xbox content and services</w:t>
            </w:r>
          </w:p>
        </w:tc>
        <w:tc>
          <w:tcPr>
            <w:tcW w:w="2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40%</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38%</w:t>
            </w:r>
          </w:p>
        </w:tc>
        <w:tc>
          <w:tcPr>
            <w:tcW w:w="0" w:type="dxa"/>
            <w:vAlign w:val="bottom"/>
          </w:tcPr>
          <w:p>
            <w:pPr>
              <w:spacing w:after="0"/>
              <w:rPr>
                <w:sz w:val="1"/>
                <w:szCs w:val="1"/>
                <w:color w:val="auto"/>
              </w:rPr>
            </w:pPr>
          </w:p>
        </w:tc>
      </w:tr>
      <w:tr>
        <w:trPr>
          <w:trHeight w:val="211"/>
        </w:trPr>
        <w:tc>
          <w:tcPr>
            <w:tcW w:w="450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666666"/>
              </w:rPr>
              <w:t>Surface</w:t>
            </w:r>
          </w:p>
        </w:tc>
        <w:tc>
          <w:tcPr>
            <w:tcW w:w="22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666666"/>
              </w:rPr>
              <w:t>3%</w:t>
            </w:r>
          </w:p>
        </w:tc>
        <w:tc>
          <w:tcPr>
            <w:tcW w:w="2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666666"/>
              </w:rPr>
              <w:t>(2)%</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666666"/>
              </w:rPr>
              <w:t>1%</w:t>
            </w:r>
          </w:p>
        </w:tc>
        <w:tc>
          <w:tcPr>
            <w:tcW w:w="0" w:type="dxa"/>
            <w:vAlign w:val="bottom"/>
          </w:tcPr>
          <w:p>
            <w:pPr>
              <w:spacing w:after="0"/>
              <w:rPr>
                <w:sz w:val="1"/>
                <w:szCs w:val="1"/>
                <w:color w:val="auto"/>
              </w:rPr>
            </w:pPr>
          </w:p>
        </w:tc>
      </w:tr>
      <w:tr>
        <w:trPr>
          <w:trHeight w:val="25"/>
        </w:trPr>
        <w:tc>
          <w:tcPr>
            <w:tcW w:w="45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b w:val="1"/>
                <w:bCs w:val="1"/>
                <w:color w:val="666666"/>
              </w:rPr>
              <w:t>Search advertising excluding traffic acquisition costs</w:t>
            </w:r>
          </w:p>
        </w:tc>
        <w:tc>
          <w:tcPr>
            <w:tcW w:w="22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666666"/>
              </w:rPr>
              <w:t>2%</w:t>
            </w:r>
          </w:p>
        </w:tc>
        <w:tc>
          <w:tcPr>
            <w:tcW w:w="2700" w:type="dxa"/>
            <w:vAlign w:val="bottom"/>
            <w:tcBorders>
              <w:bottom w:val="single" w:sz="8" w:color="CCEEFF"/>
            </w:tcBorders>
            <w:shd w:val="clear" w:color="auto" w:fill="CCEEFF"/>
          </w:tcPr>
          <w:p>
            <w:pPr>
              <w:jc w:val="right"/>
              <w:ind w:right="628"/>
              <w:spacing w:after="0"/>
              <w:rPr>
                <w:sz w:val="20"/>
                <w:szCs w:val="20"/>
                <w:color w:val="auto"/>
              </w:rPr>
            </w:pPr>
            <w:r>
              <w:rPr>
                <w:rFonts w:ascii="Arial" w:cs="Arial" w:eastAsia="Arial" w:hAnsi="Arial"/>
                <w:sz w:val="14"/>
                <w:szCs w:val="14"/>
                <w:b w:val="1"/>
                <w:bCs w:val="1"/>
                <w:color w:val="666666"/>
              </w:rPr>
              <w:t>(1)%</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666666"/>
              </w:rPr>
              <w:t>1%</w:t>
            </w:r>
          </w:p>
        </w:tc>
        <w:tc>
          <w:tcPr>
            <w:tcW w:w="0" w:type="dxa"/>
            <w:vAlign w:val="bottom"/>
          </w:tcPr>
          <w:p>
            <w:pPr>
              <w:spacing w:after="0"/>
              <w:rPr>
                <w:sz w:val="1"/>
                <w:szCs w:val="1"/>
                <w:color w:val="auto"/>
              </w:rPr>
            </w:pPr>
          </w:p>
        </w:tc>
      </w:tr>
      <w:tr>
        <w:trPr>
          <w:trHeight w:val="20"/>
        </w:trPr>
        <w:tc>
          <w:tcPr>
            <w:tcW w:w="45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About Microsoft</w:t>
      </w:r>
    </w:p>
    <w:p>
      <w:pPr>
        <w:spacing w:after="0" w:line="234"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666666"/>
        </w:rPr>
        <w:t>Microsoft (Nasdaq “MSFT” @microsoft) enables digital transformation for the era of an intelligent cloud and an intelligent edge. Its mission is to empower every person and every organization on the planet to achieve more.</w:t>
      </w:r>
    </w:p>
    <w:p>
      <w:pPr>
        <w:sectPr>
          <w:pgSz w:w="11900" w:h="16838" w:orient="portrait"/>
          <w:cols w:equalWidth="0" w:num="1">
            <w:col w:w="11020"/>
          </w:cols>
          <w:pgMar w:left="440" w:top="26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Forward-Looking Statements</w:t>
      </w:r>
    </w:p>
    <w:p>
      <w:pPr>
        <w:spacing w:after="0" w:line="23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666666"/>
        </w:rPr>
        <w:t>Statements in this release that are “forward-looking statements” are based on current expectations and assumptions that are subject to risks and uncertainties. Actual results could differ materially because of factors such as:</w:t>
      </w:r>
    </w:p>
    <w:p>
      <w:pPr>
        <w:spacing w:after="0" w:line="224"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intense competition in all of our markets that may lead to lower revenue or operating margins;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increasing focus on cloud-based services presenting execution and competitive risks;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significant investments in products and services that may not achieve expected returns;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acquisitions, joint ventures, and strategic alliances that may have an adverse effect on our business;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impairment of goodwill or amortizable intangible assets causing a significant charge to earnings;</w:t>
      </w:r>
    </w:p>
    <w:p>
      <w:pPr>
        <w:spacing w:after="0" w:line="238" w:lineRule="exact"/>
        <w:rPr>
          <w:rFonts w:ascii="Arial" w:cs="Arial" w:eastAsia="Arial" w:hAnsi="Arial"/>
          <w:sz w:val="18"/>
          <w:szCs w:val="18"/>
          <w:color w:val="666666"/>
        </w:rPr>
      </w:pPr>
    </w:p>
    <w:p>
      <w:pPr>
        <w:ind w:left="960" w:right="80" w:hanging="424"/>
        <w:spacing w:after="0" w:line="246" w:lineRule="auto"/>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cyberattacks and security vulnerabilities that could lead to reduced revenue, increased costs, liability claims, or harm to our reputation or competitive position;</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disclosure and misuse of personal data that could cause liability and harm to our reputation;</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the possibility that we may not be able to protect information stored in our products and services from use by others;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abuse of our advertising or social platforms that may harm our reputation or user engagement;</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the development of the internet of things presenting security, privacy, and execution risks;</w:t>
      </w:r>
    </w:p>
    <w:p>
      <w:pPr>
        <w:spacing w:after="0" w:line="238" w:lineRule="exact"/>
        <w:rPr>
          <w:rFonts w:ascii="Arial" w:cs="Arial" w:eastAsia="Arial" w:hAnsi="Arial"/>
          <w:sz w:val="18"/>
          <w:szCs w:val="18"/>
          <w:color w:val="666666"/>
        </w:rPr>
      </w:pPr>
    </w:p>
    <w:p>
      <w:pPr>
        <w:ind w:left="960" w:hanging="424"/>
        <w:spacing w:after="0" w:line="246" w:lineRule="auto"/>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issues about the use of artificial intelligence in our offerings that may result in competitive harm, legal liability, or reputational harm;</w:t>
      </w:r>
    </w:p>
    <w:p>
      <w:pPr>
        <w:spacing w:after="0" w:line="223" w:lineRule="exact"/>
        <w:rPr>
          <w:rFonts w:ascii="Arial" w:cs="Arial" w:eastAsia="Arial" w:hAnsi="Arial"/>
          <w:sz w:val="18"/>
          <w:szCs w:val="18"/>
          <w:color w:val="666666"/>
        </w:rPr>
      </w:pPr>
    </w:p>
    <w:p>
      <w:pPr>
        <w:ind w:left="960" w:right="720" w:hanging="424"/>
        <w:spacing w:after="0" w:line="246" w:lineRule="auto"/>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excessive outages, data losses, and disruptions of our online services if we fail to maintain an adequate operations infrastructure;</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quality or supply problems;</w:t>
      </w:r>
    </w:p>
    <w:p>
      <w:pPr>
        <w:spacing w:after="0" w:line="238" w:lineRule="exact"/>
        <w:rPr>
          <w:rFonts w:ascii="Arial" w:cs="Arial" w:eastAsia="Arial" w:hAnsi="Arial"/>
          <w:sz w:val="18"/>
          <w:szCs w:val="18"/>
          <w:color w:val="666666"/>
        </w:rPr>
      </w:pPr>
    </w:p>
    <w:p>
      <w:pPr>
        <w:ind w:left="960" w:right="540" w:hanging="424"/>
        <w:spacing w:after="0" w:line="246" w:lineRule="auto"/>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government litigation and regulatory activity relating to competition rules that may limit how we design and market our products;</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potential liability under trade protection, anti-corruption, and other laws resulting from our global operations;</w:t>
      </w:r>
    </w:p>
    <w:p>
      <w:pPr>
        <w:spacing w:after="0" w:line="238" w:lineRule="exact"/>
        <w:rPr>
          <w:rFonts w:ascii="Arial" w:cs="Arial" w:eastAsia="Arial" w:hAnsi="Arial"/>
          <w:sz w:val="18"/>
          <w:szCs w:val="18"/>
          <w:color w:val="666666"/>
        </w:rPr>
      </w:pPr>
    </w:p>
    <w:p>
      <w:pPr>
        <w:ind w:left="960" w:right="460" w:hanging="424"/>
        <w:spacing w:after="0" w:line="246" w:lineRule="auto"/>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laws and regulations relating to the handling of personal data that may impede the adoption of our services or result in increased costs, legal claims, fines, or reputational damage;</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claims against us that may result in adverse outcomes in legal disputes;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uncertainties relating to our business with government customers;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additional tax liabilities;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the possibility that we may fail to protect our source code;</w:t>
      </w:r>
    </w:p>
    <w:p>
      <w:pPr>
        <w:sectPr>
          <w:pgSz w:w="11900" w:h="16838" w:orient="portrait"/>
          <w:cols w:equalWidth="0" w:num="1">
            <w:col w:w="10820"/>
          </w:cols>
          <w:pgMar w:left="440" w:top="265" w:right="639" w:bottom="1440" w:gutter="0" w:footer="0" w:header="0"/>
        </w:sectPr>
      </w:pPr>
    </w:p>
    <w:bookmarkStart w:id="8" w:name="page9"/>
    <w:bookmarkEnd w:id="8"/>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legal changes, our evolving business model, piracy, and other factors may decrease the value of our intellectual property;</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claims that Microsoft has infringed the intellectual property rights of others;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damage to our reputation or our brands that may harm our business and operating results;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adverse economic or market conditions that may harm our business;</w:t>
      </w:r>
    </w:p>
    <w:p>
      <w:pPr>
        <w:spacing w:after="0" w:line="238"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catastrophic events or geo-political conditions, such as the COVID-19 pandemic, that may disrupt our business;</w:t>
      </w:r>
    </w:p>
    <w:p>
      <w:pPr>
        <w:spacing w:after="0" w:line="238" w:lineRule="exact"/>
        <w:rPr>
          <w:rFonts w:ascii="Arial" w:cs="Arial" w:eastAsia="Arial" w:hAnsi="Arial"/>
          <w:sz w:val="18"/>
          <w:szCs w:val="18"/>
          <w:color w:val="666666"/>
        </w:rPr>
      </w:pPr>
    </w:p>
    <w:p>
      <w:pPr>
        <w:ind w:left="960" w:right="520" w:hanging="424"/>
        <w:spacing w:after="0" w:line="246" w:lineRule="auto"/>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exposure to increased economic and operational uncertainties from operating a global business, including the effects of foreign currency exchange and</w:t>
      </w:r>
    </w:p>
    <w:p>
      <w:pPr>
        <w:spacing w:after="0" w:line="223" w:lineRule="exact"/>
        <w:rPr>
          <w:rFonts w:ascii="Arial" w:cs="Arial" w:eastAsia="Arial" w:hAnsi="Arial"/>
          <w:sz w:val="18"/>
          <w:szCs w:val="18"/>
          <w:color w:val="666666"/>
        </w:rPr>
      </w:pPr>
    </w:p>
    <w:p>
      <w:pPr>
        <w:ind w:left="960" w:hanging="424"/>
        <w:spacing w:after="0"/>
        <w:tabs>
          <w:tab w:leader="none" w:pos="96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the dependence of our business on our ability to attract and retain talented employees.</w:t>
      </w:r>
    </w:p>
    <w:p>
      <w:pPr>
        <w:spacing w:after="0" w:line="21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666666"/>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cs="Arial" w:eastAsia="Arial" w:hAnsi="Arial"/>
          <w:sz w:val="17"/>
          <w:szCs w:val="17"/>
          <w:u w:val="single" w:color="auto"/>
          <w:color w:val="666666"/>
        </w:rPr>
        <w:t>http://www.microsoft.com/en-us/investor</w:t>
      </w:r>
      <w:r>
        <w:rPr>
          <w:rFonts w:ascii="Arial" w:cs="Arial" w:eastAsia="Arial" w:hAnsi="Arial"/>
          <w:sz w:val="17"/>
          <w:szCs w:val="17"/>
          <w:color w:val="666666"/>
        </w:rPr>
        <w:t>.</w:t>
      </w:r>
    </w:p>
    <w:p>
      <w:pPr>
        <w:spacing w:after="0" w:line="189"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666666"/>
        </w:rPr>
        <w:t>All information in this release is as of December 31, 2020. The company undertakes no duty to update any forward-looking statement to conform the statement to actual results or changes in the company’s expectations.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press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 xml:space="preserve">Microsoft Media Relations, WE Communications for Microsoft, (425) 638-7777, </w:t>
      </w:r>
      <w:r>
        <w:rPr>
          <w:rFonts w:ascii="Arial" w:cs="Arial" w:eastAsia="Arial" w:hAnsi="Arial"/>
          <w:sz w:val="18"/>
          <w:szCs w:val="18"/>
          <w:u w:val="single" w:color="auto"/>
          <w:color w:val="666666"/>
        </w:rPr>
        <w:t>rrt@we-worldwide.com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For more information, financial analysts and investors only: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666666"/>
        </w:rPr>
        <w:t>Michael Spencer, General Manager, Investor Relations, (425) 706-4400</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666666"/>
        </w:rPr>
        <w:t xml:space="preserve">Note to editors: For more information, news and perspectives from Microsoft, please visit the Microsoft News Center at </w:t>
      </w:r>
      <w:r>
        <w:rPr>
          <w:rFonts w:ascii="Arial" w:cs="Arial" w:eastAsia="Arial" w:hAnsi="Arial"/>
          <w:sz w:val="18"/>
          <w:szCs w:val="18"/>
          <w:u w:val="single" w:color="auto"/>
          <w:color w:val="666666"/>
        </w:rPr>
        <w:t>http://www.microsoft.com/news</w:t>
      </w:r>
      <w:r>
        <w:rPr>
          <w:rFonts w:ascii="Arial" w:cs="Arial" w:eastAsia="Arial" w:hAnsi="Arial"/>
          <w:sz w:val="18"/>
          <w:szCs w:val="18"/>
          <w:color w:val="666666"/>
        </w:rPr>
        <w:t xml:space="preserve">. Web links, telephone numbers, and titles were correct at time of publication, but may since have changed. Shareholder and financial information, as well as today’s 2:30 p.m. Pacific time conference call with investors and analysts, is available at </w:t>
      </w:r>
      <w:r>
        <w:rPr>
          <w:rFonts w:ascii="Arial" w:cs="Arial" w:eastAsia="Arial" w:hAnsi="Arial"/>
          <w:sz w:val="18"/>
          <w:szCs w:val="18"/>
          <w:u w:val="single" w:color="auto"/>
          <w:color w:val="666666"/>
        </w:rPr>
        <w:t>http://www.microsoft.com/en-us/investor</w:t>
      </w:r>
    </w:p>
    <w:p>
      <w:pPr>
        <w:sectPr>
          <w:pgSz w:w="11900" w:h="16838" w:orient="portrait"/>
          <w:cols w:equalWidth="0" w:num="1">
            <w:col w:w="10980"/>
          </w:cols>
          <w:pgMar w:left="440" w:top="287"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9"/>
        </w:trPr>
        <w:tc>
          <w:tcPr>
            <w:tcW w:w="330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3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27"/>
        </w:trPr>
        <w:tc>
          <w:tcPr>
            <w:tcW w:w="3300" w:type="dxa"/>
            <w:vAlign w:val="bottom"/>
          </w:tcPr>
          <w:p>
            <w:pPr>
              <w:spacing w:after="0"/>
              <w:rPr>
                <w:sz w:val="24"/>
                <w:szCs w:val="24"/>
                <w:color w:val="auto"/>
              </w:rPr>
            </w:pPr>
          </w:p>
        </w:tc>
        <w:tc>
          <w:tcPr>
            <w:tcW w:w="4600" w:type="dxa"/>
            <w:vAlign w:val="bottom"/>
            <w:gridSpan w:val="2"/>
          </w:tcPr>
          <w:p>
            <w:pPr>
              <w:jc w:val="right"/>
              <w:ind w:right="1330"/>
              <w:spacing w:after="0"/>
              <w:rPr>
                <w:sz w:val="20"/>
                <w:szCs w:val="20"/>
                <w:color w:val="auto"/>
              </w:rPr>
            </w:pPr>
            <w:r>
              <w:rPr>
                <w:rFonts w:ascii="Arial" w:cs="Arial" w:eastAsia="Arial" w:hAnsi="Arial"/>
                <w:sz w:val="18"/>
                <w:szCs w:val="18"/>
                <w:color w:val="666666"/>
              </w:rPr>
              <w:t>INCOME STATEMENTS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3300" w:type="dxa"/>
            <w:vAlign w:val="bottom"/>
          </w:tcPr>
          <w:p>
            <w:pPr>
              <w:spacing w:after="0"/>
              <w:rPr>
                <w:sz w:val="24"/>
                <w:szCs w:val="24"/>
                <w:color w:val="auto"/>
              </w:rPr>
            </w:pPr>
          </w:p>
        </w:tc>
        <w:tc>
          <w:tcPr>
            <w:tcW w:w="4600" w:type="dxa"/>
            <w:vAlign w:val="bottom"/>
            <w:gridSpan w:val="2"/>
          </w:tcPr>
          <w:p>
            <w:pPr>
              <w:jc w:val="right"/>
              <w:ind w:right="270"/>
              <w:spacing w:after="0"/>
              <w:rPr>
                <w:sz w:val="20"/>
                <w:szCs w:val="20"/>
                <w:color w:val="auto"/>
              </w:rPr>
            </w:pPr>
            <w:r>
              <w:rPr>
                <w:rFonts w:ascii="Arial" w:cs="Arial" w:eastAsia="Arial" w:hAnsi="Arial"/>
                <w:sz w:val="18"/>
                <w:szCs w:val="18"/>
                <w:color w:val="666666"/>
              </w:rPr>
              <w:t>(In millions, except per share amounts) (Unaudited)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9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666666"/>
              </w:rPr>
              <w:t>Three Months Ended</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Six Months Ended</w:t>
            </w:r>
          </w:p>
        </w:tc>
      </w:tr>
      <w:tr>
        <w:trPr>
          <w:trHeight w:val="243"/>
        </w:trPr>
        <w:tc>
          <w:tcPr>
            <w:tcW w:w="33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9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666666"/>
              </w:rPr>
              <w:t>December 31,</w:t>
            </w:r>
          </w:p>
        </w:tc>
        <w:tc>
          <w:tcPr>
            <w:tcW w:w="18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December 31,</w:t>
            </w:r>
          </w:p>
        </w:tc>
      </w:tr>
      <w:tr>
        <w:trPr>
          <w:trHeight w:val="257"/>
        </w:trPr>
        <w:tc>
          <w:tcPr>
            <w:tcW w:w="3300" w:type="dxa"/>
            <w:vAlign w:val="bottom"/>
            <w:tcBorders>
              <w:bottom w:val="single" w:sz="8" w:color="auto"/>
            </w:tcBorders>
          </w:tcPr>
          <w:p>
            <w:pPr>
              <w:spacing w:after="0"/>
              <w:rPr>
                <w:sz w:val="22"/>
                <w:szCs w:val="22"/>
                <w:color w:val="auto"/>
              </w:rPr>
            </w:pPr>
          </w:p>
        </w:tc>
        <w:tc>
          <w:tcPr>
            <w:tcW w:w="4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2020</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2020</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60" w:type="dxa"/>
            <w:vAlign w:val="bottom"/>
          </w:tcPr>
          <w:p>
            <w:pPr>
              <w:spacing w:after="0"/>
              <w:rPr>
                <w:sz w:val="22"/>
                <w:szCs w:val="22"/>
                <w:color w:val="auto"/>
              </w:rPr>
            </w:pPr>
          </w:p>
        </w:tc>
      </w:tr>
      <w:tr>
        <w:trPr>
          <w:trHeight w:val="311"/>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Revenue:</w:t>
            </w:r>
          </w:p>
        </w:tc>
        <w:tc>
          <w:tcPr>
            <w:tcW w:w="38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00" w:type="dxa"/>
            <w:vAlign w:val="bottom"/>
          </w:tcPr>
          <w:p>
            <w:pPr>
              <w:ind w:left="220"/>
              <w:spacing w:after="0"/>
              <w:rPr>
                <w:sz w:val="20"/>
                <w:szCs w:val="20"/>
                <w:color w:val="auto"/>
              </w:rPr>
            </w:pPr>
            <w:r>
              <w:rPr>
                <w:rFonts w:ascii="Arial" w:cs="Arial" w:eastAsia="Arial" w:hAnsi="Arial"/>
                <w:sz w:val="18"/>
                <w:szCs w:val="18"/>
                <w:color w:val="666666"/>
              </w:rPr>
              <w:t>Product</w:t>
            </w:r>
          </w:p>
        </w:tc>
        <w:tc>
          <w:tcPr>
            <w:tcW w:w="46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$19,460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666666"/>
              </w:rPr>
              <w:t>$18,255</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666666"/>
              </w:rPr>
              <w:t>$35,263</w:t>
            </w:r>
          </w:p>
        </w:tc>
        <w:tc>
          <w:tcPr>
            <w:tcW w:w="1060" w:type="dxa"/>
            <w:vAlign w:val="bottom"/>
            <w:gridSpan w:val="2"/>
          </w:tcPr>
          <w:p>
            <w:pPr>
              <w:jc w:val="right"/>
              <w:spacing w:after="0"/>
              <w:rPr>
                <w:sz w:val="20"/>
                <w:szCs w:val="20"/>
                <w:color w:val="auto"/>
              </w:rPr>
            </w:pPr>
            <w:r>
              <w:rPr>
                <w:rFonts w:ascii="Arial" w:cs="Arial" w:eastAsia="Arial" w:hAnsi="Arial"/>
                <w:sz w:val="18"/>
                <w:szCs w:val="18"/>
                <w:color w:val="666666"/>
              </w:rPr>
              <w:t>$34,023</w:t>
            </w:r>
          </w:p>
        </w:tc>
        <w:tc>
          <w:tcPr>
            <w:tcW w:w="60" w:type="dxa"/>
            <w:vAlign w:val="bottom"/>
          </w:tcPr>
          <w:p>
            <w:pPr>
              <w:spacing w:after="0"/>
              <w:rPr>
                <w:sz w:val="23"/>
                <w:szCs w:val="23"/>
                <w:color w:val="auto"/>
              </w:rPr>
            </w:pPr>
          </w:p>
        </w:tc>
      </w:tr>
      <w:tr>
        <w:trPr>
          <w:trHeight w:val="54"/>
        </w:trPr>
        <w:tc>
          <w:tcPr>
            <w:tcW w:w="3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24"/>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Service and other</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23,616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18,651</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44,967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35,938</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7"/>
        </w:trPr>
        <w:tc>
          <w:tcPr>
            <w:tcW w:w="33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Total revenue</w:t>
            </w:r>
          </w:p>
        </w:tc>
        <w:tc>
          <w:tcPr>
            <w:tcW w:w="4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43,076</w:t>
            </w:r>
          </w:p>
        </w:tc>
        <w:tc>
          <w:tcPr>
            <w:tcW w:w="16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36,906</w:t>
            </w:r>
          </w:p>
        </w:tc>
        <w:tc>
          <w:tcPr>
            <w:tcW w:w="160" w:type="dxa"/>
            <w:vAlign w:val="bottom"/>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80,230</w:t>
            </w:r>
          </w:p>
        </w:tc>
        <w:tc>
          <w:tcPr>
            <w:tcW w:w="16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69,961</w:t>
            </w:r>
          </w:p>
        </w:tc>
        <w:tc>
          <w:tcPr>
            <w:tcW w:w="60" w:type="dxa"/>
            <w:vAlign w:val="bottom"/>
          </w:tcPr>
          <w:p>
            <w:pPr>
              <w:spacing w:after="0"/>
              <w:rPr>
                <w:sz w:val="24"/>
                <w:szCs w:val="24"/>
                <w:color w:val="auto"/>
              </w:rPr>
            </w:pPr>
          </w:p>
        </w:tc>
      </w:tr>
      <w:tr>
        <w:trPr>
          <w:trHeight w:val="61"/>
        </w:trPr>
        <w:tc>
          <w:tcPr>
            <w:tcW w:w="330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Cost of revenue:</w:t>
            </w:r>
          </w:p>
        </w:tc>
        <w:tc>
          <w:tcPr>
            <w:tcW w:w="38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00" w:type="dxa"/>
            <w:vAlign w:val="bottom"/>
          </w:tcPr>
          <w:p>
            <w:pPr>
              <w:ind w:left="220"/>
              <w:spacing w:after="0"/>
              <w:rPr>
                <w:sz w:val="20"/>
                <w:szCs w:val="20"/>
                <w:color w:val="auto"/>
              </w:rPr>
            </w:pPr>
            <w:r>
              <w:rPr>
                <w:rFonts w:ascii="Arial" w:cs="Arial" w:eastAsia="Arial" w:hAnsi="Arial"/>
                <w:sz w:val="18"/>
                <w:szCs w:val="18"/>
                <w:color w:val="666666"/>
              </w:rPr>
              <w:t>Product</w:t>
            </w:r>
          </w:p>
        </w:tc>
        <w:tc>
          <w:tcPr>
            <w:tcW w:w="46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6,058</w:t>
            </w:r>
          </w:p>
        </w:tc>
        <w:tc>
          <w:tcPr>
            <w:tcW w:w="1080" w:type="dxa"/>
            <w:vAlign w:val="bottom"/>
            <w:gridSpan w:val="2"/>
          </w:tcPr>
          <w:p>
            <w:pPr>
              <w:jc w:val="right"/>
              <w:spacing w:after="0"/>
              <w:rPr>
                <w:sz w:val="20"/>
                <w:szCs w:val="20"/>
                <w:color w:val="auto"/>
              </w:rPr>
            </w:pPr>
            <w:r>
              <w:rPr>
                <w:rFonts w:ascii="Arial" w:cs="Arial" w:eastAsia="Arial" w:hAnsi="Arial"/>
                <w:sz w:val="18"/>
                <w:szCs w:val="18"/>
                <w:color w:val="666666"/>
              </w:rPr>
              <w:t>4,966</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666666"/>
              </w:rPr>
              <w:t>9,655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666666"/>
              </w:rPr>
              <w:t>8,271</w:t>
            </w:r>
          </w:p>
        </w:tc>
        <w:tc>
          <w:tcPr>
            <w:tcW w:w="60" w:type="dxa"/>
            <w:vAlign w:val="bottom"/>
          </w:tcPr>
          <w:p>
            <w:pPr>
              <w:spacing w:after="0"/>
              <w:rPr>
                <w:sz w:val="23"/>
                <w:szCs w:val="23"/>
                <w:color w:val="auto"/>
              </w:rPr>
            </w:pPr>
          </w:p>
        </w:tc>
      </w:tr>
      <w:tr>
        <w:trPr>
          <w:trHeight w:val="54"/>
        </w:trPr>
        <w:tc>
          <w:tcPr>
            <w:tcW w:w="3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24"/>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Service and other</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8,136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7,392</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15,541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14,493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7"/>
        </w:trPr>
        <w:tc>
          <w:tcPr>
            <w:tcW w:w="330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Total cost of revenue</w:t>
            </w:r>
          </w:p>
        </w:tc>
        <w:tc>
          <w:tcPr>
            <w:tcW w:w="4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14,194</w:t>
            </w:r>
          </w:p>
        </w:tc>
        <w:tc>
          <w:tcPr>
            <w:tcW w:w="160" w:type="dxa"/>
            <w:vAlign w:val="bottom"/>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12,358</w:t>
            </w:r>
          </w:p>
        </w:tc>
        <w:tc>
          <w:tcPr>
            <w:tcW w:w="160" w:type="dxa"/>
            <w:vAlign w:val="bottom"/>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25,196</w:t>
            </w:r>
          </w:p>
        </w:tc>
        <w:tc>
          <w:tcPr>
            <w:tcW w:w="16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22,764</w:t>
            </w:r>
          </w:p>
        </w:tc>
        <w:tc>
          <w:tcPr>
            <w:tcW w:w="60" w:type="dxa"/>
            <w:vAlign w:val="bottom"/>
          </w:tcPr>
          <w:p>
            <w:pPr>
              <w:spacing w:after="0"/>
              <w:rPr>
                <w:sz w:val="24"/>
                <w:szCs w:val="24"/>
                <w:color w:val="auto"/>
              </w:rPr>
            </w:pPr>
          </w:p>
        </w:tc>
      </w:tr>
      <w:tr>
        <w:trPr>
          <w:trHeight w:val="61"/>
        </w:trPr>
        <w:tc>
          <w:tcPr>
            <w:tcW w:w="330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33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666666"/>
              </w:rPr>
              <w:t>Gross margin</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28,882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24,548</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55,034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47,197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666666"/>
              </w:rPr>
              <w:t>Research and development</w:t>
            </w:r>
          </w:p>
        </w:tc>
        <w:tc>
          <w:tcPr>
            <w:tcW w:w="46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4,899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666666"/>
              </w:rPr>
              <w:t>4,603</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666666"/>
              </w:rPr>
              <w:t>9,825</w:t>
            </w:r>
          </w:p>
        </w:tc>
        <w:tc>
          <w:tcPr>
            <w:tcW w:w="1060" w:type="dxa"/>
            <w:vAlign w:val="bottom"/>
            <w:gridSpan w:val="2"/>
          </w:tcPr>
          <w:p>
            <w:pPr>
              <w:jc w:val="right"/>
              <w:spacing w:after="0"/>
              <w:rPr>
                <w:sz w:val="20"/>
                <w:szCs w:val="20"/>
                <w:color w:val="auto"/>
              </w:rPr>
            </w:pPr>
            <w:r>
              <w:rPr>
                <w:rFonts w:ascii="Arial" w:cs="Arial" w:eastAsia="Arial" w:hAnsi="Arial"/>
                <w:sz w:val="18"/>
                <w:szCs w:val="18"/>
                <w:color w:val="666666"/>
              </w:rPr>
              <w:t>9,168</w:t>
            </w:r>
          </w:p>
        </w:tc>
        <w:tc>
          <w:tcPr>
            <w:tcW w:w="60" w:type="dxa"/>
            <w:vAlign w:val="bottom"/>
          </w:tcPr>
          <w:p>
            <w:pPr>
              <w:spacing w:after="0"/>
              <w:rPr>
                <w:sz w:val="23"/>
                <w:szCs w:val="23"/>
                <w:color w:val="auto"/>
              </w:rPr>
            </w:pPr>
          </w:p>
        </w:tc>
      </w:tr>
      <w:tr>
        <w:trPr>
          <w:trHeight w:val="54"/>
        </w:trPr>
        <w:tc>
          <w:tcPr>
            <w:tcW w:w="3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Sales and marketing</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4,947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4,933</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9,178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9,270</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666666"/>
              </w:rPr>
              <w:t>General and administrative</w:t>
            </w:r>
          </w:p>
        </w:tc>
        <w:tc>
          <w:tcPr>
            <w:tcW w:w="46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1,139</w:t>
            </w:r>
          </w:p>
        </w:tc>
        <w:tc>
          <w:tcPr>
            <w:tcW w:w="1080" w:type="dxa"/>
            <w:vAlign w:val="bottom"/>
            <w:gridSpan w:val="2"/>
          </w:tcPr>
          <w:p>
            <w:pPr>
              <w:jc w:val="right"/>
              <w:spacing w:after="0"/>
              <w:rPr>
                <w:sz w:val="20"/>
                <w:szCs w:val="20"/>
                <w:color w:val="auto"/>
              </w:rPr>
            </w:pPr>
            <w:r>
              <w:rPr>
                <w:rFonts w:ascii="Arial" w:cs="Arial" w:eastAsia="Arial" w:hAnsi="Arial"/>
                <w:sz w:val="18"/>
                <w:szCs w:val="18"/>
                <w:color w:val="666666"/>
              </w:rPr>
              <w:t>1,121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666666"/>
              </w:rPr>
              <w:t>2,258</w:t>
            </w:r>
          </w:p>
        </w:tc>
        <w:tc>
          <w:tcPr>
            <w:tcW w:w="1060" w:type="dxa"/>
            <w:vAlign w:val="bottom"/>
            <w:gridSpan w:val="2"/>
          </w:tcPr>
          <w:p>
            <w:pPr>
              <w:jc w:val="right"/>
              <w:spacing w:after="0"/>
              <w:rPr>
                <w:sz w:val="20"/>
                <w:szCs w:val="20"/>
                <w:color w:val="auto"/>
              </w:rPr>
            </w:pPr>
            <w:r>
              <w:rPr>
                <w:rFonts w:ascii="Arial" w:cs="Arial" w:eastAsia="Arial" w:hAnsi="Arial"/>
                <w:sz w:val="18"/>
                <w:szCs w:val="18"/>
                <w:color w:val="666666"/>
              </w:rPr>
              <w:t>2,182</w:t>
            </w:r>
          </w:p>
        </w:tc>
        <w:tc>
          <w:tcPr>
            <w:tcW w:w="60" w:type="dxa"/>
            <w:vAlign w:val="bottom"/>
          </w:tcPr>
          <w:p>
            <w:pPr>
              <w:spacing w:after="0"/>
              <w:rPr>
                <w:sz w:val="23"/>
                <w:szCs w:val="23"/>
                <w:color w:val="auto"/>
              </w:rPr>
            </w:pPr>
          </w:p>
        </w:tc>
      </w:tr>
      <w:tr>
        <w:trPr>
          <w:trHeight w:val="61"/>
        </w:trPr>
        <w:tc>
          <w:tcPr>
            <w:tcW w:w="330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Operating income</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17,897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13,891</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33,773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26,577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666666"/>
              </w:rPr>
              <w:t>Other income, net</w:t>
            </w:r>
          </w:p>
        </w:tc>
        <w:tc>
          <w:tcPr>
            <w:tcW w:w="46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440</w:t>
            </w:r>
          </w:p>
        </w:tc>
        <w:tc>
          <w:tcPr>
            <w:tcW w:w="1080" w:type="dxa"/>
            <w:vAlign w:val="bottom"/>
            <w:gridSpan w:val="2"/>
          </w:tcPr>
          <w:p>
            <w:pPr>
              <w:jc w:val="right"/>
              <w:spacing w:after="0"/>
              <w:rPr>
                <w:sz w:val="20"/>
                <w:szCs w:val="20"/>
                <w:color w:val="auto"/>
              </w:rPr>
            </w:pPr>
            <w:r>
              <w:rPr>
                <w:rFonts w:ascii="Arial" w:cs="Arial" w:eastAsia="Arial" w:hAnsi="Arial"/>
                <w:sz w:val="18"/>
                <w:szCs w:val="18"/>
                <w:color w:val="666666"/>
              </w:rPr>
              <w:t>194</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666666"/>
              </w:rPr>
              <w:t>688</w:t>
            </w:r>
          </w:p>
        </w:tc>
        <w:tc>
          <w:tcPr>
            <w:tcW w:w="1060" w:type="dxa"/>
            <w:vAlign w:val="bottom"/>
            <w:gridSpan w:val="2"/>
          </w:tcPr>
          <w:p>
            <w:pPr>
              <w:jc w:val="right"/>
              <w:spacing w:after="0"/>
              <w:rPr>
                <w:sz w:val="20"/>
                <w:szCs w:val="20"/>
                <w:color w:val="auto"/>
              </w:rPr>
            </w:pPr>
            <w:r>
              <w:rPr>
                <w:rFonts w:ascii="Arial" w:cs="Arial" w:eastAsia="Arial" w:hAnsi="Arial"/>
                <w:sz w:val="18"/>
                <w:szCs w:val="18"/>
                <w:color w:val="666666"/>
              </w:rPr>
              <w:t>194</w:t>
            </w:r>
          </w:p>
        </w:tc>
        <w:tc>
          <w:tcPr>
            <w:tcW w:w="60" w:type="dxa"/>
            <w:vAlign w:val="bottom"/>
          </w:tcPr>
          <w:p>
            <w:pPr>
              <w:spacing w:after="0"/>
              <w:rPr>
                <w:sz w:val="23"/>
                <w:szCs w:val="23"/>
                <w:color w:val="auto"/>
              </w:rPr>
            </w:pPr>
          </w:p>
        </w:tc>
      </w:tr>
      <w:tr>
        <w:trPr>
          <w:trHeight w:val="61"/>
        </w:trPr>
        <w:tc>
          <w:tcPr>
            <w:tcW w:w="330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Income before income taxes</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18,337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14,085</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34,461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26,771</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00" w:type="dxa"/>
            <w:vAlign w:val="bottom"/>
          </w:tcPr>
          <w:p>
            <w:pPr>
              <w:ind w:left="40"/>
              <w:spacing w:after="0"/>
              <w:rPr>
                <w:sz w:val="20"/>
                <w:szCs w:val="20"/>
                <w:color w:val="auto"/>
              </w:rPr>
            </w:pPr>
            <w:r>
              <w:rPr>
                <w:rFonts w:ascii="Arial" w:cs="Arial" w:eastAsia="Arial" w:hAnsi="Arial"/>
                <w:sz w:val="18"/>
                <w:szCs w:val="18"/>
                <w:color w:val="666666"/>
              </w:rPr>
              <w:t>Provision for income taxes</w:t>
            </w:r>
          </w:p>
        </w:tc>
        <w:tc>
          <w:tcPr>
            <w:tcW w:w="46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2,874</w:t>
            </w:r>
          </w:p>
        </w:tc>
        <w:tc>
          <w:tcPr>
            <w:tcW w:w="1080" w:type="dxa"/>
            <w:vAlign w:val="bottom"/>
            <w:gridSpan w:val="2"/>
          </w:tcPr>
          <w:p>
            <w:pPr>
              <w:jc w:val="right"/>
              <w:spacing w:after="0"/>
              <w:rPr>
                <w:sz w:val="20"/>
                <w:szCs w:val="20"/>
                <w:color w:val="auto"/>
              </w:rPr>
            </w:pPr>
            <w:r>
              <w:rPr>
                <w:rFonts w:ascii="Arial" w:cs="Arial" w:eastAsia="Arial" w:hAnsi="Arial"/>
                <w:sz w:val="18"/>
                <w:szCs w:val="18"/>
                <w:color w:val="666666"/>
              </w:rPr>
              <w:t>2,436</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666666"/>
              </w:rPr>
              <w:t>5,105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666666"/>
              </w:rPr>
              <w:t>4,444</w:t>
            </w:r>
          </w:p>
        </w:tc>
        <w:tc>
          <w:tcPr>
            <w:tcW w:w="60" w:type="dxa"/>
            <w:vAlign w:val="bottom"/>
          </w:tcPr>
          <w:p>
            <w:pPr>
              <w:spacing w:after="0"/>
              <w:rPr>
                <w:sz w:val="23"/>
                <w:szCs w:val="23"/>
                <w:color w:val="auto"/>
              </w:rPr>
            </w:pPr>
          </w:p>
        </w:tc>
      </w:tr>
      <w:tr>
        <w:trPr>
          <w:trHeight w:val="61"/>
        </w:trPr>
        <w:tc>
          <w:tcPr>
            <w:tcW w:w="3300" w:type="dxa"/>
            <w:vAlign w:val="bottom"/>
            <w:tcBorders>
              <w:bottom w:val="single" w:sz="8" w:color="auto"/>
            </w:tcBorders>
          </w:tcPr>
          <w:p>
            <w:pPr>
              <w:spacing w:after="0"/>
              <w:rPr>
                <w:sz w:val="5"/>
                <w:szCs w:val="5"/>
                <w:color w:val="auto"/>
              </w:rPr>
            </w:pPr>
          </w:p>
        </w:tc>
        <w:tc>
          <w:tcPr>
            <w:tcW w:w="38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32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Net income</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$15,463</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$11,649</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$29,356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$22,327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493"/>
        </w:trPr>
        <w:tc>
          <w:tcPr>
            <w:tcW w:w="3300" w:type="dxa"/>
            <w:vAlign w:val="bottom"/>
          </w:tcPr>
          <w:p>
            <w:pPr>
              <w:ind w:left="40"/>
              <w:spacing w:after="0"/>
              <w:rPr>
                <w:sz w:val="20"/>
                <w:szCs w:val="20"/>
                <w:color w:val="auto"/>
              </w:rPr>
            </w:pPr>
            <w:r>
              <w:rPr>
                <w:rFonts w:ascii="Arial" w:cs="Arial" w:eastAsia="Arial" w:hAnsi="Arial"/>
                <w:sz w:val="18"/>
                <w:szCs w:val="18"/>
                <w:color w:val="666666"/>
              </w:rPr>
              <w:t>Earnings per share:</w:t>
            </w:r>
          </w:p>
        </w:tc>
        <w:tc>
          <w:tcPr>
            <w:tcW w:w="38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4"/>
        </w:trPr>
        <w:tc>
          <w:tcPr>
            <w:tcW w:w="3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Basic</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$2.05</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$1.53</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$3.88</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$2.93</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00" w:type="dxa"/>
            <w:vAlign w:val="bottom"/>
          </w:tcPr>
          <w:p>
            <w:pPr>
              <w:ind w:left="220"/>
              <w:spacing w:after="0"/>
              <w:rPr>
                <w:sz w:val="20"/>
                <w:szCs w:val="20"/>
                <w:color w:val="auto"/>
              </w:rPr>
            </w:pPr>
            <w:r>
              <w:rPr>
                <w:rFonts w:ascii="Arial" w:cs="Arial" w:eastAsia="Arial" w:hAnsi="Arial"/>
                <w:sz w:val="18"/>
                <w:szCs w:val="18"/>
                <w:color w:val="666666"/>
              </w:rPr>
              <w:t>Diluted</w:t>
            </w:r>
          </w:p>
        </w:tc>
        <w:tc>
          <w:tcPr>
            <w:tcW w:w="46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$2.03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666666"/>
              </w:rPr>
              <w:t>$1.51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666666"/>
              </w:rPr>
              <w:t>$3.85</w:t>
            </w:r>
          </w:p>
        </w:tc>
        <w:tc>
          <w:tcPr>
            <w:tcW w:w="1060" w:type="dxa"/>
            <w:vAlign w:val="bottom"/>
            <w:gridSpan w:val="2"/>
          </w:tcPr>
          <w:p>
            <w:pPr>
              <w:jc w:val="right"/>
              <w:spacing w:after="0"/>
              <w:rPr>
                <w:sz w:val="20"/>
                <w:szCs w:val="20"/>
                <w:color w:val="auto"/>
              </w:rPr>
            </w:pPr>
            <w:r>
              <w:rPr>
                <w:rFonts w:ascii="Arial" w:cs="Arial" w:eastAsia="Arial" w:hAnsi="Arial"/>
                <w:sz w:val="18"/>
                <w:szCs w:val="18"/>
                <w:color w:val="666666"/>
              </w:rPr>
              <w:t>$2.90</w:t>
            </w:r>
          </w:p>
        </w:tc>
        <w:tc>
          <w:tcPr>
            <w:tcW w:w="60" w:type="dxa"/>
            <w:vAlign w:val="bottom"/>
          </w:tcPr>
          <w:p>
            <w:pPr>
              <w:spacing w:after="0"/>
              <w:rPr>
                <w:sz w:val="23"/>
                <w:szCs w:val="23"/>
                <w:color w:val="auto"/>
              </w:rPr>
            </w:pPr>
          </w:p>
        </w:tc>
      </w:tr>
      <w:tr>
        <w:trPr>
          <w:trHeight w:val="270"/>
        </w:trPr>
        <w:tc>
          <w:tcPr>
            <w:tcW w:w="33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04"/>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Weighted average shares outstanding:</w:t>
            </w:r>
          </w:p>
        </w:tc>
        <w:tc>
          <w:tcPr>
            <w:tcW w:w="38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3300" w:type="dxa"/>
            <w:vAlign w:val="bottom"/>
          </w:tcPr>
          <w:p>
            <w:pPr>
              <w:ind w:left="220"/>
              <w:spacing w:after="0"/>
              <w:rPr>
                <w:sz w:val="20"/>
                <w:szCs w:val="20"/>
                <w:color w:val="auto"/>
              </w:rPr>
            </w:pPr>
            <w:r>
              <w:rPr>
                <w:rFonts w:ascii="Arial" w:cs="Arial" w:eastAsia="Arial" w:hAnsi="Arial"/>
                <w:sz w:val="18"/>
                <w:szCs w:val="18"/>
                <w:color w:val="666666"/>
              </w:rPr>
              <w:t>Basic</w:t>
            </w:r>
          </w:p>
        </w:tc>
        <w:tc>
          <w:tcPr>
            <w:tcW w:w="4600" w:type="dxa"/>
            <w:vAlign w:val="bottom"/>
            <w:gridSpan w:val="2"/>
          </w:tcPr>
          <w:p>
            <w:pPr>
              <w:jc w:val="right"/>
              <w:spacing w:after="0"/>
              <w:rPr>
                <w:sz w:val="20"/>
                <w:szCs w:val="20"/>
                <w:color w:val="auto"/>
              </w:rPr>
            </w:pPr>
            <w:r>
              <w:rPr>
                <w:rFonts w:ascii="Arial" w:cs="Arial" w:eastAsia="Arial" w:hAnsi="Arial"/>
                <w:sz w:val="18"/>
                <w:szCs w:val="18"/>
                <w:b w:val="1"/>
                <w:bCs w:val="1"/>
                <w:color w:val="666666"/>
              </w:rPr>
              <w:t>7,555</w:t>
            </w:r>
          </w:p>
        </w:tc>
        <w:tc>
          <w:tcPr>
            <w:tcW w:w="1080" w:type="dxa"/>
            <w:vAlign w:val="bottom"/>
            <w:gridSpan w:val="2"/>
          </w:tcPr>
          <w:p>
            <w:pPr>
              <w:jc w:val="right"/>
              <w:spacing w:after="0"/>
              <w:rPr>
                <w:sz w:val="20"/>
                <w:szCs w:val="20"/>
                <w:color w:val="auto"/>
              </w:rPr>
            </w:pPr>
            <w:r>
              <w:rPr>
                <w:rFonts w:ascii="Arial" w:cs="Arial" w:eastAsia="Arial" w:hAnsi="Arial"/>
                <w:sz w:val="18"/>
                <w:szCs w:val="18"/>
                <w:color w:val="666666"/>
              </w:rPr>
              <w:t>7,621</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666666"/>
              </w:rPr>
              <w:t>7,561</w:t>
            </w:r>
          </w:p>
        </w:tc>
        <w:tc>
          <w:tcPr>
            <w:tcW w:w="1060" w:type="dxa"/>
            <w:vAlign w:val="bottom"/>
            <w:gridSpan w:val="2"/>
          </w:tcPr>
          <w:p>
            <w:pPr>
              <w:jc w:val="right"/>
              <w:spacing w:after="0"/>
              <w:rPr>
                <w:sz w:val="20"/>
                <w:szCs w:val="20"/>
                <w:color w:val="auto"/>
              </w:rPr>
            </w:pPr>
            <w:r>
              <w:rPr>
                <w:rFonts w:ascii="Arial" w:cs="Arial" w:eastAsia="Arial" w:hAnsi="Arial"/>
                <w:sz w:val="18"/>
                <w:szCs w:val="18"/>
                <w:color w:val="666666"/>
              </w:rPr>
              <w:t>7,628</w:t>
            </w:r>
          </w:p>
        </w:tc>
        <w:tc>
          <w:tcPr>
            <w:tcW w:w="60" w:type="dxa"/>
            <w:vAlign w:val="bottom"/>
          </w:tcPr>
          <w:p>
            <w:pPr>
              <w:spacing w:after="0"/>
              <w:rPr>
                <w:sz w:val="23"/>
                <w:szCs w:val="23"/>
                <w:color w:val="auto"/>
              </w:rPr>
            </w:pPr>
          </w:p>
        </w:tc>
      </w:tr>
      <w:tr>
        <w:trPr>
          <w:trHeight w:val="54"/>
        </w:trPr>
        <w:tc>
          <w:tcPr>
            <w:tcW w:w="3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3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Diluted</w:t>
            </w:r>
          </w:p>
        </w:tc>
        <w:tc>
          <w:tcPr>
            <w:tcW w:w="4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7,616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7,691</w:t>
            </w: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7,627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7,701</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0"/>
        </w:trPr>
        <w:tc>
          <w:tcPr>
            <w:tcW w:w="330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9"/>
        </w:trPr>
        <w:tc>
          <w:tcPr>
            <w:tcW w:w="348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3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67"/>
        </w:trPr>
        <w:tc>
          <w:tcPr>
            <w:tcW w:w="3480" w:type="dxa"/>
            <w:vAlign w:val="bottom"/>
          </w:tcPr>
          <w:p>
            <w:pPr>
              <w:spacing w:after="0"/>
              <w:rPr>
                <w:sz w:val="24"/>
                <w:szCs w:val="24"/>
                <w:color w:val="auto"/>
              </w:rPr>
            </w:pPr>
          </w:p>
        </w:tc>
        <w:tc>
          <w:tcPr>
            <w:tcW w:w="4120" w:type="dxa"/>
            <w:vAlign w:val="bottom"/>
            <w:gridSpan w:val="2"/>
          </w:tcPr>
          <w:p>
            <w:pPr>
              <w:jc w:val="right"/>
              <w:ind w:right="210"/>
              <w:spacing w:after="0"/>
              <w:rPr>
                <w:sz w:val="20"/>
                <w:szCs w:val="20"/>
                <w:color w:val="auto"/>
              </w:rPr>
            </w:pPr>
            <w:r>
              <w:rPr>
                <w:rFonts w:ascii="Arial" w:cs="Arial" w:eastAsia="Arial" w:hAnsi="Arial"/>
                <w:sz w:val="18"/>
                <w:szCs w:val="18"/>
                <w:color w:val="666666"/>
              </w:rPr>
              <w:t>COMPREHENSIVE INCOME STATEMENTS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3480" w:type="dxa"/>
            <w:vAlign w:val="bottom"/>
          </w:tcPr>
          <w:p>
            <w:pPr>
              <w:spacing w:after="0"/>
              <w:rPr>
                <w:sz w:val="24"/>
                <w:szCs w:val="24"/>
                <w:color w:val="auto"/>
              </w:rPr>
            </w:pPr>
          </w:p>
        </w:tc>
        <w:tc>
          <w:tcPr>
            <w:tcW w:w="4120" w:type="dxa"/>
            <w:vAlign w:val="bottom"/>
            <w:gridSpan w:val="2"/>
          </w:tcPr>
          <w:p>
            <w:pPr>
              <w:jc w:val="right"/>
              <w:ind w:right="1050"/>
              <w:spacing w:after="0"/>
              <w:rPr>
                <w:sz w:val="20"/>
                <w:szCs w:val="20"/>
                <w:color w:val="auto"/>
              </w:rPr>
            </w:pPr>
            <w:r>
              <w:rPr>
                <w:rFonts w:ascii="Arial" w:cs="Arial" w:eastAsia="Arial" w:hAnsi="Arial"/>
                <w:sz w:val="18"/>
                <w:szCs w:val="18"/>
                <w:color w:val="666666"/>
              </w:rPr>
              <w:t>(In millions) (Unaudited)</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3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666666"/>
              </w:rPr>
              <w:t>Three Months Ended</w:t>
            </w:r>
          </w:p>
        </w:tc>
        <w:tc>
          <w:tcPr>
            <w:tcW w:w="2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Six Months Ended</w:t>
            </w:r>
          </w:p>
        </w:tc>
      </w:tr>
      <w:tr>
        <w:trPr>
          <w:trHeight w:val="243"/>
        </w:trPr>
        <w:tc>
          <w:tcPr>
            <w:tcW w:w="34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2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666666"/>
              </w:rPr>
              <w:t>December 31,</w:t>
            </w:r>
          </w:p>
        </w:tc>
        <w:tc>
          <w:tcPr>
            <w:tcW w:w="20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rPr>
              <w:t>December 31,</w:t>
            </w:r>
          </w:p>
        </w:tc>
      </w:tr>
      <w:tr>
        <w:trPr>
          <w:trHeight w:val="257"/>
        </w:trPr>
        <w:tc>
          <w:tcPr>
            <w:tcW w:w="348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2020</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2020</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60" w:type="dxa"/>
            <w:vAlign w:val="bottom"/>
          </w:tcPr>
          <w:p>
            <w:pPr>
              <w:spacing w:after="0"/>
              <w:rPr>
                <w:sz w:val="22"/>
                <w:szCs w:val="22"/>
                <w:color w:val="auto"/>
              </w:rPr>
            </w:pPr>
          </w:p>
        </w:tc>
      </w:tr>
      <w:tr>
        <w:trPr>
          <w:trHeight w:val="29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Net income</w:t>
            </w:r>
          </w:p>
        </w:tc>
        <w:tc>
          <w:tcPr>
            <w:tcW w:w="3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$15,463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$11,649</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$29,356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$22,327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64"/>
        </w:trPr>
        <w:tc>
          <w:tcPr>
            <w:tcW w:w="6740" w:type="dxa"/>
            <w:vAlign w:val="bottom"/>
            <w:gridSpan w:val="2"/>
          </w:tcPr>
          <w:p>
            <w:pPr>
              <w:ind w:left="40"/>
              <w:spacing w:after="0"/>
              <w:rPr>
                <w:sz w:val="20"/>
                <w:szCs w:val="20"/>
                <w:color w:val="auto"/>
              </w:rPr>
            </w:pPr>
            <w:r>
              <w:rPr>
                <w:rFonts w:ascii="Arial" w:cs="Arial" w:eastAsia="Arial" w:hAnsi="Arial"/>
                <w:sz w:val="18"/>
                <w:szCs w:val="18"/>
                <w:color w:val="666666"/>
              </w:rPr>
              <w:t>Other comprehensive income (loss), net of tax:</w:t>
            </w:r>
          </w:p>
        </w:tc>
        <w:tc>
          <w:tcPr>
            <w:tcW w:w="8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7"/>
        </w:trPr>
        <w:tc>
          <w:tcPr>
            <w:tcW w:w="3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3"/>
        </w:trPr>
        <w:tc>
          <w:tcPr>
            <w:tcW w:w="3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Net change related to derivatives</w:t>
            </w:r>
          </w:p>
        </w:tc>
        <w:tc>
          <w:tcPr>
            <w:tcW w:w="4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(4)</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(6)</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57"/>
        </w:trPr>
        <w:tc>
          <w:tcPr>
            <w:tcW w:w="3480" w:type="dxa"/>
            <w:vAlign w:val="bottom"/>
          </w:tcPr>
          <w:p>
            <w:pPr>
              <w:ind w:left="220"/>
              <w:spacing w:after="0"/>
              <w:rPr>
                <w:sz w:val="20"/>
                <w:szCs w:val="20"/>
                <w:color w:val="auto"/>
              </w:rPr>
            </w:pPr>
            <w:r>
              <w:rPr>
                <w:rFonts w:ascii="Arial" w:cs="Arial" w:eastAsia="Arial" w:hAnsi="Arial"/>
                <w:sz w:val="18"/>
                <w:szCs w:val="18"/>
                <w:color w:val="666666"/>
              </w:rPr>
              <w:t>Net change related to investments</w:t>
            </w:r>
          </w:p>
        </w:tc>
        <w:tc>
          <w:tcPr>
            <w:tcW w:w="4120" w:type="dxa"/>
            <w:vAlign w:val="bottom"/>
            <w:gridSpan w:val="2"/>
          </w:tcPr>
          <w:p>
            <w:pPr>
              <w:jc w:val="right"/>
              <w:spacing w:after="0"/>
              <w:rPr>
                <w:sz w:val="20"/>
                <w:szCs w:val="20"/>
                <w:color w:val="auto"/>
              </w:rPr>
            </w:pPr>
            <w:r>
              <w:rPr>
                <w:rFonts w:ascii="Arial" w:cs="Arial" w:eastAsia="Arial" w:hAnsi="Arial"/>
                <w:sz w:val="18"/>
                <w:szCs w:val="18"/>
                <w:b w:val="1"/>
                <w:bCs w:val="1"/>
                <w:color w:val="666666"/>
              </w:rPr>
              <w:t>(492)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666666"/>
              </w:rPr>
              <w:t>(420)</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666666"/>
              </w:rPr>
              <w:t>(693)</w:t>
            </w:r>
          </w:p>
        </w:tc>
        <w:tc>
          <w:tcPr>
            <w:tcW w:w="1120" w:type="dxa"/>
            <w:vAlign w:val="bottom"/>
            <w:gridSpan w:val="2"/>
          </w:tcPr>
          <w:p>
            <w:pPr>
              <w:jc w:val="right"/>
              <w:spacing w:after="0"/>
              <w:rPr>
                <w:sz w:val="20"/>
                <w:szCs w:val="20"/>
                <w:color w:val="auto"/>
              </w:rPr>
            </w:pPr>
            <w:r>
              <w:rPr>
                <w:rFonts w:ascii="Arial" w:cs="Arial" w:eastAsia="Arial" w:hAnsi="Arial"/>
                <w:sz w:val="18"/>
                <w:szCs w:val="18"/>
                <w:color w:val="666666"/>
              </w:rPr>
              <w:t>157</w:t>
            </w:r>
          </w:p>
        </w:tc>
        <w:tc>
          <w:tcPr>
            <w:tcW w:w="60" w:type="dxa"/>
            <w:vAlign w:val="bottom"/>
          </w:tcPr>
          <w:p>
            <w:pPr>
              <w:spacing w:after="0"/>
              <w:rPr>
                <w:sz w:val="22"/>
                <w:szCs w:val="22"/>
                <w:color w:val="auto"/>
              </w:rPr>
            </w:pPr>
          </w:p>
        </w:tc>
      </w:tr>
      <w:tr>
        <w:trPr>
          <w:trHeight w:val="27"/>
        </w:trPr>
        <w:tc>
          <w:tcPr>
            <w:tcW w:w="3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3"/>
        </w:trPr>
        <w:tc>
          <w:tcPr>
            <w:tcW w:w="3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666666"/>
              </w:rPr>
              <w:t>Translation adjustments and other</w:t>
            </w:r>
          </w:p>
        </w:tc>
        <w:tc>
          <w:tcPr>
            <w:tcW w:w="4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666666"/>
              </w:rPr>
              <w:t>741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230</w:t>
            </w: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852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(66)</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64"/>
        </w:trPr>
        <w:tc>
          <w:tcPr>
            <w:tcW w:w="34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666666"/>
              </w:rPr>
              <w:t>Other comprehensive income (loss)</w:t>
            </w:r>
          </w:p>
        </w:tc>
        <w:tc>
          <w:tcPr>
            <w:tcW w:w="4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257</w:t>
            </w:r>
          </w:p>
        </w:tc>
        <w:tc>
          <w:tcPr>
            <w:tcW w:w="26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(194)</w:t>
            </w:r>
          </w:p>
        </w:tc>
        <w:tc>
          <w:tcPr>
            <w:tcW w:w="26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666666"/>
              </w:rPr>
              <w:t>171</w:t>
            </w:r>
          </w:p>
        </w:tc>
        <w:tc>
          <w:tcPr>
            <w:tcW w:w="260" w:type="dxa"/>
            <w:vAlign w:val="bottom"/>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666666"/>
              </w:rPr>
              <w:t>85</w:t>
            </w:r>
          </w:p>
        </w:tc>
        <w:tc>
          <w:tcPr>
            <w:tcW w:w="60" w:type="dxa"/>
            <w:vAlign w:val="bottom"/>
          </w:tcPr>
          <w:p>
            <w:pPr>
              <w:spacing w:after="0"/>
              <w:rPr>
                <w:sz w:val="22"/>
                <w:szCs w:val="22"/>
                <w:color w:val="auto"/>
              </w:rPr>
            </w:pPr>
          </w:p>
        </w:tc>
      </w:tr>
      <w:tr>
        <w:trPr>
          <w:trHeight w:val="34"/>
        </w:trPr>
        <w:tc>
          <w:tcPr>
            <w:tcW w:w="34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6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666666"/>
              </w:rPr>
              <w:t>Comprehensive income</w:t>
            </w:r>
          </w:p>
        </w:tc>
        <w:tc>
          <w:tcPr>
            <w:tcW w:w="3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$15,720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$11,455</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666666"/>
              </w:rPr>
              <w:t>$29,527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666666"/>
              </w:rPr>
              <w:t>$22,412</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7"/>
        </w:trPr>
        <w:tc>
          <w:tcPr>
            <w:tcW w:w="34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1" w:name="page12"/>
    <w:bookmarkEnd w:id="11"/>
    <w:p>
      <w:pPr>
        <w:spacing w:after="0"/>
        <w:rPr>
          <w:sz w:val="20"/>
          <w:szCs w:val="20"/>
          <w:color w:val="auto"/>
        </w:rPr>
      </w:pPr>
      <w:r>
        <w:rPr>
          <w:rFonts w:ascii="Arial" w:cs="Arial" w:eastAsia="Arial" w:hAnsi="Arial"/>
          <w:sz w:val="18"/>
          <w:szCs w:val="18"/>
          <w:b w:val="1"/>
          <w:bCs w:val="1"/>
          <w:color w:val="666666"/>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MICROSOFT CORPORATION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BALANCE SHEETS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666666"/>
        </w:rPr>
        <w:t>(In millions)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60" w:type="dxa"/>
            <w:vAlign w:val="bottom"/>
          </w:tcPr>
          <w:p>
            <w:pPr>
              <w:jc w:val="right"/>
              <w:ind w:right="290"/>
              <w:spacing w:after="0"/>
              <w:rPr>
                <w:sz w:val="20"/>
                <w:szCs w:val="20"/>
                <w:color w:val="auto"/>
              </w:rPr>
            </w:pPr>
            <w:r>
              <w:rPr>
                <w:rFonts w:ascii="Arial" w:cs="Arial" w:eastAsia="Arial" w:hAnsi="Arial"/>
                <w:sz w:val="18"/>
                <w:szCs w:val="18"/>
                <w:b w:val="1"/>
                <w:bCs w:val="1"/>
                <w:color w:val="666666"/>
              </w:rPr>
              <w:t>December 31,</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666666"/>
              </w:rPr>
              <w:t>June 30,</w:t>
            </w:r>
          </w:p>
        </w:tc>
      </w:tr>
      <w:tr>
        <w:trPr>
          <w:trHeight w:val="225"/>
        </w:trPr>
        <w:tc>
          <w:tcPr>
            <w:tcW w:w="9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666666"/>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699516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666666"/>
        </w:rPr>
        <w:t>Assets</w:t>
      </w:r>
    </w:p>
    <w:p>
      <w:pPr>
        <w:sectPr>
          <w:pgSz w:w="11900" w:h="16838" w:orient="portrait"/>
          <w:cols w:equalWidth="0" w:num="1">
            <w:col w:w="10960"/>
          </w:cols>
          <w:pgMar w:left="440" w:top="265" w:right="499" w:bottom="1440" w:gutter="0" w:footer="0" w:header="0"/>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40" w:type="dxa"/>
            <w:vAlign w:val="bottom"/>
          </w:tcPr>
          <w:p>
            <w:pPr>
              <w:ind w:left="40"/>
              <w:spacing w:after="0"/>
              <w:rPr>
                <w:sz w:val="20"/>
                <w:szCs w:val="20"/>
                <w:color w:val="auto"/>
              </w:rPr>
            </w:pPr>
            <w:r>
              <w:rPr>
                <w:rFonts w:ascii="Arial" w:cs="Arial" w:eastAsia="Arial" w:hAnsi="Arial"/>
                <w:sz w:val="16"/>
                <w:szCs w:val="16"/>
                <w:color w:val="666666"/>
              </w:rPr>
              <w:t>Current assets: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Cash and cash equivalents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$14,432</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117,536</w:t>
            </w:r>
          </w:p>
        </w:tc>
        <w:tc>
          <w:tcPr>
            <w:tcW w:w="0" w:type="dxa"/>
            <w:vAlign w:val="bottom"/>
          </w:tcPr>
          <w:p>
            <w:pPr>
              <w:spacing w:after="0"/>
              <w:rPr>
                <w:sz w:val="1"/>
                <w:szCs w:val="1"/>
                <w:color w:val="auto"/>
              </w:rPr>
            </w:pPr>
          </w:p>
        </w:tc>
      </w:tr>
      <w:tr>
        <w:trPr>
          <w:trHeight w:val="46"/>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360"/>
              <w:spacing w:after="0"/>
              <w:rPr>
                <w:sz w:val="20"/>
                <w:szCs w:val="20"/>
                <w:color w:val="auto"/>
              </w:rPr>
            </w:pPr>
            <w:r>
              <w:rPr>
                <w:rFonts w:ascii="Arial" w:cs="Arial" w:eastAsia="Arial" w:hAnsi="Arial"/>
                <w:sz w:val="16"/>
                <w:szCs w:val="16"/>
                <w:color w:val="666666"/>
              </w:rPr>
              <w:t>Total cash, cash equivalents, and short-term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131,968</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 xml:space="preserve">Accounts receivable, net of allowance for doubtful accounts of </w:t>
            </w:r>
            <w:r>
              <w:rPr>
                <w:rFonts w:ascii="Arial" w:cs="Arial" w:eastAsia="Arial" w:hAnsi="Arial"/>
                <w:sz w:val="16"/>
                <w:szCs w:val="16"/>
                <w:b w:val="1"/>
                <w:bCs w:val="1"/>
                <w:color w:val="666666"/>
              </w:rPr>
              <w:t>$642</w:t>
            </w:r>
            <w:r>
              <w:rPr>
                <w:rFonts w:ascii="Arial" w:cs="Arial" w:eastAsia="Arial" w:hAnsi="Arial"/>
                <w:sz w:val="16"/>
                <w:szCs w:val="16"/>
                <w:color w:val="666666"/>
              </w:rPr>
              <w:t xml:space="preserve"> and $788</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27,312</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Inventories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1,924</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Other current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12,769</w:t>
            </w:r>
          </w:p>
        </w:tc>
        <w:tc>
          <w:tcPr>
            <w:tcW w:w="0" w:type="dxa"/>
            <w:vAlign w:val="bottom"/>
          </w:tcPr>
          <w:p>
            <w:pPr>
              <w:spacing w:after="0"/>
              <w:rPr>
                <w:sz w:val="1"/>
                <w:szCs w:val="1"/>
                <w:color w:val="auto"/>
              </w:rPr>
            </w:pPr>
          </w:p>
        </w:tc>
      </w:tr>
      <w:tr>
        <w:trPr>
          <w:trHeight w:val="46"/>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360"/>
              <w:spacing w:after="0"/>
              <w:rPr>
                <w:sz w:val="20"/>
                <w:szCs w:val="20"/>
                <w:color w:val="auto"/>
              </w:rPr>
            </w:pPr>
            <w:r>
              <w:rPr>
                <w:rFonts w:ascii="Arial" w:cs="Arial" w:eastAsia="Arial" w:hAnsi="Arial"/>
                <w:sz w:val="16"/>
                <w:szCs w:val="16"/>
                <w:color w:val="666666"/>
              </w:rPr>
              <w:t>Total current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173,973</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 xml:space="preserve">Property and equipment, net of accumulated depreciation of </w:t>
            </w:r>
            <w:r>
              <w:rPr>
                <w:rFonts w:ascii="Arial" w:cs="Arial" w:eastAsia="Arial" w:hAnsi="Arial"/>
                <w:sz w:val="16"/>
                <w:szCs w:val="16"/>
                <w:b w:val="1"/>
                <w:bCs w:val="1"/>
                <w:color w:val="666666"/>
              </w:rPr>
              <w:t>$47,715</w:t>
            </w:r>
            <w:r>
              <w:rPr>
                <w:rFonts w:ascii="Arial" w:cs="Arial" w:eastAsia="Arial" w:hAnsi="Arial"/>
                <w:sz w:val="16"/>
                <w:szCs w:val="16"/>
                <w:color w:val="666666"/>
              </w:rPr>
              <w:t xml:space="preserve"> and $43,197</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51,737</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Operating lease right-of-use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10,298</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Equity investments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3,794</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Goodwill</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44,219</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Intangible assets, net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6,555</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Other long-term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13,561</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680"/>
              <w:spacing w:after="0"/>
              <w:rPr>
                <w:sz w:val="20"/>
                <w:szCs w:val="20"/>
                <w:color w:val="auto"/>
              </w:rPr>
            </w:pPr>
            <w:r>
              <w:rPr>
                <w:rFonts w:ascii="Arial" w:cs="Arial" w:eastAsia="Arial" w:hAnsi="Arial"/>
                <w:sz w:val="16"/>
                <w:szCs w:val="16"/>
                <w:color w:val="666666"/>
              </w:rPr>
              <w:t>Total assets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$304,137</w:t>
            </w:r>
          </w:p>
        </w:tc>
        <w:tc>
          <w:tcPr>
            <w:tcW w:w="0" w:type="dxa"/>
            <w:vAlign w:val="bottom"/>
          </w:tcPr>
          <w:p>
            <w:pPr>
              <w:spacing w:after="0"/>
              <w:rPr>
                <w:sz w:val="1"/>
                <w:szCs w:val="1"/>
                <w:color w:val="auto"/>
              </w:rPr>
            </w:pPr>
          </w:p>
        </w:tc>
      </w:tr>
      <w:tr>
        <w:trPr>
          <w:trHeight w:val="54"/>
        </w:trPr>
        <w:tc>
          <w:tcPr>
            <w:tcW w:w="8140" w:type="dxa"/>
            <w:vAlign w:val="bottom"/>
            <w:vMerge w:val="restart"/>
          </w:tcPr>
          <w:p>
            <w:pPr>
              <w:ind w:left="40"/>
              <w:spacing w:after="0"/>
              <w:rPr>
                <w:sz w:val="20"/>
                <w:szCs w:val="20"/>
                <w:color w:val="auto"/>
              </w:rPr>
            </w:pPr>
            <w:r>
              <w:rPr>
                <w:rFonts w:ascii="Arial" w:cs="Arial" w:eastAsia="Arial" w:hAnsi="Arial"/>
                <w:sz w:val="16"/>
                <w:szCs w:val="16"/>
                <w:b w:val="1"/>
                <w:bCs w:val="1"/>
                <w:color w:val="666666"/>
              </w:rPr>
              <w:t>Liabilities and stockholders’ equity</w:t>
            </w: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4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Current liabilities: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Accounts payable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$12,770</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Current portion of long-term debt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5,387</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Accrued compensation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6,838</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1,562</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Short-term unearned revenue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30,402</w:t>
            </w: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Other current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10,527</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360"/>
              <w:spacing w:after="0"/>
              <w:rPr>
                <w:sz w:val="20"/>
                <w:szCs w:val="20"/>
                <w:color w:val="auto"/>
              </w:rPr>
            </w:pPr>
            <w:r>
              <w:rPr>
                <w:rFonts w:ascii="Arial" w:cs="Arial" w:eastAsia="Arial" w:hAnsi="Arial"/>
                <w:sz w:val="16"/>
                <w:szCs w:val="16"/>
                <w:color w:val="666666"/>
              </w:rPr>
              <w:t>Total current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67,486</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Long-term debt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55,136</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Long-term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26,701</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Long-term unearned revenue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2,985</w:t>
            </w: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Deferred income taxes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174</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Operating lease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8,875</w:t>
            </w:r>
          </w:p>
        </w:tc>
        <w:tc>
          <w:tcPr>
            <w:tcW w:w="0" w:type="dxa"/>
            <w:vAlign w:val="bottom"/>
          </w:tcPr>
          <w:p>
            <w:pPr>
              <w:spacing w:after="0"/>
              <w:rPr>
                <w:sz w:val="1"/>
                <w:szCs w:val="1"/>
                <w:color w:val="auto"/>
              </w:rPr>
            </w:pPr>
          </w:p>
        </w:tc>
      </w:tr>
      <w:tr>
        <w:trPr>
          <w:trHeight w:val="283"/>
        </w:trPr>
        <w:tc>
          <w:tcPr>
            <w:tcW w:w="8140" w:type="dxa"/>
            <w:vAlign w:val="bottom"/>
          </w:tcPr>
          <w:p>
            <w:pPr>
              <w:ind w:left="40"/>
              <w:spacing w:after="0"/>
              <w:rPr>
                <w:sz w:val="20"/>
                <w:szCs w:val="20"/>
                <w:color w:val="auto"/>
              </w:rPr>
            </w:pPr>
            <w:r>
              <w:rPr>
                <w:rFonts w:ascii="Arial" w:cs="Arial" w:eastAsia="Arial" w:hAnsi="Arial"/>
                <w:sz w:val="16"/>
                <w:szCs w:val="16"/>
                <w:color w:val="666666"/>
              </w:rPr>
              <w:t>Other long-term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12,544</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520"/>
              <w:spacing w:after="0"/>
              <w:rPr>
                <w:sz w:val="20"/>
                <w:szCs w:val="20"/>
                <w:color w:val="auto"/>
              </w:rPr>
            </w:pPr>
            <w:r>
              <w:rPr>
                <w:rFonts w:ascii="Arial" w:cs="Arial" w:eastAsia="Arial" w:hAnsi="Arial"/>
                <w:sz w:val="16"/>
                <w:szCs w:val="16"/>
                <w:color w:val="666666"/>
              </w:rPr>
              <w:t>Total liabilities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173,901</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40"/>
              <w:spacing w:after="0"/>
              <w:rPr>
                <w:sz w:val="20"/>
                <w:szCs w:val="20"/>
                <w:color w:val="auto"/>
              </w:rPr>
            </w:pPr>
            <w:r>
              <w:rPr>
                <w:rFonts w:ascii="Arial" w:cs="Arial" w:eastAsia="Arial" w:hAnsi="Arial"/>
                <w:sz w:val="16"/>
                <w:szCs w:val="16"/>
                <w:color w:val="666666"/>
              </w:rPr>
              <w:t>Commitments and contingencies</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140" w:type="dxa"/>
            <w:vAlign w:val="bottom"/>
          </w:tcPr>
          <w:p>
            <w:pPr>
              <w:ind w:left="40"/>
              <w:spacing w:after="0"/>
              <w:rPr>
                <w:sz w:val="20"/>
                <w:szCs w:val="20"/>
                <w:color w:val="auto"/>
              </w:rPr>
            </w:pPr>
            <w:r>
              <w:rPr>
                <w:rFonts w:ascii="Arial" w:cs="Arial" w:eastAsia="Arial" w:hAnsi="Arial"/>
                <w:sz w:val="16"/>
                <w:szCs w:val="16"/>
                <w:color w:val="666666"/>
              </w:rPr>
              <w:t>Stockholders’ equity:</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40" w:type="dxa"/>
            <w:vAlign w:val="bottom"/>
          </w:tcPr>
          <w:p>
            <w:pPr>
              <w:ind w:left="200"/>
              <w:spacing w:after="0"/>
              <w:rPr>
                <w:sz w:val="20"/>
                <w:szCs w:val="20"/>
                <w:color w:val="auto"/>
              </w:rPr>
            </w:pPr>
            <w:r>
              <w:rPr>
                <w:rFonts w:ascii="Arial" w:cs="Arial" w:eastAsia="Arial" w:hAnsi="Arial"/>
                <w:sz w:val="16"/>
                <w:szCs w:val="16"/>
                <w:color w:val="666666"/>
              </w:rPr>
              <w:t xml:space="preserve">Common stock and paid-in capital—shares authorized 24,000; outstanding </w:t>
            </w:r>
            <w:r>
              <w:rPr>
                <w:rFonts w:ascii="Arial" w:cs="Arial" w:eastAsia="Arial" w:hAnsi="Arial"/>
                <w:sz w:val="16"/>
                <w:szCs w:val="16"/>
                <w:b w:val="1"/>
                <w:bCs w:val="1"/>
                <w:color w:val="666666"/>
              </w:rPr>
              <w:t>7,546</w:t>
            </w:r>
            <w:r>
              <w:rPr>
                <w:rFonts w:ascii="Arial" w:cs="Arial" w:eastAsia="Arial" w:hAnsi="Arial"/>
                <w:sz w:val="16"/>
                <w:szCs w:val="16"/>
                <w:color w:val="666666"/>
              </w:rPr>
              <w:t xml:space="preserve"> and 7,571</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81,896</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Retained earnings</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44,973</w:t>
            </w:r>
          </w:p>
        </w:tc>
        <w:tc>
          <w:tcPr>
            <w:tcW w:w="0" w:type="dxa"/>
            <w:vAlign w:val="bottom"/>
          </w:tcPr>
          <w:p>
            <w:pPr>
              <w:spacing w:after="0"/>
              <w:rPr>
                <w:sz w:val="1"/>
                <w:szCs w:val="1"/>
                <w:color w:val="auto"/>
              </w:rPr>
            </w:pPr>
          </w:p>
        </w:tc>
      </w:tr>
      <w:tr>
        <w:trPr>
          <w:trHeight w:val="284"/>
        </w:trPr>
        <w:tc>
          <w:tcPr>
            <w:tcW w:w="8140" w:type="dxa"/>
            <w:vAlign w:val="bottom"/>
          </w:tcPr>
          <w:p>
            <w:pPr>
              <w:ind w:left="200"/>
              <w:spacing w:after="0"/>
              <w:rPr>
                <w:sz w:val="20"/>
                <w:szCs w:val="20"/>
                <w:color w:val="auto"/>
              </w:rPr>
            </w:pPr>
            <w:r>
              <w:rPr>
                <w:rFonts w:ascii="Arial" w:cs="Arial" w:eastAsia="Arial" w:hAnsi="Arial"/>
                <w:sz w:val="16"/>
                <w:szCs w:val="16"/>
                <w:color w:val="666666"/>
              </w:rPr>
              <w:t>Accumulated other comprehensive income</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3,367</w:t>
            </w:r>
          </w:p>
        </w:tc>
        <w:tc>
          <w:tcPr>
            <w:tcW w:w="0" w:type="dxa"/>
            <w:vAlign w:val="bottom"/>
          </w:tcPr>
          <w:p>
            <w:pPr>
              <w:spacing w:after="0"/>
              <w:rPr>
                <w:sz w:val="1"/>
                <w:szCs w:val="1"/>
                <w:color w:val="auto"/>
              </w:rPr>
            </w:pPr>
          </w:p>
        </w:tc>
      </w:tr>
      <w:tr>
        <w:trPr>
          <w:trHeight w:val="46"/>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520"/>
              <w:spacing w:after="0"/>
              <w:rPr>
                <w:sz w:val="20"/>
                <w:szCs w:val="20"/>
                <w:color w:val="auto"/>
              </w:rPr>
            </w:pPr>
            <w:r>
              <w:rPr>
                <w:rFonts w:ascii="Arial" w:cs="Arial" w:eastAsia="Arial" w:hAnsi="Arial"/>
                <w:sz w:val="16"/>
                <w:szCs w:val="16"/>
                <w:color w:val="666666"/>
              </w:rPr>
              <w:t>Total stockholders’ equity</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130,236</w:t>
            </w:r>
          </w:p>
        </w:tc>
        <w:tc>
          <w:tcPr>
            <w:tcW w:w="0" w:type="dxa"/>
            <w:vAlign w:val="bottom"/>
          </w:tcPr>
          <w:p>
            <w:pPr>
              <w:spacing w:after="0"/>
              <w:rPr>
                <w:sz w:val="1"/>
                <w:szCs w:val="1"/>
                <w:color w:val="auto"/>
              </w:rPr>
            </w:pPr>
          </w:p>
        </w:tc>
      </w:tr>
      <w:tr>
        <w:trPr>
          <w:trHeight w:val="47"/>
        </w:trPr>
        <w:tc>
          <w:tcPr>
            <w:tcW w:w="8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40" w:type="dxa"/>
            <w:vAlign w:val="bottom"/>
          </w:tcPr>
          <w:p>
            <w:pPr>
              <w:ind w:left="680"/>
              <w:spacing w:after="0"/>
              <w:rPr>
                <w:sz w:val="20"/>
                <w:szCs w:val="20"/>
                <w:color w:val="auto"/>
              </w:rPr>
            </w:pPr>
            <w:r>
              <w:rPr>
                <w:rFonts w:ascii="Arial" w:cs="Arial" w:eastAsia="Arial" w:hAnsi="Arial"/>
                <w:sz w:val="16"/>
                <w:szCs w:val="16"/>
                <w:color w:val="666666"/>
              </w:rPr>
              <w:t>Total liabilities and stockholders’ equity</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666666"/>
              </w:rPr>
              <w:t>$304,137</w:t>
            </w:r>
          </w:p>
        </w:tc>
        <w:tc>
          <w:tcPr>
            <w:tcW w:w="0" w:type="dxa"/>
            <w:vAlign w:val="bottom"/>
          </w:tcPr>
          <w:p>
            <w:pPr>
              <w:spacing w:after="0"/>
              <w:rPr>
                <w:sz w:val="1"/>
                <w:szCs w:val="1"/>
                <w:color w:val="auto"/>
              </w:rPr>
            </w:pPr>
          </w:p>
        </w:tc>
      </w:tr>
      <w:tr>
        <w:trPr>
          <w:trHeight w:val="54"/>
        </w:trPr>
        <w:tc>
          <w:tcPr>
            <w:tcW w:w="814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-6840220</wp:posOffset>
            </wp:positionV>
            <wp:extent cx="699516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-6463030</wp:posOffset>
            </wp:positionV>
            <wp:extent cx="699516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-6102985</wp:posOffset>
            </wp:positionV>
            <wp:extent cx="699516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-5725795</wp:posOffset>
            </wp:positionV>
            <wp:extent cx="699516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-5365750</wp:posOffset>
            </wp:positionV>
            <wp:extent cx="699516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-5005705</wp:posOffset>
            </wp:positionV>
            <wp:extent cx="699516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-4645660</wp:posOffset>
            </wp:positionV>
            <wp:extent cx="699516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-4242435</wp:posOffset>
            </wp:positionV>
            <wp:extent cx="699516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-3882390</wp:posOffset>
            </wp:positionV>
            <wp:extent cx="699516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-3522345</wp:posOffset>
            </wp:positionV>
            <wp:extent cx="699516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-3162300</wp:posOffset>
            </wp:positionV>
            <wp:extent cx="699516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-2785110</wp:posOffset>
            </wp:positionV>
            <wp:extent cx="699516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-2425065</wp:posOffset>
            </wp:positionV>
            <wp:extent cx="699516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-2065020</wp:posOffset>
            </wp:positionV>
            <wp:extent cx="6995160"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-1704975</wp:posOffset>
            </wp:positionV>
            <wp:extent cx="6995160" cy="179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-1310640</wp:posOffset>
            </wp:positionV>
            <wp:extent cx="6995160" cy="1797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-950595</wp:posOffset>
            </wp:positionV>
            <wp:extent cx="699516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-590550</wp:posOffset>
            </wp:positionV>
            <wp:extent cx="699516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$13,576</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122,951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136,527</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32,011</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1,895</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11,482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181,915</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44,151</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8,753</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2,965</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43,351</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7,038</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13,138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666666"/>
        </w:rPr>
        <w:t>$301,311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010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$12,530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3,749</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7,874</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2,130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36,000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10,027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72,310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59,578</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29,432</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3,180</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204</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7,671</w:t>
      </w:r>
    </w:p>
    <w:p>
      <w:pPr>
        <w:spacing w:after="0" w:line="100"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666666"/>
        </w:rPr>
        <w:t>10,632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183,007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16"/>
          <w:szCs w:val="16"/>
          <w:color w:val="666666"/>
        </w:rPr>
        <w:t>80,552</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6"/>
          <w:szCs w:val="16"/>
          <w:color w:val="666666"/>
        </w:rPr>
        <w:t>34,566</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6"/>
          <w:szCs w:val="16"/>
          <w:color w:val="666666"/>
        </w:rPr>
        <w:t>3,186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6"/>
          <w:szCs w:val="16"/>
          <w:color w:val="666666"/>
        </w:rPr>
        <w:t>118,304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666666"/>
        </w:rPr>
        <w:t>$301,311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36195</wp:posOffset>
            </wp:positionV>
            <wp:extent cx="8401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0105" cy="17145"/>
                    </a:xfrm>
                    <a:prstGeom prst="rect">
                      <a:avLst/>
                    </a:prstGeom>
                    <a:noFill/>
                  </pic:spPr>
                </pic:pic>
              </a:graphicData>
            </a:graphic>
          </wp:anchor>
        </w:drawing>
      </w:r>
    </w:p>
    <w:p>
      <w:pPr>
        <w:sectPr>
          <w:pgSz w:w="11900" w:h="16838" w:orient="portrait"/>
          <w:cols w:equalWidth="0" w:num="2">
            <w:col w:w="9520" w:space="720"/>
            <w:col w:w="720"/>
          </w:cols>
          <w:pgMar w:left="440" w:top="265" w:right="49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9"/>
        </w:trPr>
        <w:tc>
          <w:tcPr>
            <w:tcW w:w="454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6980" w:type="dxa"/>
            <w:vAlign w:val="bottom"/>
            <w:gridSpan w:val="4"/>
          </w:tcPr>
          <w:p>
            <w:pPr>
              <w:ind w:left="4300"/>
              <w:spacing w:after="0"/>
              <w:rPr>
                <w:sz w:val="20"/>
                <w:szCs w:val="20"/>
                <w:color w:val="auto"/>
              </w:rPr>
            </w:pPr>
            <w:r>
              <w:rPr>
                <w:rFonts w:ascii="Arial" w:cs="Arial" w:eastAsia="Arial" w:hAnsi="Arial"/>
                <w:sz w:val="18"/>
                <w:szCs w:val="18"/>
                <w:color w:val="666666"/>
              </w:rPr>
              <w:t>CASH FLOWS STATEMENTS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540" w:type="dxa"/>
            <w:vAlign w:val="bottom"/>
          </w:tcPr>
          <w:p>
            <w:pPr>
              <w:spacing w:after="0"/>
              <w:rPr>
                <w:sz w:val="24"/>
                <w:szCs w:val="24"/>
                <w:color w:val="auto"/>
              </w:rPr>
            </w:pPr>
          </w:p>
        </w:tc>
        <w:tc>
          <w:tcPr>
            <w:tcW w:w="2440" w:type="dxa"/>
            <w:vAlign w:val="bottom"/>
            <w:gridSpan w:val="3"/>
          </w:tcPr>
          <w:p>
            <w:pPr>
              <w:jc w:val="right"/>
              <w:ind w:right="520"/>
              <w:spacing w:after="0"/>
              <w:rPr>
                <w:sz w:val="20"/>
                <w:szCs w:val="20"/>
                <w:color w:val="auto"/>
              </w:rPr>
            </w:pPr>
            <w:r>
              <w:rPr>
                <w:rFonts w:ascii="Arial" w:cs="Arial" w:eastAsia="Arial" w:hAnsi="Arial"/>
                <w:sz w:val="18"/>
                <w:szCs w:val="18"/>
                <w:color w:val="666666"/>
                <w:w w:val="99"/>
              </w:rPr>
              <w:t>(In millions) (Unaudited)</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7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666666"/>
              </w:rPr>
              <w:t>Three Months Ended</w:t>
            </w:r>
          </w:p>
        </w:tc>
        <w:tc>
          <w:tcPr>
            <w:tcW w:w="24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666666"/>
              </w:rPr>
              <w:t>Six Months Ended</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right"/>
              <w:ind w:right="400"/>
              <w:spacing w:after="0" w:line="202" w:lineRule="exact"/>
              <w:rPr>
                <w:sz w:val="20"/>
                <w:szCs w:val="20"/>
                <w:color w:val="auto"/>
              </w:rPr>
            </w:pPr>
            <w:r>
              <w:rPr>
                <w:rFonts w:ascii="Arial" w:cs="Arial" w:eastAsia="Arial" w:hAnsi="Arial"/>
                <w:sz w:val="18"/>
                <w:szCs w:val="18"/>
                <w:b w:val="1"/>
                <w:bCs w:val="1"/>
                <w:color w:val="666666"/>
              </w:rPr>
              <w:t>December 31,</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right"/>
              <w:ind w:right="120"/>
              <w:spacing w:after="0" w:line="202" w:lineRule="exact"/>
              <w:rPr>
                <w:sz w:val="20"/>
                <w:szCs w:val="20"/>
                <w:color w:val="auto"/>
              </w:rPr>
            </w:pPr>
            <w:r>
              <w:rPr>
                <w:rFonts w:ascii="Arial" w:cs="Arial" w:eastAsia="Arial" w:hAnsi="Arial"/>
                <w:sz w:val="18"/>
                <w:szCs w:val="18"/>
                <w:b w:val="1"/>
                <w:bCs w:val="1"/>
                <w:color w:val="666666"/>
              </w:rPr>
              <w:t>December 31,</w:t>
            </w:r>
          </w:p>
        </w:tc>
        <w:tc>
          <w:tcPr>
            <w:tcW w:w="0" w:type="dxa"/>
            <w:vAlign w:val="bottom"/>
          </w:tcPr>
          <w:p>
            <w:pPr>
              <w:spacing w:after="0"/>
              <w:rPr>
                <w:sz w:val="1"/>
                <w:szCs w:val="1"/>
                <w:color w:val="auto"/>
              </w:rPr>
            </w:pPr>
          </w:p>
        </w:tc>
      </w:tr>
      <w:tr>
        <w:trPr>
          <w:trHeight w:val="225"/>
        </w:trPr>
        <w:tc>
          <w:tcPr>
            <w:tcW w:w="4540" w:type="dxa"/>
            <w:vAlign w:val="bottom"/>
          </w:tcPr>
          <w:p>
            <w:pPr>
              <w:spacing w:after="0"/>
              <w:rPr>
                <w:sz w:val="19"/>
                <w:szCs w:val="19"/>
                <w:color w:val="auto"/>
              </w:rPr>
            </w:pPr>
          </w:p>
        </w:tc>
        <w:tc>
          <w:tcPr>
            <w:tcW w:w="24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666666"/>
              </w:rPr>
              <w:t>2020</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666666"/>
              </w:rPr>
              <w:t>2019</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666666"/>
              </w:rPr>
              <w:t>2020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666666"/>
              </w:rPr>
              <w:t>2019</w:t>
            </w:r>
          </w:p>
        </w:tc>
        <w:tc>
          <w:tcPr>
            <w:tcW w:w="0" w:type="dxa"/>
            <w:vAlign w:val="bottom"/>
          </w:tcPr>
          <w:p>
            <w:pPr>
              <w:spacing w:after="0"/>
              <w:rPr>
                <w:sz w:val="1"/>
                <w:szCs w:val="1"/>
                <w:color w:val="auto"/>
              </w:rPr>
            </w:pPr>
          </w:p>
        </w:tc>
      </w:tr>
      <w:tr>
        <w:trPr>
          <w:trHeight w:val="61"/>
        </w:trPr>
        <w:tc>
          <w:tcPr>
            <w:tcW w:w="4540" w:type="dxa"/>
            <w:vAlign w:val="bottom"/>
            <w:tcBorders>
              <w:top w:val="single" w:sz="8" w:color="auto"/>
            </w:tcBorders>
          </w:tcPr>
          <w:p>
            <w:pPr>
              <w:spacing w:after="0"/>
              <w:rPr>
                <w:sz w:val="5"/>
                <w:szCs w:val="5"/>
                <w:color w:val="auto"/>
              </w:rPr>
            </w:pPr>
          </w:p>
        </w:tc>
        <w:tc>
          <w:tcPr>
            <w:tcW w:w="136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666666"/>
              </w:rPr>
              <w:t>Operations</w:t>
            </w:r>
          </w:p>
        </w:tc>
        <w:tc>
          <w:tcPr>
            <w:tcW w:w="1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40"/>
              <w:spacing w:after="0"/>
              <w:rPr>
                <w:sz w:val="20"/>
                <w:szCs w:val="20"/>
                <w:color w:val="auto"/>
              </w:rPr>
            </w:pPr>
            <w:r>
              <w:rPr>
                <w:rFonts w:ascii="Arial" w:cs="Arial" w:eastAsia="Arial" w:hAnsi="Arial"/>
                <w:sz w:val="16"/>
                <w:szCs w:val="16"/>
                <w:color w:val="666666"/>
              </w:rPr>
              <w:t>Net income</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$15,463</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$11,649</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$29,356</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$22,327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590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698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666666"/>
              </w:rPr>
              <w:t>Adjustments to reconcile net income to net cash from operations: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200"/>
              <w:spacing w:after="0"/>
              <w:rPr>
                <w:sz w:val="20"/>
                <w:szCs w:val="20"/>
                <w:color w:val="auto"/>
              </w:rPr>
            </w:pPr>
            <w:r>
              <w:rPr>
                <w:rFonts w:ascii="Arial" w:cs="Arial" w:eastAsia="Arial" w:hAnsi="Arial"/>
                <w:sz w:val="16"/>
                <w:szCs w:val="16"/>
                <w:color w:val="666666"/>
              </w:rPr>
              <w:t>Depreciation, amortization, and other</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2,761</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3,203</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5,406</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6,174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0"/>
              <w:spacing w:after="0"/>
              <w:rPr>
                <w:sz w:val="20"/>
                <w:szCs w:val="20"/>
                <w:color w:val="auto"/>
              </w:rPr>
            </w:pPr>
            <w:r>
              <w:rPr>
                <w:rFonts w:ascii="Arial" w:cs="Arial" w:eastAsia="Arial" w:hAnsi="Arial"/>
                <w:sz w:val="16"/>
                <w:szCs w:val="16"/>
                <w:color w:val="666666"/>
              </w:rPr>
              <w:t>Stock-based compensation expense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1,566</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1,340</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3,022</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2,602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200"/>
              <w:spacing w:after="0"/>
              <w:rPr>
                <w:sz w:val="20"/>
                <w:szCs w:val="20"/>
                <w:color w:val="auto"/>
              </w:rPr>
            </w:pPr>
            <w:r>
              <w:rPr>
                <w:rFonts w:ascii="Arial" w:cs="Arial" w:eastAsia="Arial" w:hAnsi="Arial"/>
                <w:sz w:val="16"/>
                <w:szCs w:val="16"/>
                <w:color w:val="666666"/>
              </w:rPr>
              <w:t>Net recognized gains on investments and derivatives</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(354)</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(203)</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(482)</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200"/>
              <w:spacing w:after="0"/>
              <w:rPr>
                <w:sz w:val="20"/>
                <w:szCs w:val="20"/>
                <w:color w:val="auto"/>
              </w:rPr>
            </w:pPr>
            <w:r>
              <w:rPr>
                <w:rFonts w:ascii="Arial" w:cs="Arial" w:eastAsia="Arial" w:hAnsi="Arial"/>
                <w:sz w:val="16"/>
                <w:szCs w:val="16"/>
                <w:color w:val="666666"/>
              </w:rPr>
              <w:t>Deferred income taxes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(17)</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(53)</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(28)</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(230)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200"/>
              <w:spacing w:after="0"/>
              <w:rPr>
                <w:sz w:val="20"/>
                <w:szCs w:val="20"/>
                <w:color w:val="auto"/>
              </w:rPr>
            </w:pPr>
            <w:r>
              <w:rPr>
                <w:rFonts w:ascii="Arial" w:cs="Arial" w:eastAsia="Arial" w:hAnsi="Arial"/>
                <w:sz w:val="16"/>
                <w:szCs w:val="16"/>
                <w:color w:val="666666"/>
              </w:rPr>
              <w:t>Changes in operating assets and liabilities:</w:t>
            </w: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Accounts receivable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(4,008)</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(4,203)</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4,835</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5,887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360"/>
              <w:spacing w:after="0"/>
              <w:rPr>
                <w:sz w:val="20"/>
                <w:szCs w:val="20"/>
                <w:color w:val="auto"/>
              </w:rPr>
            </w:pPr>
            <w:r>
              <w:rPr>
                <w:rFonts w:ascii="Arial" w:cs="Arial" w:eastAsia="Arial" w:hAnsi="Arial"/>
                <w:sz w:val="16"/>
                <w:szCs w:val="16"/>
                <w:color w:val="666666"/>
              </w:rPr>
              <w:t>Inventories</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788</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799</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(20)</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238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Other current assets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730</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165</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676</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(273)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360"/>
              <w:spacing w:after="0"/>
              <w:rPr>
                <w:sz w:val="20"/>
                <w:szCs w:val="20"/>
                <w:color w:val="auto"/>
              </w:rPr>
            </w:pPr>
            <w:r>
              <w:rPr>
                <w:rFonts w:ascii="Arial" w:cs="Arial" w:eastAsia="Arial" w:hAnsi="Arial"/>
                <w:sz w:val="16"/>
                <w:szCs w:val="16"/>
                <w:color w:val="666666"/>
              </w:rPr>
              <w:t>Other long-term assets</w:t>
            </w:r>
          </w:p>
        </w:tc>
        <w:tc>
          <w:tcPr>
            <w:tcW w:w="24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666666"/>
              </w:rPr>
              <w:t>(1,499)</w:t>
            </w: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(517)</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(1,561)</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(850)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Accounts payable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33</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(7)</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348</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(554)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360"/>
              <w:spacing w:after="0"/>
              <w:rPr>
                <w:sz w:val="20"/>
                <w:szCs w:val="20"/>
                <w:color w:val="auto"/>
              </w:rPr>
            </w:pPr>
            <w:r>
              <w:rPr>
                <w:rFonts w:ascii="Arial" w:cs="Arial" w:eastAsia="Arial" w:hAnsi="Arial"/>
                <w:sz w:val="16"/>
                <w:szCs w:val="16"/>
                <w:color w:val="666666"/>
              </w:rPr>
              <w:t>Unearned revenue</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(3,227)</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(2,936)</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(6,291)</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(5,828)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Income taxes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(2,368)</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(471)</w:t>
            </w:r>
          </w:p>
        </w:tc>
        <w:tc>
          <w:tcPr>
            <w:tcW w:w="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666666"/>
              </w:rPr>
              <w:t>(3,351)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(3,807)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540" w:type="dxa"/>
            <w:vAlign w:val="bottom"/>
          </w:tcPr>
          <w:p>
            <w:pPr>
              <w:ind w:left="360"/>
              <w:spacing w:after="0"/>
              <w:rPr>
                <w:sz w:val="20"/>
                <w:szCs w:val="20"/>
                <w:color w:val="auto"/>
              </w:rPr>
            </w:pPr>
            <w:r>
              <w:rPr>
                <w:rFonts w:ascii="Arial" w:cs="Arial" w:eastAsia="Arial" w:hAnsi="Arial"/>
                <w:sz w:val="16"/>
                <w:szCs w:val="16"/>
                <w:color w:val="666666"/>
              </w:rPr>
              <w:t>Other current liabilities</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1,755</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1,489</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(1,196)</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(1,831)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360"/>
              <w:spacing w:after="0"/>
              <w:rPr>
                <w:sz w:val="20"/>
                <w:szCs w:val="20"/>
                <w:color w:val="auto"/>
              </w:rPr>
            </w:pPr>
            <w:r>
              <w:rPr>
                <w:rFonts w:ascii="Arial" w:cs="Arial" w:eastAsia="Arial" w:hAnsi="Arial"/>
                <w:sz w:val="16"/>
                <w:szCs w:val="16"/>
                <w:color w:val="666666"/>
              </w:rPr>
              <w:t>Other long-term liabilities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893</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425</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1,137</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835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540" w:type="dxa"/>
            <w:vAlign w:val="bottom"/>
          </w:tcPr>
          <w:p>
            <w:pPr>
              <w:ind w:left="520"/>
              <w:spacing w:after="0"/>
              <w:rPr>
                <w:sz w:val="20"/>
                <w:szCs w:val="20"/>
                <w:color w:val="auto"/>
              </w:rPr>
            </w:pPr>
            <w:r>
              <w:rPr>
                <w:rFonts w:ascii="Arial" w:cs="Arial" w:eastAsia="Arial" w:hAnsi="Arial"/>
                <w:sz w:val="16"/>
                <w:szCs w:val="16"/>
                <w:color w:val="666666"/>
              </w:rPr>
              <w:t>Net cash from operations</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12,516</w:t>
            </w:r>
          </w:p>
        </w:tc>
        <w:tc>
          <w:tcPr>
            <w:tcW w:w="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10,680</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31,851</w:t>
            </w:r>
          </w:p>
        </w:tc>
        <w:tc>
          <w:tcPr>
            <w:tcW w:w="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24,498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666666"/>
              </w:rPr>
              <w:t>Financing</w:t>
            </w:r>
          </w:p>
        </w:tc>
        <w:tc>
          <w:tcPr>
            <w:tcW w:w="1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Arial" w:cs="Arial" w:eastAsia="Arial" w:hAnsi="Arial"/>
                <w:sz w:val="16"/>
                <w:szCs w:val="16"/>
                <w:color w:val="666666"/>
              </w:rPr>
              <w:t>Repayments of debt</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(3,250)</w:t>
            </w:r>
          </w:p>
        </w:tc>
        <w:tc>
          <w:tcPr>
            <w:tcW w:w="80" w:type="dxa"/>
            <w:vAlign w:val="bottom"/>
          </w:tcPr>
          <w:p>
            <w:pPr>
              <w:spacing w:after="0"/>
              <w:rPr>
                <w:sz w:val="21"/>
                <w:szCs w:val="21"/>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color w:val="666666"/>
              </w:rPr>
              <w:t>(18)</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(3,250)</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(2,518)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Common stock issued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302</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234</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847</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661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Arial" w:cs="Arial" w:eastAsia="Arial" w:hAnsi="Arial"/>
                <w:sz w:val="16"/>
                <w:szCs w:val="16"/>
                <w:color w:val="666666"/>
              </w:rPr>
              <w:t>Common stock repurchased</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(6,535)</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(5,206)</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(13,278)</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(10,118)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Common stock cash dividends paid</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(4,230)</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(3,886)</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(8,086)</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(7,396)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Arial" w:cs="Arial" w:eastAsia="Arial" w:hAnsi="Arial"/>
                <w:sz w:val="16"/>
                <w:szCs w:val="16"/>
                <w:color w:val="666666"/>
              </w:rPr>
              <w:t>Other, net</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79</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(39)</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(156)</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247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600"/>
              <w:spacing w:after="0"/>
              <w:rPr>
                <w:sz w:val="20"/>
                <w:szCs w:val="20"/>
                <w:color w:val="auto"/>
              </w:rPr>
            </w:pPr>
            <w:r>
              <w:rPr>
                <w:rFonts w:ascii="Arial" w:cs="Arial" w:eastAsia="Arial" w:hAnsi="Arial"/>
                <w:sz w:val="16"/>
                <w:szCs w:val="16"/>
                <w:color w:val="666666"/>
              </w:rPr>
              <w:t>Net cash used in financing</w:t>
            </w:r>
          </w:p>
        </w:tc>
        <w:tc>
          <w:tcPr>
            <w:tcW w:w="2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666666"/>
              </w:rPr>
              <w:t>(13,634)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(8,915)</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(23,923)</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(19,124)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540" w:type="dxa"/>
            <w:vAlign w:val="bottom"/>
          </w:tcPr>
          <w:p>
            <w:pPr>
              <w:ind w:left="40"/>
              <w:spacing w:after="0"/>
              <w:rPr>
                <w:sz w:val="20"/>
                <w:szCs w:val="20"/>
                <w:color w:val="auto"/>
              </w:rPr>
            </w:pPr>
            <w:r>
              <w:rPr>
                <w:rFonts w:ascii="Arial" w:cs="Arial" w:eastAsia="Arial" w:hAnsi="Arial"/>
                <w:sz w:val="16"/>
                <w:szCs w:val="16"/>
                <w:b w:val="1"/>
                <w:bCs w:val="1"/>
                <w:color w:val="666666"/>
              </w:rPr>
              <w:t>Investing</w:t>
            </w:r>
          </w:p>
        </w:tc>
        <w:tc>
          <w:tcPr>
            <w:tcW w:w="1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Additions to property and equipment</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(4,174)</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(3,545)</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(9,081)</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(6,930)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40" w:type="dxa"/>
            <w:vAlign w:val="bottom"/>
          </w:tcPr>
          <w:p>
            <w:pPr>
              <w:ind w:left="40"/>
              <w:spacing w:after="0"/>
              <w:rPr>
                <w:sz w:val="20"/>
                <w:szCs w:val="20"/>
                <w:color w:val="auto"/>
              </w:rPr>
            </w:pPr>
            <w:r>
              <w:rPr>
                <w:rFonts w:ascii="Arial" w:cs="Arial" w:eastAsia="Arial" w:hAnsi="Arial"/>
                <w:sz w:val="16"/>
                <w:szCs w:val="16"/>
                <w:color w:val="666666"/>
              </w:rPr>
              <w:t>Acquisition of companies, net of cash acquired, and purchases</w:t>
            </w:r>
          </w:p>
        </w:tc>
        <w:tc>
          <w:tcPr>
            <w:tcW w:w="2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666666"/>
              </w:rPr>
              <w:t>(415)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666666"/>
              </w:rPr>
              <w:t>(896)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540" w:type="dxa"/>
            <w:vAlign w:val="bottom"/>
          </w:tcPr>
          <w:p>
            <w:pPr>
              <w:ind w:left="160"/>
              <w:spacing w:after="0"/>
              <w:rPr>
                <w:sz w:val="20"/>
                <w:szCs w:val="20"/>
                <w:color w:val="auto"/>
              </w:rPr>
            </w:pPr>
            <w:r>
              <w:rPr>
                <w:rFonts w:ascii="Arial" w:cs="Arial" w:eastAsia="Arial" w:hAnsi="Arial"/>
                <w:sz w:val="16"/>
                <w:szCs w:val="16"/>
                <w:color w:val="666666"/>
              </w:rPr>
              <w:t>of intangible and other assets</w:t>
            </w:r>
          </w:p>
        </w:tc>
        <w:tc>
          <w:tcPr>
            <w:tcW w:w="2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(80)</w:t>
            </w:r>
          </w:p>
        </w:tc>
        <w:tc>
          <w:tcPr>
            <w:tcW w:w="3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(542)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Purchases of investments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(15,092)</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(19,011)</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(29,672)</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(42,401)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Arial" w:cs="Arial" w:eastAsia="Arial" w:hAnsi="Arial"/>
                <w:sz w:val="16"/>
                <w:szCs w:val="16"/>
                <w:color w:val="666666"/>
              </w:rPr>
              <w:t>Maturities of investments</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15,264</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11,230</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29,530</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30,312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5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Sales of investments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2,421</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5,370</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4,835</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11,749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Arial" w:cs="Arial" w:eastAsia="Arial" w:hAnsi="Arial"/>
                <w:sz w:val="16"/>
                <w:szCs w:val="16"/>
                <w:color w:val="666666"/>
              </w:rPr>
              <w:t>Other, net</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327</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0</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(1,756)</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4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520"/>
              <w:spacing w:after="0"/>
              <w:rPr>
                <w:sz w:val="20"/>
                <w:szCs w:val="20"/>
                <w:color w:val="auto"/>
              </w:rPr>
            </w:pPr>
            <w:r>
              <w:rPr>
                <w:rFonts w:ascii="Arial" w:cs="Arial" w:eastAsia="Arial" w:hAnsi="Arial"/>
                <w:sz w:val="16"/>
                <w:szCs w:val="16"/>
                <w:color w:val="666666"/>
              </w:rPr>
              <w:t>Net cash used in investing</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666666"/>
              </w:rPr>
              <w:t>(1,669)</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(6,036)</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(7,040)</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(7,812)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540" w:type="dxa"/>
            <w:vAlign w:val="bottom"/>
          </w:tcPr>
          <w:p>
            <w:pPr>
              <w:ind w:left="40"/>
              <w:spacing w:after="0"/>
              <w:rPr>
                <w:sz w:val="20"/>
                <w:szCs w:val="20"/>
                <w:color w:val="auto"/>
              </w:rPr>
            </w:pPr>
            <w:r>
              <w:rPr>
                <w:rFonts w:ascii="Arial" w:cs="Arial" w:eastAsia="Arial" w:hAnsi="Arial"/>
                <w:sz w:val="16"/>
                <w:szCs w:val="16"/>
                <w:color w:val="666666"/>
              </w:rPr>
              <w:t>Effect of foreign exchange rates on cash and cash equivalents</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14</w:t>
            </w:r>
          </w:p>
        </w:tc>
        <w:tc>
          <w:tcPr>
            <w:tcW w:w="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18</w:t>
            </w:r>
          </w:p>
        </w:tc>
        <w:tc>
          <w:tcPr>
            <w:tcW w:w="3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(32)</w:t>
            </w:r>
          </w:p>
        </w:tc>
        <w:tc>
          <w:tcPr>
            <w:tcW w:w="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4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Net change in cash and cash equivalents</w:t>
            </w:r>
          </w:p>
        </w:tc>
        <w:tc>
          <w:tcPr>
            <w:tcW w:w="24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666666"/>
              </w:rPr>
              <w:t>(2,773)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(4,253)</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666666"/>
              </w:rPr>
              <w:t>856</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666666"/>
              </w:rPr>
              <w:t>(2,492)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40" w:type="dxa"/>
            <w:vAlign w:val="bottom"/>
          </w:tcPr>
          <w:p>
            <w:pPr>
              <w:ind w:left="40"/>
              <w:spacing w:after="0"/>
              <w:rPr>
                <w:sz w:val="20"/>
                <w:szCs w:val="20"/>
                <w:color w:val="auto"/>
              </w:rPr>
            </w:pPr>
            <w:r>
              <w:rPr>
                <w:rFonts w:ascii="Arial" w:cs="Arial" w:eastAsia="Arial" w:hAnsi="Arial"/>
                <w:sz w:val="16"/>
                <w:szCs w:val="16"/>
                <w:color w:val="666666"/>
              </w:rPr>
              <w:t>Cash and cash equivalents, beginning of period</w:t>
            </w:r>
          </w:p>
        </w:tc>
        <w:tc>
          <w:tcPr>
            <w:tcW w:w="2360" w:type="dxa"/>
            <w:vAlign w:val="bottom"/>
            <w:gridSpan w:val="2"/>
          </w:tcPr>
          <w:p>
            <w:pPr>
              <w:jc w:val="right"/>
              <w:spacing w:after="0"/>
              <w:rPr>
                <w:sz w:val="20"/>
                <w:szCs w:val="20"/>
                <w:color w:val="auto"/>
              </w:rPr>
            </w:pPr>
            <w:r>
              <w:rPr>
                <w:rFonts w:ascii="Arial" w:cs="Arial" w:eastAsia="Arial" w:hAnsi="Arial"/>
                <w:sz w:val="16"/>
                <w:szCs w:val="16"/>
                <w:b w:val="1"/>
                <w:bCs w:val="1"/>
                <w:color w:val="666666"/>
              </w:rPr>
              <w:t>17,205</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13,117</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666666"/>
              </w:rPr>
              <w:t>13,576</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666666"/>
              </w:rPr>
              <w:t>11,356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4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540" w:type="dxa"/>
            <w:vAlign w:val="bottom"/>
            <w:shd w:val="clear" w:color="auto" w:fill="CCEEFF"/>
          </w:tcPr>
          <w:p>
            <w:pPr>
              <w:ind w:left="40"/>
              <w:spacing w:after="0"/>
              <w:rPr>
                <w:sz w:val="20"/>
                <w:szCs w:val="20"/>
                <w:color w:val="auto"/>
              </w:rPr>
            </w:pPr>
            <w:r>
              <w:rPr>
                <w:rFonts w:ascii="Arial" w:cs="Arial" w:eastAsia="Arial" w:hAnsi="Arial"/>
                <w:sz w:val="16"/>
                <w:szCs w:val="16"/>
                <w:color w:val="666666"/>
              </w:rPr>
              <w:t>Cash and cash equivalents, end of period</w:t>
            </w:r>
          </w:p>
        </w:tc>
        <w:tc>
          <w:tcPr>
            <w:tcW w:w="136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666666"/>
              </w:rPr>
              <w:t>$14,432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66666"/>
              </w:rPr>
              <w:t>$8,864</w:t>
            </w:r>
          </w:p>
        </w:tc>
        <w:tc>
          <w:tcPr>
            <w:tcW w:w="34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666666"/>
              </w:rPr>
              <w:t>$14,432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66666"/>
              </w:rPr>
              <w:t>$8,864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39"/>
        </w:trPr>
        <w:tc>
          <w:tcPr>
            <w:tcW w:w="3220" w:type="dxa"/>
            <w:vAlign w:val="bottom"/>
          </w:tcPr>
          <w:p>
            <w:pPr>
              <w:spacing w:after="0"/>
              <w:rPr>
                <w:sz w:val="20"/>
                <w:szCs w:val="20"/>
                <w:color w:val="auto"/>
              </w:rPr>
            </w:pPr>
            <w:r>
              <w:rPr>
                <w:rFonts w:ascii="Arial" w:cs="Arial" w:eastAsia="Arial" w:hAnsi="Arial"/>
                <w:sz w:val="18"/>
                <w:szCs w:val="18"/>
                <w:b w:val="1"/>
                <w:bCs w:val="1"/>
                <w:color w:val="666666"/>
              </w:rPr>
              <w:t>MICROSOFT CORPORATION</w:t>
            </w:r>
          </w:p>
        </w:tc>
        <w:tc>
          <w:tcPr>
            <w:tcW w:w="3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67"/>
        </w:trPr>
        <w:tc>
          <w:tcPr>
            <w:tcW w:w="3220" w:type="dxa"/>
            <w:vAlign w:val="bottom"/>
          </w:tcPr>
          <w:p>
            <w:pPr>
              <w:spacing w:after="0"/>
              <w:rPr>
                <w:sz w:val="24"/>
                <w:szCs w:val="24"/>
                <w:color w:val="auto"/>
              </w:rPr>
            </w:pPr>
          </w:p>
        </w:tc>
        <w:tc>
          <w:tcPr>
            <w:tcW w:w="4380" w:type="dxa"/>
            <w:vAlign w:val="bottom"/>
            <w:gridSpan w:val="2"/>
          </w:tcPr>
          <w:p>
            <w:pPr>
              <w:jc w:val="right"/>
              <w:spacing w:after="0"/>
              <w:rPr>
                <w:sz w:val="20"/>
                <w:szCs w:val="20"/>
                <w:color w:val="auto"/>
              </w:rPr>
            </w:pPr>
            <w:r>
              <w:rPr>
                <w:rFonts w:ascii="Arial" w:cs="Arial" w:eastAsia="Arial" w:hAnsi="Arial"/>
                <w:sz w:val="18"/>
                <w:szCs w:val="18"/>
                <w:color w:val="666666"/>
              </w:rPr>
              <w:t>SEGMENT REVENUE AND OPERATING INCOME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3220" w:type="dxa"/>
            <w:vAlign w:val="bottom"/>
          </w:tcPr>
          <w:p>
            <w:pPr>
              <w:spacing w:after="0"/>
              <w:rPr>
                <w:sz w:val="24"/>
                <w:szCs w:val="24"/>
                <w:color w:val="auto"/>
              </w:rPr>
            </w:pPr>
          </w:p>
        </w:tc>
        <w:tc>
          <w:tcPr>
            <w:tcW w:w="4380" w:type="dxa"/>
            <w:vAlign w:val="bottom"/>
            <w:gridSpan w:val="2"/>
          </w:tcPr>
          <w:p>
            <w:pPr>
              <w:jc w:val="right"/>
              <w:ind w:right="1050"/>
              <w:spacing w:after="0"/>
              <w:rPr>
                <w:sz w:val="20"/>
                <w:szCs w:val="20"/>
                <w:color w:val="auto"/>
              </w:rPr>
            </w:pPr>
            <w:r>
              <w:rPr>
                <w:rFonts w:ascii="Arial" w:cs="Arial" w:eastAsia="Arial" w:hAnsi="Arial"/>
                <w:sz w:val="18"/>
                <w:szCs w:val="18"/>
                <w:color w:val="666666"/>
              </w:rPr>
              <w:t>(In millions) (Unaudited)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9"/>
        </w:trPr>
        <w:tc>
          <w:tcPr>
            <w:tcW w:w="3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666666"/>
              </w:rPr>
              <w:t>Three Months Ended</w:t>
            </w:r>
          </w:p>
        </w:tc>
        <w:tc>
          <w:tcPr>
            <w:tcW w:w="2140" w:type="dxa"/>
            <w:vAlign w:val="bottom"/>
            <w:gridSpan w:val="5"/>
          </w:tcPr>
          <w:p>
            <w:pPr>
              <w:jc w:val="right"/>
              <w:ind w:right="60"/>
              <w:spacing w:after="0"/>
              <w:rPr>
                <w:sz w:val="20"/>
                <w:szCs w:val="20"/>
                <w:color w:val="auto"/>
              </w:rPr>
            </w:pPr>
            <w:r>
              <w:rPr>
                <w:rFonts w:ascii="Arial" w:cs="Arial" w:eastAsia="Arial" w:hAnsi="Arial"/>
                <w:sz w:val="18"/>
                <w:szCs w:val="18"/>
                <w:b w:val="1"/>
                <w:bCs w:val="1"/>
                <w:color w:val="666666"/>
              </w:rPr>
              <w:t>Six Months Ended</w:t>
            </w:r>
          </w:p>
        </w:tc>
      </w:tr>
      <w:tr>
        <w:trPr>
          <w:trHeight w:val="216"/>
        </w:trPr>
        <w:tc>
          <w:tcPr>
            <w:tcW w:w="32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666666"/>
              </w:rPr>
              <w:t>December 31,</w:t>
            </w:r>
          </w:p>
        </w:tc>
        <w:tc>
          <w:tcPr>
            <w:tcW w:w="900" w:type="dxa"/>
            <w:vAlign w:val="bottom"/>
          </w:tcPr>
          <w:p>
            <w:pPr>
              <w:spacing w:after="0"/>
              <w:rPr>
                <w:sz w:val="18"/>
                <w:szCs w:val="18"/>
                <w:color w:val="auto"/>
              </w:rPr>
            </w:pPr>
          </w:p>
        </w:tc>
        <w:tc>
          <w:tcPr>
            <w:tcW w:w="12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666666"/>
                <w:w w:val="99"/>
              </w:rPr>
              <w:t>December 31,</w:t>
            </w:r>
          </w:p>
        </w:tc>
      </w:tr>
      <w:tr>
        <w:trPr>
          <w:trHeight w:val="225"/>
        </w:trPr>
        <w:tc>
          <w:tcPr>
            <w:tcW w:w="322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2020</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666666"/>
              </w:rPr>
              <w:t>2019</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2020</w:t>
            </w: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666666"/>
              </w:rPr>
              <w:t>2019</w:t>
            </w:r>
          </w:p>
        </w:tc>
        <w:tc>
          <w:tcPr>
            <w:tcW w:w="60" w:type="dxa"/>
            <w:vAlign w:val="bottom"/>
          </w:tcPr>
          <w:p>
            <w:pPr>
              <w:spacing w:after="0"/>
              <w:rPr>
                <w:sz w:val="19"/>
                <w:szCs w:val="19"/>
                <w:color w:val="auto"/>
              </w:rPr>
            </w:pPr>
          </w:p>
        </w:tc>
      </w:tr>
      <w:tr>
        <w:trPr>
          <w:trHeight w:val="61"/>
        </w:trPr>
        <w:tc>
          <w:tcPr>
            <w:tcW w:w="3220" w:type="dxa"/>
            <w:vAlign w:val="bottom"/>
          </w:tcPr>
          <w:p>
            <w:pPr>
              <w:spacing w:after="0"/>
              <w:rPr>
                <w:sz w:val="5"/>
                <w:szCs w:val="5"/>
                <w:color w:val="auto"/>
              </w:rPr>
            </w:pPr>
          </w:p>
        </w:tc>
        <w:tc>
          <w:tcPr>
            <w:tcW w:w="3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03"/>
        </w:trPr>
        <w:tc>
          <w:tcPr>
            <w:tcW w:w="3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666666"/>
              </w:rPr>
              <w:t>Revenue</w:t>
            </w:r>
          </w:p>
        </w:tc>
        <w:tc>
          <w:tcPr>
            <w:tcW w:w="3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220" w:type="dxa"/>
            <w:vAlign w:val="bottom"/>
          </w:tcPr>
          <w:p>
            <w:pPr>
              <w:ind w:left="40"/>
              <w:spacing w:after="0" w:line="202" w:lineRule="exact"/>
              <w:rPr>
                <w:sz w:val="20"/>
                <w:szCs w:val="20"/>
                <w:color w:val="auto"/>
              </w:rPr>
            </w:pPr>
            <w:r>
              <w:rPr>
                <w:rFonts w:ascii="Arial" w:cs="Arial" w:eastAsia="Arial" w:hAnsi="Arial"/>
                <w:sz w:val="18"/>
                <w:szCs w:val="18"/>
                <w:color w:val="666666"/>
              </w:rPr>
              <w:t>Productivity and Business Processes</w:t>
            </w:r>
          </w:p>
        </w:tc>
        <w:tc>
          <w:tcPr>
            <w:tcW w:w="43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$13,353</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$11,826</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$25,672</w:t>
            </w: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666666"/>
              </w:rPr>
              <w:t>$22,903</w:t>
            </w:r>
          </w:p>
        </w:tc>
        <w:tc>
          <w:tcPr>
            <w:tcW w:w="60" w:type="dxa"/>
            <w:vAlign w:val="bottom"/>
          </w:tcPr>
          <w:p>
            <w:pPr>
              <w:spacing w:after="0"/>
              <w:rPr>
                <w:sz w:val="17"/>
                <w:szCs w:val="17"/>
                <w:color w:val="auto"/>
              </w:rPr>
            </w:pPr>
          </w:p>
        </w:tc>
      </w:tr>
      <w:tr>
        <w:trPr>
          <w:trHeight w:val="203"/>
        </w:trPr>
        <w:tc>
          <w:tcPr>
            <w:tcW w:w="3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666666"/>
              </w:rPr>
              <w:t>Intelligent Cloud</w:t>
            </w:r>
          </w:p>
        </w:tc>
        <w:tc>
          <w:tcPr>
            <w:tcW w:w="4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14,601</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666666"/>
              </w:rPr>
              <w:t>11,869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27,587</w:t>
            </w:r>
          </w:p>
        </w:tc>
        <w:tc>
          <w:tcPr>
            <w:tcW w:w="1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666666"/>
              </w:rPr>
              <w:t>22,714</w:t>
            </w:r>
          </w:p>
        </w:tc>
        <w:tc>
          <w:tcPr>
            <w:tcW w:w="60" w:type="dxa"/>
            <w:vAlign w:val="bottom"/>
            <w:shd w:val="clear" w:color="auto" w:fill="CCEEFF"/>
          </w:tcPr>
          <w:p>
            <w:pPr>
              <w:spacing w:after="0"/>
              <w:rPr>
                <w:sz w:val="17"/>
                <w:szCs w:val="17"/>
                <w:color w:val="auto"/>
              </w:rPr>
            </w:pPr>
          </w:p>
        </w:tc>
      </w:tr>
      <w:tr>
        <w:trPr>
          <w:trHeight w:val="210"/>
        </w:trPr>
        <w:tc>
          <w:tcPr>
            <w:tcW w:w="322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666666"/>
              </w:rPr>
              <w:t>More Personal Computing</w:t>
            </w:r>
          </w:p>
        </w:tc>
        <w:tc>
          <w:tcPr>
            <w:tcW w:w="43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666666"/>
              </w:rPr>
              <w:t>15,122</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666666"/>
              </w:rPr>
              <w:t>13,211</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666666"/>
              </w:rPr>
              <w:t>26,971</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666666"/>
              </w:rPr>
              <w:t>24,344</w:t>
            </w:r>
          </w:p>
        </w:tc>
        <w:tc>
          <w:tcPr>
            <w:tcW w:w="60" w:type="dxa"/>
            <w:vAlign w:val="bottom"/>
          </w:tcPr>
          <w:p>
            <w:pPr>
              <w:spacing w:after="0"/>
              <w:rPr>
                <w:sz w:val="18"/>
                <w:szCs w:val="18"/>
                <w:color w:val="auto"/>
              </w:rPr>
            </w:pPr>
          </w:p>
        </w:tc>
      </w:tr>
      <w:tr>
        <w:trPr>
          <w:trHeight w:val="209"/>
        </w:trPr>
        <w:tc>
          <w:tcPr>
            <w:tcW w:w="32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666666"/>
              </w:rPr>
              <w:t>Total</w:t>
            </w:r>
          </w:p>
        </w:tc>
        <w:tc>
          <w:tcPr>
            <w:tcW w:w="4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$43,076</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666666"/>
              </w:rPr>
              <w:t>$36,906</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$80,230</w:t>
            </w:r>
          </w:p>
        </w:tc>
        <w:tc>
          <w:tcPr>
            <w:tcW w:w="1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666666"/>
              </w:rPr>
              <w:t>$69,961</w:t>
            </w:r>
          </w:p>
        </w:tc>
        <w:tc>
          <w:tcPr>
            <w:tcW w:w="60" w:type="dxa"/>
            <w:vAlign w:val="bottom"/>
            <w:shd w:val="clear" w:color="auto" w:fill="CCEEFF"/>
          </w:tcPr>
          <w:p>
            <w:pPr>
              <w:spacing w:after="0"/>
              <w:rPr>
                <w:sz w:val="18"/>
                <w:szCs w:val="18"/>
                <w:color w:val="auto"/>
              </w:rPr>
            </w:pPr>
          </w:p>
        </w:tc>
      </w:tr>
      <w:tr>
        <w:trPr>
          <w:trHeight w:val="432"/>
        </w:trPr>
        <w:tc>
          <w:tcPr>
            <w:tcW w:w="3220" w:type="dxa"/>
            <w:vAlign w:val="bottom"/>
          </w:tcPr>
          <w:p>
            <w:pPr>
              <w:ind w:left="40"/>
              <w:spacing w:after="0"/>
              <w:rPr>
                <w:sz w:val="20"/>
                <w:szCs w:val="20"/>
                <w:color w:val="auto"/>
              </w:rPr>
            </w:pPr>
            <w:r>
              <w:rPr>
                <w:rFonts w:ascii="Arial" w:cs="Arial" w:eastAsia="Arial" w:hAnsi="Arial"/>
                <w:sz w:val="18"/>
                <w:szCs w:val="18"/>
                <w:b w:val="1"/>
                <w:bCs w:val="1"/>
                <w:color w:val="666666"/>
              </w:rPr>
              <w:t>Operating Income</w:t>
            </w:r>
          </w:p>
        </w:tc>
        <w:tc>
          <w:tcPr>
            <w:tcW w:w="34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32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666666"/>
              </w:rPr>
              <w:t>Productivity and Business Processes</w:t>
            </w:r>
          </w:p>
        </w:tc>
        <w:tc>
          <w:tcPr>
            <w:tcW w:w="4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$6,181</w:t>
            </w:r>
          </w:p>
        </w:tc>
        <w:tc>
          <w:tcPr>
            <w:tcW w:w="1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666666"/>
              </w:rPr>
              <w:t>$5,182</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$11,887</w:t>
            </w:r>
          </w:p>
        </w:tc>
        <w:tc>
          <w:tcPr>
            <w:tcW w:w="1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666666"/>
              </w:rPr>
              <w:t>$9,964</w:t>
            </w:r>
          </w:p>
        </w:tc>
        <w:tc>
          <w:tcPr>
            <w:tcW w:w="60" w:type="dxa"/>
            <w:vAlign w:val="bottom"/>
            <w:shd w:val="clear" w:color="auto" w:fill="CCEEFF"/>
          </w:tcPr>
          <w:p>
            <w:pPr>
              <w:spacing w:after="0"/>
              <w:rPr>
                <w:sz w:val="17"/>
                <w:szCs w:val="17"/>
                <w:color w:val="auto"/>
              </w:rPr>
            </w:pPr>
          </w:p>
        </w:tc>
      </w:tr>
      <w:tr>
        <w:trPr>
          <w:trHeight w:val="202"/>
        </w:trPr>
        <w:tc>
          <w:tcPr>
            <w:tcW w:w="3220" w:type="dxa"/>
            <w:vAlign w:val="bottom"/>
          </w:tcPr>
          <w:p>
            <w:pPr>
              <w:ind w:left="40"/>
              <w:spacing w:after="0" w:line="202" w:lineRule="exact"/>
              <w:rPr>
                <w:sz w:val="20"/>
                <w:szCs w:val="20"/>
                <w:color w:val="auto"/>
              </w:rPr>
            </w:pPr>
            <w:r>
              <w:rPr>
                <w:rFonts w:ascii="Arial" w:cs="Arial" w:eastAsia="Arial" w:hAnsi="Arial"/>
                <w:sz w:val="18"/>
                <w:szCs w:val="18"/>
                <w:color w:val="666666"/>
              </w:rPr>
              <w:t>Intelligent Cloud</w:t>
            </w:r>
          </w:p>
        </w:tc>
        <w:tc>
          <w:tcPr>
            <w:tcW w:w="438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666666"/>
              </w:rPr>
              <w:t>6,492</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666666"/>
              </w:rPr>
              <w:t>4,531</w:t>
            </w:r>
          </w:p>
        </w:tc>
        <w:tc>
          <w:tcPr>
            <w:tcW w:w="1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666666"/>
              </w:rPr>
              <w:t>11,914</w:t>
            </w:r>
          </w:p>
        </w:tc>
        <w:tc>
          <w:tcPr>
            <w:tcW w:w="1180" w:type="dxa"/>
            <w:vAlign w:val="bottom"/>
            <w:gridSpan w:val="3"/>
          </w:tcPr>
          <w:p>
            <w:pPr>
              <w:jc w:val="right"/>
              <w:spacing w:after="0" w:line="202" w:lineRule="exact"/>
              <w:rPr>
                <w:sz w:val="20"/>
                <w:szCs w:val="20"/>
                <w:color w:val="auto"/>
              </w:rPr>
            </w:pPr>
            <w:r>
              <w:rPr>
                <w:rFonts w:ascii="Arial" w:cs="Arial" w:eastAsia="Arial" w:hAnsi="Arial"/>
                <w:sz w:val="18"/>
                <w:szCs w:val="18"/>
                <w:color w:val="666666"/>
              </w:rPr>
              <w:t>8,420</w:t>
            </w:r>
          </w:p>
        </w:tc>
        <w:tc>
          <w:tcPr>
            <w:tcW w:w="60" w:type="dxa"/>
            <w:vAlign w:val="bottom"/>
          </w:tcPr>
          <w:p>
            <w:pPr>
              <w:spacing w:after="0"/>
              <w:rPr>
                <w:sz w:val="17"/>
                <w:szCs w:val="17"/>
                <w:color w:val="auto"/>
              </w:rPr>
            </w:pPr>
          </w:p>
        </w:tc>
      </w:tr>
      <w:tr>
        <w:trPr>
          <w:trHeight w:val="203"/>
        </w:trPr>
        <w:tc>
          <w:tcPr>
            <w:tcW w:w="322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666666"/>
              </w:rPr>
              <w:t>More Personal Computing</w:t>
            </w:r>
          </w:p>
        </w:tc>
        <w:tc>
          <w:tcPr>
            <w:tcW w:w="43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5,224</w:t>
            </w: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666666"/>
              </w:rPr>
              <w:t>4,178</w:t>
            </w:r>
          </w:p>
        </w:tc>
        <w:tc>
          <w:tcPr>
            <w:tcW w:w="16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666666"/>
              </w:rPr>
              <w:t>9,972</w:t>
            </w: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666666"/>
              </w:rPr>
              <w:t>8,193</w:t>
            </w:r>
          </w:p>
        </w:tc>
        <w:tc>
          <w:tcPr>
            <w:tcW w:w="60" w:type="dxa"/>
            <w:vAlign w:val="bottom"/>
            <w:shd w:val="clear" w:color="auto" w:fill="CCEEFF"/>
          </w:tcPr>
          <w:p>
            <w:pPr>
              <w:spacing w:after="0"/>
              <w:rPr>
                <w:sz w:val="17"/>
                <w:szCs w:val="17"/>
                <w:color w:val="auto"/>
              </w:rPr>
            </w:pPr>
          </w:p>
        </w:tc>
      </w:tr>
      <w:tr>
        <w:trPr>
          <w:trHeight w:val="217"/>
        </w:trPr>
        <w:tc>
          <w:tcPr>
            <w:tcW w:w="3220" w:type="dxa"/>
            <w:vAlign w:val="bottom"/>
          </w:tcPr>
          <w:p>
            <w:pPr>
              <w:ind w:left="220"/>
              <w:spacing w:after="0"/>
              <w:rPr>
                <w:sz w:val="20"/>
                <w:szCs w:val="20"/>
                <w:color w:val="auto"/>
              </w:rPr>
            </w:pPr>
            <w:r>
              <w:rPr>
                <w:rFonts w:ascii="Arial" w:cs="Arial" w:eastAsia="Arial" w:hAnsi="Arial"/>
                <w:sz w:val="18"/>
                <w:szCs w:val="18"/>
                <w:color w:val="666666"/>
              </w:rPr>
              <w:t>Total</w:t>
            </w:r>
          </w:p>
        </w:tc>
        <w:tc>
          <w:tcPr>
            <w:tcW w:w="34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$17,897</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$13,891</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666666"/>
              </w:rPr>
              <w:t>$33,773</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66666"/>
              </w:rPr>
              <w:t>$26,577</w:t>
            </w:r>
          </w:p>
        </w:tc>
        <w:tc>
          <w:tcPr>
            <w:tcW w:w="60" w:type="dxa"/>
            <w:vAlign w:val="bottom"/>
          </w:tcPr>
          <w:p>
            <w:pPr>
              <w:spacing w:after="0"/>
              <w:rPr>
                <w:sz w:val="18"/>
                <w:szCs w:val="18"/>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sectPr>
      <w:pgSz w:w="11900" w:h="16838" w:orient="portrait"/>
      <w:cols w:equalWidth="0" w:num="1">
        <w:col w:w="11020"/>
      </w:cols>
      <w:pgMar w:left="440" w:top="26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2021-01-26T15:05:26Z</dcterms:created>
  <dcterms:modified xsi:type="dcterms:W3CDTF">2021-01-26T15:05:26Z</dcterms:modified>
</cp:coreProperties>
</file>