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left"/>
        <w:rPr/>
      </w:pPr>
      <w:bookmarkStart w:id="0" w:name="msft-20250430.htm"/>
      <w:bookmarkStart w:id="1" w:name="ksmsft20250430"/>
      <w:bookmarkEnd w:id="0"/>
      <w:bookmarkEnd w:id="1"/>
      <w:r>
        <w:rPr/>
        <w:t> </w:t>
      </w:r>
    </w:p>
    <w:p>
      <w:pPr>
        <w:pStyle w:val="TextBody"/>
        <w:bidi w:val="0"/>
        <w:spacing w:before="6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80" w:after="283"/>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w:t>
      </w:r>
    </w:p>
    <w:p>
      <w:pPr>
        <w:pStyle w:val="TextBody"/>
        <w:bidi w:val="0"/>
        <w:jc w:val="center"/>
        <w:rPr>
          <w:rFonts w:ascii="Arial" w:hAnsi="Arial"/>
          <w:b/>
          <w:color w:val="000000"/>
          <w:sz w:val="24"/>
        </w:rPr>
      </w:pPr>
      <w:r>
        <w:rPr>
          <w:rFonts w:ascii="Arial" w:hAnsi="Arial"/>
          <w:b/>
          <w:color w:val="000000"/>
          <w:sz w:val="24"/>
        </w:rPr>
        <w:t>OF THE SECURITIES EXCHANGE ACT OF 1934</w:t>
      </w:r>
    </w:p>
    <w:p>
      <w:pPr>
        <w:pStyle w:val="TextBody"/>
        <w:bidi w:val="0"/>
        <w:spacing w:before="180" w:after="283"/>
        <w:jc w:val="center"/>
        <w:rPr>
          <w:rFonts w:ascii="Arial" w:hAnsi="Arial"/>
          <w:b/>
          <w:color w:val="000000"/>
          <w:sz w:val="24"/>
        </w:rPr>
      </w:pPr>
      <w:r>
        <w:rPr>
          <w:rFonts w:ascii="Arial" w:hAnsi="Arial"/>
          <w:b/>
          <w:color w:val="000000"/>
          <w:sz w:val="24"/>
        </w:rPr>
        <w:t>Date of Report (Date of earliest event reported) April 30, 2025</w:t>
      </w:r>
    </w:p>
    <w:p>
      <w:pPr>
        <w:pStyle w:val="TextBody"/>
        <w:bidi w:val="0"/>
        <w:spacing w:before="180" w:after="283"/>
        <w:jc w:val="center"/>
        <w:rPr>
          <w:rFonts w:ascii="Arial" w:hAnsi="Arial"/>
          <w:b/>
          <w:color w:val="000000"/>
          <w:sz w:val="48"/>
        </w:rPr>
      </w:pPr>
      <w:r>
        <w:rPr>
          <w:rFonts w:ascii="Arial" w:hAnsi="Arial"/>
          <w:b/>
          <w:color w:val="000000"/>
          <w:sz w:val="48"/>
        </w:rPr>
        <w:t>Microsoft Corporation</w:t>
      </w:r>
    </w:p>
    <w:p>
      <w:pPr>
        <w:pStyle w:val="Normal"/>
        <w:bidi w:val="0"/>
        <w:spacing w:before="0" w:after="0"/>
        <w:jc w:val="left"/>
        <w:rPr>
          <w:sz w:val="4"/>
          <w:szCs w:val="4"/>
        </w:rPr>
      </w:pPr>
      <w:r>
        <w:rPr>
          <w:sz w:val="4"/>
          <w:szCs w:val="4"/>
        </w:rPr>
      </w:r>
      <w:bookmarkStart w:id="2" w:name="fis_unidentified_table"/>
      <w:bookmarkStart w:id="3" w:name="fis_unidentified_table"/>
      <w:bookmarkEnd w:id="3"/>
    </w:p>
    <w:tbl>
      <w:tblPr>
        <w:tblW w:w="4885" w:type="dxa"/>
        <w:jc w:val="left"/>
        <w:tblInd w:w="0" w:type="dxa"/>
        <w:tblLayout w:type="fixed"/>
        <w:tblCellMar>
          <w:top w:w="28" w:type="dxa"/>
          <w:left w:w="28" w:type="dxa"/>
          <w:bottom w:w="28" w:type="dxa"/>
          <w:right w:w="28" w:type="dxa"/>
        </w:tblCellMar>
      </w:tblPr>
      <w:tblGrid>
        <w:gridCol w:w="2101"/>
        <w:gridCol w:w="146"/>
        <w:gridCol w:w="1066"/>
        <w:gridCol w:w="146"/>
        <w:gridCol w:w="142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001-37845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91-1144442</w:t>
            </w:r>
          </w:p>
        </w:tc>
      </w:tr>
      <w:tr>
        <w:trPr/>
        <w:tc>
          <w:tcPr>
            <w:tcW w:w="210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 or Other Jurisdiction</w:t>
            </w:r>
          </w:p>
          <w:p>
            <w:pPr>
              <w:pStyle w:val="TableContents"/>
              <w:bidi w:val="0"/>
              <w:spacing w:before="0" w:after="283"/>
              <w:jc w:val="center"/>
              <w:rPr>
                <w:rFonts w:ascii="Arial" w:hAnsi="Arial"/>
                <w:b/>
                <w:color w:val="000000"/>
                <w:sz w:val="15"/>
              </w:rPr>
            </w:pPr>
            <w:r>
              <w:rPr>
                <w:rFonts w:ascii="Arial" w:hAnsi="Arial"/>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(Commission</w:t>
            </w:r>
          </w:p>
          <w:p>
            <w:pPr>
              <w:pStyle w:val="TableContents"/>
              <w:bidi w:val="0"/>
              <w:spacing w:before="0" w:after="283"/>
              <w:jc w:val="center"/>
              <w:rPr>
                <w:rFonts w:ascii="Arial" w:hAnsi="Arial"/>
                <w:b/>
                <w:color w:val="000000"/>
                <w:sz w:val="15"/>
              </w:rPr>
            </w:pPr>
            <w:r>
              <w:rPr>
                <w:rFonts w:ascii="Arial" w:hAnsi="Arial"/>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(IRS Employer</w:t>
            </w:r>
          </w:p>
          <w:p>
            <w:pPr>
              <w:pStyle w:val="TableContents"/>
              <w:bidi w:val="0"/>
              <w:spacing w:before="0" w:after="283"/>
              <w:jc w:val="center"/>
              <w:rPr>
                <w:rFonts w:ascii="Arial" w:hAnsi="Arial"/>
                <w:b/>
                <w:color w:val="000000"/>
                <w:sz w:val="15"/>
              </w:rPr>
            </w:pPr>
            <w:r>
              <w:rPr>
                <w:rFonts w:ascii="Arial" w:hAnsi="Arial"/>
                <w:b/>
                <w:color w:val="000000"/>
                <w:sz w:val="15"/>
              </w:rPr>
              <w:t>Identification No.)</w:t>
            </w:r>
          </w:p>
        </w:tc>
      </w:tr>
    </w:tbl>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One Microsoft Way, Redmond, Washington</w:t>
            </w:r>
            <w:r>
              <w:rPr>
                <w:rFonts w:ascii="Times New Roman" w:hAnsi="Times New Roman"/>
                <w:color w:val="000000"/>
                <w:sz w:val="20"/>
              </w:rPr>
              <w:t xml:space="preserve"> </w:t>
            </w:r>
            <w:r>
              <w:rPr>
                <w:rFonts w:ascii="Arial" w:hAnsi="Arial"/>
                <w:b/>
                <w:color w:val="000000"/>
                <w:sz w:val="20"/>
              </w:rPr>
              <w:t>98052-6399</w:t>
            </w:r>
          </w:p>
        </w:tc>
      </w:tr>
    </w:tbl>
    <w:p>
      <w:pPr>
        <w:pStyle w:val="TextBody"/>
        <w:bidi w:val="0"/>
        <w:spacing w:before="180" w:after="283"/>
        <w:jc w:val="center"/>
        <w:rPr>
          <w:rFonts w:ascii="Arial" w:hAnsi="Arial"/>
          <w:b/>
          <w:color w:val="000000"/>
          <w:sz w:val="20"/>
        </w:rPr>
      </w:pPr>
      <w:r>
        <w:rPr>
          <w:rFonts w:ascii="Arial" w:hAnsi="Arial"/>
          <w:b/>
          <w:color w:val="000000"/>
          <w:sz w:val="20"/>
        </w:rPr>
        <w:t>(425) 882-8080</w:t>
      </w:r>
    </w:p>
    <w:p>
      <w:pPr>
        <w:pStyle w:val="TextBody"/>
        <w:bidi w:val="0"/>
        <w:jc w:val="center"/>
        <w:rPr>
          <w:rFonts w:ascii="Arial" w:hAnsi="Arial"/>
          <w:b/>
          <w:color w:val="000000"/>
          <w:sz w:val="15"/>
        </w:rPr>
      </w:pPr>
      <w:r>
        <w:rPr>
          <w:rFonts w:ascii="Arial" w:hAnsi="Arial"/>
          <w:b/>
          <w:color w:val="000000"/>
          <w:sz w:val="15"/>
        </w:rPr>
        <w:t>www.microsoft.com/investor</w:t>
      </w:r>
    </w:p>
    <w:p>
      <w:pPr>
        <w:pStyle w:val="TextBody"/>
        <w:bidi w:val="0"/>
        <w:spacing w:before="180" w:after="283"/>
        <w:jc w:val="both"/>
        <w:rPr>
          <w:rFonts w:ascii="Arial" w:hAnsi="Arial"/>
          <w:color w:val="000000"/>
          <w:sz w:val="20"/>
        </w:rPr>
      </w:pPr>
      <w:r>
        <w:rPr>
          <w:rFonts w:ascii="Arial" w:hAnsi="Arial"/>
          <w:color w:val="000000"/>
          <w:sz w:val="20"/>
        </w:rPr>
        <w:t>Check the appropriate box below if the Form 8-K filing is intended to simultaneously satisfy the filing obligation of the registrant under any of the following provisions (see General Instruction A.2. below):</w:t>
      </w:r>
    </w:p>
    <w:tbl>
      <w:tblPr>
        <w:tblW w:w="8252" w:type="dxa"/>
        <w:jc w:val="left"/>
        <w:tblInd w:w="0" w:type="dxa"/>
        <w:tblLayout w:type="fixed"/>
        <w:tblCellMar>
          <w:top w:w="28" w:type="dxa"/>
          <w:left w:w="28" w:type="dxa"/>
          <w:bottom w:w="28" w:type="dxa"/>
          <w:right w:w="28" w:type="dxa"/>
        </w:tblCellMar>
      </w:tblPr>
      <w:tblGrid>
        <w:gridCol w:w="391"/>
        <w:gridCol w:w="7861"/>
      </w:tblGrid>
      <w:tr>
        <w:trPr/>
        <w:tc>
          <w:tcPr>
            <w:tcW w:w="391"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Written communications pursuant to Rule 425 under the Securities Act (17 CFR 230.425)</w:t>
            </w:r>
          </w:p>
        </w:tc>
      </w:tr>
    </w:tbl>
    <w:tbl>
      <w:tblPr>
        <w:tblW w:w="8237" w:type="dxa"/>
        <w:jc w:val="left"/>
        <w:tblInd w:w="0" w:type="dxa"/>
        <w:tblLayout w:type="fixed"/>
        <w:tblCellMar>
          <w:top w:w="28" w:type="dxa"/>
          <w:left w:w="28" w:type="dxa"/>
          <w:bottom w:w="28" w:type="dxa"/>
          <w:right w:w="28" w:type="dxa"/>
        </w:tblCellMar>
      </w:tblPr>
      <w:tblGrid>
        <w:gridCol w:w="391"/>
        <w:gridCol w:w="7846"/>
      </w:tblGrid>
      <w:tr>
        <w:trPr/>
        <w:tc>
          <w:tcPr>
            <w:tcW w:w="39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pursuant to Rule 14a-12 under the Exchange Act (17 CFR 240.14a-12)</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14d-2(b) under the Exchange Act (17 CFR 240.14d-2(b))</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13e-4(c) under the Exchange Act (17 CFR 240.13e-4(c))</w:t>
            </w:r>
          </w:p>
        </w:tc>
      </w:tr>
    </w:tbl>
    <w:p>
      <w:pPr>
        <w:pStyle w:val="TextBody"/>
        <w:bidi w:val="0"/>
        <w:spacing w:before="180" w:after="283"/>
        <w:jc w:val="both"/>
        <w:rPr/>
      </w:pPr>
      <w:r>
        <w:rPr/>
        <w:t> </w:t>
      </w:r>
    </w:p>
    <w:tbl>
      <w:tblPr>
        <w:tblW w:w="9895" w:type="dxa"/>
        <w:jc w:val="left"/>
        <w:tblInd w:w="0" w:type="dxa"/>
        <w:tblLayout w:type="fixed"/>
        <w:tblCellMar>
          <w:top w:w="28" w:type="dxa"/>
          <w:left w:w="28" w:type="dxa"/>
          <w:bottom w:w="28" w:type="dxa"/>
          <w:right w:w="28" w:type="dxa"/>
        </w:tblCellMar>
      </w:tblPr>
      <w:tblGrid>
        <w:gridCol w:w="4606"/>
        <w:gridCol w:w="146"/>
        <w:gridCol w:w="1471"/>
        <w:gridCol w:w="146"/>
        <w:gridCol w:w="352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9895"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20"/>
              </w:rPr>
            </w:pPr>
            <w:r>
              <w:rPr>
                <w:rFonts w:ascii="Arial" w:hAnsi="Arial"/>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Trading Symbol</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Name of exchange on which registered</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3.125% Notes due 2028</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2.625% Notes due 2033</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bl>
    <w:p>
      <w:pPr>
        <w:pStyle w:val="TextBody"/>
        <w:bidi w:val="0"/>
        <w:spacing w:before="180" w:after="283"/>
        <w:jc w:val="both"/>
        <w:rPr>
          <w:rFonts w:ascii="Times New Roman" w:hAnsi="Times New Roman"/>
          <w:sz w:val="20"/>
        </w:rPr>
      </w:pPr>
      <w:r>
        <w:rPr>
          <w:rFonts w:ascii="Arial" w:hAnsi="Arial"/>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hAnsi="Times New Roman"/>
          <w:color w:val="000000"/>
          <w:sz w:val="20"/>
        </w:rPr>
        <w:t>☐</w:t>
      </w:r>
    </w:p>
    <w:p>
      <w:pPr>
        <w:pStyle w:val="TextBody"/>
        <w:pBdr>
          <w:bottom w:val="single" w:sz="4" w:space="1" w:color="000000"/>
        </w:pBdr>
        <w:bidi w:val="0"/>
        <w:spacing w:before="180" w:after="283"/>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1021"/>
        <w:gridCol w:w="4456"/>
      </w:tblGrid>
      <w:tr>
        <w:trPr/>
        <w:tc>
          <w:tcPr>
            <w:tcW w:w="102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4" w:name="fis_results_of_operations"/>
            <w:bookmarkStart w:id="5" w:name="fis_section_2_financial_information"/>
            <w:bookmarkEnd w:id="4"/>
            <w:bookmarkEnd w:id="5"/>
            <w:r>
              <w:rPr>
                <w:rFonts w:ascii="Arial" w:hAnsi="Arial"/>
                <w:b/>
                <w:color w:val="000000"/>
                <w:sz w:val="20"/>
              </w:rPr>
              <w:t>Item 2.02.</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Results of Operations and Financial Condition</w:t>
            </w:r>
          </w:p>
        </w:tc>
      </w:tr>
    </w:tbl>
    <w:p>
      <w:pPr>
        <w:pStyle w:val="TextBody"/>
        <w:bidi w:val="0"/>
        <w:spacing w:before="90" w:after="283"/>
        <w:jc w:val="both"/>
        <w:rPr>
          <w:rFonts w:ascii="Arial" w:hAnsi="Arial"/>
          <w:color w:val="000000"/>
          <w:sz w:val="20"/>
        </w:rPr>
      </w:pPr>
      <w:r>
        <w:rPr>
          <w:rFonts w:ascii="Arial" w:hAnsi="Arial"/>
          <w:color w:val="000000"/>
          <w:sz w:val="20"/>
        </w:rPr>
        <w:t>On April 30, 2025, Microsoft Corporation issued a press release announcing its financial results for the fiscal quarter ended March 31, 2025. A copy of the press release is furnished as Exhibit 99.1 to this report.</w:t>
      </w:r>
    </w:p>
    <w:p>
      <w:pPr>
        <w:pStyle w:val="TextBody"/>
        <w:bidi w:val="0"/>
        <w:spacing w:before="180" w:after="283"/>
        <w:jc w:val="both"/>
        <w:rPr>
          <w:rFonts w:ascii="Arial" w:hAnsi="Arial"/>
          <w:color w:val="000000"/>
          <w:sz w:val="20"/>
        </w:rPr>
      </w:pPr>
      <w:r>
        <w:rPr>
          <w:rFonts w:ascii="Arial" w:hAnsi="Arial"/>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Normal"/>
        <w:bidi w:val="0"/>
        <w:spacing w:before="0" w:after="0"/>
        <w:jc w:val="left"/>
        <w:rPr>
          <w:sz w:val="4"/>
          <w:szCs w:val="4"/>
        </w:rPr>
      </w:pPr>
      <w:r>
        <w:rPr>
          <w:sz w:val="4"/>
          <w:szCs w:val="4"/>
        </w:rPr>
      </w:r>
      <w:bookmarkStart w:id="6" w:name="fis_section_9_financial_statements_and_e"/>
      <w:bookmarkStart w:id="7" w:name="fis_financial_statements_and_exhibits"/>
      <w:bookmarkStart w:id="8" w:name="fis_section_9_financial_statements_and_e"/>
      <w:bookmarkStart w:id="9" w:name="fis_financial_statements_and_exhibits"/>
      <w:bookmarkEnd w:id="8"/>
      <w:bookmarkEnd w:id="9"/>
    </w:p>
    <w:tbl>
      <w:tblPr>
        <w:tblW w:w="4352" w:type="dxa"/>
        <w:jc w:val="left"/>
        <w:tblInd w:w="0" w:type="dxa"/>
        <w:tblLayout w:type="fixed"/>
        <w:tblCellMar>
          <w:top w:w="28" w:type="dxa"/>
          <w:left w:w="28" w:type="dxa"/>
          <w:bottom w:w="28" w:type="dxa"/>
          <w:right w:w="28" w:type="dxa"/>
        </w:tblCellMar>
      </w:tblPr>
      <w:tblGrid>
        <w:gridCol w:w="1021"/>
        <w:gridCol w:w="3331"/>
      </w:tblGrid>
      <w:tr>
        <w:trPr/>
        <w:tc>
          <w:tcPr>
            <w:tcW w:w="102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9.01.</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Statements and Exhibits</w:t>
            </w:r>
          </w:p>
        </w:tc>
      </w:tr>
    </w:tbl>
    <w:p>
      <w:pPr>
        <w:pStyle w:val="TextBody"/>
        <w:bidi w:val="0"/>
        <w:spacing w:before="90" w:after="283"/>
        <w:jc w:val="left"/>
        <w:rPr>
          <w:rFonts w:ascii="Arial" w:hAnsi="Arial"/>
          <w:color w:val="000000"/>
          <w:sz w:val="20"/>
        </w:rPr>
      </w:pPr>
      <w:r>
        <w:rPr>
          <w:rFonts w:ascii="Arial" w:hAnsi="Arial"/>
          <w:color w:val="000000"/>
          <w:sz w:val="20"/>
        </w:rPr>
        <w:t>(d) Exhibits:</w:t>
      </w:r>
    </w:p>
    <w:tbl>
      <w:tblPr>
        <w:tblW w:w="7603" w:type="dxa"/>
        <w:jc w:val="left"/>
        <w:tblInd w:w="0" w:type="dxa"/>
        <w:tblLayout w:type="fixed"/>
        <w:tblCellMar>
          <w:top w:w="28" w:type="dxa"/>
          <w:left w:w="28" w:type="dxa"/>
          <w:bottom w:w="28" w:type="dxa"/>
          <w:right w:w="28" w:type="dxa"/>
        </w:tblCellMar>
      </w:tblPr>
      <w:tblGrid>
        <w:gridCol w:w="161"/>
        <w:gridCol w:w="481"/>
        <w:gridCol w:w="6961"/>
      </w:tblGrid>
      <w:tr>
        <w:trPr/>
        <w:tc>
          <w:tcPr>
            <w:tcW w:w="1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6961" w:type="dxa"/>
            <w:tcBorders/>
            <w:tcMar>
              <w:top w:w="0" w:type="dxa"/>
              <w:left w:w="0" w:type="dxa"/>
              <w:bottom w:w="0" w:type="dxa"/>
              <w:right w:w="0" w:type="dxa"/>
            </w:tcMar>
            <w:vAlign w:val="center"/>
          </w:tcPr>
          <w:p>
            <w:pPr>
              <w:pStyle w:val="TableContents"/>
              <w:bidi w:val="0"/>
              <w:spacing w:before="0" w:after="283"/>
              <w:jc w:val="left"/>
              <w:rPr/>
            </w:pPr>
            <w:hyperlink w:anchor="msft-ex99_1.htm">
              <w:r>
                <w:rPr>
                  <w:rStyle w:val="InternetLink"/>
                  <w:rFonts w:ascii="Arial" w:hAnsi="Arial"/>
                  <w:color w:val="0000FF"/>
                  <w:sz w:val="20"/>
                  <w:u w:val="single"/>
                </w:rPr>
                <w:t>Press release, dated April 30, 2025, issued by Microsoft Corporation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eolpage3"/>
      <w:bookmarkEnd w:id="10"/>
      <w:r>
        <w:rPr/>
        <w:t> </w:t>
      </w:r>
    </w:p>
    <w:p>
      <w:pPr>
        <w:pStyle w:val="TextBody"/>
        <w:bidi w:val="0"/>
        <w:jc w:val="center"/>
        <w:rPr>
          <w:rFonts w:ascii="Arial" w:hAnsi="Arial"/>
          <w:b/>
          <w:color w:val="000000"/>
          <w:sz w:val="20"/>
        </w:rPr>
      </w:pPr>
      <w:bookmarkStart w:id="11" w:name="fis_signatures"/>
      <w:bookmarkEnd w:id="1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813" w:type="dxa"/>
        <w:jc w:val="left"/>
        <w:tblInd w:w="0" w:type="dxa"/>
        <w:tblLayout w:type="fixed"/>
        <w:tblCellMar>
          <w:top w:w="28" w:type="dxa"/>
          <w:left w:w="28" w:type="dxa"/>
          <w:bottom w:w="28" w:type="dxa"/>
          <w:right w:w="28" w:type="dxa"/>
        </w:tblCellMar>
      </w:tblPr>
      <w:tblGrid>
        <w:gridCol w:w="1846"/>
        <w:gridCol w:w="146"/>
        <w:gridCol w:w="28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MICROSOFT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April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22"/>
              </w:rPr>
            </w:pPr>
            <w:r>
              <w:rPr>
                <w:rFonts w:ascii="Arial" w:hAnsi="Arial"/>
                <w:color w:val="000000"/>
                <w:sz w:val="20"/>
              </w:rPr>
              <w:t>/s/ A</w:t>
            </w:r>
            <w:r>
              <w:rPr>
                <w:rFonts w:ascii="Arial" w:hAnsi="Arial"/>
                <w:color w:val="000000"/>
                <w:sz w:val="15"/>
              </w:rPr>
              <w:t>LICE</w:t>
            </w:r>
            <w:r>
              <w:rPr>
                <w:rFonts w:ascii="Times New Roman" w:hAnsi="Times New Roman"/>
                <w:color w:val="000000"/>
                <w:sz w:val="22"/>
              </w:rPr>
              <w:t xml:space="preserve"> </w:t>
            </w:r>
            <w:r>
              <w:rPr>
                <w:rFonts w:ascii="Arial" w:hAnsi="Arial"/>
                <w:color w:val="000000"/>
                <w:sz w:val="20"/>
              </w:rPr>
              <w:t>L</w:t>
            </w:r>
            <w:r>
              <w:rPr>
                <w:rFonts w:ascii="Arial" w:hAnsi="Arial"/>
                <w:color w:val="000000"/>
                <w:sz w:val="22"/>
              </w:rPr>
              <w:t xml:space="preserve">. </w:t>
            </w:r>
            <w:r>
              <w:rPr>
                <w:rFonts w:ascii="Arial" w:hAnsi="Arial"/>
                <w:color w:val="000000"/>
                <w:sz w:val="20"/>
              </w:rPr>
              <w:t>J</w:t>
            </w:r>
            <w:r>
              <w:rPr>
                <w:rFonts w:ascii="Arial" w:hAnsi="Arial"/>
                <w:color w:val="000000"/>
                <w:sz w:val="15"/>
              </w:rPr>
              <w:t>OLLA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Alice L. Jolla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Corporate Vice President and</w:t>
            </w:r>
            <w:r>
              <w:rPr>
                <w:rFonts w:ascii="Times New Roman" w:hAnsi="Times New Roman"/>
                <w:color w:val="000000"/>
                <w:sz w:val="20"/>
              </w:rPr>
              <w:t xml:space="preserve"> </w:t>
            </w:r>
          </w:p>
          <w:p>
            <w:pPr>
              <w:pStyle w:val="TableContents"/>
              <w:bidi w:val="0"/>
              <w:spacing w:before="0" w:after="283"/>
              <w:jc w:val="center"/>
              <w:rPr>
                <w:rFonts w:ascii="Arial" w:hAnsi="Arial"/>
                <w:color w:val="000000"/>
                <w:sz w:val="20"/>
              </w:rPr>
            </w:pPr>
            <w:r>
              <w:rPr>
                <w:rFonts w:ascii="Arial" w:hAnsi="Arial"/>
                <w:color w:val="000000"/>
                <w:sz w:val="20"/>
              </w:rPr>
              <w:t>Chief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2" w:name="msft-ex99_1.htm"/>
      <w:bookmarkStart w:id="13" w:name="ksmsftex99_1"/>
      <w:bookmarkEnd w:id="12"/>
      <w:bookmarkEnd w:id="13"/>
      <w:r>
        <w:rPr>
          <w:rFonts w:ascii="Arial" w:hAnsi="Arial"/>
          <w:color w:val="000000"/>
          <w:sz w:val="20"/>
        </w:rPr>
        <w:t>Exhibit 99.1</w:t>
      </w:r>
      <w:r>
        <w:br w:type="page"/>
      </w:r>
    </w:p>
    <w:p>
      <w:pPr>
        <w:pStyle w:val="TextBody"/>
        <w:bidi w:val="0"/>
        <w:spacing w:before="240" w:after="283"/>
        <w:jc w:val="left"/>
        <w:rPr>
          <w:rFonts w:ascii="Times New Roman" w:hAnsi="Times New Roman"/>
          <w:sz w:val="20"/>
        </w:rPr>
      </w:pPr>
      <w:r>
        <w:rPr>
          <w:rFonts w:ascii="Arial" w:hAnsi="Arial"/>
          <w:b/>
          <w:color w:val="666666"/>
          <w:sz w:val="26"/>
        </w:rPr>
        <w:t>Microsoft Cloud and AI Strength Drives Third Quarter Results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 xml:space="preserve">REDMOND, Wash. — April 30, 2025 — </w:t>
      </w:r>
      <w:r>
        <w:rPr>
          <w:rFonts w:ascii="Arial" w:hAnsi="Arial"/>
          <w:color w:val="666666"/>
          <w:sz w:val="20"/>
        </w:rPr>
        <w:t>Microsoft Corp. today announced the following results for the quarter ended March 31, 2025,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Revenue was $70.1 billion and increased 13% (up 15%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$32.0 billion and increased 16% (up 19%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Net income was $25.8 billion and increased 18% (up 19%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was $3.46 and increased 18% (up 19% in constant currency)</w:t>
      </w:r>
    </w:p>
    <w:p>
      <w:pPr>
        <w:pStyle w:val="TextBody"/>
        <w:bidi w:val="0"/>
        <w:spacing w:before="240" w:after="240"/>
        <w:jc w:val="left"/>
        <w:rPr>
          <w:color w:val="666666"/>
        </w:rPr>
      </w:pPr>
      <w:r>
        <w:rPr>
          <w:color w:val="666666"/>
        </w:rPr>
        <w:t>“</w:t>
      </w:r>
      <w:r>
        <w:rPr>
          <w:rFonts w:ascii="Arial" w:hAnsi="Arial"/>
          <w:color w:val="666666"/>
          <w:sz w:val="20"/>
        </w:rPr>
        <w:t>Cloud and AI are the essential inputs for every business to expand output, reduce costs, and accelerate growth,” said Satya Nadella, chairman and chief executive officer of Microsoft. “From AI infra and platforms to apps, we are innovating across the stack to deliver for our customers.”</w:t>
      </w:r>
    </w:p>
    <w:p>
      <w:pPr>
        <w:pStyle w:val="TextBody"/>
        <w:bidi w:val="0"/>
        <w:spacing w:before="0" w:after="240"/>
        <w:jc w:val="left"/>
        <w:rPr/>
      </w:pPr>
      <w:r>
        <w:rPr>
          <w:color w:val="666666"/>
        </w:rPr>
        <w:t>“</w:t>
      </w:r>
      <w:r>
        <w:rPr>
          <w:rFonts w:ascii="Arial" w:hAnsi="Arial"/>
          <w:color w:val="666666"/>
          <w:sz w:val="20"/>
        </w:rPr>
        <w:t>We delivered a strong quarter with Microsoft Cloud revenue of $42.4 billion, up 20% (up 22% in constant currency) year-over-year driven by continued demand for our differentiated offerings,” said Amy Hood, executive vice president and chief financial officer of Microsoft.</w:t>
      </w:r>
      <w:r>
        <w:rPr>
          <w:rFonts w:ascii="Times New Roman" w:hAnsi="Times New Roman"/>
          <w:color w:val="666666"/>
          <w:sz w:val="20"/>
        </w:rPr>
        <w:t xml:space="preserve"> </w:t>
      </w:r>
    </w:p>
    <w:p>
      <w:pPr>
        <w:pStyle w:val="TextBody"/>
        <w:bidi w:val="0"/>
        <w:jc w:val="left"/>
        <w:rPr>
          <w:rFonts w:ascii="Arial" w:hAnsi="Arial"/>
          <w:b/>
          <w:color w:val="666666"/>
          <w:sz w:val="20"/>
        </w:rPr>
      </w:pPr>
      <w:r>
        <w:rPr>
          <w:rFonts w:ascii="Arial" w:hAnsi="Arial"/>
          <w:b/>
          <w:color w:val="666666"/>
          <w:sz w:val="20"/>
        </w:rPr>
        <w:t>Business Highlights</w:t>
      </w:r>
    </w:p>
    <w:p>
      <w:pPr>
        <w:pStyle w:val="TextBody"/>
        <w:bidi w:val="0"/>
        <w:spacing w:before="240" w:after="283"/>
        <w:jc w:val="left"/>
        <w:rPr>
          <w:rFonts w:ascii="Arial" w:hAnsi="Arial"/>
          <w:color w:val="666666"/>
          <w:sz w:val="20"/>
        </w:rPr>
      </w:pPr>
      <w:r>
        <w:rPr>
          <w:rFonts w:ascii="Arial" w:hAnsi="Arial"/>
          <w:color w:val="666666"/>
          <w:sz w:val="20"/>
        </w:rPr>
        <w:t>Revenue in Productivity and Business Processes was $29.9 billion and increased 10% (up 13%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 365 Commercial products and cloud services revenue increased 11% (up 14% in constant currency) driven by Microsoft 365 Commercial cloud revenue growth of 12% (up 15%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Microsoft 365 Consumer products and cloud services revenue increased 10% (up 12% in constant currency) driven by Microsoft 365 Consumer cloud revenue growth of 10% (up 12%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LinkedIn revenue increased 7% (up 8%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Dynamics products and cloud services revenue increased 11% (up 13% in constant currency) driven by Dynamics 365 revenue growth of 16% (up 18% in constant currency)</w:t>
      </w:r>
    </w:p>
    <w:p>
      <w:pPr>
        <w:pStyle w:val="TextBody"/>
        <w:bidi w:val="0"/>
        <w:spacing w:before="240" w:after="283"/>
        <w:jc w:val="left"/>
        <w:rPr>
          <w:rFonts w:ascii="Arial" w:hAnsi="Arial"/>
          <w:color w:val="666666"/>
          <w:sz w:val="20"/>
        </w:rPr>
      </w:pPr>
      <w:r>
        <w:rPr>
          <w:rFonts w:ascii="Arial" w:hAnsi="Arial"/>
          <w:color w:val="666666"/>
          <w:sz w:val="20"/>
        </w:rPr>
        <w:t>Revenue in Intelligent Cloud was $26.8 billion and increased 21% (up 22%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 xml:space="preserve">Server products and cloud services revenue increased 22% (up 24% in constant currency) driven by Azure and other cloud services revenue growth of 33% (up 35% in constant currency) </w:t>
      </w:r>
    </w:p>
    <w:p>
      <w:pPr>
        <w:pStyle w:val="TextBody"/>
        <w:bidi w:val="0"/>
        <w:spacing w:before="240" w:after="283"/>
        <w:jc w:val="left"/>
        <w:rPr>
          <w:rFonts w:ascii="Arial" w:hAnsi="Arial"/>
          <w:color w:val="666666"/>
          <w:sz w:val="20"/>
        </w:rPr>
      </w:pPr>
      <w:r>
        <w:rPr>
          <w:rFonts w:ascii="Arial" w:hAnsi="Arial"/>
          <w:color w:val="666666"/>
          <w:sz w:val="20"/>
        </w:rPr>
        <w:t>Revenue in More Personal Computing was $13.4 billion and increased 6% (up 7%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Windows OEM and Devices revenue increased 3%</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Xbox content and services revenue increased 8% (up 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Search and news advertising revenue excluding traffic acquisition costs increased 21% (up 23% in constant currency)</w:t>
      </w:r>
    </w:p>
    <w:p>
      <w:pPr>
        <w:pStyle w:val="TextBody"/>
        <w:bidi w:val="0"/>
        <w:spacing w:before="240" w:after="283"/>
        <w:jc w:val="left"/>
        <w:rPr>
          <w:rFonts w:ascii="Arial" w:hAnsi="Arial"/>
          <w:color w:val="666666"/>
          <w:sz w:val="20"/>
        </w:rPr>
      </w:pPr>
      <w:r>
        <w:rPr>
          <w:rFonts w:ascii="Arial" w:hAnsi="Arial"/>
          <w:color w:val="666666"/>
          <w:sz w:val="20"/>
        </w:rPr>
        <w:t>Microsoft returned $9.7 billion to shareholders in the form of dividends and share repurchases in the third quarter of fiscal year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666666"/>
          <w:sz w:val="20"/>
        </w:rPr>
      </w:pPr>
      <w:r>
        <w:rPr>
          <w:rFonts w:ascii="Arial" w:hAnsi="Arial"/>
          <w:b/>
          <w:color w:val="666666"/>
          <w:sz w:val="20"/>
        </w:rPr>
        <w:t>Business Outlook</w:t>
      </w:r>
    </w:p>
    <w:p>
      <w:pPr>
        <w:pStyle w:val="TextBody"/>
        <w:bidi w:val="0"/>
        <w:spacing w:before="240" w:after="283"/>
        <w:jc w:val="left"/>
        <w:rPr>
          <w:rFonts w:ascii="Arial" w:hAnsi="Arial"/>
          <w:color w:val="666666"/>
          <w:sz w:val="20"/>
        </w:rPr>
      </w:pPr>
      <w:r>
        <w:rPr>
          <w:rFonts w:ascii="Arial" w:hAnsi="Arial"/>
          <w:color w:val="666666"/>
          <w:sz w:val="20"/>
        </w:rPr>
        <w:t>Microsoft will provide forward-looking guidance in connection with this quarterly earnings announcement on its earnings conference call and webcast.</w:t>
      </w:r>
    </w:p>
    <w:p>
      <w:pPr>
        <w:pStyle w:val="TextBody"/>
        <w:bidi w:val="0"/>
        <w:spacing w:before="240" w:after="283"/>
        <w:jc w:val="left"/>
        <w:rPr>
          <w:rFonts w:ascii="Times New Roman" w:hAnsi="Times New Roman"/>
          <w:sz w:val="20"/>
        </w:rPr>
      </w:pPr>
      <w:r>
        <w:rPr>
          <w:rFonts w:ascii="Arial" w:hAnsi="Arial"/>
          <w:b/>
          <w:color w:val="666666"/>
          <w:sz w:val="20"/>
        </w:rPr>
        <w:t>Quarterly Highlights, Product Releases, and Enhancements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 xml:space="preserve">Here are the </w:t>
      </w:r>
      <w:r>
        <w:rPr>
          <w:rFonts w:ascii="Arial" w:hAnsi="Arial"/>
          <w:color w:val="666666"/>
          <w:sz w:val="20"/>
          <w:u w:val="single"/>
        </w:rPr>
        <w:t>major product releases and other highlights</w:t>
      </w:r>
      <w:r>
        <w:rPr>
          <w:rFonts w:ascii="Times New Roman" w:hAnsi="Times New Roman"/>
          <w:color w:val="666666"/>
          <w:sz w:val="20"/>
        </w:rPr>
        <w:t xml:space="preserve"> </w:t>
      </w:r>
      <w:r>
        <w:rPr>
          <w:rFonts w:ascii="Arial" w:hAnsi="Arial"/>
          <w:color w:val="666666"/>
          <w:sz w:val="20"/>
        </w:rPr>
        <w:t>for the quarter, organized by product categories, to help illustrate how we are accelerating innovation across our businesses while expanding our market opportunities.</w:t>
      </w:r>
    </w:p>
    <w:p>
      <w:pPr>
        <w:pStyle w:val="TextBody"/>
        <w:bidi w:val="0"/>
        <w:spacing w:before="240" w:after="283"/>
        <w:jc w:val="left"/>
        <w:rPr>
          <w:rFonts w:ascii="Arial" w:hAnsi="Arial"/>
          <w:b/>
          <w:color w:val="666666"/>
          <w:sz w:val="20"/>
        </w:rPr>
      </w:pPr>
      <w:r>
        <w:rPr>
          <w:rFonts w:ascii="Arial" w:hAnsi="Arial"/>
          <w:b/>
          <w:color w:val="666666"/>
          <w:sz w:val="20"/>
        </w:rPr>
        <w:t>Environmental, Social, and Governance (ESG)</w:t>
      </w:r>
    </w:p>
    <w:p>
      <w:pPr>
        <w:pStyle w:val="TextBody"/>
        <w:bidi w:val="0"/>
        <w:spacing w:before="240" w:after="283"/>
        <w:jc w:val="left"/>
        <w:rPr>
          <w:rFonts w:ascii="Times New Roman" w:hAnsi="Times New Roman"/>
          <w:sz w:val="20"/>
        </w:rPr>
      </w:pPr>
      <w:r>
        <w:rPr>
          <w:rFonts w:ascii="Arial" w:hAnsi="Arial"/>
          <w:color w:val="666666"/>
          <w:sz w:val="20"/>
        </w:rPr>
        <w:t xml:space="preserve">To learn more about Microsoft’s corporate governance and our environmental and social practices, please visit our investor relations </w:t>
      </w:r>
      <w:r>
        <w:rPr>
          <w:rFonts w:ascii="Arial" w:hAnsi="Arial"/>
          <w:color w:val="666666"/>
          <w:sz w:val="20"/>
          <w:u w:val="single"/>
        </w:rPr>
        <w:t>Board and ESG website</w:t>
      </w:r>
      <w:r>
        <w:rPr>
          <w:rFonts w:ascii="Times New Roman" w:hAnsi="Times New Roman"/>
          <w:color w:val="666666"/>
          <w:sz w:val="20"/>
        </w:rPr>
        <w:t xml:space="preserve"> </w:t>
      </w:r>
      <w:r>
        <w:rPr>
          <w:rFonts w:ascii="Arial" w:hAnsi="Arial"/>
          <w:color w:val="666666"/>
          <w:sz w:val="20"/>
        </w:rPr>
        <w:t xml:space="preserve">and reporting at </w:t>
      </w:r>
      <w:r>
        <w:rPr>
          <w:rFonts w:ascii="Arial" w:hAnsi="Arial"/>
          <w:color w:val="666666"/>
          <w:sz w:val="20"/>
          <w:u w:val="single"/>
        </w:rPr>
        <w:t>Microsoft.com/transparency</w:t>
      </w:r>
      <w:r>
        <w:rPr>
          <w:rFonts w:ascii="Arial" w:hAnsi="Arial"/>
          <w:color w:val="666666"/>
          <w:sz w:val="20"/>
        </w:rPr>
        <w:t>.</w:t>
      </w:r>
      <w:r>
        <w:rPr>
          <w:rFonts w:ascii="Times New Roman" w:hAnsi="Times New Roman"/>
          <w:color w:val="666666"/>
          <w:sz w:val="20"/>
        </w:rPr>
        <w:t xml:space="preserve"> </w:t>
      </w:r>
    </w:p>
    <w:p>
      <w:pPr>
        <w:pStyle w:val="TextBody"/>
        <w:bidi w:val="0"/>
        <w:spacing w:before="240" w:after="283"/>
        <w:jc w:val="left"/>
        <w:rPr>
          <w:rFonts w:ascii="Arial" w:hAnsi="Arial"/>
          <w:b/>
          <w:color w:val="666666"/>
          <w:sz w:val="20"/>
        </w:rPr>
      </w:pPr>
      <w:r>
        <w:rPr>
          <w:rFonts w:ascii="Arial" w:hAnsi="Arial"/>
          <w:b/>
          <w:color w:val="666666"/>
          <w:sz w:val="20"/>
        </w:rPr>
        <w:t>Webcast Details</w:t>
      </w:r>
    </w:p>
    <w:p>
      <w:pPr>
        <w:pStyle w:val="TextBody"/>
        <w:bidi w:val="0"/>
        <w:spacing w:before="240" w:after="283"/>
        <w:jc w:val="left"/>
        <w:rPr>
          <w:rFonts w:ascii="Times New Roman" w:hAnsi="Times New Roman"/>
          <w:sz w:val="20"/>
        </w:rPr>
      </w:pPr>
      <w:r>
        <w:rPr>
          <w:rFonts w:ascii="Arial" w:hAnsi="Arial"/>
          <w:color w:val="666666"/>
          <w:sz w:val="20"/>
        </w:rPr>
        <w:t>Satya Nadella, chairman and chief executive officer, Amy Hood, executive vice president and chief financial officer, Alice Jolla, chief accounting officer, Keith Dolliver, corporate secretary and</w:t>
      </w:r>
      <w:r>
        <w:rPr>
          <w:rFonts w:ascii="Times New Roman" w:hAnsi="Times New Roman"/>
          <w:color w:val="FF0000"/>
          <w:sz w:val="20"/>
        </w:rPr>
        <w:t xml:space="preserve"> </w:t>
      </w:r>
      <w:r>
        <w:rPr>
          <w:rFonts w:ascii="Arial" w:hAnsi="Arial"/>
          <w:color w:val="666666"/>
          <w:sz w:val="20"/>
        </w:rPr>
        <w:t xml:space="preserve">deputy general counsel, and Jonathan Neilson,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hAnsi="Arial"/>
          <w:color w:val="666666"/>
          <w:sz w:val="20"/>
          <w:u w:val="single"/>
        </w:rPr>
        <w:t>http://www.microsoft.com/en-us/investor</w:t>
      </w:r>
      <w:r>
        <w:rPr>
          <w:rFonts w:ascii="Arial" w:hAnsi="Arial"/>
          <w:color w:val="666666"/>
          <w:sz w:val="20"/>
        </w:rPr>
        <w:t>. The webcast will be available for replay through the close of business on April 30, 2026.</w:t>
      </w:r>
    </w:p>
    <w:p>
      <w:pPr>
        <w:pStyle w:val="TextBody"/>
        <w:bidi w:val="0"/>
        <w:spacing w:before="240" w:after="283"/>
        <w:jc w:val="left"/>
        <w:rPr>
          <w:rFonts w:ascii="Arial" w:hAnsi="Arial"/>
          <w:b/>
          <w:color w:val="666666"/>
          <w:sz w:val="20"/>
        </w:rPr>
      </w:pPr>
      <w:r>
        <w:rPr>
          <w:rFonts w:ascii="Arial" w:hAnsi="Arial"/>
          <w:b/>
          <w:color w:val="666666"/>
          <w:sz w:val="20"/>
        </w:rPr>
        <w:t>Constant Currency</w:t>
      </w:r>
    </w:p>
    <w:p>
      <w:pPr>
        <w:pStyle w:val="TextBody"/>
        <w:bidi w:val="0"/>
        <w:spacing w:before="240" w:after="283"/>
        <w:jc w:val="left"/>
        <w:rPr>
          <w:rFonts w:ascii="Arial" w:hAnsi="Arial"/>
          <w:color w:val="666666"/>
          <w:sz w:val="20"/>
        </w:rPr>
      </w:pPr>
      <w:r>
        <w:rPr>
          <w:rFonts w:ascii="Arial" w:hAnsi="Arial"/>
          <w:color w:val="666666"/>
          <w:sz w:val="20"/>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pStyle w:val="TextBody"/>
        <w:bidi w:val="0"/>
        <w:spacing w:before="240" w:after="240"/>
        <w:jc w:val="left"/>
        <w:rPr>
          <w:rFonts w:ascii="Arial" w:hAnsi="Arial"/>
          <w:b/>
          <w:color w:val="666666"/>
          <w:sz w:val="20"/>
        </w:rPr>
      </w:pPr>
      <w:r>
        <w:rPr>
          <w:rFonts w:ascii="Arial" w:hAnsi="Arial"/>
          <w:b/>
          <w:color w:val="666666"/>
          <w:sz w:val="20"/>
        </w:rPr>
        <w:t>Financial Performance Constant Currency Reconciliation</w:t>
      </w:r>
    </w:p>
    <w:tbl>
      <w:tblPr>
        <w:tblW w:w="8614" w:type="dxa"/>
        <w:jc w:val="left"/>
        <w:tblInd w:w="0" w:type="dxa"/>
        <w:tblLayout w:type="fixed"/>
        <w:tblCellMar>
          <w:top w:w="28" w:type="dxa"/>
          <w:left w:w="28" w:type="dxa"/>
          <w:bottom w:w="28" w:type="dxa"/>
          <w:right w:w="28" w:type="dxa"/>
        </w:tblCellMar>
      </w:tblPr>
      <w:tblGrid>
        <w:gridCol w:w="3901"/>
        <w:gridCol w:w="146"/>
        <w:gridCol w:w="901"/>
        <w:gridCol w:w="146"/>
        <w:gridCol w:w="1021"/>
        <w:gridCol w:w="146"/>
        <w:gridCol w:w="1156"/>
        <w:gridCol w:w="146"/>
        <w:gridCol w:w="105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20"/>
              </w:rPr>
              <w:t>($ 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Operating</w:t>
              <w:br/>
              <w:t>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Diluted</w:t>
              <w:br/>
              <w:t>Earnings</w:t>
              <w:br/>
              <w:t>per Share</w:t>
            </w:r>
          </w:p>
        </w:tc>
      </w:tr>
      <w:tr>
        <w:trPr/>
        <w:tc>
          <w:tcPr>
            <w:tcW w:w="3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$61,858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$27,581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$21,939</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$2.94</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$3.46</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$(0.05)</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b/>
          <w:color w:val="666666"/>
          <w:sz w:val="20"/>
        </w:rPr>
      </w:pPr>
      <w:r>
        <w:rPr>
          <w:rFonts w:ascii="Arial" w:hAnsi="Arial"/>
          <w:b/>
          <w:color w:val="666666"/>
          <w:sz w:val="20"/>
        </w:rPr>
        <w:t>Segment Revenue Constant Currency Reconciliation</w:t>
      </w:r>
    </w:p>
    <w:tbl>
      <w:tblPr>
        <w:tblW w:w="9472" w:type="dxa"/>
        <w:jc w:val="left"/>
        <w:tblInd w:w="0" w:type="dxa"/>
        <w:tblLayout w:type="fixed"/>
        <w:tblCellMar>
          <w:top w:w="28" w:type="dxa"/>
          <w:left w:w="28" w:type="dxa"/>
          <w:bottom w:w="28" w:type="dxa"/>
          <w:right w:w="28" w:type="dxa"/>
        </w:tblCellMar>
      </w:tblPr>
      <w:tblGrid>
        <w:gridCol w:w="3901"/>
        <w:gridCol w:w="146"/>
        <w:gridCol w:w="1981"/>
        <w:gridCol w:w="146"/>
        <w:gridCol w:w="1651"/>
        <w:gridCol w:w="146"/>
        <w:gridCol w:w="150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20"/>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Productivity and</w:t>
              <w:br/>
              <w:t>Business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More Personal</w:t>
              <w:br/>
              <w:t>Computing</w:t>
            </w:r>
          </w:p>
        </w:tc>
      </w:tr>
      <w:tr>
        <w:trPr/>
        <w:tc>
          <w:tcPr>
            <w:tcW w:w="3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$27,113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$22,141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$12,604</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$13,371</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$(125)</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w:t>
            </w:r>
          </w:p>
        </w:tc>
      </w:tr>
    </w:tbl>
    <w:p>
      <w:pPr>
        <w:pStyle w:val="TextBody"/>
        <w:bidi w:val="0"/>
        <w:spacing w:before="240" w:after="283"/>
        <w:jc w:val="left"/>
        <w:rPr>
          <w:rFonts w:ascii="Times New Roman" w:hAnsi="Times New Roman"/>
          <w:sz w:val="20"/>
        </w:rPr>
      </w:pPr>
      <w:r>
        <w:rPr>
          <w:rFonts w:ascii="Arial" w:hAnsi="Arial"/>
          <w:color w:val="666666"/>
          <w:sz w:val="20"/>
        </w:rPr>
        <w:t>We have recast certain prior period amounts to conform to the way we internally manage and monitor our business.</w:t>
      </w:r>
      <w:r>
        <w:rPr>
          <w:rFonts w:ascii="Times New Roman" w:hAnsi="Times New Roman"/>
          <w:color w:val="666666"/>
          <w:sz w:val="20"/>
        </w:rPr>
        <w:t xml:space="preserve"> </w:t>
      </w:r>
    </w:p>
    <w:p>
      <w:pPr>
        <w:pStyle w:val="TextBody"/>
        <w:bidi w:val="0"/>
        <w:spacing w:before="240" w:after="240"/>
        <w:jc w:val="left"/>
        <w:rPr>
          <w:rFonts w:ascii="Arial" w:hAnsi="Arial"/>
          <w:b/>
          <w:color w:val="666666"/>
          <w:sz w:val="20"/>
        </w:rPr>
      </w:pPr>
      <w:r>
        <w:rPr>
          <w:rFonts w:ascii="Arial" w:hAnsi="Arial"/>
          <w:b/>
          <w:color w:val="666666"/>
          <w:sz w:val="20"/>
        </w:rPr>
        <w:t>Selected Product and Service Revenue Constant Currency Reconciliation</w:t>
      </w:r>
    </w:p>
    <w:tbl>
      <w:tblPr>
        <w:tblW w:w="10205" w:type="dxa"/>
        <w:jc w:val="left"/>
        <w:tblInd w:w="0" w:type="dxa"/>
        <w:tblLayout w:type="fixed"/>
        <w:tblCellMar>
          <w:top w:w="28" w:type="dxa"/>
          <w:left w:w="28" w:type="dxa"/>
          <w:bottom w:w="28" w:type="dxa"/>
          <w:right w:w="28" w:type="dxa"/>
        </w:tblCellMar>
      </w:tblPr>
      <w:tblGrid>
        <w:gridCol w:w="3486"/>
        <w:gridCol w:w="146"/>
        <w:gridCol w:w="2028"/>
        <w:gridCol w:w="146"/>
        <w:gridCol w:w="1685"/>
        <w:gridCol w:w="146"/>
        <w:gridCol w:w="2568"/>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 2025</w:t>
            </w:r>
          </w:p>
        </w:tc>
      </w:tr>
      <w:tr>
        <w:trPr/>
        <w:tc>
          <w:tcPr>
            <w:tcW w:w="3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Constant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Constant Currency</w:t>
            </w:r>
          </w:p>
        </w:tc>
      </w:tr>
      <w:tr>
        <w:trPr/>
        <w:tc>
          <w:tcPr>
            <w:tcW w:w="3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Commercial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Commercial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Consumer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Consumer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LinkedIn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Dynamics products and cloud services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Dynamics 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Server products and cloud services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Azure and other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Windows OEM and Devices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Xbox content 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Search and news advertising excluding traffic acquisition costs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w:t>
            </w:r>
          </w:p>
        </w:tc>
      </w:tr>
    </w:tbl>
    <w:p>
      <w:pPr>
        <w:pStyle w:val="TextBody"/>
        <w:bidi w:val="0"/>
        <w:jc w:val="left"/>
        <w:rPr/>
      </w:pPr>
      <w:r>
        <w:rPr/>
        <w:t> </w:t>
      </w:r>
    </w:p>
    <w:p>
      <w:pPr>
        <w:pStyle w:val="TextBody"/>
        <w:bidi w:val="0"/>
        <w:spacing w:before="40" w:after="283"/>
        <w:jc w:val="left"/>
        <w:rPr>
          <w:rFonts w:ascii="Arial" w:hAnsi="Arial"/>
          <w:b/>
          <w:color w:val="666666"/>
          <w:sz w:val="20"/>
        </w:rPr>
      </w:pPr>
      <w:r>
        <w:rPr>
          <w:rFonts w:ascii="Arial" w:hAnsi="Arial"/>
          <w:b/>
          <w:color w:val="666666"/>
          <w:sz w:val="20"/>
        </w:rPr>
        <w:t>About Microsoft</w:t>
      </w:r>
    </w:p>
    <w:p>
      <w:pPr>
        <w:pStyle w:val="TextBody"/>
        <w:bidi w:val="0"/>
        <w:spacing w:before="240" w:after="283"/>
        <w:jc w:val="left"/>
        <w:rPr>
          <w:rFonts w:ascii="Arial" w:hAnsi="Arial"/>
          <w:color w:val="666666"/>
          <w:sz w:val="20"/>
        </w:rPr>
      </w:pPr>
      <w:r>
        <w:rPr>
          <w:rFonts w:ascii="Arial" w:hAnsi="Arial"/>
          <w:color w:val="666666"/>
          <w:sz w:val="20"/>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pStyle w:val="TextBody"/>
        <w:bidi w:val="0"/>
        <w:spacing w:before="240" w:after="283"/>
        <w:jc w:val="left"/>
        <w:rPr>
          <w:rFonts w:ascii="Arial" w:hAnsi="Arial"/>
          <w:b/>
          <w:color w:val="666666"/>
          <w:sz w:val="20"/>
        </w:rPr>
      </w:pPr>
      <w:r>
        <w:rPr>
          <w:rFonts w:ascii="Arial" w:hAnsi="Arial"/>
          <w:b/>
          <w:color w:val="666666"/>
          <w:sz w:val="20"/>
        </w:rPr>
        <w:t>Forward-Looking Statements</w:t>
      </w:r>
    </w:p>
    <w:p>
      <w:pPr>
        <w:pStyle w:val="TextBody"/>
        <w:bidi w:val="0"/>
        <w:spacing w:before="240" w:after="283"/>
        <w:jc w:val="left"/>
        <w:rPr>
          <w:rFonts w:ascii="Times New Roman" w:hAnsi="Times New Roman"/>
          <w:sz w:val="20"/>
        </w:rPr>
      </w:pPr>
      <w:r>
        <w:rPr>
          <w:rFonts w:ascii="Arial" w:hAnsi="Arial"/>
          <w:color w:val="666666"/>
          <w:sz w:val="20"/>
        </w:rPr>
        <w:t>Statements in this release that are “forward-looking statements” are based on current expectations and assumptions that are subject to risks and uncertainties. Actual results could differ materially because of factors such as:</w:t>
      </w:r>
      <w:r>
        <w:rPr>
          <w:rFonts w:ascii="Times New Roman" w:hAnsi="Times New Roman"/>
          <w:color w:val="666666"/>
          <w:sz w:val="20"/>
        </w:rPr>
        <w:t xml:space="preserve">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intense competition in all of our markets that may adversely affect our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focus on cloud-based and AI services presenting execution and competitive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significant investments in products and services that may not achieve expected returns;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acquisitions, joint ventures, and strategic alliances that may have an adverse effect on our business;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impairment of goodwill or amortizable intangible assets causing a significant charge to earnings;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cyberattacks and security vulnerabilities that could lead to reduced revenue, increased costs, liability claims, or harm to our reputation or competitive position;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disclosure and misuse of personal data that could cause liability and harm to our reputation;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possibility that we may not be able to protect information stored in our products and services from use by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abuse of our advertising, professional, marketplace, or gaming platforms that may harm our reputation or user engagement;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products and services, how they are used by customers, and how third-party products and services interact with them, presenting security, privacy, and execution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issues about the use of AI in our offerings that may result in reputational or competitive harm, or legal liability;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excessive outages, data losses, and disruptions of our online services if we fail to maintain an adequate operations infrastructure;</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supply or quality problems;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government enforcement under competition laws and new market regulation may limit how we design and market our products;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trade and anti-corruption laws;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existing and increasing legal and regulatory requirements;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laws and regulations relating to the handling of personal data that may impede the adoption of our services or result in increased costs, legal claims, fines, or reputational damage;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against us that may result in adverse outcomes in legal disputes;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uncertainties relating to our business with government customers;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additional tax liabilities;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sustainability regulations and expectations that may expose us to increased costs and legal and reputational risk;</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an inability to protect and utilize our intellectual property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that Microsoft has infringed the intellectual property rights of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damage to our reputation or our brands that may harm our business and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adverse economic or market conditions that may harm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catastrophic events or geo-political conditions, such as the COVID-19 pandemic, that may disrupt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exposure to increased economic and operational uncertainties from operating a global business, including the effects of foreign currency exchange; and</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dependence of our business on our ability to attract and retain talented employees.</w:t>
      </w:r>
    </w:p>
    <w:p>
      <w:pPr>
        <w:pStyle w:val="TextBody"/>
        <w:bidi w:val="0"/>
        <w:spacing w:before="240" w:after="283"/>
        <w:jc w:val="left"/>
        <w:rPr>
          <w:rFonts w:ascii="Times New Roman" w:hAnsi="Times New Roman"/>
          <w:sz w:val="20"/>
        </w:rPr>
      </w:pPr>
      <w:r>
        <w:rPr>
          <w:rFonts w:ascii="Arial" w:hAnsi="Arial"/>
          <w:color w:val="666666"/>
          <w:sz w:val="20"/>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hAnsi="Arial"/>
          <w:color w:val="666666"/>
          <w:sz w:val="20"/>
          <w:u w:val="single"/>
        </w:rPr>
        <w:t>http://www.microsoft.com/en-us/investor</w:t>
      </w:r>
      <w:r>
        <w:rPr>
          <w:rFonts w:ascii="Arial" w:hAnsi="Arial"/>
          <w:color w:val="666666"/>
          <w:sz w:val="20"/>
        </w:rPr>
        <w:t>.</w:t>
      </w:r>
    </w:p>
    <w:p>
      <w:pPr>
        <w:pStyle w:val="TextBody"/>
        <w:bidi w:val="0"/>
        <w:spacing w:before="240" w:after="283"/>
        <w:jc w:val="left"/>
        <w:rPr>
          <w:rFonts w:ascii="Arial" w:hAnsi="Arial"/>
          <w:color w:val="666666"/>
          <w:sz w:val="20"/>
        </w:rPr>
      </w:pPr>
      <w:r>
        <w:rPr>
          <w:rFonts w:ascii="Arial" w:hAnsi="Arial"/>
          <w:color w:val="666666"/>
          <w:sz w:val="20"/>
        </w:rPr>
        <w:t>All information in this release is as of March 31, 2025. The company undertakes no duty to update any forward-looking statement to conform the statement to actual results or changes in the company’s expectations.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666666"/>
          <w:sz w:val="20"/>
        </w:rPr>
        <w:t>For more information, press only:</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Microsoft Media Relations, WE Communications for Microsoft, (425) 638-7777,</w:t>
      </w:r>
      <w:r>
        <w:rPr>
          <w:rFonts w:ascii="Times New Roman" w:hAnsi="Times New Roman"/>
          <w:color w:val="000000"/>
          <w:sz w:val="20"/>
        </w:rPr>
        <w:t xml:space="preserve"> </w:t>
      </w:r>
      <w:r>
        <w:rPr>
          <w:rFonts w:ascii="Arial" w:hAnsi="Arial"/>
          <w:color w:val="666666"/>
          <w:sz w:val="20"/>
          <w:u w:val="single"/>
        </w:rPr>
        <w:t>rrt@we-worldwide.com</w:t>
      </w:r>
      <w:r>
        <w:rPr>
          <w:rFonts w:ascii="Times New Roman" w:hAnsi="Times New Roman"/>
          <w:color w:val="4472C4"/>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For more information, financial analysts and investors only:</w:t>
      </w:r>
      <w:r>
        <w:rPr>
          <w:rFonts w:ascii="Times New Roman" w:hAnsi="Times New Roman"/>
          <w:color w:val="666666"/>
          <w:sz w:val="20"/>
        </w:rPr>
        <w:t xml:space="preserve"> </w:t>
      </w:r>
    </w:p>
    <w:p>
      <w:pPr>
        <w:pStyle w:val="TextBody"/>
        <w:bidi w:val="0"/>
        <w:spacing w:before="240" w:after="283"/>
        <w:jc w:val="left"/>
        <w:rPr>
          <w:rFonts w:ascii="Arial" w:hAnsi="Arial"/>
          <w:color w:val="666666"/>
          <w:sz w:val="20"/>
        </w:rPr>
      </w:pPr>
      <w:r>
        <w:rPr>
          <w:rFonts w:ascii="Arial" w:hAnsi="Arial"/>
          <w:color w:val="666666"/>
          <w:sz w:val="20"/>
        </w:rPr>
        <w:t>Jonathan Neilson, Vice President, Investor Relations, (425) 706-4400</w:t>
      </w:r>
    </w:p>
    <w:p>
      <w:pPr>
        <w:pStyle w:val="TextBody"/>
        <w:bidi w:val="0"/>
        <w:spacing w:before="240" w:after="283"/>
        <w:jc w:val="left"/>
        <w:rPr>
          <w:rFonts w:ascii="Times New Roman" w:hAnsi="Times New Roman"/>
          <w:sz w:val="20"/>
        </w:rPr>
      </w:pPr>
      <w:r>
        <w:rPr>
          <w:rFonts w:ascii="Arial" w:hAnsi="Arial"/>
          <w:color w:val="666666"/>
          <w:sz w:val="20"/>
        </w:rPr>
        <w:t xml:space="preserve">Note to editors: For more information, news and perspectives from Microsoft, please visit the Microsoft News Center at </w:t>
      </w:r>
      <w:r>
        <w:rPr>
          <w:rFonts w:ascii="Arial" w:hAnsi="Arial"/>
          <w:color w:val="666666"/>
          <w:sz w:val="20"/>
          <w:u w:val="single"/>
        </w:rPr>
        <w:t>http://www.microsoft.com/news</w:t>
      </w:r>
      <w:r>
        <w:rPr>
          <w:rFonts w:ascii="Arial" w:hAnsi="Arial"/>
          <w:color w:val="666666"/>
          <w:sz w:val="20"/>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666666"/>
          <w:sz w:val="20"/>
        </w:rPr>
      </w:pPr>
      <w:r>
        <w:rPr>
          <w:rFonts w:ascii="Arial" w:hAnsi="Arial"/>
          <w:b/>
          <w:color w:val="666666"/>
          <w:sz w:val="20"/>
        </w:rPr>
        <w:t>MICROSOFT CORPORATION</w:t>
      </w:r>
    </w:p>
    <w:p>
      <w:pPr>
        <w:pStyle w:val="TextBody"/>
        <w:bidi w:val="0"/>
        <w:jc w:val="left"/>
        <w:rPr/>
      </w:pPr>
      <w:r>
        <w:rPr/>
        <w:t> </w:t>
      </w:r>
    </w:p>
    <w:p>
      <w:pPr>
        <w:pStyle w:val="TextBody"/>
        <w:bidi w:val="0"/>
        <w:jc w:val="center"/>
        <w:rPr>
          <w:rFonts w:ascii="Arial" w:hAnsi="Arial"/>
          <w:color w:val="666666"/>
          <w:sz w:val="20"/>
        </w:rPr>
      </w:pPr>
      <w:r>
        <w:rPr>
          <w:rFonts w:ascii="Arial" w:hAnsi="Arial"/>
          <w:color w:val="666666"/>
          <w:sz w:val="20"/>
        </w:rPr>
        <w:t>INCOME STATEMENTS</w:t>
      </w:r>
    </w:p>
    <w:p>
      <w:pPr>
        <w:pStyle w:val="TextBody"/>
        <w:bidi w:val="0"/>
        <w:spacing w:before="120" w:after="283"/>
        <w:jc w:val="center"/>
        <w:rPr>
          <w:rFonts w:ascii="Arial" w:hAnsi="Arial"/>
          <w:color w:val="666666"/>
          <w:sz w:val="20"/>
        </w:rPr>
      </w:pPr>
      <w:r>
        <w:rPr>
          <w:rFonts w:ascii="Arial" w:hAnsi="Arial"/>
          <w:color w:val="666666"/>
          <w:sz w:val="20"/>
        </w:rPr>
        <w:t>(In millions, except per share amounts) (Unaudited)</w:t>
      </w:r>
    </w:p>
    <w:p>
      <w:pPr>
        <w:pStyle w:val="TextBody"/>
        <w:bidi w:val="0"/>
        <w:jc w:val="center"/>
        <w:rPr/>
      </w:pPr>
      <w:r>
        <w:rPr/>
        <w:t> </w:t>
      </w:r>
    </w:p>
    <w:tbl>
      <w:tblPr>
        <w:tblW w:w="7845" w:type="dxa"/>
        <w:jc w:val="left"/>
        <w:tblInd w:w="0" w:type="dxa"/>
        <w:tblLayout w:type="fixed"/>
        <w:tblCellMar>
          <w:top w:w="28" w:type="dxa"/>
          <w:left w:w="28" w:type="dxa"/>
          <w:bottom w:w="28" w:type="dxa"/>
          <w:right w:w="28" w:type="dxa"/>
        </w:tblCellMar>
      </w:tblPr>
      <w:tblGrid>
        <w:gridCol w:w="3451"/>
        <w:gridCol w:w="146"/>
        <w:gridCol w:w="934"/>
        <w:gridCol w:w="171"/>
        <w:gridCol w:w="934"/>
        <w:gridCol w:w="146"/>
        <w:gridCol w:w="796"/>
        <w:gridCol w:w="146"/>
        <w:gridCol w:w="112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br/>
              <w:t>March 31,</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$15,319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$51,556</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54,747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44,778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158,473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128,839</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70,066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205,283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180,395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13,834</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18,882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53,630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40,596</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21,919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54,430</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48,147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43,353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141,466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125,965</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8,198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21,454</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6,212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6,207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18,369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17,640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5,363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32,000</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27,581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94,205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81,508</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(971)</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31,377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26,727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91,011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80,537</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14,437</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$25,824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$74,599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$66,100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$8.90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$8.85</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7,431</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7,461</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7,467</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COMPREHENSIVE INCOME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8527" w:type="dxa"/>
        <w:jc w:val="left"/>
        <w:tblInd w:w="0" w:type="dxa"/>
        <w:tblLayout w:type="fixed"/>
        <w:tblCellMar>
          <w:top w:w="28" w:type="dxa"/>
          <w:left w:w="28" w:type="dxa"/>
          <w:bottom w:w="28" w:type="dxa"/>
          <w:right w:w="28" w:type="dxa"/>
        </w:tblCellMar>
      </w:tblPr>
      <w:tblGrid>
        <w:gridCol w:w="4216"/>
        <w:gridCol w:w="146"/>
        <w:gridCol w:w="934"/>
        <w:gridCol w:w="171"/>
        <w:gridCol w:w="934"/>
        <w:gridCol w:w="146"/>
        <w:gridCol w:w="884"/>
        <w:gridCol w:w="162"/>
        <w:gridCol w:w="934"/>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$25,824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$74,599</w:t>
            </w:r>
          </w:p>
        </w:tc>
        <w:tc>
          <w:tcPr>
            <w:tcW w:w="16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$66,100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w:t>
            </w:r>
          </w:p>
        </w:tc>
        <w:tc>
          <w:tcPr>
            <w:tcW w:w="16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28</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869</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(377)</w:t>
            </w:r>
          </w:p>
        </w:tc>
        <w:tc>
          <w:tcPr>
            <w:tcW w:w="16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908</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$26,607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$21,453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$75,356</w:t>
            </w:r>
          </w:p>
        </w:tc>
        <w:tc>
          <w:tcPr>
            <w:tcW w:w="16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$67,008</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BALANCE SHEETS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6"/>
        <w:gridCol w:w="986"/>
        <w:gridCol w:w="977"/>
        <w:gridCol w:w="146"/>
        <w:gridCol w:w="1460"/>
      </w:tblGrid>
      <w:tr>
        <w:trPr/>
        <w:tc>
          <w:tcPr>
            <w:tcW w:w="663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2024</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b/>
                <w:color w:val="666666"/>
                <w:sz w:val="20"/>
              </w:rPr>
            </w:pPr>
            <w:r>
              <w:rPr>
                <w:rFonts w:ascii="Arial" w:hAnsi="Arial"/>
                <w:b/>
                <w:color w:val="666666"/>
                <w:sz w:val="20"/>
              </w:rPr>
              <w:t>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Cash and cash equivalents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$28,828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$18,315</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50,790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57,228</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cash, cash equivalents, and short-term investments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79,618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75,543</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Accounts receivable, net of allowance for doubtful accounts of </w:t>
            </w:r>
            <w:r>
              <w:rPr>
                <w:rFonts w:ascii="Arial" w:hAnsi="Arial"/>
                <w:b/>
                <w:color w:val="666666"/>
                <w:sz w:val="20"/>
              </w:rPr>
              <w:t>$695</w:t>
            </w:r>
            <w:r>
              <w:rPr>
                <w:rFonts w:ascii="Times New Roman" w:hAnsi="Times New Roman"/>
                <w:color w:val="666666"/>
                <w:sz w:val="20"/>
              </w:rPr>
              <w:t> </w:t>
            </w:r>
            <w:r>
              <w:rPr>
                <w:rFonts w:ascii="Arial" w:hAnsi="Arial"/>
                <w:color w:val="666666"/>
                <w:sz w:val="20"/>
              </w:rPr>
              <w:t>and $830</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56,924</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Inventories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848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1,246</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26,021</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156,644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159,734</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sz w:val="20"/>
              </w:rPr>
            </w:pPr>
            <w:r>
              <w:rPr>
                <w:rFonts w:ascii="Arial" w:hAnsi="Arial"/>
                <w:color w:val="666666"/>
                <w:sz w:val="20"/>
              </w:rPr>
              <w:t xml:space="preserve">Property and equipment, net of accumulated depreciation of </w:t>
            </w:r>
            <w:r>
              <w:rPr>
                <w:rFonts w:ascii="Arial" w:hAnsi="Arial"/>
                <w:b/>
                <w:color w:val="666666"/>
                <w:sz w:val="20"/>
              </w:rPr>
              <w:t xml:space="preserve">$87,074 </w:t>
            </w:r>
            <w:r>
              <w:rPr>
                <w:rFonts w:ascii="Arial" w:hAnsi="Arial"/>
                <w:color w:val="666666"/>
                <w:sz w:val="20"/>
              </w:rPr>
              <w:t>and $76,421</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183,939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135,591</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Operating lease right-of-use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24,475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18,961</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Equity and other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14,600</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Goodwill</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119,329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119,220</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Intangible assets, net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27,597</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Other long-term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38,234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36,460</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126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$512,163</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b/>
                <w:color w:val="666666"/>
                <w:sz w:val="20"/>
              </w:rPr>
            </w:pPr>
            <w:r>
              <w:rPr>
                <w:rFonts w:ascii="Arial" w:hAnsi="Arial"/>
                <w:b/>
                <w:color w:val="666666"/>
                <w:sz w:val="20"/>
              </w:rPr>
              <w:t>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Accounts payable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$26,250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$21,996</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6,693</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Current portion of long-term debt</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2,249</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Accrued compensation</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12,564</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5,017</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unearned revenue</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44,636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57,582</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22,937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19,185</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125,286</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Long-term debt</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39,882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42,688</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Long-term income taxes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27,931</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Long-term unearned revenue</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2,840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2,602</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Deferred income taxes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2,618</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Operating lease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17,686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15,497</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Other long-term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27,064</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98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240,733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243,686</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Commitments and contingencies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Common stock and paid-in capital - shares authorized 24,000; outstanding </w:t>
            </w:r>
            <w:r>
              <w:rPr>
                <w:rFonts w:ascii="Arial" w:hAnsi="Arial"/>
                <w:b/>
                <w:color w:val="666666"/>
                <w:sz w:val="20"/>
              </w:rPr>
              <w:t>7,434</w:t>
            </w:r>
            <w:r>
              <w:rPr>
                <w:rFonts w:ascii="Times New Roman" w:hAnsi="Times New Roman"/>
                <w:color w:val="666666"/>
                <w:sz w:val="20"/>
              </w:rPr>
              <w:t> </w:t>
            </w:r>
            <w:r>
              <w:rPr>
                <w:rFonts w:ascii="Arial" w:hAnsi="Arial"/>
                <w:color w:val="666666"/>
                <w:sz w:val="20"/>
              </w:rPr>
              <w:t>and 7,434</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106,965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100,923</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Retained earnings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219,759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173,144</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Accumulated other comprehensive loss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(5,590)</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988"/>
              <w:jc w:val="right"/>
              <w:rPr/>
            </w:pPr>
            <w:r>
              <w:rPr/>
              <w:t> </w:t>
            </w:r>
          </w:p>
        </w:tc>
      </w:tr>
      <w:tr>
        <w:trPr/>
        <w:tc>
          <w:tcPr>
            <w:tcW w:w="663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7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321,891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268,477</w:t>
            </w:r>
          </w:p>
        </w:tc>
      </w:tr>
      <w:tr>
        <w:trPr/>
        <w:tc>
          <w:tcPr>
            <w:tcW w:w="66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ind w:left="0" w:right="0" w:firstLine="1268"/>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 and 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$562,624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$512,163</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CASH FLOWS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30"/>
        <w:gridCol w:w="146"/>
        <w:gridCol w:w="854"/>
        <w:gridCol w:w="155"/>
        <w:gridCol w:w="854"/>
        <w:gridCol w:w="146"/>
        <w:gridCol w:w="802"/>
        <w:gridCol w:w="146"/>
        <w:gridCol w:w="1672"/>
      </w:tblGrid>
      <w:tr>
        <w:trPr/>
        <w:tc>
          <w:tcPr>
            <w:tcW w:w="5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b/>
                <w:color w:val="666666"/>
                <w:sz w:val="20"/>
              </w:rPr>
            </w:pPr>
            <w:r>
              <w:rPr>
                <w:rFonts w:ascii="Arial" w:hAnsi="Arial"/>
                <w:b/>
                <w:color w:val="666666"/>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$25,824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$66,100</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left"/>
              <w:rPr>
                <w:rFonts w:ascii="Arial" w:hAnsi="Arial"/>
                <w:color w:val="666666"/>
                <w:sz w:val="20"/>
              </w:rPr>
            </w:pPr>
            <w:r>
              <w:rPr>
                <w:rFonts w:ascii="Arial" w:hAnsi="Arial"/>
                <w:color w:val="666666"/>
                <w:sz w:val="20"/>
              </w:rPr>
              <w:t>Depreciation, amortization,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8,740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15,907</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left"/>
              <w:rPr>
                <w:rFonts w:ascii="Arial" w:hAnsi="Arial"/>
                <w:color w:val="666666"/>
                <w:sz w:val="20"/>
              </w:rPr>
            </w:pPr>
            <w:r>
              <w:rPr>
                <w:rFonts w:ascii="Arial" w:hAnsi="Arial"/>
                <w:color w:val="666666"/>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2,980</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8,901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8,038</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left"/>
              <w:rPr>
                <w:rFonts w:ascii="Arial" w:hAnsi="Arial"/>
                <w:color w:val="666666"/>
                <w:sz w:val="20"/>
              </w:rPr>
            </w:pPr>
            <w:r>
              <w:rPr>
                <w:rFonts w:ascii="Arial" w:hAnsi="Arial"/>
                <w:color w:val="666666"/>
                <w:sz w:val="20"/>
              </w:rPr>
              <w:t>Net recognized losses (gains) on investments and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261</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left"/>
              <w:rPr>
                <w:rFonts w:ascii="Arial" w:hAnsi="Arial"/>
                <w:color w:val="666666"/>
                <w:sz w:val="20"/>
              </w:rPr>
            </w:pPr>
            <w:r>
              <w:rPr>
                <w:rFonts w:ascii="Arial" w:hAnsi="Arial"/>
                <w:color w:val="666666"/>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(2,244)</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568"/>
              <w:jc w:val="right"/>
              <w:rPr>
                <w:rFonts w:ascii="Arial" w:hAnsi="Arial"/>
                <w:color w:val="666666"/>
                <w:sz w:val="20"/>
              </w:rPr>
            </w:pPr>
            <w:r>
              <w:rPr>
                <w:rFonts w:ascii="Arial" w:hAnsi="Arial"/>
                <w:color w:val="666666"/>
                <w:sz w:val="20"/>
              </w:rPr>
              <w:t>(3,593)</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568"/>
              <w:jc w:val="left"/>
              <w:rPr>
                <w:rFonts w:ascii="Arial" w:hAnsi="Arial"/>
                <w:color w:val="666666"/>
                <w:sz w:val="20"/>
              </w:rPr>
            </w:pPr>
            <w:r>
              <w:rPr>
                <w:rFonts w:ascii="Arial" w:hAnsi="Arial"/>
                <w:color w:val="666666"/>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(2,461)</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6,055</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1,229</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1,076</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880</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(5,577)</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1,179</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(659)</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(10,309)</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1,298</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2,493</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848"/>
              <w:jc w:val="right"/>
              <w:rPr>
                <w:rFonts w:ascii="Arial" w:hAnsi="Arial"/>
                <w:color w:val="666666"/>
                <w:sz w:val="20"/>
              </w:rPr>
            </w:pPr>
            <w:r>
              <w:rPr>
                <w:rFonts w:ascii="Arial" w:hAnsi="Arial"/>
                <w:color w:val="666666"/>
                <w:sz w:val="20"/>
              </w:rPr>
              <w:t>215</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848"/>
              <w:jc w:val="left"/>
              <w:rPr>
                <w:rFonts w:ascii="Arial" w:hAnsi="Arial"/>
                <w:color w:val="666666"/>
                <w:sz w:val="20"/>
              </w:rPr>
            </w:pPr>
            <w:r>
              <w:rPr>
                <w:rFonts w:ascii="Arial" w:hAnsi="Arial"/>
                <w:color w:val="666666"/>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(391)</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313</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112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1128"/>
              <w:jc w:val="left"/>
              <w:rPr>
                <w:rFonts w:ascii="Arial" w:hAnsi="Arial"/>
                <w:color w:val="666666"/>
                <w:sz w:val="20"/>
              </w:rPr>
            </w:pPr>
            <w:r>
              <w:rPr>
                <w:rFonts w:ascii="Arial" w:hAnsi="Arial"/>
                <w:color w:val="666666"/>
                <w:sz w:val="20"/>
              </w:rPr>
              <w:t>Net cash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37,044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81,353</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b/>
                <w:color w:val="666666"/>
                <w:sz w:val="20"/>
              </w:rPr>
            </w:pPr>
            <w:r>
              <w:rPr>
                <w:rFonts w:ascii="Arial" w:hAnsi="Arial"/>
                <w:b/>
                <w:color w:val="666666"/>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Proceeds from issuance (repayments) of debt, maturities of 90 days or less,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6,392</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Proceeds from issuance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6,352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24,198</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(16,005)</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546</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1,468</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(13,044)</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Common stock cash dividends paid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(6,169)</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(5,572)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(17,913)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(16,197)</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(1,006)</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112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1128"/>
              <w:jc w:val="left"/>
              <w:rPr>
                <w:rFonts w:ascii="Arial" w:hAnsi="Arial"/>
                <w:color w:val="666666"/>
                <w:sz w:val="20"/>
              </w:rPr>
            </w:pPr>
            <w:r>
              <w:rPr>
                <w:rFonts w:ascii="Arial" w:hAnsi="Arial"/>
                <w:color w:val="666666"/>
                <w:sz w:val="20"/>
              </w:rPr>
              <w:t>Net cash used in 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(13,036)</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(18,808)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(40,855)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(14,194)</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b/>
                <w:color w:val="666666"/>
                <w:sz w:val="20"/>
              </w:rPr>
            </w:pPr>
            <w:r>
              <w:rPr>
                <w:rFonts w:ascii="Arial" w:hAnsi="Arial"/>
                <w:b/>
                <w:color w:val="666666"/>
                <w:sz w:val="20"/>
              </w:rPr>
              <w:t>Investing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Additions to property and equipment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(16,745)</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(10,952)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(47,472)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(30,604)</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Acquisition of companies, net of cash acquired and divestitures, and purchases of intangible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(67,790)</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Purchases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(4,474)</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(8,144)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(14,901)</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6,721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23,218</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Sales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2,161</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6,688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8,871</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(916)</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112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1128"/>
              <w:jc w:val="left"/>
              <w:rPr>
                <w:rFonts w:ascii="Arial" w:hAnsi="Arial"/>
                <w:color w:val="666666"/>
                <w:sz w:val="20"/>
              </w:rPr>
            </w:pPr>
            <w:r>
              <w:rPr>
                <w:rFonts w:ascii="Arial" w:hAnsi="Arial"/>
                <w:color w:val="666666"/>
                <w:sz w:val="20"/>
              </w:rPr>
              <w:t>Net cash used in 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(12,714)</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(10,700)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(42,027)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(82,122)</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Effect of foreign exchange rates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(107)</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Net change in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11,346</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10,513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(15,070)</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17,482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rFonts w:ascii="Arial" w:hAnsi="Arial"/>
                <w:color w:val="666666"/>
                <w:sz w:val="20"/>
              </w:rPr>
            </w:pPr>
            <w:r>
              <w:rPr>
                <w:rFonts w:ascii="Arial" w:hAnsi="Arial"/>
                <w:color w:val="666666"/>
                <w:sz w:val="20"/>
              </w:rPr>
              <w:t>34,704</w:t>
            </w:r>
          </w:p>
        </w:tc>
      </w:tr>
      <w:tr>
        <w:trPr/>
        <w:tc>
          <w:tcPr>
            <w:tcW w:w="54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5430" w:type="dxa"/>
            <w:tcBorders/>
            <w:shd w:fill="E5E5E5" w:val="clear"/>
            <w:tcMar>
              <w:top w:w="0" w:type="dxa"/>
              <w:left w:w="0" w:type="dxa"/>
              <w:bottom w:w="0" w:type="dxa"/>
              <w:right w:w="0" w:type="dxa"/>
            </w:tcMar>
            <w:vAlign w:val="center"/>
          </w:tcPr>
          <w:p>
            <w:pPr>
              <w:pStyle w:val="TableContents"/>
              <w:bidi w:val="0"/>
              <w:spacing w:before="0" w:after="283"/>
              <w:ind w:left="0" w:right="0" w:firstLine="288"/>
              <w:jc w:val="left"/>
              <w:rPr>
                <w:rFonts w:ascii="Arial" w:hAnsi="Arial"/>
                <w:color w:val="666666"/>
                <w:sz w:val="20"/>
              </w:rPr>
            </w:pPr>
            <w:r>
              <w:rPr>
                <w:rFonts w:ascii="Arial" w:hAnsi="Arial"/>
                <w:color w:val="666666"/>
                <w:sz w:val="20"/>
              </w:rPr>
              <w:t>Cash and cash equivalents,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$28,828</w:t>
            </w:r>
          </w:p>
        </w:tc>
        <w:tc>
          <w:tcPr>
            <w:tcW w:w="15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$19,634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$28,828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$19,634</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SEGMENT REVENUE AND OPERATING INCOME</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7755" w:type="dxa"/>
        <w:jc w:val="left"/>
        <w:tblInd w:w="0" w:type="dxa"/>
        <w:tblLayout w:type="fixed"/>
        <w:tblCellMar>
          <w:top w:w="28" w:type="dxa"/>
          <w:left w:w="28" w:type="dxa"/>
          <w:bottom w:w="28" w:type="dxa"/>
          <w:right w:w="28" w:type="dxa"/>
        </w:tblCellMar>
      </w:tblPr>
      <w:tblGrid>
        <w:gridCol w:w="3391"/>
        <w:gridCol w:w="146"/>
        <w:gridCol w:w="934"/>
        <w:gridCol w:w="171"/>
        <w:gridCol w:w="934"/>
        <w:gridCol w:w="146"/>
        <w:gridCol w:w="901"/>
        <w:gridCol w:w="146"/>
        <w:gridCol w:w="98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$29,944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$27,113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$87,698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$78,193</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76,387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63,679</w:t>
            </w:r>
          </w:p>
        </w:tc>
      </w:tr>
      <w:tr>
        <w:trPr/>
        <w:tc>
          <w:tcPr>
            <w:tcW w:w="3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13,371</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12,604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41,198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38,523</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$70,066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$205,283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666666"/>
                <w:sz w:val="20"/>
              </w:rPr>
            </w:pPr>
            <w:r>
              <w:rPr>
                <w:rFonts w:ascii="Arial" w:hAnsi="Arial"/>
                <w:color w:val="666666"/>
                <w:sz w:val="20"/>
              </w:rPr>
              <w:t>$180,395</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$17,379</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$15,143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$50,780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$43,955</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11,095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27,978</w:t>
            </w:r>
          </w:p>
        </w:tc>
      </w:tr>
      <w:tr>
        <w:trPr/>
        <w:tc>
          <w:tcPr>
            <w:tcW w:w="33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3,526</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10,976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9,575</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$94,205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666666"/>
                <w:sz w:val="20"/>
              </w:rPr>
            </w:pPr>
            <w:r>
              <w:rPr>
                <w:rFonts w:ascii="Arial" w:hAnsi="Arial"/>
                <w:color w:val="666666"/>
                <w:sz w:val="20"/>
              </w:rPr>
              <w:t>$81,508</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Arial" w:hAnsi="Arial"/>
          <w:color w:val="666666"/>
          <w:sz w:val="20"/>
        </w:rPr>
        <w:t>We have recast certain prior period amounts to conform to the way we internally manage and monitor our business.</w:t>
      </w:r>
      <w:r>
        <w:rPr>
          <w:rFonts w:ascii="Times New Roman" w:hAnsi="Times New Roman"/>
          <w:color w:val="666666"/>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3169</Words>
  <Characters>18363</Characters>
  <CharactersWithSpaces>22144</CharactersWithSpaces>
  <Paragraphs>2166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