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6993890" cy="46850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4685030"/>
                    </a:xfrm>
                    <a:prstGeom prst="rect">
                      <a:avLst/>
                    </a:prstGeom>
                    <a:noFill/>
                  </pic:spPr>
                </pic:pic>
              </a:graphicData>
            </a:graphic>
          </wp:anchor>
        </w:drawing>
      </w:r>
    </w:p>
    <w:p>
      <w:pPr>
        <w:spacing w:after="0" w:line="1176"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Walmsley Emma N</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MICROSOFT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MSFT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780" w:type="dxa"/>
            <w:vAlign w:val="bottom"/>
            <w:tcBorders>
              <w:bottom w:val="single" w:sz="8" w:color="0000EE"/>
            </w:tcBorders>
          </w:tcPr>
          <w:p>
            <w:pPr>
              <w:spacing w:after="0"/>
              <w:rPr>
                <w:sz w:val="6"/>
                <w:szCs w:val="6"/>
                <w:color w:val="auto"/>
              </w:rPr>
            </w:pPr>
          </w:p>
        </w:tc>
        <w:tc>
          <w:tcPr>
            <w:tcW w:w="20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8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78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8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9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06/11/2026</w:t>
            </w:r>
          </w:p>
        </w:tc>
        <w:tc>
          <w:tcPr>
            <w:tcW w:w="20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MICROSOFT CORPORATION</w:t>
            </w:r>
          </w:p>
        </w:tc>
        <w:tc>
          <w:tcPr>
            <w:tcW w:w="1920" w:type="dxa"/>
            <w:vAlign w:val="bottom"/>
            <w:gridSpan w:val="3"/>
            <w:vMerge w:val="continue"/>
          </w:tcPr>
          <w:p>
            <w:pPr>
              <w:spacing w:after="0"/>
              <w:rPr>
                <w:sz w:val="10"/>
                <w:szCs w:val="10"/>
                <w:color w:val="auto"/>
              </w:rPr>
            </w:pPr>
          </w:p>
        </w:tc>
        <w:tc>
          <w:tcPr>
            <w:tcW w:w="20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ONE MICROSOFT WAY</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tcPr>
          <w:p>
            <w:pPr>
              <w:spacing w:after="0"/>
              <w:rPr>
                <w:sz w:val="11"/>
                <w:szCs w:val="11"/>
                <w:color w:val="auto"/>
              </w:rPr>
            </w:pPr>
          </w:p>
        </w:tc>
        <w:tc>
          <w:tcPr>
            <w:tcW w:w="20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REDMOND</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WA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98052-6399</w:t>
            </w:r>
          </w:p>
        </w:tc>
      </w:tr>
      <w:tr>
        <w:trPr>
          <w:trHeight w:val="148"/>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0"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1"/>
              </w:rPr>
              <w:t>Transaction</w:t>
            </w:r>
          </w:p>
        </w:tc>
        <w:tc>
          <w:tcPr>
            <w:tcW w:w="184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7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79"/>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2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9,913.797</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5"/>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9"/>
          </w:tcPr>
          <w:p>
            <w:pPr>
              <w:jc w:val="right"/>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6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w w:val="90"/>
              </w:rPr>
              <w:t>Derivative</w:t>
            </w:r>
          </w:p>
        </w:tc>
        <w:tc>
          <w:tcPr>
            <w:tcW w:w="300" w:type="dxa"/>
            <w:vAlign w:val="bottom"/>
          </w:tcPr>
          <w:p>
            <w:pPr>
              <w:spacing w:after="0"/>
              <w:rPr>
                <w:sz w:val="11"/>
                <w:szCs w:val="11"/>
                <w:color w:val="auto"/>
              </w:rPr>
            </w:pPr>
          </w:p>
        </w:tc>
        <w:tc>
          <w:tcPr>
            <w:tcW w:w="14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w w:val="90"/>
              </w:rPr>
              <w:t>Securities</w:t>
            </w:r>
          </w:p>
        </w:tc>
        <w:tc>
          <w:tcPr>
            <w:tcW w:w="300" w:type="dxa"/>
            <w:vAlign w:val="bottom"/>
          </w:tcPr>
          <w:p>
            <w:pPr>
              <w:spacing w:after="0"/>
              <w:rPr>
                <w:sz w:val="11"/>
                <w:szCs w:val="11"/>
                <w:color w:val="auto"/>
              </w:rPr>
            </w:pPr>
          </w:p>
        </w:tc>
        <w:tc>
          <w:tcPr>
            <w:tcW w:w="14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2.935</w:t>
            </w:r>
            <w:r>
              <w:rPr>
                <w:rFonts w:ascii="Times New Roman" w:cs="Times New Roman" w:eastAsia="Times New Roman" w:hAnsi="Times New Roman"/>
                <w:sz w:val="21"/>
                <w:szCs w:val="21"/>
                <w:color w:val="008000"/>
                <w:vertAlign w:val="superscript"/>
              </w:rPr>
              <w:t>(2)</w:t>
            </w:r>
          </w:p>
        </w:tc>
        <w:tc>
          <w:tcPr>
            <w:tcW w:w="30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9"/>
              <w:spacing w:after="0"/>
              <w:rPr>
                <w:sz w:val="20"/>
                <w:szCs w:val="20"/>
                <w:color w:val="auto"/>
              </w:rPr>
            </w:pPr>
            <w:r>
              <w:rPr>
                <w:rFonts w:ascii="Times New Roman" w:cs="Times New Roman" w:eastAsia="Times New Roman" w:hAnsi="Times New Roman"/>
                <w:sz w:val="17"/>
                <w:szCs w:val="17"/>
                <w:color w:val="0000FF"/>
              </w:rPr>
              <w:t>2.935</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1"/>
              <w:spacing w:after="0" w:line="141" w:lineRule="exact"/>
              <w:rPr>
                <w:sz w:val="20"/>
                <w:szCs w:val="20"/>
                <w:color w:val="auto"/>
              </w:rPr>
            </w:pPr>
            <w:r>
              <w:rPr>
                <w:rFonts w:ascii="Times New Roman" w:cs="Times New Roman" w:eastAsia="Times New Roman" w:hAnsi="Times New Roman"/>
                <w:sz w:val="13"/>
                <w:szCs w:val="13"/>
                <w:color w:val="0000FF"/>
              </w:rPr>
              <w:t>06/11/2026</w:t>
            </w:r>
          </w:p>
        </w:tc>
        <w:tc>
          <w:tcPr>
            <w:tcW w:w="1120" w:type="dxa"/>
            <w:vAlign w:val="bottom"/>
          </w:tcPr>
          <w:p>
            <w:pPr>
              <w:spacing w:after="0"/>
              <w:rPr>
                <w:sz w:val="5"/>
                <w:szCs w:val="5"/>
                <w:color w:val="auto"/>
              </w:rPr>
            </w:pPr>
          </w:p>
        </w:tc>
        <w:tc>
          <w:tcPr>
            <w:tcW w:w="74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ind w:left="140"/>
              <w:spacing w:after="0" w:line="141" w:lineRule="exact"/>
              <w:rPr>
                <w:sz w:val="20"/>
                <w:szCs w:val="20"/>
                <w:color w:val="auto"/>
              </w:rPr>
            </w:pPr>
            <w:r>
              <w:rPr>
                <w:rFonts w:ascii="Times New Roman" w:cs="Times New Roman" w:eastAsia="Times New Roman" w:hAnsi="Times New Roman"/>
                <w:sz w:val="13"/>
                <w:szCs w:val="13"/>
                <w:color w:val="0000FF"/>
              </w:rPr>
              <w:t>1,262.609</w:t>
            </w: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-1840230</wp:posOffset>
            </wp:positionV>
            <wp:extent cx="29210" cy="18453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84531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Microsoft common stock.</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Dividend equivalent rights accrue when and as dividends are paid on the Company's common stock and become exercisable proportionately with the restricted stock units to which they relate.</w:t>
      </w:r>
    </w:p>
    <w:p>
      <w:pPr>
        <w:spacing w:after="0" w:line="43" w:lineRule="exact"/>
        <w:rPr>
          <w:rFonts w:ascii="Times New Roman" w:cs="Times New Roman" w:eastAsia="Times New Roman" w:hAnsi="Times New Roman"/>
          <w:sz w:val="13"/>
          <w:szCs w:val="13"/>
          <w:color w:val="008000"/>
        </w:rPr>
      </w:pPr>
    </w:p>
    <w:p>
      <w:pPr>
        <w:ind w:left="40" w:right="500" w:firstLine="1"/>
        <w:spacing w:after="0" w:line="247"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are fully vested. Delivery of the shares to the reporting person will be made on the 5th anniversary after the date of the reporting person's separation from service to the Board of Directors.</w:t>
      </w:r>
    </w:p>
    <w:p>
      <w:pPr>
        <w:ind w:left="6600"/>
        <w:spacing w:after="0" w:line="185" w:lineRule="auto"/>
        <w:rPr>
          <w:sz w:val="20"/>
          <w:szCs w:val="20"/>
          <w:color w:val="auto"/>
        </w:rPr>
      </w:pPr>
      <w:r>
        <w:rPr>
          <w:rFonts w:ascii="Times New Roman" w:cs="Times New Roman" w:eastAsia="Times New Roman" w:hAnsi="Times New Roman"/>
          <w:sz w:val="16"/>
          <w:szCs w:val="16"/>
          <w:color w:val="0000FF"/>
        </w:rPr>
        <w:t xml:space="preserve">Julia Stark, Attorney-in-fact for </w:t>
      </w:r>
      <w:r>
        <w:rPr>
          <w:rFonts w:ascii="Times New Roman" w:cs="Times New Roman" w:eastAsia="Times New Roman" w:hAnsi="Times New Roman"/>
          <w:sz w:val="31"/>
          <w:szCs w:val="31"/>
          <w:color w:val="0000FF"/>
          <w:vertAlign w:val="subscript"/>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430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302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Emma N. Walmsley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-20955</wp:posOffset>
            </wp:positionV>
            <wp:extent cx="8547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54710"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-86360</wp:posOffset>
            </wp:positionV>
            <wp:extent cx="4832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20" w:firstLine="1"/>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95429" TargetMode="External"/><Relationship Id="rId14" Type="http://schemas.openxmlformats.org/officeDocument/2006/relationships/hyperlink" Target="http://www.sec.gov/cgi-bin/browse-edgar?action=getcompany&amp;CIK=0000789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2026-06-12T17:07:57Z</dcterms:created>
  <dcterms:modified xsi:type="dcterms:W3CDTF">2026-06-12T17:07:57Z</dcterms:modified>
</cp:coreProperties>
</file>