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57785</wp:posOffset>
            </wp:positionV>
            <wp:extent cx="161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89535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9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December 31, 2021</w:t>
      </w:r>
    </w:p>
    <w:p>
      <w:pPr>
        <w:spacing w:after="0" w:line="86"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71755</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97155</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26"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WASHINGTON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23" w:lineRule="exact"/>
        <w:rPr>
          <w:sz w:val="24"/>
          <w:szCs w:val="24"/>
          <w:color w:val="auto"/>
        </w:rPr>
      </w:pPr>
    </w:p>
    <w:p>
      <w:pPr>
        <w:sectPr>
          <w:pgSz w:w="11900" w:h="16838" w:orient="portrait"/>
          <w:cols w:equalWidth="0" w:num="2">
            <w:col w:w="7360" w:space="720"/>
            <w:col w:w="3160"/>
          </w:cols>
          <w:pgMar w:left="320" w:top="576" w:right="33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47" w:lineRule="exact"/>
        <w:rPr>
          <w:sz w:val="24"/>
          <w:szCs w:val="24"/>
          <w:color w:val="auto"/>
        </w:rPr>
      </w:pPr>
    </w:p>
    <w:p>
      <w:pPr>
        <w:sectPr>
          <w:pgSz w:w="11900" w:h="16838" w:orient="portrait"/>
          <w:cols w:equalWidth="0" w:num="2">
            <w:col w:w="7480" w:space="720"/>
            <w:col w:w="3040"/>
          </w:cols>
          <w:pgMar w:left="320" w:top="576"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5"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5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02"/>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23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5"/>
                <w:szCs w:val="15"/>
                <w:b w:val="1"/>
                <w:bCs w:val="1"/>
                <w:color w:val="auto"/>
              </w:rPr>
              <w:t>NONE</w:t>
            </w:r>
          </w:p>
        </w:tc>
        <w:tc>
          <w:tcPr>
            <w:tcW w:w="236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59" w:lineRule="exact"/>
        <w:rPr>
          <w:sz w:val="24"/>
          <w:szCs w:val="24"/>
          <w:color w:val="auto"/>
        </w:rPr>
      </w:pPr>
    </w:p>
    <w:p>
      <w:pPr>
        <w:jc w:val="both"/>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6" w:right="339" w:bottom="1440" w:gutter="0" w:footer="0" w:header="0"/>
          <w:type w:val="continuous"/>
        </w:sectPr>
      </w:pPr>
    </w:p>
    <w:p>
      <w:pPr>
        <w:spacing w:after="0" w:line="7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576"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25" w:lineRule="exact"/>
        <w:rPr>
          <w:sz w:val="24"/>
          <w:szCs w:val="24"/>
          <w:color w:val="auto"/>
        </w:rPr>
      </w:pPr>
    </w:p>
    <w:p>
      <w:pPr>
        <w:sectPr>
          <w:pgSz w:w="11900" w:h="16838" w:orient="portrait"/>
          <w:cols w:equalWidth="0" w:num="2">
            <w:col w:w="7640" w:space="720"/>
            <w:col w:w="2880"/>
          </w:cols>
          <w:pgMar w:left="320" w:top="576" w:right="339" w:bottom="1440" w:gutter="0" w:footer="0" w:header="0"/>
          <w:type w:val="continuous"/>
        </w:sect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1" w:lineRule="exact"/>
        <w:rPr>
          <w:sz w:val="24"/>
          <w:szCs w:val="24"/>
          <w:color w:val="auto"/>
        </w:rPr>
      </w:pPr>
    </w:p>
    <w:p>
      <w:pPr>
        <w:ind w:right="2360"/>
        <w:spacing w:after="0" w:line="23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080" w:type="dxa"/>
            <w:vAlign w:val="bottom"/>
          </w:tcPr>
          <w:p>
            <w:pPr>
              <w:spacing w:after="0"/>
              <w:rPr>
                <w:sz w:val="20"/>
                <w:szCs w:val="20"/>
                <w:color w:val="auto"/>
              </w:rPr>
            </w:pPr>
            <w:r>
              <w:rPr>
                <w:rFonts w:ascii="Arial" w:cs="Arial" w:eastAsia="Arial" w:hAnsi="Arial"/>
                <w:sz w:val="13"/>
                <w:szCs w:val="13"/>
                <w:b w:val="1"/>
                <w:bCs w:val="1"/>
                <w:color w:val="auto"/>
              </w:rPr>
              <w:t>Class</w:t>
            </w:r>
          </w:p>
        </w:tc>
        <w:tc>
          <w:tcPr>
            <w:tcW w:w="5160" w:type="dxa"/>
            <w:vAlign w:val="bottom"/>
          </w:tcPr>
          <w:p>
            <w:pPr>
              <w:ind w:left="2700"/>
              <w:spacing w:after="0"/>
              <w:rPr>
                <w:sz w:val="20"/>
                <w:szCs w:val="20"/>
                <w:color w:val="auto"/>
              </w:rPr>
            </w:pPr>
            <w:r>
              <w:rPr>
                <w:rFonts w:ascii="Arial" w:cs="Arial" w:eastAsia="Arial" w:hAnsi="Arial"/>
                <w:sz w:val="13"/>
                <w:szCs w:val="13"/>
                <w:b w:val="1"/>
                <w:bCs w:val="1"/>
                <w:color w:val="auto"/>
              </w:rPr>
              <w:t>Outstanding as of January 20, 2022</w:t>
            </w:r>
          </w:p>
        </w:tc>
      </w:tr>
      <w:tr>
        <w:trPr>
          <w:trHeight w:val="28"/>
        </w:trPr>
        <w:tc>
          <w:tcPr>
            <w:tcW w:w="608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196"/>
        </w:trPr>
        <w:tc>
          <w:tcPr>
            <w:tcW w:w="6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60" w:type="dxa"/>
            <w:vAlign w:val="bottom"/>
            <w:tcBorders>
              <w:bottom w:val="single" w:sz="8" w:color="auto"/>
            </w:tcBorders>
          </w:tcPr>
          <w:p>
            <w:pPr>
              <w:ind w:left="3500"/>
              <w:spacing w:after="0"/>
              <w:rPr>
                <w:sz w:val="20"/>
                <w:szCs w:val="20"/>
                <w:color w:val="auto"/>
              </w:rPr>
            </w:pPr>
            <w:r>
              <w:rPr>
                <w:rFonts w:ascii="Arial" w:cs="Arial" w:eastAsia="Arial" w:hAnsi="Arial"/>
                <w:sz w:val="15"/>
                <w:szCs w:val="15"/>
                <w:color w:val="auto"/>
              </w:rPr>
              <w:t>7,496,866,428 shares</w:t>
            </w:r>
          </w:p>
        </w:tc>
      </w:tr>
      <w:tr>
        <w:trPr>
          <w:trHeight w:val="743"/>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2280" w:type="dxa"/>
            <w:vAlign w:val="bottom"/>
            <w:tcBorders>
              <w:bottom w:val="single" w:sz="8" w:color="0000EE"/>
            </w:tcBorders>
            <w:gridSpan w:val="7"/>
          </w:tcPr>
          <w:p>
            <w:pPr>
              <w:spacing w:after="0" w:line="203"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750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71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8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Income Statements for the Three and Six Months Ended December 31, 2021 and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b)</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2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Comprehensive Income Statements for the Three and Six Months Ended December 31, 2021 and 2020</w:t>
              </w:r>
            </w:hyperlink>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48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Balance Sheets as of December 31, 2021 and June 30, 2021</w:t>
              </w:r>
            </w:hyperlink>
          </w:p>
        </w:tc>
        <w:tc>
          <w:tcPr>
            <w:tcW w:w="35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728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Cash Flows Statements for the Three and Six Months Ended December 31, 2021 and 2020</w:t>
              </w:r>
            </w:hyperlink>
          </w:p>
        </w:tc>
        <w:tc>
          <w:tcPr>
            <w:tcW w:w="11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84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Stockholders’ Equity Statements for the Three and Six Months Ended December 31, 2021 and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796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5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46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Management’s Discussion and Analysis of Financial Condition and Results of Operations</w:t>
              </w:r>
            </w:hyperlink>
          </w:p>
        </w:tc>
        <w:tc>
          <w:tcPr>
            <w:tcW w:w="17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4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OTHER INFORMATION</w:t>
              </w:r>
            </w:hyperlink>
          </w:p>
        </w:tc>
        <w:tc>
          <w:tcPr>
            <w:tcW w:w="784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24"/>
                <w:szCs w:val="24"/>
                <w:color w:val="auto"/>
              </w:rPr>
            </w:pPr>
          </w:p>
        </w:tc>
        <w:tc>
          <w:tcPr>
            <w:tcW w:w="73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39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66">
              <w:r>
                <w:rPr>
                  <w:rFonts w:ascii="Arial" w:cs="Arial" w:eastAsia="Arial" w:hAnsi="Arial"/>
                  <w:sz w:val="18"/>
                  <w:szCs w:val="18"/>
                  <w:b w:val="1"/>
                  <w:bCs w:val="1"/>
                  <w:color w:val="0000EE"/>
                  <w:w w:val="98"/>
                </w:rPr>
                <w:t>SIGNATURE</w:t>
              </w:r>
            </w:hyperlink>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20,779</w:t>
            </w:r>
          </w:p>
        </w:tc>
        <w:tc>
          <w:tcPr>
            <w:tcW w:w="2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19,460</w:t>
            </w:r>
          </w:p>
        </w:tc>
        <w:tc>
          <w:tcPr>
            <w:tcW w:w="50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37,410</w:t>
            </w:r>
          </w:p>
        </w:tc>
        <w:tc>
          <w:tcPr>
            <w:tcW w:w="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30,949</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23,616</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59,635</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44,967</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51,728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43,076</w:t>
            </w:r>
          </w:p>
        </w:tc>
        <w:tc>
          <w:tcPr>
            <w:tcW w:w="5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97,045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80,230</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50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Product</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6,331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6,058</w:t>
            </w: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10,123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Service and other</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10,629</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8,136</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20,483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15,541</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5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16,960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14,194</w:t>
            </w:r>
          </w:p>
        </w:tc>
        <w:tc>
          <w:tcPr>
            <w:tcW w:w="5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30,606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25,196</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Gross margin</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34,768</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28,882</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66,439</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55,034</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5,758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4,899</w:t>
            </w: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11,357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5,379</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4,947</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9,926</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1,139</w:t>
            </w:r>
          </w:p>
        </w:tc>
        <w:tc>
          <w:tcPr>
            <w:tcW w:w="5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22,247</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17,897</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42,485</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33,773</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5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22,515</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18,337</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43,039</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2,874</w:t>
            </w:r>
          </w:p>
        </w:tc>
        <w:tc>
          <w:tcPr>
            <w:tcW w:w="5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18,765</w:t>
            </w:r>
          </w:p>
        </w:tc>
        <w:tc>
          <w:tcPr>
            <w:tcW w:w="2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15,463</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39,270</w:t>
            </w:r>
          </w:p>
        </w:tc>
        <w:tc>
          <w:tcPr>
            <w:tcW w:w="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29,356</w:t>
            </w:r>
          </w:p>
        </w:tc>
        <w:tc>
          <w:tcPr>
            <w:tcW w:w="0" w:type="dxa"/>
            <w:vAlign w:val="bottom"/>
          </w:tcPr>
          <w:p>
            <w:pPr>
              <w:spacing w:after="0"/>
              <w:rPr>
                <w:sz w:val="1"/>
                <w:szCs w:val="1"/>
                <w:color w:val="auto"/>
              </w:rPr>
            </w:pPr>
          </w:p>
        </w:tc>
      </w:tr>
      <w:tr>
        <w:trPr>
          <w:trHeight w:val="75"/>
        </w:trPr>
        <w:tc>
          <w:tcPr>
            <w:tcW w:w="46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60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2.50</w:t>
            </w:r>
          </w:p>
        </w:tc>
        <w:tc>
          <w:tcPr>
            <w:tcW w:w="2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2.05</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5.23</w:t>
            </w:r>
          </w:p>
        </w:tc>
        <w:tc>
          <w:tcPr>
            <w:tcW w:w="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Weighted average shares outstanding:</w:t>
            </w:r>
          </w:p>
        </w:tc>
        <w:tc>
          <w:tcPr>
            <w:tcW w:w="5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7,555</w:t>
            </w: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7,509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Diluted</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7,555</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6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7,616</w:t>
            </w: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7,561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7,627</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66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18,765</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15,463</w:t>
            </w:r>
          </w:p>
        </w:tc>
        <w:tc>
          <w:tcPr>
            <w:tcW w:w="5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39,270</w:t>
            </w:r>
          </w:p>
        </w:tc>
        <w:tc>
          <w:tcPr>
            <w:tcW w:w="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29,356</w:t>
            </w:r>
          </w:p>
        </w:tc>
        <w:tc>
          <w:tcPr>
            <w:tcW w:w="0" w:type="dxa"/>
            <w:vAlign w:val="bottom"/>
          </w:tcPr>
          <w:p>
            <w:pPr>
              <w:spacing w:after="0"/>
              <w:rPr>
                <w:sz w:val="1"/>
                <w:szCs w:val="1"/>
                <w:color w:val="auto"/>
              </w:rPr>
            </w:pPr>
          </w:p>
        </w:tc>
      </w:tr>
      <w:tr>
        <w:trPr>
          <w:trHeight w:val="75"/>
        </w:trPr>
        <w:tc>
          <w:tcPr>
            <w:tcW w:w="466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6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Net change related to derivatives</w:t>
            </w:r>
          </w:p>
        </w:tc>
        <w:tc>
          <w:tcPr>
            <w:tcW w:w="5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w:t>
            </w: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line="189" w:lineRule="exact"/>
              <w:rPr>
                <w:sz w:val="20"/>
                <w:szCs w:val="20"/>
                <w:color w:val="auto"/>
              </w:rPr>
            </w:pPr>
            <w:r>
              <w:rPr>
                <w:rFonts w:ascii="Arial" w:cs="Arial" w:eastAsia="Arial" w:hAnsi="Arial"/>
                <w:sz w:val="18"/>
                <w:szCs w:val="18"/>
                <w:color w:val="auto"/>
              </w:rPr>
              <w:t>Net change related to investments</w:t>
            </w:r>
          </w:p>
        </w:tc>
        <w:tc>
          <w:tcPr>
            <w:tcW w:w="50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(743)</w:t>
            </w:r>
          </w:p>
        </w:tc>
        <w:tc>
          <w:tcPr>
            <w:tcW w:w="120" w:type="dxa"/>
            <w:vAlign w:val="bottom"/>
          </w:tcPr>
          <w:p>
            <w:pPr>
              <w:spacing w:after="0"/>
              <w:rPr>
                <w:sz w:val="16"/>
                <w:szCs w:val="16"/>
                <w:color w:val="auto"/>
              </w:rPr>
            </w:pPr>
          </w:p>
        </w:tc>
        <w:tc>
          <w:tcPr>
            <w:tcW w:w="14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(492)</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Translation adjustments and other</w:t>
            </w:r>
          </w:p>
        </w:tc>
        <w:tc>
          <w:tcPr>
            <w:tcW w:w="50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E5E5E5"/>
          </w:tcPr>
          <w:p>
            <w:pPr>
              <w:spacing w:after="0"/>
              <w:rPr>
                <w:sz w:val="16"/>
                <w:szCs w:val="16"/>
                <w:color w:val="auto"/>
              </w:rPr>
            </w:pP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741</w:t>
            </w: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(222)</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(846)</w:t>
            </w:r>
          </w:p>
        </w:tc>
        <w:tc>
          <w:tcPr>
            <w:tcW w:w="12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(1,385)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17,919</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15,720</w:t>
            </w:r>
          </w:p>
        </w:tc>
        <w:tc>
          <w:tcPr>
            <w:tcW w:w="56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37,885</w:t>
            </w:r>
          </w:p>
        </w:tc>
        <w:tc>
          <w:tcPr>
            <w:tcW w:w="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29,527</w:t>
            </w:r>
          </w:p>
        </w:tc>
        <w:tc>
          <w:tcPr>
            <w:tcW w:w="0" w:type="dxa"/>
            <w:vAlign w:val="bottom"/>
          </w:tcPr>
          <w:p>
            <w:pPr>
              <w:spacing w:after="0"/>
              <w:rPr>
                <w:sz w:val="1"/>
                <w:szCs w:val="1"/>
                <w:color w:val="auto"/>
              </w:rPr>
            </w:pPr>
          </w:p>
        </w:tc>
      </w:tr>
      <w:tr>
        <w:trPr>
          <w:trHeight w:val="74"/>
        </w:trPr>
        <w:tc>
          <w:tcPr>
            <w:tcW w:w="46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 w:right="35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3"/>
          <w:szCs w:val="13"/>
          <w:b w:val="1"/>
          <w:bCs w:val="1"/>
          <w:color w:val="auto"/>
        </w:rPr>
        <w:t>December 31,</w:t>
      </w:r>
      <w:r>
        <w:rPr>
          <w:sz w:val="20"/>
          <w:szCs w:val="20"/>
          <w:color w:val="auto"/>
        </w:rPr>
        <w:tab/>
      </w:r>
      <w:r>
        <w:rPr>
          <w:rFonts w:ascii="Arial" w:cs="Arial" w:eastAsia="Arial" w:hAnsi="Arial"/>
          <w:sz w:val="13"/>
          <w:szCs w:val="13"/>
          <w:b w:val="1"/>
          <w:bCs w:val="1"/>
          <w:color w:val="auto"/>
        </w:rPr>
        <w:t>June 30,</w:t>
      </w:r>
    </w:p>
    <w:p>
      <w:pPr>
        <w:spacing w:after="0" w:line="40" w:lineRule="exact"/>
        <w:rPr>
          <w:sz w:val="20"/>
          <w:szCs w:val="20"/>
          <w:color w:val="auto"/>
        </w:rPr>
      </w:pPr>
    </w:p>
    <w:p>
      <w:pPr>
        <w:jc w:val="both"/>
        <w:ind w:left="9180"/>
        <w:spacing w:after="0"/>
        <w:tabs>
          <w:tab w:leader="none" w:pos="108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2021</w:t>
      </w:r>
    </w:p>
    <w:p>
      <w:pPr>
        <w:sectPr>
          <w:pgSz w:w="11900" w:h="16838" w:orient="portrait"/>
          <w:cols w:equalWidth="0" w:num="1">
            <w:col w:w="11140"/>
          </w:cols>
          <w:pgMar w:left="320" w:top="138" w:right="439" w:bottom="1440" w:gutter="0" w:footer="0" w:header="0"/>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20,604</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Cash and cash equivalents</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104,765</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125,369</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$551</w:t>
            </w:r>
            <w:r>
              <w:rPr>
                <w:rFonts w:ascii="Arial" w:cs="Arial" w:eastAsia="Arial" w:hAnsi="Arial"/>
                <w:sz w:val="18"/>
                <w:szCs w:val="18"/>
                <w:color w:val="auto"/>
              </w:rPr>
              <w:t xml:space="preserve"> and $751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33,520</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3,019</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12,280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174,188</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$55,277</w:t>
            </w:r>
            <w:r>
              <w:rPr>
                <w:rFonts w:ascii="Arial" w:cs="Arial" w:eastAsia="Arial" w:hAnsi="Arial"/>
                <w:sz w:val="18"/>
                <w:szCs w:val="18"/>
                <w:color w:val="auto"/>
              </w:rPr>
              <w:t xml:space="preserve"> and $51,351</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67,214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12,354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6,994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50,921</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7,462</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21,256</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340,389</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0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15,314</w:t>
            </w:r>
          </w:p>
        </w:tc>
        <w:tc>
          <w:tcPr>
            <w:tcW w:w="0" w:type="dxa"/>
            <w:vAlign w:val="bottom"/>
          </w:tcPr>
          <w:p>
            <w:pPr>
              <w:spacing w:after="0"/>
              <w:rPr>
                <w:sz w:val="1"/>
                <w:szCs w:val="1"/>
                <w:color w:val="auto"/>
              </w:rPr>
            </w:pPr>
          </w:p>
        </w:tc>
      </w:tr>
      <w:tr>
        <w:trPr>
          <w:trHeight w:val="167"/>
        </w:trPr>
        <w:tc>
          <w:tcPr>
            <w:tcW w:w="8000" w:type="dxa"/>
            <w:vAlign w:val="bottom"/>
          </w:tcPr>
          <w:p>
            <w:pPr>
              <w:ind w:left="220"/>
              <w:spacing w:after="0" w:line="167" w:lineRule="exact"/>
              <w:rPr>
                <w:sz w:val="20"/>
                <w:szCs w:val="20"/>
                <w:color w:val="auto"/>
              </w:rPr>
            </w:pPr>
            <w:r>
              <w:rPr>
                <w:rFonts w:ascii="Arial" w:cs="Arial" w:eastAsia="Arial" w:hAnsi="Arial"/>
                <w:sz w:val="18"/>
                <w:szCs w:val="18"/>
                <w:color w:val="auto"/>
              </w:rPr>
              <w:t>Accounts payable</w:t>
            </w: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4,998</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Accrued compensation</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7,782</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3,731</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Short-term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34,001</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11,684</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77,510</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48,260</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26,121</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2,768</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199</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10,774</w:t>
            </w:r>
          </w:p>
        </w:tc>
        <w:tc>
          <w:tcPr>
            <w:tcW w:w="0" w:type="dxa"/>
            <w:vAlign w:val="bottom"/>
          </w:tcPr>
          <w:p>
            <w:pPr>
              <w:spacing w:after="0"/>
              <w:rPr>
                <w:sz w:val="1"/>
                <w:szCs w:val="1"/>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14,747</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180,379</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00" w:type="dxa"/>
            <w:vAlign w:val="bottom"/>
          </w:tcPr>
          <w:p>
            <w:pPr>
              <w:spacing w:after="0" w:line="167"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84,528</w:t>
            </w: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7,500</w:t>
            </w:r>
            <w:r>
              <w:rPr>
                <w:rFonts w:ascii="Arial" w:cs="Arial" w:eastAsia="Arial" w:hAnsi="Arial"/>
                <w:sz w:val="18"/>
                <w:szCs w:val="18"/>
                <w:color w:val="auto"/>
              </w:rPr>
              <w:t xml:space="preserve"> and 7,519</w:t>
            </w: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75,045</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160,010</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340,389</w:t>
            </w: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-3728085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900" w:hanging="89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14,224</w:t>
      </w:r>
    </w:p>
    <w:p>
      <w:pPr>
        <w:ind w:left="800"/>
        <w:spacing w:after="0"/>
        <w:rPr>
          <w:rFonts w:ascii="Arial" w:cs="Arial" w:eastAsia="Arial" w:hAnsi="Arial"/>
          <w:sz w:val="18"/>
          <w:szCs w:val="18"/>
          <w:color w:val="auto"/>
        </w:rPr>
      </w:pPr>
      <w:r>
        <w:rPr>
          <w:rFonts w:ascii="Arial" w:cs="Arial" w:eastAsia="Arial" w:hAnsi="Arial"/>
          <w:sz w:val="18"/>
          <w:szCs w:val="18"/>
          <w:color w:val="auto"/>
        </w:rPr>
        <w:t>116,110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130,334</w:t>
      </w:r>
    </w:p>
    <w:p>
      <w:pPr>
        <w:jc w:val="right"/>
        <w:spacing w:after="0" w:line="219" w:lineRule="auto"/>
        <w:rPr>
          <w:sz w:val="20"/>
          <w:szCs w:val="20"/>
          <w:color w:val="auto"/>
        </w:rPr>
      </w:pPr>
      <w:r>
        <w:rPr>
          <w:rFonts w:ascii="Arial" w:cs="Arial" w:eastAsia="Arial" w:hAnsi="Arial"/>
          <w:sz w:val="18"/>
          <w:szCs w:val="18"/>
          <w:color w:val="auto"/>
        </w:rPr>
        <w:t>38,043</w:t>
      </w:r>
    </w:p>
    <w:p>
      <w:pPr>
        <w:jc w:val="right"/>
        <w:spacing w:after="0" w:line="219" w:lineRule="auto"/>
        <w:rPr>
          <w:sz w:val="20"/>
          <w:szCs w:val="20"/>
          <w:color w:val="auto"/>
        </w:rPr>
      </w:pPr>
      <w:r>
        <w:rPr>
          <w:rFonts w:ascii="Arial" w:cs="Arial" w:eastAsia="Arial" w:hAnsi="Arial"/>
          <w:sz w:val="18"/>
          <w:szCs w:val="18"/>
          <w:color w:val="auto"/>
        </w:rPr>
        <w:t>2,636</w:t>
      </w:r>
    </w:p>
    <w:p>
      <w:pPr>
        <w:jc w:val="right"/>
        <w:spacing w:after="0"/>
        <w:rPr>
          <w:sz w:val="20"/>
          <w:szCs w:val="20"/>
          <w:color w:val="auto"/>
        </w:rPr>
      </w:pPr>
      <w:r>
        <w:rPr>
          <w:rFonts w:ascii="Arial" w:cs="Arial" w:eastAsia="Arial" w:hAnsi="Arial"/>
          <w:sz w:val="18"/>
          <w:szCs w:val="18"/>
          <w:color w:val="auto"/>
        </w:rPr>
        <w:t>13,393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184,406</w:t>
      </w:r>
    </w:p>
    <w:p>
      <w:pPr>
        <w:jc w:val="right"/>
        <w:spacing w:after="0" w:line="219" w:lineRule="auto"/>
        <w:rPr>
          <w:sz w:val="20"/>
          <w:szCs w:val="20"/>
          <w:color w:val="auto"/>
        </w:rPr>
      </w:pPr>
      <w:r>
        <w:rPr>
          <w:rFonts w:ascii="Arial" w:cs="Arial" w:eastAsia="Arial" w:hAnsi="Arial"/>
          <w:sz w:val="18"/>
          <w:szCs w:val="18"/>
          <w:color w:val="auto"/>
        </w:rPr>
        <w:t>59,715</w:t>
      </w:r>
    </w:p>
    <w:p>
      <w:pPr>
        <w:jc w:val="right"/>
        <w:spacing w:after="0" w:line="219" w:lineRule="auto"/>
        <w:rPr>
          <w:sz w:val="20"/>
          <w:szCs w:val="20"/>
          <w:color w:val="auto"/>
        </w:rPr>
      </w:pPr>
      <w:r>
        <w:rPr>
          <w:rFonts w:ascii="Arial" w:cs="Arial" w:eastAsia="Arial" w:hAnsi="Arial"/>
          <w:sz w:val="18"/>
          <w:szCs w:val="18"/>
          <w:color w:val="auto"/>
        </w:rPr>
        <w:t>11,088</w:t>
      </w:r>
    </w:p>
    <w:p>
      <w:pPr>
        <w:jc w:val="right"/>
        <w:spacing w:after="0" w:line="219" w:lineRule="auto"/>
        <w:rPr>
          <w:sz w:val="20"/>
          <w:szCs w:val="20"/>
          <w:color w:val="auto"/>
        </w:rPr>
      </w:pPr>
      <w:r>
        <w:rPr>
          <w:rFonts w:ascii="Arial" w:cs="Arial" w:eastAsia="Arial" w:hAnsi="Arial"/>
          <w:sz w:val="18"/>
          <w:szCs w:val="18"/>
          <w:color w:val="auto"/>
        </w:rPr>
        <w:t>5,984</w:t>
      </w:r>
    </w:p>
    <w:p>
      <w:pPr>
        <w:jc w:val="right"/>
        <w:spacing w:after="0" w:line="219" w:lineRule="auto"/>
        <w:rPr>
          <w:sz w:val="20"/>
          <w:szCs w:val="20"/>
          <w:color w:val="auto"/>
        </w:rPr>
      </w:pPr>
      <w:r>
        <w:rPr>
          <w:rFonts w:ascii="Arial" w:cs="Arial" w:eastAsia="Arial" w:hAnsi="Arial"/>
          <w:sz w:val="18"/>
          <w:szCs w:val="18"/>
          <w:color w:val="auto"/>
        </w:rPr>
        <w:t>49,711</w:t>
      </w:r>
    </w:p>
    <w:p>
      <w:pPr>
        <w:jc w:val="right"/>
        <w:spacing w:after="0" w:line="219" w:lineRule="auto"/>
        <w:rPr>
          <w:sz w:val="20"/>
          <w:szCs w:val="20"/>
          <w:color w:val="auto"/>
        </w:rPr>
      </w:pPr>
      <w:r>
        <w:rPr>
          <w:rFonts w:ascii="Arial" w:cs="Arial" w:eastAsia="Arial" w:hAnsi="Arial"/>
          <w:sz w:val="18"/>
          <w:szCs w:val="18"/>
          <w:color w:val="auto"/>
        </w:rPr>
        <w:t>7,800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900" w:hanging="89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15,163</w:t>
      </w:r>
    </w:p>
    <w:p>
      <w:pPr>
        <w:ind w:left="1000"/>
        <w:spacing w:after="0" w:line="219" w:lineRule="auto"/>
        <w:rPr>
          <w:rFonts w:ascii="Arial" w:cs="Arial" w:eastAsia="Arial" w:hAnsi="Arial"/>
          <w:sz w:val="18"/>
          <w:szCs w:val="18"/>
          <w:color w:val="auto"/>
        </w:rPr>
      </w:pPr>
      <w:r>
        <w:rPr>
          <w:rFonts w:ascii="Arial" w:cs="Arial" w:eastAsia="Arial" w:hAnsi="Arial"/>
          <w:sz w:val="18"/>
          <w:szCs w:val="18"/>
          <w:color w:val="auto"/>
        </w:rPr>
        <w:t>8,072</w:t>
      </w:r>
    </w:p>
    <w:p>
      <w:pPr>
        <w:jc w:val="right"/>
        <w:spacing w:after="0" w:line="219" w:lineRule="auto"/>
        <w:rPr>
          <w:sz w:val="20"/>
          <w:szCs w:val="20"/>
          <w:color w:val="auto"/>
        </w:rPr>
      </w:pPr>
      <w:r>
        <w:rPr>
          <w:rFonts w:ascii="Arial" w:cs="Arial" w:eastAsia="Arial" w:hAnsi="Arial"/>
          <w:sz w:val="18"/>
          <w:szCs w:val="18"/>
          <w:color w:val="auto"/>
        </w:rPr>
        <w:t>10,057</w:t>
      </w:r>
    </w:p>
    <w:p>
      <w:pPr>
        <w:jc w:val="right"/>
        <w:spacing w:after="0" w:line="219" w:lineRule="auto"/>
        <w:rPr>
          <w:sz w:val="20"/>
          <w:szCs w:val="20"/>
          <w:color w:val="auto"/>
        </w:rPr>
      </w:pPr>
      <w:r>
        <w:rPr>
          <w:rFonts w:ascii="Arial" w:cs="Arial" w:eastAsia="Arial" w:hAnsi="Arial"/>
          <w:sz w:val="18"/>
          <w:szCs w:val="18"/>
          <w:color w:val="auto"/>
        </w:rPr>
        <w:t>2,174</w:t>
      </w:r>
    </w:p>
    <w:p>
      <w:pPr>
        <w:jc w:val="right"/>
        <w:spacing w:after="0" w:line="219" w:lineRule="auto"/>
        <w:rPr>
          <w:sz w:val="20"/>
          <w:szCs w:val="20"/>
          <w:color w:val="auto"/>
        </w:rPr>
      </w:pPr>
      <w:r>
        <w:rPr>
          <w:rFonts w:ascii="Arial" w:cs="Arial" w:eastAsia="Arial" w:hAnsi="Arial"/>
          <w:sz w:val="18"/>
          <w:szCs w:val="18"/>
          <w:color w:val="auto"/>
        </w:rPr>
        <w:t>41,525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88,657</w:t>
      </w:r>
    </w:p>
    <w:p>
      <w:pPr>
        <w:jc w:val="right"/>
        <w:spacing w:after="0" w:line="219" w:lineRule="auto"/>
        <w:rPr>
          <w:sz w:val="20"/>
          <w:szCs w:val="20"/>
          <w:color w:val="auto"/>
        </w:rPr>
      </w:pPr>
      <w:r>
        <w:rPr>
          <w:rFonts w:ascii="Arial" w:cs="Arial" w:eastAsia="Arial" w:hAnsi="Arial"/>
          <w:sz w:val="18"/>
          <w:szCs w:val="18"/>
          <w:color w:val="auto"/>
        </w:rPr>
        <w:t>50,074</w:t>
      </w:r>
    </w:p>
    <w:p>
      <w:pPr>
        <w:jc w:val="right"/>
        <w:spacing w:after="0" w:line="219" w:lineRule="auto"/>
        <w:rPr>
          <w:sz w:val="20"/>
          <w:szCs w:val="20"/>
          <w:color w:val="auto"/>
        </w:rPr>
      </w:pPr>
      <w:r>
        <w:rPr>
          <w:rFonts w:ascii="Arial" w:cs="Arial" w:eastAsia="Arial" w:hAnsi="Arial"/>
          <w:sz w:val="18"/>
          <w:szCs w:val="18"/>
          <w:color w:val="auto"/>
        </w:rPr>
        <w:t>27,190</w:t>
      </w:r>
    </w:p>
    <w:p>
      <w:pPr>
        <w:jc w:val="right"/>
        <w:spacing w:after="0" w:line="219" w:lineRule="auto"/>
        <w:rPr>
          <w:sz w:val="20"/>
          <w:szCs w:val="20"/>
          <w:color w:val="auto"/>
        </w:rPr>
      </w:pPr>
      <w:r>
        <w:rPr>
          <w:rFonts w:ascii="Arial" w:cs="Arial" w:eastAsia="Arial" w:hAnsi="Arial"/>
          <w:sz w:val="18"/>
          <w:szCs w:val="18"/>
          <w:color w:val="auto"/>
        </w:rPr>
        <w:t>2,616</w:t>
      </w:r>
    </w:p>
    <w:p>
      <w:pPr>
        <w:jc w:val="right"/>
        <w:spacing w:after="0" w:line="219" w:lineRule="auto"/>
        <w:rPr>
          <w:sz w:val="20"/>
          <w:szCs w:val="20"/>
          <w:color w:val="auto"/>
        </w:rPr>
      </w:pPr>
      <w:r>
        <w:rPr>
          <w:rFonts w:ascii="Arial" w:cs="Arial" w:eastAsia="Arial" w:hAnsi="Arial"/>
          <w:sz w:val="18"/>
          <w:szCs w:val="18"/>
          <w:color w:val="auto"/>
        </w:rPr>
        <w:t>198</w:t>
      </w:r>
    </w:p>
    <w:p>
      <w:pPr>
        <w:jc w:val="right"/>
        <w:spacing w:after="0" w:line="219" w:lineRule="auto"/>
        <w:rPr>
          <w:sz w:val="20"/>
          <w:szCs w:val="20"/>
          <w:color w:val="auto"/>
        </w:rPr>
      </w:pPr>
      <w:r>
        <w:rPr>
          <w:rFonts w:ascii="Arial" w:cs="Arial" w:eastAsia="Arial" w:hAnsi="Arial"/>
          <w:sz w:val="18"/>
          <w:szCs w:val="18"/>
          <w:color w:val="auto"/>
        </w:rPr>
        <w:t>9,629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83,111</w:t>
      </w:r>
    </w:p>
    <w:p>
      <w:pPr>
        <w:jc w:val="right"/>
        <w:spacing w:after="0" w:line="219" w:lineRule="auto"/>
        <w:rPr>
          <w:sz w:val="20"/>
          <w:szCs w:val="20"/>
          <w:color w:val="auto"/>
        </w:rPr>
      </w:pPr>
      <w:r>
        <w:rPr>
          <w:rFonts w:ascii="Arial" w:cs="Arial" w:eastAsia="Arial" w:hAnsi="Arial"/>
          <w:sz w:val="18"/>
          <w:szCs w:val="18"/>
          <w:color w:val="auto"/>
        </w:rPr>
        <w:t>57,055</w:t>
      </w:r>
    </w:p>
    <w:p>
      <w:pPr>
        <w:jc w:val="right"/>
        <w:spacing w:after="0"/>
        <w:rPr>
          <w:sz w:val="20"/>
          <w:szCs w:val="20"/>
          <w:color w:val="auto"/>
        </w:rPr>
      </w:pPr>
      <w:r>
        <w:rPr>
          <w:rFonts w:ascii="Arial" w:cs="Arial" w:eastAsia="Arial" w:hAnsi="Arial"/>
          <w:sz w:val="18"/>
          <w:szCs w:val="18"/>
          <w:color w:val="auto"/>
        </w:rPr>
        <w:t>1,822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1" w:lineRule="exact"/>
        <w:rPr>
          <w:sz w:val="20"/>
          <w:szCs w:val="20"/>
          <w:color w:val="auto"/>
        </w:rPr>
      </w:pPr>
    </w:p>
    <w:p>
      <w:pPr>
        <w:ind w:left="800" w:hanging="79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9169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480" w:space="200"/>
            <w:col w:w="1460"/>
          </w:cols>
          <w:pgMar w:left="320" w:top="138" w:right="4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 w:right="439" w:bottom="1440" w:gutter="0" w:footer="0" w:header="0"/>
          <w:type w:val="continuous"/>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20"/>
                <w:szCs w:val="20"/>
                <w:color w:val="auto"/>
              </w:rPr>
            </w:pPr>
            <w:r>
              <w:rPr>
                <w:rFonts w:ascii="Arial" w:cs="Arial" w:eastAsia="Arial" w:hAnsi="Arial"/>
                <w:sz w:val="13"/>
                <w:szCs w:val="13"/>
                <w:b w:val="1"/>
                <w:bCs w:val="1"/>
                <w:color w:val="auto"/>
              </w:rPr>
              <w:t>(In millions) (Unaudited)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4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4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18,765</w:t>
            </w:r>
          </w:p>
        </w:tc>
        <w:tc>
          <w:tcPr>
            <w:tcW w:w="1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15,463</w:t>
            </w:r>
          </w:p>
        </w:tc>
        <w:tc>
          <w:tcPr>
            <w:tcW w:w="540" w:type="dxa"/>
            <w:vAlign w:val="bottom"/>
            <w:gridSpan w:val="2"/>
          </w:tcPr>
          <w:p>
            <w:pPr>
              <w:jc w:val="right"/>
              <w:ind w:right="420"/>
              <w:spacing w:after="0" w:line="189" w:lineRule="exact"/>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39,270</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29,356</w:t>
            </w:r>
          </w:p>
        </w:tc>
        <w:tc>
          <w:tcPr>
            <w:tcW w:w="0" w:type="dxa"/>
            <w:vAlign w:val="bottom"/>
          </w:tcPr>
          <w:p>
            <w:pPr>
              <w:spacing w:after="0"/>
              <w:rPr>
                <w:sz w:val="1"/>
                <w:szCs w:val="1"/>
                <w:color w:val="auto"/>
              </w:rPr>
            </w:pPr>
          </w:p>
        </w:tc>
      </w:tr>
      <w:tr>
        <w:trPr>
          <w:trHeight w:val="175"/>
        </w:trPr>
        <w:tc>
          <w:tcPr>
            <w:tcW w:w="460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Adjustments to reconcile net income to net cash from</w:t>
            </w:r>
          </w:p>
        </w:tc>
        <w:tc>
          <w:tcPr>
            <w:tcW w:w="4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3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operations:</w:t>
            </w:r>
          </w:p>
        </w:tc>
        <w:tc>
          <w:tcPr>
            <w:tcW w:w="4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amortization, and other</w:t>
            </w:r>
          </w:p>
        </w:tc>
        <w:tc>
          <w:tcPr>
            <w:tcW w:w="4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3,496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6,708</w:t>
            </w:r>
          </w:p>
        </w:tc>
        <w:tc>
          <w:tcPr>
            <w:tcW w:w="240" w:type="dxa"/>
            <w:vAlign w:val="bottom"/>
          </w:tcPr>
          <w:p>
            <w:pPr>
              <w:spacing w:after="0"/>
              <w:rPr>
                <w:sz w:val="17"/>
                <w:szCs w:val="17"/>
                <w:color w:val="auto"/>
              </w:rPr>
            </w:pP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1,897</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1,566</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3,599</w:t>
            </w:r>
          </w:p>
        </w:tc>
        <w:tc>
          <w:tcPr>
            <w:tcW w:w="24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Net recognized gains on investments and derivatives</w:t>
            </w: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354)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(671)</w:t>
            </w: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183</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(5,787)</w:t>
            </w:r>
          </w:p>
        </w:tc>
        <w:tc>
          <w:tcPr>
            <w:tcW w:w="24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receivable</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(5,543)</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(4,008)</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4,943</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394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(383)</w:t>
            </w: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830</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730</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1,770</w:t>
            </w:r>
          </w:p>
        </w:tc>
        <w:tc>
          <w:tcPr>
            <w:tcW w:w="240" w:type="dxa"/>
            <w:vAlign w:val="bottom"/>
            <w:shd w:val="clear" w:color="auto" w:fill="E5E5E5"/>
          </w:tcPr>
          <w:p>
            <w:pPr>
              <w:spacing w:after="0"/>
              <w:rPr>
                <w:sz w:val="17"/>
                <w:szCs w:val="17"/>
                <w:color w:val="auto"/>
              </w:rPr>
            </w:pPr>
          </w:p>
        </w:tc>
        <w:tc>
          <w:tcPr>
            <w:tcW w:w="1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676</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Other long-term assets</w:t>
            </w: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1,499)</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(1,506)</w:t>
            </w: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235</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(236)</w:t>
            </w:r>
          </w:p>
        </w:tc>
        <w:tc>
          <w:tcPr>
            <w:tcW w:w="240" w:type="dxa"/>
            <w:vAlign w:val="bottom"/>
            <w:shd w:val="clear" w:color="auto" w:fill="E5E5E5"/>
          </w:tcPr>
          <w:p>
            <w:pPr>
              <w:spacing w:after="0"/>
              <w:rPr>
                <w:sz w:val="16"/>
                <w:szCs w:val="16"/>
                <w:color w:val="auto"/>
              </w:rPr>
            </w:pP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348</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440"/>
              <w:spacing w:after="0" w:line="202" w:lineRule="exact"/>
              <w:rPr>
                <w:sz w:val="20"/>
                <w:szCs w:val="20"/>
                <w:color w:val="auto"/>
              </w:rPr>
            </w:pPr>
            <w:r>
              <w:rPr>
                <w:rFonts w:ascii="Arial" w:cs="Arial" w:eastAsia="Arial" w:hAnsi="Arial"/>
                <w:sz w:val="18"/>
                <w:szCs w:val="18"/>
                <w:color w:val="auto"/>
              </w:rPr>
              <w:t>Unearned revenue</w:t>
            </w: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(4,343)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(3,227)</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(7,228)</w:t>
            </w: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440"/>
              <w:spacing w:after="0" w:line="189" w:lineRule="exact"/>
              <w:rPr>
                <w:sz w:val="20"/>
                <w:szCs w:val="20"/>
                <w:color w:val="auto"/>
              </w:rPr>
            </w:pPr>
            <w:r>
              <w:rPr>
                <w:rFonts w:ascii="Arial" w:cs="Arial" w:eastAsia="Arial" w:hAnsi="Arial"/>
                <w:sz w:val="18"/>
                <w:szCs w:val="18"/>
                <w:color w:val="auto"/>
              </w:rPr>
              <w:t>Income taxes</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(2,057)</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(2,368)</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596</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189"/>
        </w:trPr>
        <w:tc>
          <w:tcPr>
            <w:tcW w:w="4600" w:type="dxa"/>
            <w:vAlign w:val="bottom"/>
          </w:tcPr>
          <w:p>
            <w:pPr>
              <w:ind w:left="440"/>
              <w:spacing w:after="0" w:line="189" w:lineRule="exact"/>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1,755</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(2,398)</w:t>
            </w:r>
          </w:p>
        </w:tc>
        <w:tc>
          <w:tcPr>
            <w:tcW w:w="240" w:type="dxa"/>
            <w:vAlign w:val="bottom"/>
          </w:tcPr>
          <w:p>
            <w:pPr>
              <w:spacing w:after="0"/>
              <w:rPr>
                <w:sz w:val="16"/>
                <w:szCs w:val="16"/>
                <w:color w:val="auto"/>
              </w:rPr>
            </w:pPr>
          </w:p>
        </w:tc>
        <w:tc>
          <w:tcPr>
            <w:tcW w:w="14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93</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893</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343</w:t>
            </w:r>
          </w:p>
        </w:tc>
        <w:tc>
          <w:tcPr>
            <w:tcW w:w="24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14,480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12,516</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39,020</w:t>
            </w:r>
          </w:p>
        </w:tc>
        <w:tc>
          <w:tcPr>
            <w:tcW w:w="24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w:t>
            </w:r>
          </w:p>
        </w:tc>
        <w:tc>
          <w:tcPr>
            <w:tcW w:w="4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Repayments of debt</w:t>
            </w:r>
          </w:p>
        </w:tc>
        <w:tc>
          <w:tcPr>
            <w:tcW w:w="46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(3,250)</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(4,826)</w:t>
            </w:r>
          </w:p>
        </w:tc>
        <w:tc>
          <w:tcPr>
            <w:tcW w:w="240" w:type="dxa"/>
            <w:vAlign w:val="bottom"/>
          </w:tcPr>
          <w:p>
            <w:pPr>
              <w:spacing w:after="0"/>
              <w:rPr>
                <w:sz w:val="16"/>
                <w:szCs w:val="16"/>
                <w:color w:val="auto"/>
              </w:rPr>
            </w:pPr>
          </w:p>
        </w:tc>
        <w:tc>
          <w:tcPr>
            <w:tcW w:w="14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291</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302</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903</w:t>
            </w:r>
          </w:p>
        </w:tc>
        <w:tc>
          <w:tcPr>
            <w:tcW w:w="240" w:type="dxa"/>
            <w:vAlign w:val="bottom"/>
            <w:shd w:val="clear" w:color="auto" w:fill="E5E5E5"/>
          </w:tcPr>
          <w:p>
            <w:pPr>
              <w:spacing w:after="0"/>
              <w:rPr>
                <w:sz w:val="16"/>
                <w:szCs w:val="16"/>
                <w:color w:val="auto"/>
              </w:rPr>
            </w:pP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847</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(7,433)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(6,535)</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(15,117)</w:t>
            </w: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(4,652)</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(4,230)</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(8,858)</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(364)</w:t>
            </w:r>
          </w:p>
        </w:tc>
        <w:tc>
          <w:tcPr>
            <w:tcW w:w="2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ind w:left="660"/>
              <w:spacing w:after="0" w:line="189" w:lineRule="exact"/>
              <w:rPr>
                <w:sz w:val="20"/>
                <w:szCs w:val="20"/>
                <w:color w:val="auto"/>
              </w:rPr>
            </w:pPr>
            <w:r>
              <w:rPr>
                <w:rFonts w:ascii="Arial" w:cs="Arial" w:eastAsia="Arial" w:hAnsi="Arial"/>
                <w:sz w:val="18"/>
                <w:szCs w:val="18"/>
                <w:color w:val="auto"/>
              </w:rPr>
              <w:t>Net cash used in financing</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(11,986)</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(13,634)</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(28,262)</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(5,865)</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(4,174)</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(11,675)</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175"/>
        </w:trPr>
        <w:tc>
          <w:tcPr>
            <w:tcW w:w="4600" w:type="dxa"/>
            <w:vAlign w:val="bottom"/>
          </w:tcPr>
          <w:p>
            <w:pPr>
              <w:spacing w:after="0" w:line="175" w:lineRule="exact"/>
              <w:rPr>
                <w:sz w:val="20"/>
                <w:szCs w:val="20"/>
                <w:color w:val="auto"/>
              </w:rPr>
            </w:pPr>
            <w:r>
              <w:rPr>
                <w:rFonts w:ascii="Arial" w:cs="Arial" w:eastAsia="Arial" w:hAnsi="Arial"/>
                <w:sz w:val="18"/>
                <w:szCs w:val="18"/>
                <w:color w:val="auto"/>
              </w:rPr>
              <w:t>Acquisition of companies, net of cash acquired, and</w:t>
            </w:r>
          </w:p>
        </w:tc>
        <w:tc>
          <w:tcPr>
            <w:tcW w:w="460" w:type="dxa"/>
            <w:vAlign w:val="bottom"/>
          </w:tcPr>
          <w:p>
            <w:pPr>
              <w:spacing w:after="0"/>
              <w:rPr>
                <w:sz w:val="15"/>
                <w:szCs w:val="15"/>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(850)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(2,056)</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3" w:lineRule="exact"/>
              <w:rPr>
                <w:sz w:val="20"/>
                <w:szCs w:val="20"/>
                <w:color w:val="auto"/>
              </w:rPr>
            </w:pPr>
            <w:r>
              <w:rPr>
                <w:rFonts w:ascii="Arial" w:cs="Arial" w:eastAsia="Arial" w:hAnsi="Arial"/>
                <w:sz w:val="18"/>
                <w:szCs w:val="18"/>
                <w:color w:val="auto"/>
              </w:rPr>
              <w:t>purchases of intangible and other assets</w:t>
            </w:r>
          </w:p>
        </w:tc>
        <w:tc>
          <w:tcPr>
            <w:tcW w:w="4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(415)</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Purchases of investments</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(2,505)</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(15,092)</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(12,814)</w:t>
            </w:r>
          </w:p>
        </w:tc>
        <w:tc>
          <w:tcPr>
            <w:tcW w:w="240" w:type="dxa"/>
            <w:vAlign w:val="bottom"/>
            <w:shd w:val="clear" w:color="auto" w:fill="E5E5E5"/>
          </w:tcPr>
          <w:p>
            <w:pPr>
              <w:spacing w:after="0"/>
              <w:rPr>
                <w:sz w:val="16"/>
                <w:szCs w:val="16"/>
                <w:color w:val="auto"/>
              </w:rPr>
            </w:pPr>
          </w:p>
        </w:tc>
        <w:tc>
          <w:tcPr>
            <w:tcW w:w="14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(29,672)</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Maturities of investments</w:t>
            </w:r>
          </w:p>
        </w:tc>
        <w:tc>
          <w:tcPr>
            <w:tcW w:w="46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5,253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15,264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14,115</w:t>
            </w:r>
          </w:p>
        </w:tc>
        <w:tc>
          <w:tcPr>
            <w:tcW w:w="240" w:type="dxa"/>
            <w:vAlign w:val="bottom"/>
          </w:tcPr>
          <w:p>
            <w:pPr>
              <w:spacing w:after="0"/>
              <w:rPr>
                <w:sz w:val="16"/>
                <w:szCs w:val="16"/>
                <w:color w:val="auto"/>
              </w:rPr>
            </w:pPr>
          </w:p>
        </w:tc>
        <w:tc>
          <w:tcPr>
            <w:tcW w:w="14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29,530</w:t>
            </w: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of investments</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2,895</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2,421</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8,525</w:t>
            </w:r>
          </w:p>
        </w:tc>
        <w:tc>
          <w:tcPr>
            <w:tcW w:w="24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(506)</w:t>
            </w:r>
          </w:p>
        </w:tc>
        <w:tc>
          <w:tcPr>
            <w:tcW w:w="24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used in investing</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(1,161)</w:t>
            </w:r>
          </w:p>
        </w:tc>
        <w:tc>
          <w:tcPr>
            <w:tcW w:w="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40"/>
              <w:spacing w:after="0" w:line="20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1,669)</w:t>
            </w:r>
          </w:p>
        </w:tc>
        <w:tc>
          <w:tcPr>
            <w:tcW w:w="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(4,411)</w:t>
            </w:r>
          </w:p>
        </w:tc>
        <w:tc>
          <w:tcPr>
            <w:tcW w:w="240" w:type="dxa"/>
            <w:vAlign w:val="bottom"/>
            <w:shd w:val="clear" w:color="auto" w:fill="E5E5E5"/>
          </w:tcPr>
          <w:p>
            <w:pPr>
              <w:spacing w:after="0"/>
              <w:rPr>
                <w:sz w:val="17"/>
                <w:szCs w:val="17"/>
                <w:color w:val="auto"/>
              </w:rPr>
            </w:pPr>
          </w:p>
        </w:tc>
        <w:tc>
          <w:tcPr>
            <w:tcW w:w="14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68"/>
        </w:trPr>
        <w:tc>
          <w:tcPr>
            <w:tcW w:w="4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Effect of foreign exchange rates on cash and cash</w:t>
            </w:r>
          </w:p>
        </w:tc>
        <w:tc>
          <w:tcPr>
            <w:tcW w:w="460" w:type="dxa"/>
            <w:vAlign w:val="bottom"/>
          </w:tcPr>
          <w:p>
            <w:pPr>
              <w:spacing w:after="0"/>
              <w:rPr>
                <w:sz w:val="20"/>
                <w:szCs w:val="20"/>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220"/>
              <w:spacing w:after="0"/>
              <w:rPr>
                <w:sz w:val="20"/>
                <w:szCs w:val="20"/>
                <w:color w:val="auto"/>
              </w:rPr>
            </w:pPr>
            <w:r>
              <w:rPr>
                <w:rFonts w:ascii="Arial" w:cs="Arial" w:eastAsia="Arial" w:hAnsi="Arial"/>
                <w:sz w:val="18"/>
                <w:szCs w:val="18"/>
                <w:color w:val="auto"/>
              </w:rPr>
              <w:t>equivalents</w:t>
            </w:r>
          </w:p>
        </w:tc>
        <w:tc>
          <w:tcPr>
            <w:tcW w:w="4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4"/>
        </w:trPr>
        <w:tc>
          <w:tcPr>
            <w:tcW w:w="4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46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1,439</w:t>
            </w:r>
          </w:p>
        </w:tc>
        <w:tc>
          <w:tcPr>
            <w:tcW w:w="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(2,773)</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6,380</w:t>
            </w:r>
          </w:p>
        </w:tc>
        <w:tc>
          <w:tcPr>
            <w:tcW w:w="240" w:type="dxa"/>
            <w:vAlign w:val="bottom"/>
            <w:shd w:val="clear" w:color="auto" w:fill="E5E5E5"/>
          </w:tcPr>
          <w:p>
            <w:pPr>
              <w:spacing w:after="0"/>
              <w:rPr>
                <w:sz w:val="16"/>
                <w:szCs w:val="16"/>
                <w:color w:val="auto"/>
              </w:rPr>
            </w:pP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856</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19,165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14,224</w:t>
            </w:r>
          </w:p>
        </w:tc>
        <w:tc>
          <w:tcPr>
            <w:tcW w:w="24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68"/>
        </w:trPr>
        <w:tc>
          <w:tcPr>
            <w:tcW w:w="4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20,604</w:t>
            </w:r>
          </w:p>
        </w:tc>
        <w:tc>
          <w:tcPr>
            <w:tcW w:w="1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14,432</w:t>
            </w:r>
          </w:p>
        </w:tc>
        <w:tc>
          <w:tcPr>
            <w:tcW w:w="5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20,604</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4"/>
        </w:trPr>
        <w:tc>
          <w:tcPr>
            <w:tcW w:w="4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5"/>
        </w:trPr>
        <w:tc>
          <w:tcPr>
            <w:tcW w:w="4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83,751</w:t>
            </w:r>
          </w:p>
        </w:tc>
        <w:tc>
          <w:tcPr>
            <w:tcW w:w="2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81,089</w:t>
            </w:r>
          </w:p>
        </w:tc>
        <w:tc>
          <w:tcPr>
            <w:tcW w:w="54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83,111</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80,552</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291</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302</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903</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1,117</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(1,062)</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(3,088)</w:t>
            </w:r>
          </w:p>
        </w:tc>
        <w:tc>
          <w:tcPr>
            <w:tcW w:w="220" w:type="dxa"/>
            <w:vAlign w:val="bottom"/>
          </w:tcPr>
          <w:p>
            <w:pPr>
              <w:spacing w:after="0"/>
              <w:rPr>
                <w:sz w:val="16"/>
                <w:szCs w:val="16"/>
                <w:color w:val="auto"/>
              </w:rPr>
            </w:pPr>
          </w:p>
        </w:tc>
        <w:tc>
          <w:tcPr>
            <w:tcW w:w="13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(2,794)</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1,897</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1,566</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3,599</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3,022</w:t>
            </w: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68"/>
        </w:trPr>
        <w:tc>
          <w:tcPr>
            <w:tcW w:w="46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6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84,528</w:t>
            </w: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81,896</w:t>
            </w:r>
          </w:p>
        </w:tc>
        <w:tc>
          <w:tcPr>
            <w:tcW w:w="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84,528</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81,896</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66,944</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39,193</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57,055</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34,566</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18,765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15,463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39,270</w:t>
            </w:r>
          </w:p>
        </w:tc>
        <w:tc>
          <w:tcPr>
            <w:tcW w:w="22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29,356</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(4,646)</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(4,220)</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(9,297)</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(8,451)</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(6,018)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(5,463)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(11,983)</w:t>
            </w:r>
          </w:p>
        </w:tc>
        <w:tc>
          <w:tcPr>
            <w:tcW w:w="220" w:type="dxa"/>
            <w:vAlign w:val="bottom"/>
          </w:tcPr>
          <w:p>
            <w:pPr>
              <w:spacing w:after="0"/>
              <w:rPr>
                <w:sz w:val="16"/>
                <w:szCs w:val="16"/>
                <w:color w:val="auto"/>
              </w:rPr>
            </w:pPr>
          </w:p>
        </w:tc>
        <w:tc>
          <w:tcPr>
            <w:tcW w:w="13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(10,466)</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(32)</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75,045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44,973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75,045</w:t>
            </w:r>
          </w:p>
        </w:tc>
        <w:tc>
          <w:tcPr>
            <w:tcW w:w="22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44,973</w:t>
            </w:r>
          </w:p>
        </w:tc>
      </w:tr>
      <w:tr>
        <w:trPr>
          <w:trHeight w:val="54"/>
        </w:trPr>
        <w:tc>
          <w:tcPr>
            <w:tcW w:w="4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w:t>
            </w: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tcPr>
          <w:p>
            <w:pPr>
              <w:spacing w:after="0"/>
              <w:rPr>
                <w:sz w:val="16"/>
                <w:szCs w:val="16"/>
                <w:color w:val="auto"/>
              </w:rPr>
            </w:pP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3,110</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1,822</w:t>
            </w:r>
          </w:p>
        </w:tc>
        <w:tc>
          <w:tcPr>
            <w:tcW w:w="22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3,186</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(846)</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257</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(1,385)</w:t>
            </w: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171</w:t>
            </w:r>
          </w:p>
        </w:tc>
        <w:tc>
          <w:tcPr>
            <w:tcW w:w="100" w:type="dxa"/>
            <w:vAlign w:val="bottom"/>
            <w:shd w:val="clear" w:color="auto" w:fill="E5E5E5"/>
          </w:tcPr>
          <w:p>
            <w:pPr>
              <w:spacing w:after="0"/>
              <w:rPr>
                <w:sz w:val="16"/>
                <w:szCs w:val="16"/>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4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68"/>
        </w:trPr>
        <w:tc>
          <w:tcPr>
            <w:tcW w:w="46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437</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3,367</w:t>
            </w:r>
          </w:p>
        </w:tc>
        <w:tc>
          <w:tcPr>
            <w:tcW w:w="6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437</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3,367</w:t>
            </w: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160,010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130,236</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160,010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130,236</w:t>
            </w:r>
          </w:p>
        </w:tc>
        <w:tc>
          <w:tcPr>
            <w:tcW w:w="100" w:type="dxa"/>
            <w:vAlign w:val="bottom"/>
          </w:tcPr>
          <w:p>
            <w:pPr>
              <w:spacing w:after="0"/>
              <w:rPr>
                <w:sz w:val="22"/>
                <w:szCs w:val="22"/>
                <w:color w:val="auto"/>
              </w:rPr>
            </w:pPr>
          </w:p>
        </w:tc>
      </w:tr>
      <w:tr>
        <w:trPr>
          <w:trHeight w:val="61"/>
        </w:trPr>
        <w:tc>
          <w:tcPr>
            <w:tcW w:w="46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0.62</w:t>
            </w:r>
          </w:p>
        </w:tc>
        <w:tc>
          <w:tcPr>
            <w:tcW w:w="2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0.56</w:t>
            </w:r>
          </w:p>
        </w:tc>
        <w:tc>
          <w:tcPr>
            <w:tcW w:w="5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1.12</w:t>
            </w:r>
          </w:p>
        </w:tc>
        <w:tc>
          <w:tcPr>
            <w:tcW w:w="100" w:type="dxa"/>
            <w:vAlign w:val="bottom"/>
            <w:shd w:val="clear" w:color="auto" w:fill="E5E5E5"/>
          </w:tcPr>
          <w:p>
            <w:pPr>
              <w:spacing w:after="0"/>
              <w:rPr>
                <w:sz w:val="16"/>
                <w:szCs w:val="16"/>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12"/>
        </w:trPr>
        <w:tc>
          <w:tcPr>
            <w:tcW w:w="462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2021 Form 10-K filed with the U.S. Securities and Exchange Commission (“SEC”) on July 29,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 including uncertainty in the current economic environment due to COVID-19.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6" w:lineRule="exact"/>
        <w:rPr>
          <w:sz w:val="20"/>
          <w:szCs w:val="20"/>
          <w:color w:val="auto"/>
        </w:rPr>
      </w:pPr>
    </w:p>
    <w:p>
      <w:pPr>
        <w:jc w:val="both"/>
        <w:ind w:left="1060" w:hanging="391"/>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8" w:lineRule="exact"/>
        <w:rPr>
          <w:rFonts w:ascii="Arial" w:cs="Arial" w:eastAsia="Arial" w:hAnsi="Arial"/>
          <w:sz w:val="18"/>
          <w:szCs w:val="18"/>
          <w:color w:val="auto"/>
        </w:rPr>
      </w:pPr>
    </w:p>
    <w:p>
      <w:pPr>
        <w:jc w:val="both"/>
        <w:ind w:left="1060" w:hanging="391"/>
        <w:spacing w:after="0" w:line="23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38" w:lineRule="exact"/>
        <w:rPr>
          <w:rFonts w:ascii="Arial" w:cs="Arial" w:eastAsia="Arial" w:hAnsi="Arial"/>
          <w:sz w:val="18"/>
          <w:szCs w:val="18"/>
          <w:color w:val="auto"/>
        </w:rPr>
      </w:pPr>
    </w:p>
    <w:p>
      <w:pPr>
        <w:jc w:val="both"/>
        <w:ind w:left="1060" w:hanging="391"/>
        <w:spacing w:after="0" w:line="242"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2021 and June 30, 2021, other receivables due from suppliers were $987 million and $965 million, respectively, and are included in accounts receivable, net in our consolidated balance sheets.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2021 and June 30, 2021, long-term accounts receivable, net of allowance for doubtful accounts, was $3.5 billion and $3.4 billion, respectively, and is included in other long-term assets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December 31, 2021 and June 30, 2021, our financing receivables, net were $2.9 billion and $4.4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We adopted the standard effective July 1, 2021. Adoption of the standard did not have a material impact on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3980" w:type="dxa"/>
            <w:vAlign w:val="bottom"/>
          </w:tcPr>
          <w:p>
            <w:pPr>
              <w:spacing w:after="0"/>
              <w:rPr>
                <w:sz w:val="20"/>
                <w:szCs w:val="20"/>
                <w:color w:val="auto"/>
              </w:rPr>
            </w:pPr>
            <w:r>
              <w:rPr>
                <w:rFonts w:ascii="Arial" w:cs="Arial" w:eastAsia="Arial" w:hAnsi="Arial"/>
                <w:sz w:val="13"/>
                <w:szCs w:val="13"/>
                <w:b w:val="1"/>
                <w:bCs w:val="1"/>
                <w:color w:val="auto"/>
              </w:rPr>
              <w:t>(In millions, except earnings per share)</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5"/>
        </w:trPr>
        <w:tc>
          <w:tcPr>
            <w:tcW w:w="3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Net income available for common shareholders</w:t>
            </w:r>
          </w:p>
        </w:tc>
        <w:tc>
          <w:tcPr>
            <w:tcW w:w="640" w:type="dxa"/>
            <w:vAlign w:val="bottom"/>
            <w:gridSpan w:val="2"/>
            <w:vMerge w:val="restart"/>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18,765</w:t>
            </w:r>
          </w:p>
        </w:tc>
        <w:tc>
          <w:tcPr>
            <w:tcW w:w="2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500" w:type="dxa"/>
            <w:vAlign w:val="bottom"/>
            <w:vMerge w:val="restart"/>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vMerge w:val="restart"/>
            <w:shd w:val="clear" w:color="auto" w:fill="E5E5E5"/>
          </w:tcPr>
          <w:p>
            <w:pPr>
              <w:jc w:val="right"/>
              <w:ind w:right="420"/>
              <w:spacing w:after="0"/>
              <w:rPr>
                <w:sz w:val="20"/>
                <w:szCs w:val="20"/>
                <w:color w:val="auto"/>
              </w:rPr>
            </w:pPr>
            <w:r>
              <w:rPr>
                <w:rFonts w:ascii="Arial" w:cs="Arial" w:eastAsia="Arial" w:hAnsi="Arial"/>
                <w:sz w:val="18"/>
                <w:szCs w:val="18"/>
                <w:b w:val="1"/>
                <w:bCs w:val="1"/>
                <w:color w:val="auto"/>
              </w:rPr>
              <w:t>39,270</w:t>
            </w:r>
          </w:p>
        </w:tc>
        <w:tc>
          <w:tcPr>
            <w:tcW w:w="200" w:type="dxa"/>
            <w:vAlign w:val="bottom"/>
            <w:shd w:val="clear" w:color="auto" w:fill="E5E5E5"/>
          </w:tcPr>
          <w:p>
            <w:pPr>
              <w:spacing w:after="0"/>
              <w:rPr>
                <w:sz w:val="15"/>
                <w:szCs w:val="15"/>
                <w:color w:val="auto"/>
              </w:rPr>
            </w:pPr>
          </w:p>
        </w:tc>
        <w:tc>
          <w:tcPr>
            <w:tcW w:w="12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(A)</w:t>
            </w:r>
          </w:p>
        </w:tc>
        <w:tc>
          <w:tcPr>
            <w:tcW w:w="640" w:type="dxa"/>
            <w:vAlign w:val="bottom"/>
            <w:gridSpan w:val="2"/>
            <w:vMerge w:val="continue"/>
            <w:shd w:val="clear" w:color="auto" w:fill="E5E5E5"/>
          </w:tcPr>
          <w:p>
            <w:pPr>
              <w:spacing w:after="0"/>
              <w:rPr>
                <w:sz w:val="17"/>
                <w:szCs w:val="17"/>
                <w:color w:val="auto"/>
              </w:rPr>
            </w:pPr>
          </w:p>
        </w:tc>
        <w:tc>
          <w:tcPr>
            <w:tcW w:w="1100" w:type="dxa"/>
            <w:vAlign w:val="bottom"/>
            <w:gridSpan w:val="2"/>
            <w:vMerge w:val="continue"/>
            <w:shd w:val="clear" w:color="auto" w:fill="E5E5E5"/>
          </w:tcPr>
          <w:p>
            <w:pPr>
              <w:spacing w:after="0"/>
              <w:rPr>
                <w:sz w:val="17"/>
                <w:szCs w:val="17"/>
                <w:color w:val="auto"/>
              </w:rPr>
            </w:pPr>
          </w:p>
        </w:tc>
        <w:tc>
          <w:tcPr>
            <w:tcW w:w="500" w:type="dxa"/>
            <w:vAlign w:val="bottom"/>
            <w:gridSpan w:val="2"/>
            <w:shd w:val="clear" w:color="auto" w:fill="E5E5E5"/>
          </w:tcPr>
          <w:p>
            <w:pPr>
              <w:ind w:left="220"/>
              <w:spacing w:after="0" w:line="203"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420"/>
              <w:spacing w:after="0" w:line="203" w:lineRule="exact"/>
              <w:rPr>
                <w:sz w:val="20"/>
                <w:szCs w:val="20"/>
                <w:color w:val="auto"/>
              </w:rPr>
            </w:pPr>
            <w:r>
              <w:rPr>
                <w:rFonts w:ascii="Arial" w:cs="Arial" w:eastAsia="Arial" w:hAnsi="Arial"/>
                <w:sz w:val="18"/>
                <w:szCs w:val="18"/>
                <w:color w:val="auto"/>
              </w:rPr>
              <w:t>15,463</w:t>
            </w:r>
          </w:p>
        </w:tc>
        <w:tc>
          <w:tcPr>
            <w:tcW w:w="500" w:type="dxa"/>
            <w:vAlign w:val="bottom"/>
            <w:vMerge w:val="continue"/>
            <w:shd w:val="clear" w:color="auto" w:fill="E5E5E5"/>
          </w:tcPr>
          <w:p>
            <w:pPr>
              <w:spacing w:after="0"/>
              <w:rPr>
                <w:sz w:val="17"/>
                <w:szCs w:val="17"/>
                <w:color w:val="auto"/>
              </w:rPr>
            </w:pPr>
          </w:p>
        </w:tc>
        <w:tc>
          <w:tcPr>
            <w:tcW w:w="1360" w:type="dxa"/>
            <w:vAlign w:val="bottom"/>
            <w:gridSpan w:val="2"/>
            <w:vMerge w:val="continue"/>
            <w:shd w:val="clear" w:color="auto" w:fill="E5E5E5"/>
          </w:tcPr>
          <w:p>
            <w:pPr>
              <w:spacing w:after="0"/>
              <w:rPr>
                <w:sz w:val="17"/>
                <w:szCs w:val="17"/>
                <w:color w:val="auto"/>
              </w:rPr>
            </w:pPr>
          </w:p>
        </w:tc>
        <w:tc>
          <w:tcPr>
            <w:tcW w:w="200" w:type="dxa"/>
            <w:vAlign w:val="bottom"/>
            <w:shd w:val="clear" w:color="auto" w:fill="E5E5E5"/>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5E5E5"/>
          </w:tcPr>
          <w:p>
            <w:pPr>
              <w:jc w:val="right"/>
              <w:ind w:right="220"/>
              <w:spacing w:after="0" w:line="203" w:lineRule="exact"/>
              <w:rPr>
                <w:sz w:val="20"/>
                <w:szCs w:val="20"/>
                <w:color w:val="auto"/>
              </w:rPr>
            </w:pPr>
            <w:r>
              <w:rPr>
                <w:rFonts w:ascii="Arial" w:cs="Arial" w:eastAsia="Arial" w:hAnsi="Arial"/>
                <w:sz w:val="18"/>
                <w:szCs w:val="18"/>
                <w:color w:val="auto"/>
              </w:rPr>
              <w:t>29,356</w:t>
            </w:r>
          </w:p>
        </w:tc>
        <w:tc>
          <w:tcPr>
            <w:tcW w:w="0" w:type="dxa"/>
            <w:vAlign w:val="bottom"/>
          </w:tcPr>
          <w:p>
            <w:pPr>
              <w:spacing w:after="0"/>
              <w:rPr>
                <w:sz w:val="1"/>
                <w:szCs w:val="1"/>
                <w:color w:val="auto"/>
              </w:rPr>
            </w:pPr>
          </w:p>
        </w:tc>
      </w:tr>
      <w:tr>
        <w:trPr>
          <w:trHeight w:val="74"/>
        </w:trPr>
        <w:tc>
          <w:tcPr>
            <w:tcW w:w="3980" w:type="dxa"/>
            <w:vAlign w:val="bottom"/>
            <w:vMerge w:val="restart"/>
          </w:tcPr>
          <w:p>
            <w:pPr>
              <w:spacing w:after="0"/>
              <w:rPr>
                <w:sz w:val="20"/>
                <w:szCs w:val="20"/>
                <w:color w:val="auto"/>
              </w:rPr>
            </w:pPr>
            <w:r>
              <w:rPr>
                <w:rFonts w:ascii="Arial" w:cs="Arial" w:eastAsia="Arial" w:hAnsi="Arial"/>
                <w:sz w:val="18"/>
                <w:szCs w:val="18"/>
                <w:color w:val="auto"/>
              </w:rPr>
              <w:t>Weighted average outstanding shares of</w:t>
            </w:r>
          </w:p>
        </w:tc>
        <w:tc>
          <w:tcPr>
            <w:tcW w:w="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3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7,505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7,509</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line="203" w:lineRule="exact"/>
              <w:rPr>
                <w:sz w:val="20"/>
                <w:szCs w:val="20"/>
                <w:color w:val="auto"/>
              </w:rPr>
            </w:pPr>
            <w:r>
              <w:rPr>
                <w:rFonts w:ascii="Arial" w:cs="Arial" w:eastAsia="Arial" w:hAnsi="Arial"/>
                <w:sz w:val="18"/>
                <w:szCs w:val="18"/>
                <w:color w:val="auto"/>
              </w:rPr>
              <w:t>common stock (B)</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7,555</w:t>
            </w:r>
          </w:p>
        </w:tc>
        <w:tc>
          <w:tcPr>
            <w:tcW w:w="5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189"/>
        </w:trPr>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2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61</w:t>
            </w:r>
          </w:p>
        </w:tc>
        <w:tc>
          <w:tcPr>
            <w:tcW w:w="5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E5E5E5"/>
          </w:tcPr>
          <w:p>
            <w:pPr>
              <w:spacing w:after="0"/>
              <w:rPr>
                <w:sz w:val="16"/>
                <w:szCs w:val="16"/>
                <w:color w:val="auto"/>
              </w:rPr>
            </w:pPr>
          </w:p>
        </w:tc>
        <w:tc>
          <w:tcPr>
            <w:tcW w:w="14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Common stock and common stock equivalents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7,555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7,561</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22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7,616</w:t>
            </w:r>
          </w:p>
        </w:tc>
        <w:tc>
          <w:tcPr>
            <w:tcW w:w="5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7,627</w:t>
            </w:r>
          </w:p>
        </w:tc>
        <w:tc>
          <w:tcPr>
            <w:tcW w:w="0" w:type="dxa"/>
            <w:vAlign w:val="bottom"/>
          </w:tcPr>
          <w:p>
            <w:pPr>
              <w:spacing w:after="0"/>
              <w:rPr>
                <w:sz w:val="1"/>
                <w:szCs w:val="1"/>
                <w:color w:val="auto"/>
              </w:rPr>
            </w:pPr>
          </w:p>
        </w:tc>
      </w:tr>
      <w:tr>
        <w:trPr>
          <w:trHeight w:val="61"/>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2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6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2.50</w:t>
            </w:r>
          </w:p>
        </w:tc>
        <w:tc>
          <w:tcPr>
            <w:tcW w:w="500" w:type="dxa"/>
            <w:vAlign w:val="bottom"/>
            <w:gridSpan w:val="2"/>
            <w:shd w:val="clear" w:color="auto" w:fill="E5E5E5"/>
          </w:tcPr>
          <w:p>
            <w:pPr>
              <w:ind w:left="220"/>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2.05</w:t>
            </w:r>
          </w:p>
        </w:tc>
        <w:tc>
          <w:tcPr>
            <w:tcW w:w="5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b w:val="1"/>
                <w:bCs w:val="1"/>
                <w:color w:val="auto"/>
              </w:rPr>
              <w:t>5.23</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3.88</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6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2.48</w:t>
            </w:r>
          </w:p>
        </w:tc>
        <w:tc>
          <w:tcPr>
            <w:tcW w:w="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2.03</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5.19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right="3720" w:firstLine="3711"/>
        <w:spacing w:after="0" w:line="434"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5"/>
        </w:trPr>
        <w:tc>
          <w:tcPr>
            <w:tcW w:w="4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4"/>
        </w:trPr>
        <w:tc>
          <w:tcPr>
            <w:tcW w:w="4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503</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545</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1,023</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1,115</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(571)</w:t>
            </w:r>
          </w:p>
        </w:tc>
        <w:tc>
          <w:tcPr>
            <w:tcW w:w="52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(1,160)</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6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359</w:t>
            </w: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671</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484</w:t>
            </w:r>
          </w:p>
        </w:tc>
        <w:tc>
          <w:tcPr>
            <w:tcW w:w="100" w:type="dxa"/>
            <w:vAlign w:val="bottom"/>
            <w:shd w:val="clear" w:color="auto" w:fill="E5E5E5"/>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6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52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6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42</w:t>
            </w:r>
          </w:p>
        </w:tc>
        <w:tc>
          <w:tcPr>
            <w:tcW w:w="5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181</w:t>
            </w:r>
          </w:p>
        </w:tc>
        <w:tc>
          <w:tcPr>
            <w:tcW w:w="100" w:type="dxa"/>
            <w:vAlign w:val="bottom"/>
            <w:shd w:val="clear" w:color="auto" w:fill="E5E5E5"/>
          </w:tcPr>
          <w:p>
            <w:pPr>
              <w:spacing w:after="0"/>
              <w:rPr>
                <w:sz w:val="16"/>
                <w:szCs w:val="16"/>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68"/>
        </w:trPr>
        <w:tc>
          <w:tcPr>
            <w:tcW w:w="46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6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268</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440</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554</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688</w:t>
            </w:r>
          </w:p>
        </w:tc>
        <w:tc>
          <w:tcPr>
            <w:tcW w:w="100" w:type="dxa"/>
            <w:vAlign w:val="bottom"/>
            <w:shd w:val="clear" w:color="auto" w:fill="E5E5E5"/>
          </w:tcPr>
          <w:p>
            <w:pPr>
              <w:spacing w:after="0"/>
              <w:rPr>
                <w:sz w:val="16"/>
                <w:szCs w:val="16"/>
                <w:color w:val="auto"/>
              </w:rPr>
            </w:pPr>
          </w:p>
        </w:tc>
      </w:tr>
      <w:tr>
        <w:trPr>
          <w:trHeight w:val="74"/>
        </w:trPr>
        <w:tc>
          <w:tcPr>
            <w:tcW w:w="46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5"/>
        </w:trPr>
        <w:tc>
          <w:tcPr>
            <w:tcW w:w="4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640" w:type="dxa"/>
            <w:vAlign w:val="bottom"/>
            <w:shd w:val="clear" w:color="auto" w:fill="E5E5E5"/>
          </w:tcPr>
          <w:p>
            <w:pPr>
              <w:jc w:val="right"/>
              <w:ind w:right="45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w:t>
            </w:r>
          </w:p>
        </w:tc>
        <w:tc>
          <w:tcPr>
            <w:tcW w:w="2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32</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line="175" w:lineRule="exact"/>
              <w:rPr>
                <w:sz w:val="20"/>
                <w:szCs w:val="20"/>
                <w:color w:val="auto"/>
              </w:rPr>
            </w:pPr>
            <w:r>
              <w:rPr>
                <w:rFonts w:ascii="Arial" w:cs="Arial" w:eastAsia="Arial" w:hAnsi="Arial"/>
                <w:sz w:val="18"/>
                <w:szCs w:val="18"/>
                <w:color w:val="auto"/>
              </w:rPr>
              <w:t>Realized losses from sales of available-for-sale</w:t>
            </w:r>
          </w:p>
        </w:tc>
        <w:tc>
          <w:tcPr>
            <w:tcW w:w="64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3" w:lineRule="exact"/>
              <w:rPr>
                <w:sz w:val="20"/>
                <w:szCs w:val="20"/>
                <w:color w:val="auto"/>
              </w:rPr>
            </w:pPr>
            <w:r>
              <w:rPr>
                <w:rFonts w:ascii="Arial" w:cs="Arial" w:eastAsia="Arial" w:hAnsi="Arial"/>
                <w:sz w:val="18"/>
                <w:szCs w:val="18"/>
                <w:color w:val="auto"/>
              </w:rPr>
              <w:t>securities</w:t>
            </w:r>
          </w:p>
        </w:tc>
        <w:tc>
          <w:tcPr>
            <w:tcW w:w="6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w:t>
            </w:r>
          </w:p>
        </w:tc>
        <w:tc>
          <w:tcPr>
            <w:tcW w:w="6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and allowance for credit losses</w:t>
            </w:r>
          </w:p>
        </w:tc>
        <w:tc>
          <w:tcPr>
            <w:tcW w:w="6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0</w:t>
            </w:r>
          </w:p>
        </w:tc>
        <w:tc>
          <w:tcPr>
            <w:tcW w:w="6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6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6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5"/>
        </w:trPr>
        <w:tc>
          <w:tcPr>
            <w:tcW w:w="4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6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5"/>
        </w:trPr>
        <w:tc>
          <w:tcPr>
            <w:tcW w:w="4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realized gains on investments sold</w:t>
            </w:r>
          </w:p>
        </w:tc>
        <w:tc>
          <w:tcPr>
            <w:tcW w:w="520" w:type="dxa"/>
            <w:vAlign w:val="bottom"/>
            <w:shd w:val="clear" w:color="auto" w:fill="E5E5E5"/>
          </w:tcPr>
          <w:p>
            <w:pPr>
              <w:jc w:val="right"/>
              <w:ind w:right="33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31</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w:t>
            </w:r>
          </w:p>
        </w:tc>
        <w:tc>
          <w:tcPr>
            <w:tcW w:w="620" w:type="dxa"/>
            <w:vAlign w:val="bottom"/>
            <w:shd w:val="clear" w:color="auto" w:fill="E5E5E5"/>
          </w:tcPr>
          <w:p>
            <w:pPr>
              <w:jc w:val="right"/>
              <w:ind w:right="4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68</w:t>
            </w:r>
          </w:p>
        </w:tc>
        <w:tc>
          <w:tcPr>
            <w:tcW w:w="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33</w:t>
            </w:r>
          </w:p>
        </w:tc>
      </w:tr>
      <w:tr>
        <w:trPr>
          <w:trHeight w:val="189"/>
        </w:trPr>
        <w:tc>
          <w:tcPr>
            <w:tcW w:w="4620" w:type="dxa"/>
            <w:vAlign w:val="bottom"/>
          </w:tcPr>
          <w:p>
            <w:pPr>
              <w:spacing w:after="0" w:line="189" w:lineRule="exact"/>
              <w:rPr>
                <w:sz w:val="20"/>
                <w:szCs w:val="20"/>
                <w:color w:val="auto"/>
              </w:rPr>
            </w:pPr>
            <w:r>
              <w:rPr>
                <w:rFonts w:ascii="Arial" w:cs="Arial" w:eastAsia="Arial" w:hAnsi="Arial"/>
                <w:sz w:val="18"/>
                <w:szCs w:val="18"/>
                <w:color w:val="auto"/>
              </w:rPr>
              <w:t>Net unrealized gains on investments still held</w:t>
            </w:r>
          </w:p>
        </w:tc>
        <w:tc>
          <w:tcPr>
            <w:tcW w:w="52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326</w:t>
            </w:r>
          </w:p>
        </w:tc>
        <w:tc>
          <w:tcPr>
            <w:tcW w:w="62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426</w:t>
            </w:r>
          </w:p>
        </w:tc>
        <w:tc>
          <w:tcPr>
            <w:tcW w:w="100" w:type="dxa"/>
            <w:vAlign w:val="bottom"/>
          </w:tcPr>
          <w:p>
            <w:pPr>
              <w:spacing w:after="0"/>
              <w:rPr>
                <w:sz w:val="16"/>
                <w:szCs w:val="16"/>
                <w:color w:val="auto"/>
              </w:rPr>
            </w:pPr>
          </w:p>
        </w:tc>
      </w:tr>
      <w:tr>
        <w:trPr>
          <w:trHeight w:val="189"/>
        </w:trPr>
        <w:tc>
          <w:tcPr>
            <w:tcW w:w="46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Impairments of investments</w:t>
            </w:r>
          </w:p>
        </w:tc>
        <w:tc>
          <w:tcPr>
            <w:tcW w:w="52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w:t>
            </w:r>
          </w:p>
        </w:tc>
        <w:tc>
          <w:tcPr>
            <w:tcW w:w="6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w:t>
            </w:r>
          </w:p>
        </w:tc>
      </w:tr>
      <w:tr>
        <w:trPr>
          <w:trHeight w:val="68"/>
        </w:trPr>
        <w:tc>
          <w:tcPr>
            <w:tcW w:w="46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62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620" w:type="dxa"/>
            <w:vAlign w:val="bottom"/>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r>
      <w:tr>
        <w:trPr>
          <w:trHeight w:val="61"/>
        </w:trPr>
        <w:tc>
          <w:tcPr>
            <w:tcW w:w="46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596"/>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6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4 —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Short-term</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7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7,464</w:t>
            </w: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0</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7,464</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7,233</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231</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9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3,938</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241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89,746</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2,552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(136)</w:t>
            </w:r>
          </w:p>
        </w:tc>
        <w:tc>
          <w:tcPr>
            <w:tcW w:w="22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92,162</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850</w:t>
            </w: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91,312</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U.S. agency securities</w:t>
            </w:r>
          </w:p>
        </w:tc>
        <w:tc>
          <w:tcPr>
            <w:tcW w:w="9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1,199</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807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198</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(4)</w:t>
            </w: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198</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198</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3,089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3,085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3,085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8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9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8,261</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144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(38)</w:t>
            </w: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8,367</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8,367</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9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304</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57</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361</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361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color w:val="auto"/>
              </w:rPr>
              <w:t>Municipal securities</w:t>
            </w:r>
          </w:p>
        </w:tc>
        <w:tc>
          <w:tcPr>
            <w:tcW w:w="9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920" w:type="dxa"/>
            <w:vAlign w:val="bottom"/>
            <w:shd w:val="clear" w:color="auto" w:fill="E5E5E5"/>
          </w:tcPr>
          <w:p>
            <w:pPr>
              <w:spacing w:after="0"/>
              <w:rPr>
                <w:sz w:val="16"/>
                <w:szCs w:val="16"/>
                <w:color w:val="auto"/>
              </w:rPr>
            </w:pP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115,397</w:t>
            </w:r>
          </w:p>
        </w:tc>
        <w:tc>
          <w:tcPr>
            <w:tcW w:w="8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2,768</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(201)</w:t>
            </w: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117,964</w:t>
            </w:r>
          </w:p>
        </w:tc>
        <w:tc>
          <w:tcPr>
            <w:tcW w:w="8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13,220</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104,744</w:t>
            </w:r>
          </w:p>
        </w:tc>
        <w:tc>
          <w:tcPr>
            <w:tcW w:w="6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1,982</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1,129</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853</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6"/>
                <w:szCs w:val="16"/>
                <w:color w:val="auto"/>
              </w:rPr>
              <w:t>Equity investments</w:t>
            </w:r>
          </w:p>
        </w:tc>
        <w:tc>
          <w:tcPr>
            <w:tcW w:w="920" w:type="dxa"/>
            <w:vAlign w:val="bottom"/>
          </w:tcPr>
          <w:p>
            <w:pPr>
              <w:jc w:val="cente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8,123</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1,129</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6,994</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6"/>
                <w:szCs w:val="16"/>
                <w:color w:val="auto"/>
              </w:rPr>
              <w:t>Cash</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6,255</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6,255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21</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21</w:t>
            </w: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780" w:type="dxa"/>
            <w:vAlign w:val="bottom"/>
          </w:tcPr>
          <w:p>
            <w:pPr>
              <w:ind w:left="220"/>
              <w:spacing w:after="0"/>
              <w:rPr>
                <w:sz w:val="20"/>
                <w:szCs w:val="20"/>
                <w:color w:val="auto"/>
              </w:rPr>
            </w:pPr>
            <w:r>
              <w:rPr>
                <w:rFonts w:ascii="Arial" w:cs="Arial" w:eastAsia="Arial" w:hAnsi="Arial"/>
                <w:sz w:val="16"/>
                <w:szCs w:val="16"/>
                <w:color w:val="auto"/>
              </w:rPr>
              <w:t>Total</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132,363</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20,604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104,765</w:t>
            </w:r>
          </w:p>
        </w:tc>
        <w:tc>
          <w:tcPr>
            <w:tcW w:w="6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6,994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8" w:right="31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w w:val="99"/>
              </w:rPr>
              <w:t>Fair Value</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Adjusted</w:t>
            </w:r>
          </w:p>
        </w:tc>
        <w:tc>
          <w:tcPr>
            <w:tcW w:w="1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jc w:val="center"/>
              <w:ind w:right="1"/>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Cost Basis</w:t>
            </w:r>
          </w:p>
        </w:tc>
        <w:tc>
          <w:tcPr>
            <w:tcW w:w="1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4,316</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4,316</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2,985</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3,615</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2,920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90,664</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3,832</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(111)</w:t>
            </w: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94,385</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92,885</w:t>
            </w: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U.S. agency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807</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6,213</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6,220</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5,995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1"/>
        </w:trPr>
        <w:tc>
          <w:tcPr>
            <w:tcW w:w="2800" w:type="dxa"/>
            <w:vAlign w:val="bottom"/>
          </w:tcPr>
          <w:p>
            <w:pPr>
              <w:spacing w:after="0"/>
              <w:rPr>
                <w:sz w:val="20"/>
                <w:szCs w:val="20"/>
                <w:color w:val="auto"/>
              </w:rPr>
            </w:pPr>
            <w:r>
              <w:rPr>
                <w:rFonts w:ascii="Arial" w:cs="Arial" w:eastAsia="Arial" w:hAnsi="Arial"/>
                <w:sz w:val="16"/>
                <w:szCs w:val="16"/>
                <w:color w:val="auto"/>
              </w:rPr>
              <w:t>Mortgage- and asset-backed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Pr>
          <w:p>
            <w:pPr>
              <w:ind w:left="220"/>
              <w:spacing w:after="0"/>
              <w:rPr>
                <w:sz w:val="20"/>
                <w:szCs w:val="20"/>
                <w:color w:val="auto"/>
              </w:rPr>
            </w:pPr>
            <w:r>
              <w:rPr>
                <w:rFonts w:ascii="Arial" w:cs="Arial" w:eastAsia="Arial" w:hAnsi="Arial"/>
                <w:sz w:val="16"/>
                <w:szCs w:val="16"/>
                <w:color w:val="auto"/>
              </w:rPr>
              <w:t>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3,442</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3,458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8,443</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8,683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8,683</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308</w:t>
            </w:r>
          </w:p>
        </w:tc>
        <w:tc>
          <w:tcPr>
            <w:tcW w:w="1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371</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Municipal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debt investments</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117,966</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4,177</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(135)</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122,008</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116,032</w:t>
            </w:r>
          </w:p>
        </w:tc>
        <w:tc>
          <w:tcPr>
            <w:tcW w:w="80" w:type="dxa"/>
            <w:vAlign w:val="bottom"/>
            <w:shd w:val="clear" w:color="auto" w:fill="E5E5E5"/>
          </w:tcPr>
          <w:p>
            <w:pPr>
              <w:spacing w:after="0"/>
              <w:rPr>
                <w:sz w:val="16"/>
                <w:szCs w:val="16"/>
                <w:color w:val="auto"/>
              </w:rPr>
            </w:pP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10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1,582</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Equity investments</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5,378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5,378</w:t>
            </w:r>
          </w:p>
        </w:tc>
        <w:tc>
          <w:tcPr>
            <w:tcW w:w="0" w:type="dxa"/>
            <w:vAlign w:val="bottom"/>
          </w:tcPr>
          <w:p>
            <w:pPr>
              <w:spacing w:after="0"/>
              <w:rPr>
                <w:sz w:val="1"/>
                <w:szCs w:val="1"/>
                <w:color w:val="auto"/>
              </w:rPr>
            </w:pPr>
          </w:p>
        </w:tc>
      </w:tr>
      <w:tr>
        <w:trPr>
          <w:trHeight w:val="60"/>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equity investments</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6,960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6"/>
                <w:szCs w:val="16"/>
                <w:color w:val="auto"/>
              </w:rPr>
              <w:t>Cash</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7,272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7,272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800" w:type="dxa"/>
            <w:vAlign w:val="bottom"/>
            <w:shd w:val="clear" w:color="auto" w:fill="E5E5E5"/>
          </w:tcPr>
          <w:p>
            <w:pPr>
              <w:spacing w:after="0" w:line="189" w:lineRule="exact"/>
              <w:rPr>
                <w:sz w:val="20"/>
                <w:szCs w:val="20"/>
                <w:color w:val="auto"/>
              </w:rPr>
            </w:pPr>
            <w:r>
              <w:rPr>
                <w:rFonts w:ascii="Arial" w:cs="Arial" w:eastAsia="Arial" w:hAnsi="Arial"/>
                <w:sz w:val="13"/>
                <w:szCs w:val="13"/>
                <w:color w:val="auto"/>
              </w:rPr>
              <w:t xml:space="preserve">Derivatives, net </w:t>
            </w:r>
            <w:r>
              <w:rPr>
                <w:rFonts w:ascii="Arial" w:cs="Arial" w:eastAsia="Arial" w:hAnsi="Arial"/>
                <w:sz w:val="21"/>
                <w:szCs w:val="21"/>
                <w:color w:val="auto"/>
                <w:vertAlign w:val="superscript"/>
              </w:rPr>
              <w:t>(a)</w:t>
            </w: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78</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136,318</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14,224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116,110</w:t>
            </w:r>
          </w:p>
        </w:tc>
        <w:tc>
          <w:tcPr>
            <w:tcW w:w="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38100</wp:posOffset>
            </wp:positionV>
            <wp:extent cx="26320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32075" cy="17145"/>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December 31, 2021 and June 30, 2021, equity investments without readily determinable fair values measured at cost with adjustments for observable changes in price or impairments were $3.6 billion and $3.3 billion,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4"/>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3,382</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2,206</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(97)</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5,588</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1,679</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1,870</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7,936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5"/>
                <w:szCs w:val="15"/>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5"/>
        </w:trPr>
        <w:tc>
          <w:tcPr>
            <w:tcW w:w="3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5,294</w:t>
            </w:r>
          </w:p>
        </w:tc>
        <w:tc>
          <w:tcPr>
            <w:tcW w:w="3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(111)</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5,294</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3,153</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1,211</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1,298</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1,678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1,712</w:t>
            </w:r>
          </w:p>
        </w:tc>
        <w:tc>
          <w:tcPr>
            <w:tcW w:w="22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9"/>
        </w:trPr>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58</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11,389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Estimated</w:t>
            </w:r>
          </w:p>
        </w:tc>
      </w:tr>
      <w:tr>
        <w:trPr>
          <w:trHeight w:val="178"/>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55"/>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
        </w:trPr>
        <w:tc>
          <w:tcPr>
            <w:tcW w:w="8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34,136</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34,305</w:t>
            </w: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56,690</w:t>
            </w:r>
          </w:p>
        </w:tc>
        <w:tc>
          <w:tcPr>
            <w:tcW w:w="4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58,435</w:t>
            </w: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60" w:type="dxa"/>
            <w:vAlign w:val="bottom"/>
            <w:shd w:val="clear" w:color="auto" w:fill="E5E5E5"/>
          </w:tcPr>
          <w:p>
            <w:pPr>
              <w:spacing w:after="0"/>
              <w:rPr>
                <w:sz w:val="16"/>
                <w:szCs w:val="16"/>
                <w:color w:val="auto"/>
              </w:rPr>
            </w:pP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21,898</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22,472</w:t>
            </w: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Due after 10 years</w:t>
            </w:r>
          </w:p>
        </w:tc>
        <w:tc>
          <w:tcPr>
            <w:tcW w:w="4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2,673</w:t>
            </w:r>
          </w:p>
        </w:tc>
        <w:tc>
          <w:tcPr>
            <w:tcW w:w="4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2,752</w:t>
            </w:r>
          </w:p>
        </w:tc>
      </w:tr>
      <w:tr>
        <w:trPr>
          <w:trHeight w:val="68"/>
        </w:trPr>
        <w:tc>
          <w:tcPr>
            <w:tcW w:w="80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115,397</w:t>
            </w:r>
          </w:p>
        </w:tc>
        <w:tc>
          <w:tcPr>
            <w:tcW w:w="46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117,964</w:t>
            </w:r>
          </w:p>
        </w:tc>
      </w:tr>
      <w:tr>
        <w:trPr>
          <w:trHeight w:val="74"/>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December 31, 2021, our long-term unsecured debt rating was AAA, and cash investments were in excess of $1.0 billion. As a result, no collateral was required to be posted.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1060" w:type="dxa"/>
            <w:vAlign w:val="bottom"/>
            <w:gridSpan w:val="2"/>
          </w:tcPr>
          <w:p>
            <w:pPr>
              <w:ind w:left="42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3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000" w:type="dxa"/>
            <w:vAlign w:val="bottom"/>
          </w:tcPr>
          <w:p>
            <w:pPr>
              <w:spacing w:after="0"/>
              <w:rPr>
                <w:sz w:val="15"/>
                <w:szCs w:val="15"/>
                <w:color w:val="auto"/>
              </w:rPr>
            </w:pPr>
          </w:p>
        </w:tc>
        <w:tc>
          <w:tcPr>
            <w:tcW w:w="124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54"/>
        </w:trPr>
        <w:tc>
          <w:tcPr>
            <w:tcW w:w="434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635</w:t>
            </w:r>
          </w:p>
        </w:tc>
        <w:tc>
          <w:tcPr>
            <w:tcW w:w="600" w:type="dxa"/>
            <w:vAlign w:val="bottom"/>
            <w:shd w:val="clear" w:color="auto" w:fill="E5E5E5"/>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635</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00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0</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6,081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 contracts purchased</w:t>
            </w:r>
          </w:p>
        </w:tc>
        <w:tc>
          <w:tcPr>
            <w:tcW w:w="400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1,224</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1,247</w:t>
            </w:r>
          </w:p>
        </w:tc>
      </w:tr>
      <w:tr>
        <w:trPr>
          <w:trHeight w:val="229"/>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3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7,956</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14,223</w:t>
            </w:r>
          </w:p>
        </w:tc>
      </w:tr>
      <w:tr>
        <w:trPr>
          <w:trHeight w:val="189"/>
        </w:trPr>
        <w:tc>
          <w:tcPr>
            <w:tcW w:w="434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000" w:type="dxa"/>
            <w:vAlign w:val="bottom"/>
          </w:tcPr>
          <w:p>
            <w:pPr>
              <w:spacing w:after="0"/>
              <w:rPr>
                <w:sz w:val="16"/>
                <w:szCs w:val="16"/>
                <w:color w:val="auto"/>
              </w:rPr>
            </w:pPr>
          </w:p>
        </w:tc>
        <w:tc>
          <w:tcPr>
            <w:tcW w:w="124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18,931</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23,391</w:t>
            </w:r>
          </w:p>
        </w:tc>
      </w:tr>
      <w:tr>
        <w:trPr>
          <w:trHeight w:val="189"/>
        </w:trPr>
        <w:tc>
          <w:tcPr>
            <w:tcW w:w="43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00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3,126</w:t>
            </w:r>
          </w:p>
        </w:tc>
        <w:tc>
          <w:tcPr>
            <w:tcW w:w="6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2,456</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0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b w:val="1"/>
                <w:bCs w:val="1"/>
                <w:color w:val="auto"/>
              </w:rPr>
              <w:t>664</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595"/>
        </w:trPr>
        <w:tc>
          <w:tcPr>
            <w:tcW w:w="43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tcPr>
          <w:p>
            <w:pPr>
              <w:jc w:val="right"/>
              <w:ind w:right="2559"/>
              <w:spacing w:after="0"/>
              <w:rPr>
                <w:sz w:val="20"/>
                <w:szCs w:val="20"/>
                <w:color w:val="auto"/>
              </w:rPr>
            </w:pPr>
            <w:r>
              <w:rPr>
                <w:rFonts w:ascii="Arial" w:cs="Arial" w:eastAsia="Arial" w:hAnsi="Arial"/>
                <w:sz w:val="14"/>
                <w:szCs w:val="14"/>
                <w:color w:val="auto"/>
              </w:rPr>
              <w:t>15</w:t>
            </w:r>
          </w:p>
        </w:tc>
        <w:tc>
          <w:tcPr>
            <w:tcW w:w="1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34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5"/>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(33)</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241</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(187)</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227</w:t>
            </w:r>
          </w:p>
        </w:tc>
        <w:tc>
          <w:tcPr>
            <w:tcW w:w="28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8"/>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360</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(238)</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399</w:t>
            </w:r>
          </w:p>
        </w:tc>
        <w:tc>
          <w:tcPr>
            <w:tcW w:w="28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6"/>
                <w:szCs w:val="16"/>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65</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296</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1"/>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78</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253</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137</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w:t>
            </w: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(160)</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6"/>
                <w:szCs w:val="16"/>
                <w:color w:val="auto"/>
              </w:rPr>
            </w:pPr>
          </w:p>
        </w:tc>
        <w:tc>
          <w:tcPr>
            <w:tcW w:w="94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9"/>
        </w:trPr>
        <w:tc>
          <w:tcPr>
            <w:tcW w:w="5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(113)</w:t>
            </w:r>
          </w:p>
        </w:tc>
        <w:tc>
          <w:tcPr>
            <w:tcW w:w="28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6"/>
                <w:szCs w:val="16"/>
                <w:color w:val="auto"/>
              </w:rPr>
            </w:pPr>
          </w:p>
        </w:tc>
        <w:tc>
          <w:tcPr>
            <w:tcW w:w="94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296</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(273</w:t>
            </w: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(235</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$346 million and $238 million, respectively, as of December 31, 2021, and $395 million and $335 million, respectively,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55"/>
        </w:trPr>
        <w:tc>
          <w:tcPr>
            <w:tcW w:w="354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2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b w:val="1"/>
                <w:bCs w:val="1"/>
                <w:color w:val="auto"/>
              </w:rPr>
              <w:t>347</w:t>
            </w:r>
          </w:p>
        </w:tc>
        <w:tc>
          <w:tcPr>
            <w:tcW w:w="46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b w:val="1"/>
                <w:bCs w:val="1"/>
                <w:color w:val="auto"/>
              </w:rPr>
              <w:t>13</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360</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(238)</w:t>
            </w:r>
          </w:p>
        </w:tc>
      </w:tr>
      <w:tr>
        <w:trPr>
          <w:trHeight w:val="179"/>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35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0</w:t>
            </w:r>
          </w:p>
        </w:tc>
        <w:tc>
          <w:tcPr>
            <w:tcW w:w="50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396</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rPr>
              <w:t>3</w:t>
            </w:r>
          </w:p>
        </w:tc>
        <w:tc>
          <w:tcPr>
            <w:tcW w:w="52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399</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40"/>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589"/>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2"/>
          </w:tcPr>
          <w:p>
            <w:pPr>
              <w:jc w:val="right"/>
              <w:ind w:right="35"/>
              <w:spacing w:after="0"/>
              <w:rPr>
                <w:sz w:val="20"/>
                <w:szCs w:val="20"/>
                <w:color w:val="auto"/>
              </w:rPr>
            </w:pPr>
            <w:r>
              <w:rPr>
                <w:rFonts w:ascii="Arial" w:cs="Arial" w:eastAsia="Arial" w:hAnsi="Arial"/>
                <w:sz w:val="13"/>
                <w:szCs w:val="13"/>
                <w:b w:val="1"/>
                <w:bCs w:val="1"/>
                <w:color w:val="auto"/>
                <w:w w:val="99"/>
              </w:rPr>
              <w:t>Three Months Ended</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58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35"/>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4"/>
        </w:trPr>
        <w:tc>
          <w:tcPr>
            <w:tcW w:w="58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5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
        </w:trPr>
        <w:tc>
          <w:tcPr>
            <w:tcW w:w="5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189"/>
        </w:trPr>
        <w:tc>
          <w:tcPr>
            <w:tcW w:w="580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64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line="189" w:lineRule="exact"/>
              <w:rPr>
                <w:sz w:val="20"/>
                <w:szCs w:val="20"/>
                <w:color w:val="auto"/>
              </w:rPr>
            </w:pPr>
            <w:r>
              <w:rPr>
                <w:rFonts w:ascii="Arial" w:cs="Arial" w:eastAsia="Arial" w:hAnsi="Arial"/>
                <w:sz w:val="18"/>
                <w:szCs w:val="18"/>
                <w:b w:val="1"/>
                <w:bCs w:val="1"/>
                <w:color w:val="auto"/>
              </w:rPr>
              <w:t>46</w:t>
            </w:r>
          </w:p>
        </w:tc>
        <w:tc>
          <w:tcPr>
            <w:tcW w:w="360" w:type="dxa"/>
            <w:vAlign w:val="bottom"/>
          </w:tcPr>
          <w:p>
            <w:pPr>
              <w:jc w:val="right"/>
              <w:ind w:right="21"/>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(124)</w:t>
            </w:r>
          </w:p>
        </w:tc>
        <w:tc>
          <w:tcPr>
            <w:tcW w:w="54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3"/>
              <w:spacing w:after="0" w:line="189" w:lineRule="exact"/>
              <w:rPr>
                <w:sz w:val="20"/>
                <w:szCs w:val="20"/>
                <w:color w:val="auto"/>
              </w:rPr>
            </w:pPr>
            <w:r>
              <w:rPr>
                <w:rFonts w:ascii="Arial" w:cs="Arial" w:eastAsia="Arial" w:hAnsi="Arial"/>
                <w:sz w:val="18"/>
                <w:szCs w:val="18"/>
                <w:b w:val="1"/>
                <w:bCs w:val="1"/>
                <w:color w:val="auto"/>
              </w:rPr>
              <w:t>49</w:t>
            </w:r>
          </w:p>
        </w:tc>
        <w:tc>
          <w:tcPr>
            <w:tcW w:w="280" w:type="dxa"/>
            <w:vAlign w:val="bottom"/>
          </w:tcPr>
          <w:p>
            <w:pPr>
              <w:jc w:val="right"/>
              <w:ind w:right="21"/>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(293)</w:t>
            </w:r>
          </w:p>
        </w:tc>
      </w:tr>
      <w:tr>
        <w:trPr>
          <w:trHeight w:val="189"/>
        </w:trPr>
        <w:tc>
          <w:tcPr>
            <w:tcW w:w="58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(45)</w:t>
            </w:r>
          </w:p>
        </w:tc>
        <w:tc>
          <w:tcPr>
            <w:tcW w:w="3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125</w:t>
            </w:r>
          </w:p>
        </w:tc>
        <w:tc>
          <w:tcPr>
            <w:tcW w:w="5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w:t>
            </w: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293</w:t>
            </w:r>
          </w:p>
        </w:tc>
        <w:tc>
          <w:tcPr>
            <w:tcW w:w="100" w:type="dxa"/>
            <w:vAlign w:val="bottom"/>
            <w:shd w:val="clear" w:color="auto" w:fill="E5E5E5"/>
          </w:tcPr>
          <w:p>
            <w:pPr>
              <w:spacing w:after="0"/>
              <w:rPr>
                <w:sz w:val="16"/>
                <w:szCs w:val="16"/>
                <w:color w:val="auto"/>
              </w:rPr>
            </w:pPr>
          </w:p>
        </w:tc>
      </w:tr>
      <w:tr>
        <w:trPr>
          <w:trHeight w:val="248"/>
        </w:trPr>
        <w:tc>
          <w:tcPr>
            <w:tcW w:w="5800" w:type="dxa"/>
            <w:vAlign w:val="bottom"/>
          </w:tcPr>
          <w:p>
            <w:pPr>
              <w:ind w:left="220"/>
              <w:spacing w:after="0"/>
              <w:rPr>
                <w:sz w:val="20"/>
                <w:szCs w:val="20"/>
                <w:color w:val="auto"/>
              </w:rPr>
            </w:pPr>
            <w:r>
              <w:rPr>
                <w:rFonts w:ascii="Arial" w:cs="Arial" w:eastAsia="Arial" w:hAnsi="Arial"/>
                <w:sz w:val="18"/>
                <w:szCs w:val="18"/>
                <w:color w:val="auto"/>
              </w:rPr>
              <w:t>Excluded from effectiveness assessment</w:t>
            </w:r>
          </w:p>
        </w:tc>
        <w:tc>
          <w:tcPr>
            <w:tcW w:w="6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198"/>
        </w:trPr>
        <w:tc>
          <w:tcPr>
            <w:tcW w:w="5800" w:type="dxa"/>
            <w:vAlign w:val="bottom"/>
            <w:shd w:val="clear" w:color="auto" w:fill="E5E5E5"/>
          </w:tcPr>
          <w:p>
            <w:pPr>
              <w:spacing w:after="0" w:line="198" w:lineRule="exact"/>
              <w:rPr>
                <w:sz w:val="20"/>
                <w:szCs w:val="20"/>
                <w:color w:val="auto"/>
              </w:rPr>
            </w:pPr>
            <w:r>
              <w:rPr>
                <w:rFonts w:ascii="Arial" w:cs="Arial" w:eastAsia="Arial" w:hAnsi="Arial"/>
                <w:sz w:val="18"/>
                <w:szCs w:val="18"/>
                <w:color w:val="auto"/>
              </w:rPr>
              <w:t>Interest rate contracts</w:t>
            </w:r>
          </w:p>
        </w:tc>
        <w:tc>
          <w:tcPr>
            <w:tcW w:w="64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5800" w:type="dxa"/>
            <w:vAlign w:val="bottom"/>
          </w:tcPr>
          <w:p>
            <w:pPr>
              <w:ind w:left="220"/>
              <w:spacing w:after="0" w:line="189" w:lineRule="exact"/>
              <w:rPr>
                <w:sz w:val="20"/>
                <w:szCs w:val="20"/>
                <w:color w:val="auto"/>
              </w:rPr>
            </w:pPr>
            <w:r>
              <w:rPr>
                <w:rFonts w:ascii="Arial" w:cs="Arial" w:eastAsia="Arial" w:hAnsi="Arial"/>
                <w:sz w:val="18"/>
                <w:szCs w:val="18"/>
                <w:color w:val="auto"/>
              </w:rPr>
              <w:t>Derivatives</w:t>
            </w:r>
          </w:p>
        </w:tc>
        <w:tc>
          <w:tcPr>
            <w:tcW w:w="6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5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6"/>
                <w:szCs w:val="16"/>
                <w:color w:val="auto"/>
              </w:rPr>
            </w:pP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w:t>
            </w:r>
          </w:p>
        </w:tc>
      </w:tr>
      <w:tr>
        <w:trPr>
          <w:trHeight w:val="189"/>
        </w:trPr>
        <w:tc>
          <w:tcPr>
            <w:tcW w:w="58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Hedged items</w:t>
            </w: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12</w:t>
            </w:r>
          </w:p>
        </w:tc>
        <w:tc>
          <w:tcPr>
            <w:tcW w:w="5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w:t>
            </w:r>
          </w:p>
        </w:tc>
      </w:tr>
      <w:tr>
        <w:trPr>
          <w:trHeight w:val="229"/>
        </w:trPr>
        <w:tc>
          <w:tcPr>
            <w:tcW w:w="580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5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r>
      <w:tr>
        <w:trPr>
          <w:trHeight w:val="239"/>
        </w:trPr>
        <w:tc>
          <w:tcPr>
            <w:tcW w:w="5800" w:type="dxa"/>
            <w:vAlign w:val="bottom"/>
          </w:tcPr>
          <w:p>
            <w:pPr>
              <w:ind w:left="220"/>
              <w:spacing w:after="0"/>
              <w:rPr>
                <w:sz w:val="20"/>
                <w:szCs w:val="20"/>
                <w:color w:val="auto"/>
              </w:rPr>
            </w:pPr>
            <w:r>
              <w:rPr>
                <w:rFonts w:ascii="Arial" w:cs="Arial" w:eastAsia="Arial" w:hAnsi="Arial"/>
                <w:sz w:val="18"/>
                <w:szCs w:val="18"/>
                <w:color w:val="auto"/>
              </w:rPr>
              <w:t>Amount reclassified from accumulated other comprehensive income</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179"/>
        </w:trPr>
        <w:tc>
          <w:tcPr>
            <w:tcW w:w="580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4"/>
        </w:trPr>
        <w:tc>
          <w:tcPr>
            <w:tcW w:w="5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5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13"/>
              <w:spacing w:after="0" w:line="189" w:lineRule="exact"/>
              <w:rPr>
                <w:sz w:val="20"/>
                <w:szCs w:val="20"/>
                <w:color w:val="auto"/>
              </w:rPr>
            </w:pPr>
            <w:r>
              <w:rPr>
                <w:rFonts w:ascii="Arial" w:cs="Arial" w:eastAsia="Arial" w:hAnsi="Arial"/>
                <w:sz w:val="18"/>
                <w:szCs w:val="18"/>
                <w:b w:val="1"/>
                <w:bCs w:val="1"/>
                <w:color w:val="auto"/>
              </w:rPr>
              <w:t>96</w:t>
            </w:r>
          </w:p>
        </w:tc>
        <w:tc>
          <w:tcPr>
            <w:tcW w:w="3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55"/>
              <w:spacing w:after="0" w:line="189" w:lineRule="exact"/>
              <w:rPr>
                <w:sz w:val="20"/>
                <w:szCs w:val="20"/>
                <w:color w:val="auto"/>
              </w:rPr>
            </w:pPr>
            <w:r>
              <w:rPr>
                <w:rFonts w:ascii="Arial" w:cs="Arial" w:eastAsia="Arial" w:hAnsi="Arial"/>
                <w:sz w:val="18"/>
                <w:szCs w:val="18"/>
                <w:color w:val="auto"/>
              </w:rPr>
              <w:t>139</w:t>
            </w:r>
          </w:p>
        </w:tc>
        <w:tc>
          <w:tcPr>
            <w:tcW w:w="540" w:type="dxa"/>
            <w:vAlign w:val="bottom"/>
            <w:shd w:val="clear" w:color="auto" w:fill="E5E5E5"/>
          </w:tcPr>
          <w:p>
            <w:pPr>
              <w:spacing w:after="0"/>
              <w:rPr>
                <w:sz w:val="16"/>
                <w:szCs w:val="16"/>
                <w:color w:val="auto"/>
              </w:rPr>
            </w:pPr>
          </w:p>
        </w:tc>
        <w:tc>
          <w:tcPr>
            <w:tcW w:w="780" w:type="dxa"/>
            <w:vAlign w:val="bottom"/>
            <w:shd w:val="clear" w:color="auto" w:fill="E5E5E5"/>
          </w:tcPr>
          <w:p>
            <w:pPr>
              <w:jc w:val="right"/>
              <w:ind w:right="53"/>
              <w:spacing w:after="0" w:line="189" w:lineRule="exact"/>
              <w:rPr>
                <w:sz w:val="20"/>
                <w:szCs w:val="20"/>
                <w:color w:val="auto"/>
              </w:rPr>
            </w:pPr>
            <w:r>
              <w:rPr>
                <w:rFonts w:ascii="Arial" w:cs="Arial" w:eastAsia="Arial" w:hAnsi="Arial"/>
                <w:sz w:val="18"/>
                <w:szCs w:val="18"/>
                <w:b w:val="1"/>
                <w:bCs w:val="1"/>
                <w:color w:val="auto"/>
              </w:rPr>
              <w:t>273</w:t>
            </w:r>
          </w:p>
        </w:tc>
        <w:tc>
          <w:tcPr>
            <w:tcW w:w="2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197</w:t>
            </w:r>
          </w:p>
        </w:tc>
        <w:tc>
          <w:tcPr>
            <w:tcW w:w="100" w:type="dxa"/>
            <w:vAlign w:val="bottom"/>
            <w:shd w:val="clear" w:color="auto" w:fill="E5E5E5"/>
          </w:tcPr>
          <w:p>
            <w:pPr>
              <w:spacing w:after="0"/>
              <w:rPr>
                <w:sz w:val="16"/>
                <w:szCs w:val="16"/>
                <w:color w:val="auto"/>
              </w:rPr>
            </w:pPr>
          </w:p>
        </w:tc>
      </w:tr>
      <w:tr>
        <w:trPr>
          <w:trHeight w:val="250"/>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contracts</w:t>
            </w: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Three Months Ended</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4"/>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45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ind w:right="85"/>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2021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4"/>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500" w:type="dxa"/>
            <w:vAlign w:val="bottom"/>
          </w:tcPr>
          <w:p>
            <w:pPr>
              <w:jc w:val="right"/>
              <w:ind w:right="25"/>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596"/>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r>
      <w:tr>
        <w:trPr>
          <w:trHeight w:val="446"/>
        </w:trPr>
        <w:tc>
          <w:tcPr>
            <w:tcW w:w="45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NOTE 6 — INVENTORIES</w:t>
            </w:r>
          </w:p>
        </w:tc>
        <w:tc>
          <w:tcPr>
            <w:tcW w:w="5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5"/>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0"/>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gridSpan w:val="2"/>
          </w:tcPr>
          <w:p>
            <w:pPr>
              <w:spacing w:after="0"/>
              <w:rPr>
                <w:sz w:val="4"/>
                <w:szCs w:val="4"/>
                <w:color w:val="auto"/>
              </w:rPr>
            </w:pPr>
          </w:p>
        </w:tc>
      </w:tr>
      <w:tr>
        <w:trPr>
          <w:trHeight w:val="193"/>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4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55"/>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46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944</w:t>
            </w:r>
          </w:p>
        </w:tc>
        <w:tc>
          <w:tcPr>
            <w:tcW w:w="42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1,190</w:t>
            </w:r>
          </w:p>
        </w:tc>
        <w:tc>
          <w:tcPr>
            <w:tcW w:w="80" w:type="dxa"/>
            <w:vAlign w:val="bottom"/>
            <w:shd w:val="clear" w:color="auto" w:fill="E5E5E5"/>
          </w:tcPr>
          <w:p>
            <w:pPr>
              <w:spacing w:after="0"/>
              <w:rPr>
                <w:sz w:val="16"/>
                <w:szCs w:val="16"/>
                <w:color w:val="auto"/>
              </w:rPr>
            </w:pPr>
          </w:p>
        </w:tc>
      </w:tr>
      <w:tr>
        <w:trPr>
          <w:trHeight w:val="189"/>
        </w:trPr>
        <w:tc>
          <w:tcPr>
            <w:tcW w:w="456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79</w:t>
            </w:r>
          </w:p>
        </w:tc>
        <w:tc>
          <w:tcPr>
            <w:tcW w:w="80" w:type="dxa"/>
            <w:vAlign w:val="bottom"/>
          </w:tcPr>
          <w:p>
            <w:pPr>
              <w:spacing w:after="0"/>
              <w:rPr>
                <w:sz w:val="16"/>
                <w:szCs w:val="16"/>
                <w:color w:val="auto"/>
              </w:rPr>
            </w:pPr>
          </w:p>
        </w:tc>
      </w:tr>
      <w:tr>
        <w:trPr>
          <w:trHeight w:val="189"/>
        </w:trPr>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2,002</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1,367</w:t>
            </w:r>
          </w:p>
        </w:tc>
        <w:tc>
          <w:tcPr>
            <w:tcW w:w="80" w:type="dxa"/>
            <w:vAlign w:val="bottom"/>
            <w:shd w:val="clear" w:color="auto" w:fill="E5E5E5"/>
          </w:tcPr>
          <w:p>
            <w:pPr>
              <w:spacing w:after="0"/>
              <w:rPr>
                <w:sz w:val="16"/>
                <w:szCs w:val="16"/>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7"/>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3,019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24"/>
                <w:szCs w:val="24"/>
                <w:color w:val="auto"/>
              </w:rPr>
            </w:pPr>
          </w:p>
        </w:tc>
      </w:tr>
      <w:tr>
        <w:trPr>
          <w:trHeight w:val="61"/>
        </w:trPr>
        <w:tc>
          <w:tcPr>
            <w:tcW w:w="4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ZeniMax Media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9, 2021, we completed our acquisition of ZeniMax Media Inc. (“ZeniMax”), the parent company of Bethesda Softworks LLC (“Bethesda”), for a total purchase price of $8.1 billion, consisting primarily of cash. The purchase price included $766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allocation of the purchase price to goodwill was completed as of December 31, 2021. The major classes of assets and liabilities to which we have allocated the purchase price were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054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6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5E5E5"/>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E5E5E5"/>
          </w:tcPr>
          <w:p>
            <w:pPr>
              <w:spacing w:after="0"/>
              <w:rPr>
                <w:sz w:val="18"/>
                <w:szCs w:val="18"/>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5,510</w:t>
            </w:r>
          </w:p>
        </w:tc>
        <w:tc>
          <w:tcPr>
            <w:tcW w:w="120" w:type="dxa"/>
            <w:vAlign w:val="bottom"/>
          </w:tcPr>
          <w:p>
            <w:pPr>
              <w:spacing w:after="0"/>
              <w:rPr>
                <w:sz w:val="17"/>
                <w:szCs w:val="17"/>
                <w:color w:val="auto"/>
              </w:rPr>
            </w:pPr>
          </w:p>
        </w:tc>
      </w:tr>
      <w:tr>
        <w:trPr>
          <w:trHeight w:val="189"/>
        </w:trPr>
        <w:tc>
          <w:tcPr>
            <w:tcW w:w="9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56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1,968</w:t>
            </w:r>
          </w:p>
        </w:tc>
        <w:tc>
          <w:tcPr>
            <w:tcW w:w="120" w:type="dxa"/>
            <w:vAlign w:val="bottom"/>
            <w:shd w:val="clear" w:color="auto" w:fill="E5E5E5"/>
          </w:tcPr>
          <w:p>
            <w:pPr>
              <w:spacing w:after="0"/>
              <w:rPr>
                <w:sz w:val="16"/>
                <w:szCs w:val="16"/>
                <w:color w:val="auto"/>
              </w:rPr>
            </w:pPr>
          </w:p>
        </w:tc>
      </w:tr>
      <w:tr>
        <w:trPr>
          <w:trHeight w:val="189"/>
        </w:trPr>
        <w:tc>
          <w:tcPr>
            <w:tcW w:w="966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6"/>
                <w:szCs w:val="16"/>
                <w:color w:val="auto"/>
              </w:rPr>
            </w:pPr>
          </w:p>
        </w:tc>
      </w:tr>
      <w:tr>
        <w:trPr>
          <w:trHeight w:val="203"/>
        </w:trPr>
        <w:tc>
          <w:tcPr>
            <w:tcW w:w="9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liabilities</w:t>
            </w:r>
          </w:p>
        </w:tc>
        <w:tc>
          <w:tcPr>
            <w:tcW w:w="5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(244)</w:t>
            </w:r>
          </w:p>
        </w:tc>
      </w:tr>
      <w:tr>
        <w:trPr>
          <w:trHeight w:val="81"/>
        </w:trPr>
        <w:tc>
          <w:tcPr>
            <w:tcW w:w="96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291"/>
        </w:trPr>
        <w:tc>
          <w:tcPr>
            <w:tcW w:w="966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24"/>
                <w:szCs w:val="24"/>
                <w:color w:val="auto"/>
              </w:rPr>
            </w:pPr>
          </w:p>
        </w:tc>
      </w:tr>
      <w:tr>
        <w:trPr>
          <w:trHeight w:val="61"/>
        </w:trPr>
        <w:tc>
          <w:tcPr>
            <w:tcW w:w="96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details of the purchase price allocated to the intangible assets acquired: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Weighted</w:t>
            </w:r>
          </w:p>
        </w:tc>
      </w:tr>
      <w:tr>
        <w:trPr>
          <w:trHeight w:val="178"/>
        </w:trPr>
        <w:tc>
          <w:tcPr>
            <w:tcW w:w="80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Arial" w:cs="Arial" w:eastAsia="Arial" w:hAnsi="Arial"/>
                <w:sz w:val="13"/>
                <w:szCs w:val="13"/>
                <w:b w:val="1"/>
                <w:bCs w:val="1"/>
                <w:color w:val="auto"/>
              </w:rPr>
              <w:t>Amount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Average Life</w:t>
            </w:r>
          </w:p>
        </w:tc>
      </w:tr>
      <w:tr>
        <w:trPr>
          <w:trHeight w:val="54"/>
        </w:trPr>
        <w:tc>
          <w:tcPr>
            <w:tcW w:w="8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8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Technology-based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1,341</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 years</w:t>
            </w: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Marketing-related</w:t>
            </w:r>
          </w:p>
        </w:tc>
        <w:tc>
          <w:tcPr>
            <w:tcW w:w="5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627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 years</w:t>
            </w:r>
          </w:p>
        </w:tc>
      </w:tr>
      <w:tr>
        <w:trPr>
          <w:trHeight w:val="53"/>
        </w:trPr>
        <w:tc>
          <w:tcPr>
            <w:tcW w:w="8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75"/>
        </w:trPr>
        <w:tc>
          <w:tcPr>
            <w:tcW w:w="8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0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1,968</w:t>
            </w:r>
          </w:p>
        </w:tc>
        <w:tc>
          <w:tcPr>
            <w:tcW w:w="1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 years</w:t>
            </w:r>
          </w:p>
        </w:tc>
      </w:tr>
      <w:tr>
        <w:trPr>
          <w:trHeight w:val="74"/>
        </w:trPr>
        <w:tc>
          <w:tcPr>
            <w:tcW w:w="8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Nuance is a cloud and artificial intelligence (“AI”) software provider with healthcare and enterprise AI experience, and the acquisition will build on our industry-specific cloud offerings. The acquisition has been approved by Nuance’s shareholders, and we expect it to close in the third quarter of fiscal year 2022, subject to the satisfaction of certain regulatory approvals and other customary closing conditions.</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4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55"/>
        </w:trPr>
        <w:tc>
          <w:tcPr>
            <w:tcW w:w="4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24,317</w:t>
            </w:r>
          </w:p>
        </w:tc>
        <w:tc>
          <w:tcPr>
            <w:tcW w:w="3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394</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24,681</w:t>
            </w:r>
          </w:p>
        </w:tc>
        <w:tc>
          <w:tcPr>
            <w:tcW w:w="100" w:type="dxa"/>
            <w:vAlign w:val="bottom"/>
            <w:shd w:val="clear" w:color="auto" w:fill="E5E5E5"/>
          </w:tcPr>
          <w:p>
            <w:pPr>
              <w:spacing w:after="0"/>
              <w:rPr>
                <w:sz w:val="16"/>
                <w:szCs w:val="16"/>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13,256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584</w:t>
            </w:r>
          </w:p>
        </w:tc>
        <w:tc>
          <w:tcPr>
            <w:tcW w:w="48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97</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13,937</w:t>
            </w:r>
          </w:p>
        </w:tc>
        <w:tc>
          <w:tcPr>
            <w:tcW w:w="100" w:type="dxa"/>
            <w:vAlign w:val="bottom"/>
          </w:tcPr>
          <w:p>
            <w:pPr>
              <w:spacing w:after="0"/>
              <w:rPr>
                <w:sz w:val="16"/>
                <w:szCs w:val="16"/>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12,138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224</w:t>
            </w:r>
          </w:p>
        </w:tc>
        <w:tc>
          <w:tcPr>
            <w:tcW w:w="4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12,303</w:t>
            </w:r>
          </w:p>
        </w:tc>
        <w:tc>
          <w:tcPr>
            <w:tcW w:w="100" w:type="dxa"/>
            <w:vAlign w:val="bottom"/>
            <w:shd w:val="clear" w:color="auto" w:fill="E5E5E5"/>
          </w:tcPr>
          <w:p>
            <w:pPr>
              <w:spacing w:after="0"/>
              <w:rPr>
                <w:sz w:val="16"/>
                <w:szCs w:val="16"/>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49,711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1,202</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50,921</w:t>
            </w:r>
          </w:p>
        </w:tc>
        <w:tc>
          <w:tcPr>
            <w:tcW w:w="100" w:type="dxa"/>
            <w:vAlign w:val="bottom"/>
          </w:tcPr>
          <w:p>
            <w:pPr>
              <w:spacing w:after="0"/>
              <w:rPr>
                <w:sz w:val="22"/>
                <w:szCs w:val="22"/>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79"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Gross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Net</w:t>
            </w:r>
          </w:p>
        </w:tc>
      </w:tr>
      <w:tr>
        <w:trPr>
          <w:trHeight w:val="148"/>
        </w:trPr>
        <w:tc>
          <w:tcPr>
            <w:tcW w:w="2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Carrying</w:t>
            </w:r>
          </w:p>
        </w:tc>
        <w:tc>
          <w:tcPr>
            <w:tcW w:w="3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Carrying</w:t>
            </w:r>
          </w:p>
        </w:tc>
      </w:tr>
      <w:tr>
        <w:trPr>
          <w:trHeight w:val="178"/>
        </w:trPr>
        <w:tc>
          <w:tcPr>
            <w:tcW w:w="25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r>
      <w:tr>
        <w:trPr>
          <w:trHeight w:val="54"/>
        </w:trPr>
        <w:tc>
          <w:tcPr>
            <w:tcW w:w="2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193"/>
        </w:trPr>
        <w:tc>
          <w:tcPr>
            <w:tcW w:w="2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2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r>
      <w:tr>
        <w:trPr>
          <w:trHeight w:val="54"/>
        </w:trPr>
        <w:tc>
          <w:tcPr>
            <w:tcW w:w="2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2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9,988</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(7,121)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2,867</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9,779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(7,007)</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2,772</w:t>
            </w: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440" w:type="dxa"/>
            <w:vAlign w:val="bottom"/>
          </w:tcPr>
          <w:p>
            <w:pPr>
              <w:spacing w:after="0"/>
              <w:rPr>
                <w:sz w:val="16"/>
                <w:szCs w:val="16"/>
                <w:color w:val="auto"/>
              </w:rPr>
            </w:pPr>
          </w:p>
        </w:tc>
        <w:tc>
          <w:tcPr>
            <w:tcW w:w="11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5,005</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(3,180)</w:t>
            </w: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1,825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4,958</w:t>
            </w:r>
          </w:p>
        </w:tc>
        <w:tc>
          <w:tcPr>
            <w:tcW w:w="24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(2,859)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2,099</w:t>
            </w:r>
          </w:p>
        </w:tc>
      </w:tr>
      <w:tr>
        <w:trPr>
          <w:trHeight w:val="189"/>
        </w:trPr>
        <w:tc>
          <w:tcPr>
            <w:tcW w:w="2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4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4,802</w:t>
            </w:r>
          </w:p>
        </w:tc>
        <w:tc>
          <w:tcPr>
            <w:tcW w:w="30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(2,043)</w:t>
            </w: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2,759</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4,792</w:t>
            </w:r>
          </w:p>
        </w:tc>
        <w:tc>
          <w:tcPr>
            <w:tcW w:w="2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(1,878)</w:t>
            </w:r>
          </w:p>
        </w:tc>
        <w:tc>
          <w:tcPr>
            <w:tcW w:w="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2,914</w:t>
            </w:r>
          </w:p>
        </w:tc>
      </w:tr>
      <w:tr>
        <w:trPr>
          <w:trHeight w:val="250"/>
        </w:trPr>
        <w:tc>
          <w:tcPr>
            <w:tcW w:w="2500" w:type="dxa"/>
            <w:vAlign w:val="bottom"/>
          </w:tcPr>
          <w:p>
            <w:pPr>
              <w:spacing w:after="0"/>
              <w:rPr>
                <w:sz w:val="20"/>
                <w:szCs w:val="20"/>
                <w:color w:val="auto"/>
              </w:rPr>
            </w:pPr>
            <w:r>
              <w:rPr>
                <w:rFonts w:ascii="Arial" w:cs="Arial" w:eastAsia="Arial" w:hAnsi="Arial"/>
                <w:sz w:val="18"/>
                <w:szCs w:val="18"/>
                <w:color w:val="auto"/>
              </w:rPr>
              <w:t>Contract-based</w:t>
            </w:r>
          </w:p>
        </w:tc>
        <w:tc>
          <w:tcPr>
            <w:tcW w:w="4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343</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(332)</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68"/>
        </w:trPr>
        <w:tc>
          <w:tcPr>
            <w:tcW w:w="2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25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20,138</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(12,676)</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7,462</w:t>
            </w:r>
          </w:p>
        </w:tc>
        <w:tc>
          <w:tcPr>
            <w:tcW w:w="5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19,975</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(12,175)</w:t>
            </w:r>
          </w:p>
        </w:tc>
        <w:tc>
          <w:tcPr>
            <w:tcW w:w="4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7,800</w:t>
            </w:r>
          </w:p>
        </w:tc>
      </w:tr>
      <w:tr>
        <w:trPr>
          <w:trHeight w:val="74"/>
        </w:trPr>
        <w:tc>
          <w:tcPr>
            <w:tcW w:w="2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Intangible assets amortization expense was $446 million and $ 885 million for the three and six months ended December 31, 2021, respectively, and $378 million and $761 million for the three and six months ended December 31,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63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4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six months ended December 31, 2021)</w:t>
            </w:r>
          </w:p>
        </w:tc>
        <w:tc>
          <w:tcPr>
            <w:tcW w:w="5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895</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1,824</w:t>
            </w: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1,515</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898</w:t>
            </w: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7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554</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1,776</w:t>
            </w:r>
          </w:p>
        </w:tc>
        <w:tc>
          <w:tcPr>
            <w:tcW w:w="0" w:type="dxa"/>
            <w:vAlign w:val="bottom"/>
          </w:tcPr>
          <w:p>
            <w:pPr>
              <w:spacing w:after="0"/>
              <w:rPr>
                <w:sz w:val="1"/>
                <w:szCs w:val="1"/>
                <w:color w:val="auto"/>
              </w:rPr>
            </w:pPr>
          </w:p>
        </w:tc>
      </w:tr>
      <w:tr>
        <w:trPr>
          <w:trHeight w:val="68"/>
        </w:trPr>
        <w:tc>
          <w:tcPr>
            <w:tcW w:w="5140" w:type="dxa"/>
            <w:vAlign w:val="bottom"/>
            <w:tcBorders>
              <w:top w:val="single" w:sz="8" w:color="auto"/>
            </w:tcBorders>
          </w:tcPr>
          <w:p>
            <w:pPr>
              <w:spacing w:after="0"/>
              <w:rPr>
                <w:sz w:val="5"/>
                <w:szCs w:val="5"/>
                <w:color w:val="auto"/>
              </w:rPr>
            </w:pPr>
          </w:p>
        </w:tc>
        <w:tc>
          <w:tcPr>
            <w:tcW w:w="47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20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7,462</w:t>
            </w:r>
          </w:p>
        </w:tc>
        <w:tc>
          <w:tcPr>
            <w:tcW w:w="0" w:type="dxa"/>
            <w:vAlign w:val="bottom"/>
          </w:tcPr>
          <w:p>
            <w:pPr>
              <w:spacing w:after="0"/>
              <w:rPr>
                <w:sz w:val="1"/>
                <w:szCs w:val="1"/>
                <w:color w:val="auto"/>
              </w:rPr>
            </w:pPr>
          </w:p>
        </w:tc>
      </w:tr>
      <w:tr>
        <w:trPr>
          <w:trHeight w:val="75"/>
        </w:trPr>
        <w:tc>
          <w:tcPr>
            <w:tcW w:w="5140" w:type="dxa"/>
            <w:vAlign w:val="bottom"/>
          </w:tcPr>
          <w:p>
            <w:pPr>
              <w:spacing w:after="0"/>
              <w:rPr>
                <w:sz w:val="6"/>
                <w:szCs w:val="6"/>
                <w:color w:val="auto"/>
              </w:rPr>
            </w:pPr>
          </w:p>
        </w:tc>
        <w:tc>
          <w:tcPr>
            <w:tcW w:w="4760" w:type="dxa"/>
            <w:vAlign w:val="bottom"/>
            <w:vMerge w:val="restart"/>
          </w:tcPr>
          <w:p>
            <w:pPr>
              <w:jc w:val="right"/>
              <w:ind w:right="4116"/>
              <w:spacing w:after="0"/>
              <w:rPr>
                <w:sz w:val="20"/>
                <w:szCs w:val="20"/>
                <w:color w:val="auto"/>
              </w:rPr>
            </w:pPr>
            <w:r>
              <w:rPr>
                <w:rFonts w:ascii="Arial" w:cs="Arial" w:eastAsia="Arial" w:hAnsi="Arial"/>
                <w:sz w:val="14"/>
                <w:szCs w:val="14"/>
                <w:color w:val="auto"/>
              </w:rPr>
              <w:t>19</w:t>
            </w: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5"/>
        </w:trPr>
        <w:tc>
          <w:tcPr>
            <w:tcW w:w="51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4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Arial" w:cs="Arial" w:eastAsia="Arial" w:hAnsi="Arial"/>
                <w:sz w:val="13"/>
                <w:szCs w:val="13"/>
                <w:b w:val="1"/>
                <w:bCs w:val="1"/>
                <w:color w:val="auto"/>
              </w:rPr>
              <w:t>Maturities</w:t>
            </w:r>
          </w:p>
        </w:tc>
        <w:tc>
          <w:tcPr>
            <w:tcW w:w="1780" w:type="dxa"/>
            <w:vAlign w:val="bottom"/>
          </w:tcPr>
          <w:p>
            <w:pPr>
              <w:jc w:val="right"/>
              <w:ind w:right="373"/>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73"/>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June 30,</w:t>
            </w:r>
          </w:p>
        </w:tc>
      </w:tr>
      <w:tr>
        <w:trPr>
          <w:trHeight w:val="178"/>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40" w:type="dxa"/>
            <w:vAlign w:val="bottom"/>
          </w:tcPr>
          <w:p>
            <w:pPr>
              <w:jc w:val="right"/>
              <w:ind w:right="193"/>
              <w:spacing w:after="0"/>
              <w:rPr>
                <w:sz w:val="20"/>
                <w:szCs w:val="20"/>
                <w:color w:val="auto"/>
              </w:rPr>
            </w:pPr>
            <w:r>
              <w:rPr>
                <w:rFonts w:ascii="Arial" w:cs="Arial" w:eastAsia="Arial" w:hAnsi="Arial"/>
                <w:sz w:val="13"/>
                <w:szCs w:val="13"/>
                <w:b w:val="1"/>
                <w:bCs w:val="1"/>
                <w:color w:val="auto"/>
              </w:rPr>
              <w:t>(calendar year)</w:t>
            </w:r>
          </w:p>
        </w:tc>
        <w:tc>
          <w:tcPr>
            <w:tcW w:w="1780" w:type="dxa"/>
            <w:vAlign w:val="bottom"/>
          </w:tcPr>
          <w:p>
            <w:pPr>
              <w:jc w:val="right"/>
              <w:ind w:right="693"/>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73"/>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5"/>
                <w:szCs w:val="15"/>
                <w:color w:val="auto"/>
              </w:rPr>
            </w:pPr>
          </w:p>
        </w:tc>
      </w:tr>
      <w:tr>
        <w:trPr>
          <w:trHeight w:val="55"/>
        </w:trPr>
        <w:tc>
          <w:tcPr>
            <w:tcW w:w="35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61"/>
        </w:trPr>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2009 issuance of $3.8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2039</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5.24%</w:t>
            </w:r>
          </w:p>
        </w:tc>
        <w:tc>
          <w:tcPr>
            <w:tcW w:w="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520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520</w:t>
            </w:r>
          </w:p>
        </w:tc>
        <w:tc>
          <w:tcPr>
            <w:tcW w:w="6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2010 issuance of $4.8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2040</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486</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486</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2011 issuance of $2.3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2041</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5.30%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5.36%</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718</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718</w:t>
            </w:r>
          </w:p>
        </w:tc>
        <w:tc>
          <w:tcPr>
            <w:tcW w:w="6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2012 issuance of $2.3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2022 – 2042</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2.13% – 3.50%</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2.24%–3.57%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1,204</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1,204</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2013 issuance of $5.2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2023 – 2043</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2.38% – 4.88%</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2.47%–4.92%</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2,814</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2,814</w:t>
            </w:r>
          </w:p>
        </w:tc>
        <w:tc>
          <w:tcPr>
            <w:tcW w:w="6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2013 issuance of €4.1 billion</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2028 – 2033</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2.63% – 3.13%</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2.69%–3.22%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2,615</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4,803</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2015 issuance of $23.8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2022 – 2055</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2.38% – 4.75%</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2.47%–4.78%</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12,305</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12,305</w:t>
            </w:r>
          </w:p>
        </w:tc>
        <w:tc>
          <w:tcPr>
            <w:tcW w:w="6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2016 issuance of $19.8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2023 – 2056</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2.00% – 3.95%</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2.10%–4.03%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9,430</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12,180</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2017 issuance of $17.0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2022 – 2057</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2.40% – 4.50%</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2.52%–4.53%</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10,695</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10,695</w:t>
            </w:r>
          </w:p>
        </w:tc>
        <w:tc>
          <w:tcPr>
            <w:tcW w:w="60" w:type="dxa"/>
            <w:vAlign w:val="bottom"/>
            <w:shd w:val="clear" w:color="auto" w:fill="E5E5E5"/>
          </w:tcPr>
          <w:p>
            <w:pPr>
              <w:spacing w:after="0"/>
              <w:rPr>
                <w:sz w:val="16"/>
                <w:szCs w:val="16"/>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2020 issuance of $10.0 billion </w:t>
            </w:r>
            <w:r>
              <w:rPr>
                <w:rFonts w:ascii="Arial" w:cs="Arial" w:eastAsia="Arial" w:hAnsi="Arial"/>
                <w:sz w:val="15"/>
                <w:szCs w:val="15"/>
                <w:color w:val="auto"/>
              </w:rPr>
              <w:t>(a)</w:t>
            </w:r>
          </w:p>
        </w:tc>
        <w:tc>
          <w:tcPr>
            <w:tcW w:w="1440" w:type="dxa"/>
            <w:vAlign w:val="bottom"/>
          </w:tcPr>
          <w:p>
            <w:pPr>
              <w:jc w:val="right"/>
              <w:ind w:right="173"/>
              <w:spacing w:after="0" w:line="189" w:lineRule="exact"/>
              <w:rPr>
                <w:sz w:val="20"/>
                <w:szCs w:val="20"/>
                <w:color w:val="auto"/>
              </w:rPr>
            </w:pPr>
            <w:r>
              <w:rPr>
                <w:rFonts w:ascii="Arial" w:cs="Arial" w:eastAsia="Arial" w:hAnsi="Arial"/>
                <w:sz w:val="18"/>
                <w:szCs w:val="18"/>
                <w:b w:val="1"/>
                <w:bCs w:val="1"/>
                <w:color w:val="auto"/>
              </w:rPr>
              <w:t>2050 – 2060</w:t>
            </w:r>
          </w:p>
        </w:tc>
        <w:tc>
          <w:tcPr>
            <w:tcW w:w="1780" w:type="dxa"/>
            <w:vAlign w:val="bottom"/>
          </w:tcPr>
          <w:p>
            <w:pPr>
              <w:jc w:val="right"/>
              <w:ind w:right="233"/>
              <w:spacing w:after="0" w:line="189" w:lineRule="exact"/>
              <w:rPr>
                <w:sz w:val="20"/>
                <w:szCs w:val="20"/>
                <w:color w:val="auto"/>
              </w:rPr>
            </w:pPr>
            <w:r>
              <w:rPr>
                <w:rFonts w:ascii="Arial" w:cs="Arial" w:eastAsia="Arial" w:hAnsi="Arial"/>
                <w:sz w:val="18"/>
                <w:szCs w:val="18"/>
                <w:b w:val="1"/>
                <w:bCs w:val="1"/>
                <w:color w:val="auto"/>
              </w:rPr>
              <w:t>2.53% – 2.68%</w:t>
            </w:r>
          </w:p>
        </w:tc>
        <w:tc>
          <w:tcPr>
            <w:tcW w:w="1700" w:type="dxa"/>
            <w:vAlign w:val="bottom"/>
          </w:tcPr>
          <w:p>
            <w:pPr>
              <w:jc w:val="right"/>
              <w:ind w:right="113"/>
              <w:spacing w:after="0" w:line="189" w:lineRule="exact"/>
              <w:rPr>
                <w:sz w:val="20"/>
                <w:szCs w:val="20"/>
                <w:color w:val="auto"/>
              </w:rPr>
            </w:pPr>
            <w:r>
              <w:rPr>
                <w:rFonts w:ascii="Arial" w:cs="Arial" w:eastAsia="Arial" w:hAnsi="Arial"/>
                <w:sz w:val="18"/>
                <w:szCs w:val="18"/>
                <w:b w:val="1"/>
                <w:bCs w:val="1"/>
                <w:color w:val="auto"/>
              </w:rPr>
              <w:t>2.53%–2.68%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10,000</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2021 issuance of $8.2 billion </w:t>
            </w:r>
            <w:r>
              <w:rPr>
                <w:rFonts w:ascii="Arial" w:cs="Arial" w:eastAsia="Arial" w:hAnsi="Arial"/>
                <w:sz w:val="15"/>
                <w:szCs w:val="15"/>
                <w:color w:val="auto"/>
              </w:rPr>
              <w:t>(a)</w:t>
            </w:r>
          </w:p>
        </w:tc>
        <w:tc>
          <w:tcPr>
            <w:tcW w:w="1440" w:type="dxa"/>
            <w:vAlign w:val="bottom"/>
            <w:shd w:val="clear" w:color="auto" w:fill="E5E5E5"/>
          </w:tcPr>
          <w:p>
            <w:pPr>
              <w:jc w:val="right"/>
              <w:ind w:right="173"/>
              <w:spacing w:after="0" w:line="189" w:lineRule="exact"/>
              <w:rPr>
                <w:sz w:val="20"/>
                <w:szCs w:val="20"/>
                <w:color w:val="auto"/>
              </w:rPr>
            </w:pPr>
            <w:r>
              <w:rPr>
                <w:rFonts w:ascii="Arial" w:cs="Arial" w:eastAsia="Arial" w:hAnsi="Arial"/>
                <w:sz w:val="18"/>
                <w:szCs w:val="18"/>
                <w:b w:val="1"/>
                <w:bCs w:val="1"/>
                <w:color w:val="auto"/>
              </w:rPr>
              <w:t>2052 – 2062</w:t>
            </w:r>
          </w:p>
        </w:tc>
        <w:tc>
          <w:tcPr>
            <w:tcW w:w="1780" w:type="dxa"/>
            <w:vAlign w:val="bottom"/>
            <w:shd w:val="clear" w:color="auto" w:fill="E5E5E5"/>
          </w:tcPr>
          <w:p>
            <w:pPr>
              <w:jc w:val="right"/>
              <w:ind w:right="233"/>
              <w:spacing w:after="0" w:line="189" w:lineRule="exact"/>
              <w:rPr>
                <w:sz w:val="20"/>
                <w:szCs w:val="20"/>
                <w:color w:val="auto"/>
              </w:rPr>
            </w:pPr>
            <w:r>
              <w:rPr>
                <w:rFonts w:ascii="Arial" w:cs="Arial" w:eastAsia="Arial" w:hAnsi="Arial"/>
                <w:sz w:val="18"/>
                <w:szCs w:val="18"/>
                <w:b w:val="1"/>
                <w:bCs w:val="1"/>
                <w:color w:val="auto"/>
              </w:rPr>
              <w:t>2.92% – 3.04%</w:t>
            </w:r>
          </w:p>
        </w:tc>
        <w:tc>
          <w:tcPr>
            <w:tcW w:w="1700" w:type="dxa"/>
            <w:vAlign w:val="bottom"/>
            <w:shd w:val="clear" w:color="auto" w:fill="E5E5E5"/>
          </w:tcPr>
          <w:p>
            <w:pPr>
              <w:jc w:val="right"/>
              <w:ind w:right="113"/>
              <w:spacing w:after="0" w:line="189" w:lineRule="exact"/>
              <w:rPr>
                <w:sz w:val="20"/>
                <w:szCs w:val="20"/>
                <w:color w:val="auto"/>
              </w:rPr>
            </w:pPr>
            <w:r>
              <w:rPr>
                <w:rFonts w:ascii="Arial" w:cs="Arial" w:eastAsia="Arial" w:hAnsi="Arial"/>
                <w:sz w:val="18"/>
                <w:szCs w:val="18"/>
                <w:b w:val="1"/>
                <w:bCs w:val="1"/>
                <w:color w:val="auto"/>
              </w:rPr>
              <w:t>2.92%–3.04%</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8,185</w:t>
            </w: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8,185</w:t>
            </w:r>
          </w:p>
        </w:tc>
        <w:tc>
          <w:tcPr>
            <w:tcW w:w="60" w:type="dxa"/>
            <w:vAlign w:val="bottom"/>
            <w:shd w:val="clear" w:color="auto" w:fill="E5E5E5"/>
          </w:tcPr>
          <w:p>
            <w:pPr>
              <w:spacing w:after="0"/>
              <w:rPr>
                <w:sz w:val="16"/>
                <w:szCs w:val="16"/>
                <w:color w:val="auto"/>
              </w:rPr>
            </w:pP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58,972</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63,910</w:t>
            </w:r>
          </w:p>
        </w:tc>
        <w:tc>
          <w:tcPr>
            <w:tcW w:w="6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Unamortized discount and issuance costs</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(490)</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(511)</w:t>
            </w: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(b)</w:t>
            </w: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6"/>
                <w:szCs w:val="16"/>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Premium on debt exchange </w:t>
            </w:r>
            <w:r>
              <w:rPr>
                <w:rFonts w:ascii="Arial" w:cs="Arial" w:eastAsia="Arial" w:hAnsi="Arial"/>
                <w:sz w:val="15"/>
                <w:szCs w:val="15"/>
                <w:color w:val="auto"/>
              </w:rPr>
              <w:t>(a)</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(5,242)</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(5,293)</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50"/>
        </w:trPr>
        <w:tc>
          <w:tcPr>
            <w:tcW w:w="35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53,258</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58,146</w:t>
            </w:r>
          </w:p>
        </w:tc>
        <w:tc>
          <w:tcPr>
            <w:tcW w:w="60" w:type="dxa"/>
            <w:vAlign w:val="bottom"/>
          </w:tcPr>
          <w:p>
            <w:pPr>
              <w:spacing w:after="0"/>
              <w:rPr>
                <w:sz w:val="21"/>
                <w:szCs w:val="21"/>
                <w:color w:val="auto"/>
              </w:rPr>
            </w:pPr>
          </w:p>
        </w:tc>
      </w:tr>
      <w:tr>
        <w:trPr>
          <w:trHeight w:val="189"/>
        </w:trPr>
        <w:tc>
          <w:tcPr>
            <w:tcW w:w="3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E5E5E5"/>
          </w:tcPr>
          <w:p>
            <w:pPr>
              <w:spacing w:after="0"/>
              <w:rPr>
                <w:sz w:val="16"/>
                <w:szCs w:val="16"/>
                <w:color w:val="auto"/>
              </w:rPr>
            </w:pPr>
          </w:p>
        </w:tc>
        <w:tc>
          <w:tcPr>
            <w:tcW w:w="1780" w:type="dxa"/>
            <w:vAlign w:val="bottom"/>
            <w:shd w:val="clear" w:color="auto" w:fill="E5E5E5"/>
          </w:tcPr>
          <w:p>
            <w:pPr>
              <w:spacing w:after="0"/>
              <w:rPr>
                <w:sz w:val="16"/>
                <w:szCs w:val="16"/>
                <w:color w:val="auto"/>
              </w:rPr>
            </w:pPr>
          </w:p>
        </w:tc>
        <w:tc>
          <w:tcPr>
            <w:tcW w:w="1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(4,998)</w:t>
            </w:r>
          </w:p>
        </w:tc>
        <w:tc>
          <w:tcPr>
            <w:tcW w:w="3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(8,072)</w:t>
            </w:r>
          </w:p>
        </w:tc>
      </w:tr>
      <w:tr>
        <w:trPr>
          <w:trHeight w:val="68"/>
        </w:trPr>
        <w:tc>
          <w:tcPr>
            <w:tcW w:w="35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63"/>
        </w:trPr>
        <w:tc>
          <w:tcPr>
            <w:tcW w:w="354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48,260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50,074</w:t>
            </w:r>
          </w:p>
        </w:tc>
        <w:tc>
          <w:tcPr>
            <w:tcW w:w="60" w:type="dxa"/>
            <w:vAlign w:val="bottom"/>
          </w:tcPr>
          <w:p>
            <w:pPr>
              <w:spacing w:after="0"/>
              <w:rPr>
                <w:sz w:val="22"/>
                <w:szCs w:val="22"/>
                <w:color w:val="auto"/>
              </w:rPr>
            </w:pPr>
          </w:p>
        </w:tc>
      </w:tr>
      <w:tr>
        <w:trPr>
          <w:trHeight w:val="61"/>
        </w:trPr>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184" w:lineRule="exact"/>
        <w:rPr>
          <w:sz w:val="20"/>
          <w:szCs w:val="20"/>
          <w:color w:val="auto"/>
        </w:rPr>
      </w:pPr>
    </w:p>
    <w:p>
      <w:pPr>
        <w:ind w:left="540" w:hanging="532"/>
        <w:spacing w:after="0" w:line="24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 March 2021 and June 2020, we exchanged a portion of our existing debt at a premium for cash and new debt with longer maturities. The premiums are amortized over the terms of the new debt.</w:t>
      </w: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December 31, 2021 and June 30, 2021, the estimated fair value of long-term debt, including the current portion, was $64.3 billion and $70.0 billion, respectively. The estimated fair values are based on Level 2 inputs.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5140" w:type="dxa"/>
            <w:vAlign w:val="bottom"/>
          </w:tcPr>
          <w:p>
            <w:pPr>
              <w:spacing w:after="0"/>
              <w:rPr>
                <w:sz w:val="4"/>
                <w:szCs w:val="4"/>
                <w:color w:val="auto"/>
              </w:rPr>
            </w:pPr>
          </w:p>
        </w:tc>
        <w:tc>
          <w:tcPr>
            <w:tcW w:w="4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six months ended December 31, 2021)</w:t>
            </w:r>
          </w:p>
        </w:tc>
        <w:tc>
          <w:tcPr>
            <w:tcW w:w="504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3,250</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6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189"/>
        </w:trPr>
        <w:tc>
          <w:tcPr>
            <w:tcW w:w="514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464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42,472</w:t>
            </w:r>
          </w:p>
        </w:tc>
        <w:tc>
          <w:tcPr>
            <w:tcW w:w="0" w:type="dxa"/>
            <w:vAlign w:val="bottom"/>
          </w:tcPr>
          <w:p>
            <w:pPr>
              <w:spacing w:after="0"/>
              <w:rPr>
                <w:sz w:val="1"/>
                <w:szCs w:val="1"/>
                <w:color w:val="auto"/>
              </w:rPr>
            </w:pPr>
          </w:p>
        </w:tc>
      </w:tr>
      <w:tr>
        <w:trPr>
          <w:trHeight w:val="68"/>
        </w:trPr>
        <w:tc>
          <w:tcPr>
            <w:tcW w:w="5140" w:type="dxa"/>
            <w:vAlign w:val="bottom"/>
            <w:tcBorders>
              <w:top w:val="single" w:sz="8" w:color="auto"/>
            </w:tcBorders>
          </w:tcPr>
          <w:p>
            <w:pPr>
              <w:spacing w:after="0"/>
              <w:rPr>
                <w:sz w:val="5"/>
                <w:szCs w:val="5"/>
                <w:color w:val="auto"/>
              </w:rPr>
            </w:pPr>
          </w:p>
        </w:tc>
        <w:tc>
          <w:tcPr>
            <w:tcW w:w="46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58,972</w:t>
            </w:r>
          </w:p>
        </w:tc>
        <w:tc>
          <w:tcPr>
            <w:tcW w:w="0" w:type="dxa"/>
            <w:vAlign w:val="bottom"/>
          </w:tcPr>
          <w:p>
            <w:pPr>
              <w:spacing w:after="0"/>
              <w:rPr>
                <w:sz w:val="1"/>
                <w:szCs w:val="1"/>
                <w:color w:val="auto"/>
              </w:rPr>
            </w:pPr>
          </w:p>
        </w:tc>
      </w:tr>
      <w:tr>
        <w:trPr>
          <w:trHeight w:val="74"/>
        </w:trPr>
        <w:tc>
          <w:tcPr>
            <w:tcW w:w="5140" w:type="dxa"/>
            <w:vAlign w:val="bottom"/>
          </w:tcPr>
          <w:p>
            <w:pPr>
              <w:spacing w:after="0"/>
              <w:rPr>
                <w:sz w:val="6"/>
                <w:szCs w:val="6"/>
                <w:color w:val="auto"/>
              </w:rPr>
            </w:pPr>
          </w:p>
        </w:tc>
        <w:tc>
          <w:tcPr>
            <w:tcW w:w="4640" w:type="dxa"/>
            <w:vAlign w:val="bottom"/>
            <w:vMerge w:val="restart"/>
          </w:tcPr>
          <w:p>
            <w:pPr>
              <w:jc w:val="right"/>
              <w:ind w:right="3996"/>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6"/>
        </w:trPr>
        <w:tc>
          <w:tcPr>
            <w:tcW w:w="51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4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effective tax rate was 17% and 16% for the three months ended December 31, 2021 and 2020, respectively, and 9% and 15% for the six months ended December 31, 2021 and 2020, respectively. The increase in our effective tax rate for the three months ended December 31, 2021 compared to the prior year was primarily due to changes in the mix of our income before income taxes between the U.S. and foreign countries and tax benefits from final Tax Cuts and Jobs Act regulations in fiscal year 2021, offset in part by an increase in tax benefits relating to stock-based compensation. The decrease in our effective tax rate for the six months ended December 31, 2021 compared to the prior year was primarily due to a $3.3 billion net income tax benefit in the first quarter of fiscal year 2022 related to the transfer of intangible properties.</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2021, primarily due to earnings taxed at lower rates in foreign jurisdictions resulting from producing and distributing our products and services through our foreign regional operations center in Ireland, tax benefits relating to stock-based compensation, and for the six months ended December 31, 2021, the net income tax benefit related to the transfer of intangible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2021 and June 30, 2021, unrecognized tax benefits and other income tax liabilities were $16.3 billion and $15.9 billion, respectively, and are included in long-term income taxes in our consolidated balance sheets.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42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40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18,494</w:t>
            </w:r>
          </w:p>
        </w:tc>
        <w:tc>
          <w:tcPr>
            <w:tcW w:w="6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14,549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17,710</w:t>
            </w:r>
          </w:p>
        </w:tc>
        <w:tc>
          <w:tcPr>
            <w:tcW w:w="0" w:type="dxa"/>
            <w:vAlign w:val="bottom"/>
          </w:tcPr>
          <w:p>
            <w:pPr>
              <w:spacing w:after="0"/>
              <w:rPr>
                <w:sz w:val="1"/>
                <w:szCs w:val="1"/>
                <w:color w:val="auto"/>
              </w:rPr>
            </w:pPr>
          </w:p>
        </w:tc>
      </w:tr>
      <w:tr>
        <w:trPr>
          <w:trHeight w:val="189"/>
        </w:trPr>
        <w:tc>
          <w:tcPr>
            <w:tcW w:w="4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7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3,726</w:t>
            </w:r>
          </w:p>
        </w:tc>
        <w:tc>
          <w:tcPr>
            <w:tcW w:w="1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68"/>
        </w:trPr>
        <w:tc>
          <w:tcPr>
            <w:tcW w:w="4260" w:type="dxa"/>
            <w:vAlign w:val="bottom"/>
            <w:tcBorders>
              <w:bottom w:val="single" w:sz="8" w:color="auto"/>
            </w:tcBorders>
          </w:tcPr>
          <w:p>
            <w:pPr>
              <w:spacing w:after="0"/>
              <w:rPr>
                <w:sz w:val="5"/>
                <w:szCs w:val="5"/>
                <w:color w:val="auto"/>
              </w:rPr>
            </w:pPr>
          </w:p>
        </w:tc>
        <w:tc>
          <w:tcPr>
            <w:tcW w:w="408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260" w:type="dxa"/>
            <w:vAlign w:val="bottom"/>
          </w:tcPr>
          <w:p>
            <w:pPr>
              <w:ind w:left="220"/>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36,769</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44,141</w:t>
            </w:r>
          </w:p>
        </w:tc>
        <w:tc>
          <w:tcPr>
            <w:tcW w:w="0" w:type="dxa"/>
            <w:vAlign w:val="bottom"/>
          </w:tcPr>
          <w:p>
            <w:pPr>
              <w:spacing w:after="0"/>
              <w:rPr>
                <w:sz w:val="1"/>
                <w:szCs w:val="1"/>
                <w:color w:val="auto"/>
              </w:rPr>
            </w:pPr>
          </w:p>
        </w:tc>
      </w:tr>
      <w:tr>
        <w:trPr>
          <w:trHeight w:val="61"/>
        </w:trPr>
        <w:tc>
          <w:tcPr>
            <w:tcW w:w="4260" w:type="dxa"/>
            <w:vAlign w:val="bottom"/>
          </w:tcPr>
          <w:p>
            <w:pPr>
              <w:spacing w:after="0"/>
              <w:rPr>
                <w:sz w:val="5"/>
                <w:szCs w:val="5"/>
                <w:color w:val="auto"/>
              </w:rPr>
            </w:pPr>
          </w:p>
        </w:tc>
        <w:tc>
          <w:tcPr>
            <w:tcW w:w="3740" w:type="dxa"/>
            <w:vAlign w:val="bottom"/>
            <w:vMerge w:val="restart"/>
          </w:tcPr>
          <w:p>
            <w:pPr>
              <w:jc w:val="right"/>
              <w:ind w:right="2216"/>
              <w:spacing w:after="0"/>
              <w:rPr>
                <w:sz w:val="20"/>
                <w:szCs w:val="20"/>
                <w:color w:val="auto"/>
              </w:rPr>
            </w:pPr>
            <w:r>
              <w:rPr>
                <w:rFonts w:ascii="Arial" w:cs="Arial" w:eastAsia="Arial" w:hAnsi="Arial"/>
                <w:sz w:val="14"/>
                <w:szCs w:val="14"/>
                <w:color w:val="auto"/>
              </w:rPr>
              <w:t>21</w:t>
            </w: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42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5580" w:type="dxa"/>
            <w:vAlign w:val="bottom"/>
            <w:gridSpan w:val="4"/>
          </w:tcPr>
          <w:p>
            <w:pPr>
              <w:jc w:val="center"/>
              <w:ind w:right="3480"/>
              <w:spacing w:after="0"/>
              <w:rPr>
                <w:sz w:val="20"/>
                <w:szCs w:val="20"/>
                <w:color w:val="auto"/>
              </w:rPr>
            </w:pPr>
            <w:r>
              <w:rPr>
                <w:rFonts w:ascii="Arial" w:cs="Arial" w:eastAsia="Arial" w:hAnsi="Arial"/>
                <w:sz w:val="13"/>
                <w:szCs w:val="13"/>
                <w:color w:val="auto"/>
              </w:rPr>
              <w:t>PART I</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1</w:t>
            </w:r>
          </w:p>
        </w:tc>
        <w:tc>
          <w:tcPr>
            <w:tcW w:w="43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621"/>
        </w:trPr>
        <w:tc>
          <w:tcPr>
            <w:tcW w:w="4580" w:type="dxa"/>
            <w:vAlign w:val="bottom"/>
          </w:tcPr>
          <w:p>
            <w:pPr>
              <w:spacing w:after="0"/>
              <w:rPr>
                <w:sz w:val="20"/>
                <w:szCs w:val="20"/>
                <w:color w:val="auto"/>
              </w:rPr>
            </w:pPr>
            <w:r>
              <w:rPr>
                <w:rFonts w:ascii="Arial" w:cs="Arial" w:eastAsia="Arial" w:hAnsi="Arial"/>
                <w:sz w:val="18"/>
                <w:szCs w:val="18"/>
                <w:color w:val="auto"/>
              </w:rPr>
              <w:t>Changes in unearned revenue were as follows: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45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4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3"/>
                <w:szCs w:val="13"/>
                <w:b w:val="1"/>
                <w:bCs w:val="1"/>
                <w:color w:val="auto"/>
              </w:rPr>
              <w:t>Six Months Ended December 31, 2021</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4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5580" w:type="dxa"/>
            <w:vAlign w:val="bottom"/>
            <w:gridSpan w:val="4"/>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44,141</w:t>
            </w:r>
          </w:p>
        </w:tc>
        <w:tc>
          <w:tcPr>
            <w:tcW w:w="100" w:type="dxa"/>
            <w:vAlign w:val="bottom"/>
            <w:shd w:val="clear" w:color="auto" w:fill="E5E5E5"/>
          </w:tcPr>
          <w:p>
            <w:pPr>
              <w:spacing w:after="0"/>
              <w:rPr>
                <w:sz w:val="16"/>
                <w:szCs w:val="16"/>
                <w:color w:val="auto"/>
              </w:rPr>
            </w:pPr>
          </w:p>
        </w:tc>
      </w:tr>
      <w:tr>
        <w:trPr>
          <w:trHeight w:val="189"/>
        </w:trPr>
        <w:tc>
          <w:tcPr>
            <w:tcW w:w="4580" w:type="dxa"/>
            <w:vAlign w:val="bottom"/>
          </w:tcPr>
          <w:p>
            <w:pPr>
              <w:ind w:left="220"/>
              <w:spacing w:after="0" w:line="189" w:lineRule="exact"/>
              <w:rPr>
                <w:sz w:val="20"/>
                <w:szCs w:val="20"/>
                <w:color w:val="auto"/>
              </w:rPr>
            </w:pPr>
            <w:r>
              <w:rPr>
                <w:rFonts w:ascii="Arial" w:cs="Arial" w:eastAsia="Arial" w:hAnsi="Arial"/>
                <w:sz w:val="18"/>
                <w:szCs w:val="18"/>
                <w:color w:val="auto"/>
              </w:rPr>
              <w:t>Deferral of revenue</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44,389</w:t>
            </w:r>
          </w:p>
        </w:tc>
        <w:tc>
          <w:tcPr>
            <w:tcW w:w="100" w:type="dxa"/>
            <w:vAlign w:val="bottom"/>
          </w:tcPr>
          <w:p>
            <w:pPr>
              <w:spacing w:after="0"/>
              <w:rPr>
                <w:sz w:val="16"/>
                <w:szCs w:val="16"/>
                <w:color w:val="auto"/>
              </w:rPr>
            </w:pPr>
          </w:p>
        </w:tc>
      </w:tr>
      <w:tr>
        <w:trPr>
          <w:trHeight w:val="189"/>
        </w:trPr>
        <w:tc>
          <w:tcPr>
            <w:tcW w:w="45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Recognition of unearned revenue</w:t>
            </w:r>
          </w:p>
        </w:tc>
        <w:tc>
          <w:tcPr>
            <w:tcW w:w="8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38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(51,761)</w:t>
            </w:r>
          </w:p>
        </w:tc>
      </w:tr>
      <w:tr>
        <w:trPr>
          <w:trHeight w:val="68"/>
        </w:trPr>
        <w:tc>
          <w:tcPr>
            <w:tcW w:w="4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18"/>
                <w:szCs w:val="18"/>
                <w:color w:val="auto"/>
              </w:rPr>
              <w:t>Balance, end of period</w:t>
            </w:r>
          </w:p>
        </w:tc>
        <w:tc>
          <w:tcPr>
            <w:tcW w:w="55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36,769</w:t>
            </w:r>
          </w:p>
        </w:tc>
        <w:tc>
          <w:tcPr>
            <w:tcW w:w="100" w:type="dxa"/>
            <w:vAlign w:val="bottom"/>
          </w:tcPr>
          <w:p>
            <w:pPr>
              <w:spacing w:after="0"/>
              <w:rPr>
                <w:sz w:val="22"/>
                <w:szCs w:val="22"/>
                <w:color w:val="auto"/>
              </w:rPr>
            </w:pPr>
          </w:p>
        </w:tc>
      </w:tr>
      <w:tr>
        <w:trPr>
          <w:trHeight w:val="61"/>
        </w:trPr>
        <w:tc>
          <w:tcPr>
            <w:tcW w:w="4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$152 billion as of December 31, 2021, of which $147 billion is related to the commercial portion of revenue. We expect to recognize approximately 45% of this revenue over the next 12 months and the remainder thereafter.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1 year to 20 years, some of which include options to extend the leases for up to 5 years, and some of which include options to terminate the leases within 1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ind w:left="4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5"/>
        </w:trPr>
        <w:tc>
          <w:tcPr>
            <w:tcW w:w="46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640" w:type="dxa"/>
            <w:vAlign w:val="bottom"/>
            <w:shd w:val="clear" w:color="auto" w:fill="E5E5E5"/>
          </w:tcPr>
          <w:p>
            <w:pPr>
              <w:jc w:val="right"/>
              <w:ind w:right="45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469</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503</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1,057</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74"/>
        </w:trPr>
        <w:tc>
          <w:tcPr>
            <w:tcW w:w="468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68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Amortization of right-of-use assets</w:t>
            </w:r>
          </w:p>
        </w:tc>
        <w:tc>
          <w:tcPr>
            <w:tcW w:w="640" w:type="dxa"/>
            <w:vAlign w:val="bottom"/>
            <w:shd w:val="clear" w:color="auto" w:fill="E5E5E5"/>
          </w:tcPr>
          <w:p>
            <w:pPr>
              <w:jc w:val="right"/>
              <w:ind w:right="45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264</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249</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490</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455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6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6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Total finance lease cost</w:t>
            </w:r>
          </w:p>
        </w:tc>
        <w:tc>
          <w:tcPr>
            <w:tcW w:w="640" w:type="dxa"/>
            <w:vAlign w:val="bottom"/>
            <w:shd w:val="clear" w:color="auto" w:fill="E5E5E5"/>
          </w:tcPr>
          <w:p>
            <w:pPr>
              <w:jc w:val="right"/>
              <w:ind w:right="45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371</w:t>
            </w:r>
          </w:p>
        </w:tc>
        <w:tc>
          <w:tcPr>
            <w:tcW w:w="2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343</w:t>
            </w:r>
          </w:p>
        </w:tc>
        <w:tc>
          <w:tcPr>
            <w:tcW w:w="540" w:type="dxa"/>
            <w:vAlign w:val="bottom"/>
            <w:shd w:val="clear" w:color="auto" w:fill="E5E5E5"/>
          </w:tcPr>
          <w:p>
            <w:pPr>
              <w:jc w:val="right"/>
              <w:ind w:right="35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701</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641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68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December 31,</w:t>
            </w: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4"/>
        </w:trPr>
        <w:tc>
          <w:tcPr>
            <w:tcW w:w="45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1460" w:type="dxa"/>
            <w:vAlign w:val="bottom"/>
          </w:tcPr>
          <w:p>
            <w:pPr>
              <w:jc w:val="right"/>
              <w:ind w:right="18"/>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5"/>
        </w:trPr>
        <w:tc>
          <w:tcPr>
            <w:tcW w:w="4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5"/>
        </w:trPr>
        <w:tc>
          <w:tcPr>
            <w:tcW w:w="452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Cash paid for amounts included in the measurement of</w:t>
            </w:r>
          </w:p>
        </w:tc>
        <w:tc>
          <w:tcPr>
            <w:tcW w:w="6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r>
      <w:tr>
        <w:trPr>
          <w:trHeight w:val="203"/>
        </w:trPr>
        <w:tc>
          <w:tcPr>
            <w:tcW w:w="45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lease liabilities:</w:t>
            </w:r>
          </w:p>
        </w:tc>
        <w:tc>
          <w:tcPr>
            <w:tcW w:w="6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4520" w:type="dxa"/>
            <w:vAlign w:val="bottom"/>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64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6"/>
              <w:spacing w:after="0" w:line="189" w:lineRule="exact"/>
              <w:rPr>
                <w:sz w:val="20"/>
                <w:szCs w:val="20"/>
                <w:color w:val="auto"/>
              </w:rPr>
            </w:pPr>
            <w:r>
              <w:rPr>
                <w:rFonts w:ascii="Arial" w:cs="Arial" w:eastAsia="Arial" w:hAnsi="Arial"/>
                <w:sz w:val="18"/>
                <w:szCs w:val="18"/>
                <w:b w:val="1"/>
                <w:bCs w:val="1"/>
                <w:color w:val="auto"/>
              </w:rPr>
              <w:t>441</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8"/>
              <w:spacing w:after="0" w:line="189" w:lineRule="exact"/>
              <w:rPr>
                <w:sz w:val="20"/>
                <w:szCs w:val="20"/>
                <w:color w:val="auto"/>
              </w:rPr>
            </w:pPr>
            <w:r>
              <w:rPr>
                <w:rFonts w:ascii="Arial" w:cs="Arial" w:eastAsia="Arial" w:hAnsi="Arial"/>
                <w:sz w:val="18"/>
                <w:szCs w:val="18"/>
                <w:color w:val="auto"/>
              </w:rPr>
              <w:t>482</w:t>
            </w:r>
          </w:p>
        </w:tc>
        <w:tc>
          <w:tcPr>
            <w:tcW w:w="660" w:type="dxa"/>
            <w:vAlign w:val="bottom"/>
          </w:tcPr>
          <w:p>
            <w:pPr>
              <w:jc w:val="right"/>
              <w:ind w:right="37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1,007</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973</w:t>
            </w:r>
          </w:p>
        </w:tc>
        <w:tc>
          <w:tcPr>
            <w:tcW w:w="100" w:type="dxa"/>
            <w:vAlign w:val="bottom"/>
          </w:tcPr>
          <w:p>
            <w:pPr>
              <w:spacing w:after="0"/>
              <w:rPr>
                <w:sz w:val="16"/>
                <w:szCs w:val="16"/>
                <w:color w:val="auto"/>
              </w:rPr>
            </w:pPr>
          </w:p>
        </w:tc>
      </w:tr>
      <w:tr>
        <w:trPr>
          <w:trHeight w:val="189"/>
        </w:trPr>
        <w:tc>
          <w:tcPr>
            <w:tcW w:w="4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cash flows from finance leases</w:t>
            </w:r>
          </w:p>
        </w:tc>
        <w:tc>
          <w:tcPr>
            <w:tcW w:w="6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107</w:t>
            </w:r>
          </w:p>
        </w:tc>
        <w:tc>
          <w:tcPr>
            <w:tcW w:w="22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94</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211</w:t>
            </w:r>
          </w:p>
        </w:tc>
        <w:tc>
          <w:tcPr>
            <w:tcW w:w="2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186</w:t>
            </w:r>
          </w:p>
        </w:tc>
        <w:tc>
          <w:tcPr>
            <w:tcW w:w="100" w:type="dxa"/>
            <w:vAlign w:val="bottom"/>
            <w:shd w:val="clear" w:color="auto" w:fill="E5E5E5"/>
          </w:tcPr>
          <w:p>
            <w:pPr>
              <w:spacing w:after="0"/>
              <w:rPr>
                <w:sz w:val="16"/>
                <w:szCs w:val="16"/>
                <w:color w:val="auto"/>
              </w:rPr>
            </w:pPr>
          </w:p>
        </w:tc>
      </w:tr>
      <w:tr>
        <w:trPr>
          <w:trHeight w:val="248"/>
        </w:trPr>
        <w:tc>
          <w:tcPr>
            <w:tcW w:w="45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6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222</w:t>
            </w:r>
          </w:p>
        </w:tc>
        <w:tc>
          <w:tcPr>
            <w:tcW w:w="2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153</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r>
      <w:tr>
        <w:trPr>
          <w:trHeight w:val="183"/>
        </w:trPr>
        <w:tc>
          <w:tcPr>
            <w:tcW w:w="45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Right-of-use assets obtained in exchange for lease</w:t>
            </w:r>
          </w:p>
        </w:tc>
        <w:tc>
          <w:tcPr>
            <w:tcW w:w="6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r>
      <w:tr>
        <w:trPr>
          <w:trHeight w:val="203"/>
        </w:trPr>
        <w:tc>
          <w:tcPr>
            <w:tcW w:w="452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obligations:</w:t>
            </w:r>
          </w:p>
        </w:tc>
        <w:tc>
          <w:tcPr>
            <w:tcW w:w="6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189"/>
        </w:trPr>
        <w:tc>
          <w:tcPr>
            <w:tcW w:w="4520" w:type="dxa"/>
            <w:vAlign w:val="bottom"/>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640" w:type="dxa"/>
            <w:vAlign w:val="bottom"/>
          </w:tcPr>
          <w:p>
            <w:pPr>
              <w:spacing w:after="0"/>
              <w:rPr>
                <w:sz w:val="16"/>
                <w:szCs w:val="16"/>
                <w:color w:val="auto"/>
              </w:rPr>
            </w:pPr>
          </w:p>
        </w:tc>
        <w:tc>
          <w:tcPr>
            <w:tcW w:w="1100" w:type="dxa"/>
            <w:vAlign w:val="bottom"/>
          </w:tcPr>
          <w:p>
            <w:pPr>
              <w:jc w:val="right"/>
              <w:ind w:right="16"/>
              <w:spacing w:after="0" w:line="189" w:lineRule="exact"/>
              <w:rPr>
                <w:sz w:val="20"/>
                <w:szCs w:val="20"/>
                <w:color w:val="auto"/>
              </w:rPr>
            </w:pPr>
            <w:r>
              <w:rPr>
                <w:rFonts w:ascii="Arial" w:cs="Arial" w:eastAsia="Arial" w:hAnsi="Arial"/>
                <w:sz w:val="18"/>
                <w:szCs w:val="18"/>
                <w:b w:val="1"/>
                <w:bCs w:val="1"/>
                <w:color w:val="auto"/>
              </w:rPr>
              <w:t>1,559</w:t>
            </w:r>
          </w:p>
        </w:tc>
        <w:tc>
          <w:tcPr>
            <w:tcW w:w="220" w:type="dxa"/>
            <w:vAlign w:val="bottom"/>
          </w:tcPr>
          <w:p>
            <w:pPr>
              <w:spacing w:after="0"/>
              <w:rPr>
                <w:sz w:val="16"/>
                <w:szCs w:val="16"/>
                <w:color w:val="auto"/>
              </w:rPr>
            </w:pPr>
          </w:p>
        </w:tc>
        <w:tc>
          <w:tcPr>
            <w:tcW w:w="1460" w:type="dxa"/>
            <w:vAlign w:val="bottom"/>
          </w:tcPr>
          <w:p>
            <w:pPr>
              <w:jc w:val="right"/>
              <w:ind w:right="18"/>
              <w:spacing w:after="0" w:line="189" w:lineRule="exact"/>
              <w:rPr>
                <w:sz w:val="20"/>
                <w:szCs w:val="20"/>
                <w:color w:val="auto"/>
              </w:rPr>
            </w:pPr>
            <w:r>
              <w:rPr>
                <w:rFonts w:ascii="Arial" w:cs="Arial" w:eastAsia="Arial" w:hAnsi="Arial"/>
                <w:sz w:val="18"/>
                <w:szCs w:val="18"/>
                <w:color w:val="auto"/>
              </w:rPr>
              <w:t>1,578</w:t>
            </w:r>
          </w:p>
        </w:tc>
        <w:tc>
          <w:tcPr>
            <w:tcW w:w="6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2,730</w:t>
            </w:r>
          </w:p>
        </w:tc>
        <w:tc>
          <w:tcPr>
            <w:tcW w:w="280" w:type="dxa"/>
            <w:vAlign w:val="bottom"/>
          </w:tcPr>
          <w:p>
            <w:pPr>
              <w:spacing w:after="0"/>
              <w:rPr>
                <w:sz w:val="16"/>
                <w:szCs w:val="16"/>
                <w:color w:val="auto"/>
              </w:rPr>
            </w:pPr>
          </w:p>
        </w:tc>
        <w:tc>
          <w:tcPr>
            <w:tcW w:w="13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2,256</w:t>
            </w:r>
          </w:p>
        </w:tc>
      </w:tr>
      <w:tr>
        <w:trPr>
          <w:trHeight w:val="189"/>
        </w:trPr>
        <w:tc>
          <w:tcPr>
            <w:tcW w:w="45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Finance leases</w:t>
            </w:r>
          </w:p>
        </w:tc>
        <w:tc>
          <w:tcPr>
            <w:tcW w:w="6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985</w:t>
            </w:r>
          </w:p>
        </w:tc>
        <w:tc>
          <w:tcPr>
            <w:tcW w:w="22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color w:val="auto"/>
              </w:rPr>
              <w:t>1,193</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2,374</w:t>
            </w:r>
          </w:p>
        </w:tc>
        <w:tc>
          <w:tcPr>
            <w:tcW w:w="28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1,828</w:t>
            </w:r>
          </w:p>
        </w:tc>
      </w:tr>
      <w:tr>
        <w:trPr>
          <w:trHeight w:val="68"/>
        </w:trPr>
        <w:tc>
          <w:tcPr>
            <w:tcW w:w="45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589"/>
        </w:trPr>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5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8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12,354</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2,126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10,774</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0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12,900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16,152</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13,357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13,251</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14,195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12,541</w:t>
            </w:r>
          </w:p>
        </w:tc>
        <w:tc>
          <w:tcPr>
            <w:tcW w:w="0" w:type="dxa"/>
            <w:vAlign w:val="bottom"/>
          </w:tcPr>
          <w:p>
            <w:pPr>
              <w:spacing w:after="0"/>
              <w:rPr>
                <w:sz w:val="1"/>
                <w:szCs w:val="1"/>
                <w:color w:val="auto"/>
              </w:rPr>
            </w:pPr>
          </w:p>
        </w:tc>
      </w:tr>
      <w:tr>
        <w:trPr>
          <w:trHeight w:val="61"/>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9"/>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 years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79"/>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9"/>
        </w:trPr>
        <w:tc>
          <w:tcPr>
            <w:tcW w:w="8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December 31, 2021:</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360" w:type="dxa"/>
            <w:vAlign w:val="bottom"/>
            <w:gridSpan w:val="2"/>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 (excluding the six months ended December 31, 2021)</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1,149</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1,360</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2,018</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1,374</w:t>
            </w:r>
          </w:p>
        </w:tc>
        <w:tc>
          <w:tcPr>
            <w:tcW w:w="0" w:type="dxa"/>
            <w:vAlign w:val="bottom"/>
          </w:tcPr>
          <w:p>
            <w:pPr>
              <w:spacing w:after="0"/>
              <w:rPr>
                <w:sz w:val="1"/>
                <w:szCs w:val="1"/>
                <w:color w:val="auto"/>
              </w:rPr>
            </w:pPr>
          </w:p>
        </w:tc>
      </w:tr>
      <w:tr>
        <w:trPr>
          <w:trHeight w:val="189"/>
        </w:trPr>
        <w:tc>
          <w:tcPr>
            <w:tcW w:w="8000" w:type="dxa"/>
            <w:vAlign w:val="bottom"/>
          </w:tcPr>
          <w:p>
            <w:pPr>
              <w:spacing w:after="0" w:line="189"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1,751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1,702</w:t>
            </w: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2026</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1,422</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1,389</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10,459</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6"/>
                <w:szCs w:val="16"/>
                <w:color w:val="auto"/>
              </w:rPr>
            </w:pP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13,998</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16,958</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(2,763)</w:t>
            </w:r>
          </w:p>
        </w:tc>
        <w:tc>
          <w:tcPr>
            <w:tcW w:w="0" w:type="dxa"/>
            <w:vAlign w:val="bottom"/>
          </w:tcPr>
          <w:p>
            <w:pPr>
              <w:spacing w:after="0"/>
              <w:rPr>
                <w:sz w:val="1"/>
                <w:szCs w:val="1"/>
                <w:color w:val="auto"/>
              </w:rPr>
            </w:pPr>
          </w:p>
        </w:tc>
      </w:tr>
      <w:tr>
        <w:trPr>
          <w:trHeight w:val="68"/>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12,900</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14,195</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we have additional operating and finance leases, primarily for datacenters, that have not yet commenced of $5.8 billion and $6.5 billion, respectively. These operating and finance leases will commence between fiscal year 2022 and fiscal year 2026 with lease terms of 1 year to 15 years.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64 patent infringement cases pending against Microsoft as of December 31, 2021, none of which are material individually or in aggregate.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a mediation, the parties agreed to a global settlement of all three Canadian actions and submitted the proposed settlement agreement to the courts in all three jurisdictions for approval. The claim submission process has been completed, and settlement funds will be distributed in accordance with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Market Regulation Investigation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In 2019, the SAMR presented preliminary views as to certain possible violations of China’s Anti-Monopoly Law.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on general causation is scheduled for June of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we accrued aggregate legal liabilities of $ 352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December 31, 2021, $56.3 billion remained of this $60.0 billion share repurchase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b w:val="1"/>
                <w:bCs w:val="1"/>
                <w:color w:val="auto"/>
              </w:rPr>
              <w:t>Amount</w:t>
            </w:r>
          </w:p>
        </w:tc>
      </w:tr>
      <w:tr>
        <w:trPr>
          <w:trHeight w:val="54"/>
        </w:trPr>
        <w:tc>
          <w:tcPr>
            <w:tcW w:w="6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r>
      <w:tr>
        <w:trPr>
          <w:trHeight w:val="54"/>
        </w:trPr>
        <w:tc>
          <w:tcPr>
            <w:tcW w:w="6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64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6,200</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5,270</w:t>
            </w:r>
          </w:p>
        </w:tc>
        <w:tc>
          <w:tcPr>
            <w:tcW w:w="120" w:type="dxa"/>
            <w:vAlign w:val="bottom"/>
            <w:shd w:val="clear" w:color="auto" w:fill="E5E5E5"/>
          </w:tcPr>
          <w:p>
            <w:pPr>
              <w:spacing w:after="0"/>
              <w:rPr>
                <w:sz w:val="16"/>
                <w:szCs w:val="16"/>
                <w:color w:val="auto"/>
              </w:rPr>
            </w:pPr>
          </w:p>
        </w:tc>
      </w:tr>
      <w:tr>
        <w:trPr>
          <w:trHeight w:val="250"/>
        </w:trPr>
        <w:tc>
          <w:tcPr>
            <w:tcW w:w="6440" w:type="dxa"/>
            <w:vAlign w:val="bottom"/>
          </w:tcPr>
          <w:p>
            <w:pPr>
              <w:spacing w:after="0"/>
              <w:rPr>
                <w:sz w:val="20"/>
                <w:szCs w:val="20"/>
                <w:color w:val="auto"/>
              </w:rPr>
            </w:pPr>
            <w:r>
              <w:rPr>
                <w:rFonts w:ascii="Arial" w:cs="Arial" w:eastAsia="Arial" w:hAnsi="Arial"/>
                <w:sz w:val="18"/>
                <w:szCs w:val="18"/>
                <w:color w:val="auto"/>
              </w:rPr>
              <w:t>Second Quarter</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6,233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21"/>
                <w:szCs w:val="21"/>
                <w:color w:val="auto"/>
              </w:rPr>
            </w:pPr>
          </w:p>
        </w:tc>
      </w:tr>
      <w:tr>
        <w:trPr>
          <w:trHeight w:val="68"/>
        </w:trPr>
        <w:tc>
          <w:tcPr>
            <w:tcW w:w="64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189"/>
        </w:trPr>
        <w:tc>
          <w:tcPr>
            <w:tcW w:w="64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12,433</w:t>
            </w:r>
          </w:p>
        </w:tc>
        <w:tc>
          <w:tcPr>
            <w:tcW w:w="12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52</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11,020</w:t>
            </w:r>
          </w:p>
        </w:tc>
        <w:tc>
          <w:tcPr>
            <w:tcW w:w="120" w:type="dxa"/>
            <w:vAlign w:val="bottom"/>
            <w:shd w:val="clear" w:color="auto" w:fill="E5E5E5"/>
          </w:tcPr>
          <w:p>
            <w:pPr>
              <w:spacing w:after="0"/>
              <w:rPr>
                <w:sz w:val="16"/>
                <w:szCs w:val="16"/>
                <w:color w:val="auto"/>
              </w:rPr>
            </w:pPr>
          </w:p>
        </w:tc>
      </w:tr>
      <w:tr>
        <w:trPr>
          <w:trHeight w:val="74"/>
        </w:trPr>
        <w:tc>
          <w:tcPr>
            <w:tcW w:w="644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repurchases were made using cash resources. Shares repurchased during the second quarter of fiscal year 2022 were under the share repurchase programs approved on both September 18, 2019 and September 14, 2021. All other shares repurchased were under the share repurchase program approved on September 18, 2019. The above table excludes shares repurchased to settle employee tax withholding related to the vesting of stock awards of $1.2 billion and $2.7 billion for the three and six months ended December 31, 2021, respectively, and $785 million and $2.3 billion for the three and six months ended December 31,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Dividend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54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900" w:type="dxa"/>
            <w:vAlign w:val="bottom"/>
          </w:tcPr>
          <w:p>
            <w:pPr>
              <w:ind w:left="840"/>
              <w:spacing w:after="0"/>
              <w:rPr>
                <w:sz w:val="20"/>
                <w:szCs w:val="20"/>
                <w:color w:val="auto"/>
              </w:rPr>
            </w:pPr>
            <w:r>
              <w:rPr>
                <w:rFonts w:ascii="Arial" w:cs="Arial" w:eastAsia="Arial" w:hAnsi="Arial"/>
                <w:sz w:val="13"/>
                <w:szCs w:val="13"/>
                <w:b w:val="1"/>
                <w:bCs w:val="1"/>
                <w:color w:val="auto"/>
              </w:rPr>
              <w:t>Record Date</w:t>
            </w:r>
          </w:p>
        </w:tc>
        <w:tc>
          <w:tcPr>
            <w:tcW w:w="2460" w:type="dxa"/>
            <w:vAlign w:val="bottom"/>
          </w:tcPr>
          <w:p>
            <w:pPr>
              <w:ind w:left="420"/>
              <w:spacing w:after="0"/>
              <w:rPr>
                <w:sz w:val="20"/>
                <w:szCs w:val="20"/>
                <w:color w:val="auto"/>
              </w:rPr>
            </w:pPr>
            <w:r>
              <w:rPr>
                <w:rFonts w:ascii="Arial" w:cs="Arial" w:eastAsia="Arial" w:hAnsi="Arial"/>
                <w:sz w:val="13"/>
                <w:szCs w:val="13"/>
                <w:b w:val="1"/>
                <w:bCs w:val="1"/>
                <w:color w:val="auto"/>
              </w:rPr>
              <w:t>Payment Date</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5"/>
        </w:trPr>
        <w:tc>
          <w:tcPr>
            <w:tcW w:w="254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3"/>
                <w:szCs w:val="13"/>
                <w:b w:val="1"/>
                <w:bCs w:val="1"/>
                <w:color w:val="auto"/>
              </w:rPr>
              <w:t>Fiscal Year 2022</w:t>
            </w: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5"/>
        </w:trPr>
        <w:tc>
          <w:tcPr>
            <w:tcW w:w="25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14, 2021</w:t>
            </w:r>
          </w:p>
        </w:tc>
        <w:tc>
          <w:tcPr>
            <w:tcW w:w="2900" w:type="dxa"/>
            <w:vAlign w:val="bottom"/>
            <w:shd w:val="clear" w:color="auto" w:fill="E5E5E5"/>
          </w:tcPr>
          <w:p>
            <w:pPr>
              <w:ind w:left="840"/>
              <w:spacing w:after="0" w:line="202" w:lineRule="exact"/>
              <w:rPr>
                <w:sz w:val="20"/>
                <w:szCs w:val="20"/>
                <w:color w:val="auto"/>
              </w:rPr>
            </w:pPr>
            <w:r>
              <w:rPr>
                <w:rFonts w:ascii="Arial" w:cs="Arial" w:eastAsia="Arial" w:hAnsi="Arial"/>
                <w:sz w:val="18"/>
                <w:szCs w:val="18"/>
                <w:b w:val="1"/>
                <w:bCs w:val="1"/>
                <w:color w:val="auto"/>
              </w:rPr>
              <w:t>November 18, 2021</w:t>
            </w:r>
          </w:p>
        </w:tc>
        <w:tc>
          <w:tcPr>
            <w:tcW w:w="2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b w:val="1"/>
                <w:bCs w:val="1"/>
                <w:color w:val="auto"/>
              </w:rPr>
              <w:t>December 9, 2021</w:t>
            </w:r>
          </w:p>
        </w:tc>
        <w:tc>
          <w:tcPr>
            <w:tcW w:w="8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0.62</w:t>
            </w:r>
          </w:p>
        </w:tc>
        <w:tc>
          <w:tcPr>
            <w:tcW w:w="4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4,652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0"/>
                <w:szCs w:val="20"/>
                <w:color w:val="auto"/>
              </w:rPr>
            </w:pPr>
            <w:r>
              <w:rPr>
                <w:rFonts w:ascii="Arial" w:cs="Arial" w:eastAsia="Arial" w:hAnsi="Arial"/>
                <w:sz w:val="18"/>
                <w:szCs w:val="18"/>
                <w:b w:val="1"/>
                <w:bCs w:val="1"/>
                <w:color w:val="auto"/>
              </w:rPr>
              <w:t>December 7, 2021</w:t>
            </w:r>
          </w:p>
        </w:tc>
        <w:tc>
          <w:tcPr>
            <w:tcW w:w="2900" w:type="dxa"/>
            <w:vAlign w:val="bottom"/>
          </w:tcPr>
          <w:p>
            <w:pPr>
              <w:ind w:left="840"/>
              <w:spacing w:after="0"/>
              <w:rPr>
                <w:sz w:val="20"/>
                <w:szCs w:val="20"/>
                <w:color w:val="auto"/>
              </w:rPr>
            </w:pPr>
            <w:r>
              <w:rPr>
                <w:rFonts w:ascii="Arial" w:cs="Arial" w:eastAsia="Arial" w:hAnsi="Arial"/>
                <w:sz w:val="18"/>
                <w:szCs w:val="18"/>
                <w:b w:val="1"/>
                <w:bCs w:val="1"/>
                <w:color w:val="auto"/>
              </w:rPr>
              <w:t>February 17, 2022</w:t>
            </w:r>
          </w:p>
        </w:tc>
        <w:tc>
          <w:tcPr>
            <w:tcW w:w="2460" w:type="dxa"/>
            <w:vAlign w:val="bottom"/>
          </w:tcPr>
          <w:p>
            <w:pPr>
              <w:ind w:left="420"/>
              <w:spacing w:after="0"/>
              <w:rPr>
                <w:sz w:val="20"/>
                <w:szCs w:val="20"/>
                <w:color w:val="auto"/>
              </w:rPr>
            </w:pPr>
            <w:r>
              <w:rPr>
                <w:rFonts w:ascii="Arial" w:cs="Arial" w:eastAsia="Arial" w:hAnsi="Arial"/>
                <w:sz w:val="18"/>
                <w:szCs w:val="18"/>
                <w:b w:val="1"/>
                <w:bCs w:val="1"/>
                <w:color w:val="auto"/>
              </w:rPr>
              <w:t>March 10, 2022</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540" w:type="dxa"/>
            <w:vAlign w:val="bottom"/>
            <w:tcBorders>
              <w:top w:val="single" w:sz="8" w:color="auto"/>
            </w:tcBorders>
          </w:tcPr>
          <w:p>
            <w:pPr>
              <w:spacing w:after="0"/>
              <w:rPr>
                <w:sz w:val="5"/>
                <w:szCs w:val="5"/>
                <w:color w:val="auto"/>
              </w:rPr>
            </w:pPr>
          </w:p>
        </w:tc>
        <w:tc>
          <w:tcPr>
            <w:tcW w:w="2900" w:type="dxa"/>
            <w:vAlign w:val="bottom"/>
            <w:tcBorders>
              <w:top w:val="single" w:sz="8" w:color="auto"/>
            </w:tcBorders>
          </w:tcPr>
          <w:p>
            <w:pPr>
              <w:spacing w:after="0"/>
              <w:rPr>
                <w:sz w:val="5"/>
                <w:szCs w:val="5"/>
                <w:color w:val="auto"/>
              </w:rPr>
            </w:pPr>
          </w:p>
        </w:tc>
        <w:tc>
          <w:tcPr>
            <w:tcW w:w="24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b w:val="1"/>
                <w:bCs w:val="1"/>
                <w:color w:val="auto"/>
              </w:rPr>
              <w:t>Total</w:t>
            </w:r>
          </w:p>
        </w:tc>
        <w:tc>
          <w:tcPr>
            <w:tcW w:w="2900" w:type="dxa"/>
            <w:vAlign w:val="bottom"/>
            <w:shd w:val="clear" w:color="auto" w:fill="E5E5E5"/>
          </w:tcPr>
          <w:p>
            <w:pPr>
              <w:spacing w:after="0"/>
              <w:rPr>
                <w:sz w:val="16"/>
                <w:szCs w:val="16"/>
                <w:color w:val="auto"/>
              </w:rPr>
            </w:pPr>
          </w:p>
        </w:tc>
        <w:tc>
          <w:tcPr>
            <w:tcW w:w="24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1.24</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9,302</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54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2021</w:t>
            </w:r>
          </w:p>
        </w:tc>
        <w:tc>
          <w:tcPr>
            <w:tcW w:w="29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54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15, 2020</w:t>
            </w:r>
          </w:p>
        </w:tc>
        <w:tc>
          <w:tcPr>
            <w:tcW w:w="2900" w:type="dxa"/>
            <w:vAlign w:val="bottom"/>
            <w:shd w:val="clear" w:color="auto" w:fill="E5E5E5"/>
          </w:tcPr>
          <w:p>
            <w:pPr>
              <w:ind w:left="840"/>
              <w:spacing w:after="0" w:line="202" w:lineRule="exact"/>
              <w:rPr>
                <w:sz w:val="20"/>
                <w:szCs w:val="20"/>
                <w:color w:val="auto"/>
              </w:rPr>
            </w:pPr>
            <w:r>
              <w:rPr>
                <w:rFonts w:ascii="Arial" w:cs="Arial" w:eastAsia="Arial" w:hAnsi="Arial"/>
                <w:sz w:val="18"/>
                <w:szCs w:val="18"/>
                <w:color w:val="auto"/>
              </w:rPr>
              <w:t>November 19, 2020</w:t>
            </w:r>
          </w:p>
        </w:tc>
        <w:tc>
          <w:tcPr>
            <w:tcW w:w="246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December 10, 2020</w:t>
            </w:r>
          </w:p>
        </w:tc>
        <w:tc>
          <w:tcPr>
            <w:tcW w:w="8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0.56</w:t>
            </w:r>
          </w:p>
        </w:tc>
        <w:tc>
          <w:tcPr>
            <w:tcW w:w="4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4,230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December 2, 2020</w:t>
            </w:r>
          </w:p>
        </w:tc>
        <w:tc>
          <w:tcPr>
            <w:tcW w:w="2900" w:type="dxa"/>
            <w:vAlign w:val="bottom"/>
          </w:tcPr>
          <w:p>
            <w:pPr>
              <w:ind w:left="840"/>
              <w:spacing w:after="0"/>
              <w:rPr>
                <w:sz w:val="20"/>
                <w:szCs w:val="20"/>
                <w:color w:val="auto"/>
              </w:rPr>
            </w:pPr>
            <w:r>
              <w:rPr>
                <w:rFonts w:ascii="Arial" w:cs="Arial" w:eastAsia="Arial" w:hAnsi="Arial"/>
                <w:sz w:val="18"/>
                <w:szCs w:val="18"/>
                <w:color w:val="auto"/>
              </w:rPr>
              <w:t>February 18, 2021</w:t>
            </w:r>
          </w:p>
        </w:tc>
        <w:tc>
          <w:tcPr>
            <w:tcW w:w="2460" w:type="dxa"/>
            <w:vAlign w:val="bottom"/>
          </w:tcPr>
          <w:p>
            <w:pPr>
              <w:ind w:left="420"/>
              <w:spacing w:after="0"/>
              <w:rPr>
                <w:sz w:val="20"/>
                <w:szCs w:val="20"/>
                <w:color w:val="auto"/>
              </w:rPr>
            </w:pPr>
            <w:r>
              <w:rPr>
                <w:rFonts w:ascii="Arial" w:cs="Arial" w:eastAsia="Arial" w:hAnsi="Arial"/>
                <w:sz w:val="18"/>
                <w:szCs w:val="18"/>
                <w:color w:val="auto"/>
              </w:rPr>
              <w:t>March 11, 2021</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5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5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900" w:type="dxa"/>
            <w:vAlign w:val="bottom"/>
            <w:shd w:val="clear" w:color="auto" w:fill="E5E5E5"/>
          </w:tcPr>
          <w:p>
            <w:pPr>
              <w:spacing w:after="0"/>
              <w:rPr>
                <w:sz w:val="16"/>
                <w:szCs w:val="16"/>
                <w:color w:val="auto"/>
              </w:rPr>
            </w:pPr>
          </w:p>
        </w:tc>
        <w:tc>
          <w:tcPr>
            <w:tcW w:w="246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1.12</w:t>
            </w:r>
          </w:p>
        </w:tc>
        <w:tc>
          <w:tcPr>
            <w:tcW w:w="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8,451</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5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December 7, 2021 was included in other current liabilities as of December 31,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85"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1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(17)</w:t>
            </w:r>
          </w:p>
        </w:tc>
        <w:tc>
          <w:tcPr>
            <w:tcW w:w="500" w:type="dxa"/>
            <w:vAlign w:val="bottom"/>
            <w:gridSpan w:val="2"/>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(34)</w:t>
            </w:r>
          </w:p>
        </w:tc>
        <w:tc>
          <w:tcPr>
            <w:tcW w:w="6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3"/>
        </w:trPr>
        <w:tc>
          <w:tcPr>
            <w:tcW w:w="4140" w:type="dxa"/>
            <w:vAlign w:val="bottom"/>
          </w:tcPr>
          <w:p>
            <w:pPr>
              <w:spacing w:after="0" w:line="153" w:lineRule="exact"/>
              <w:rPr>
                <w:sz w:val="20"/>
                <w:szCs w:val="20"/>
                <w:color w:val="auto"/>
              </w:rPr>
            </w:pPr>
            <w:r>
              <w:rPr>
                <w:rFonts w:ascii="Arial" w:cs="Arial" w:eastAsia="Arial" w:hAnsi="Arial"/>
                <w:sz w:val="17"/>
                <w:szCs w:val="17"/>
                <w:color w:val="auto"/>
              </w:rPr>
              <w:t xml:space="preserve">Unrealized gains (losses), net of tax of </w:t>
            </w:r>
            <w:r>
              <w:rPr>
                <w:rFonts w:ascii="Arial" w:cs="Arial" w:eastAsia="Arial" w:hAnsi="Arial"/>
                <w:sz w:val="17"/>
                <w:szCs w:val="17"/>
                <w:b w:val="1"/>
                <w:bCs w:val="1"/>
                <w:color w:val="auto"/>
              </w:rPr>
              <w:t>$(3)</w:t>
            </w:r>
            <w:r>
              <w:rPr>
                <w:rFonts w:ascii="Arial" w:cs="Arial" w:eastAsia="Arial" w:hAnsi="Arial"/>
                <w:sz w:val="17"/>
                <w:szCs w:val="17"/>
                <w:color w:val="auto"/>
              </w:rPr>
              <w:t>, $7</w:t>
            </w:r>
            <w:r>
              <w:rPr>
                <w:rFonts w:ascii="Arial" w:cs="Arial" w:eastAsia="Arial" w:hAnsi="Arial"/>
                <w:sz w:val="17"/>
                <w:szCs w:val="17"/>
                <w:b w:val="1"/>
                <w:bCs w:val="1"/>
                <w:color w:val="auto"/>
              </w:rPr>
              <w:t>,</w:t>
            </w:r>
          </w:p>
        </w:tc>
        <w:tc>
          <w:tcPr>
            <w:tcW w:w="48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and $12</w:t>
            </w:r>
          </w:p>
        </w:tc>
        <w:tc>
          <w:tcPr>
            <w:tcW w:w="4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losses</w:t>
            </w:r>
          </w:p>
        </w:tc>
        <w:tc>
          <w:tcPr>
            <w:tcW w:w="48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14</w:t>
            </w:r>
          </w:p>
        </w:tc>
        <w:tc>
          <w:tcPr>
            <w:tcW w:w="1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3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included in other income (expense), net</w:t>
            </w:r>
          </w:p>
        </w:tc>
        <w:tc>
          <w:tcPr>
            <w:tcW w:w="48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200"/>
              <w:spacing w:after="0" w:line="203" w:lineRule="exact"/>
              <w:rPr>
                <w:sz w:val="20"/>
                <w:szCs w:val="20"/>
                <w:color w:val="auto"/>
              </w:rPr>
            </w:pPr>
            <w:r>
              <w:rPr>
                <w:rFonts w:ascii="Arial" w:cs="Arial" w:eastAsia="Arial" w:hAnsi="Arial"/>
                <w:sz w:val="18"/>
                <w:szCs w:val="18"/>
                <w:color w:val="auto"/>
              </w:rPr>
              <w:t>(21)</w:t>
            </w:r>
          </w:p>
        </w:tc>
        <w:tc>
          <w:tcPr>
            <w:tcW w:w="1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340" w:type="dxa"/>
            <w:vAlign w:val="bottom"/>
            <w:gridSpan w:val="2"/>
            <w:vMerge w:val="continue"/>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5"/>
        </w:trPr>
        <w:tc>
          <w:tcPr>
            <w:tcW w:w="4140" w:type="dxa"/>
            <w:vAlign w:val="bottom"/>
          </w:tcPr>
          <w:p>
            <w:pPr>
              <w:spacing w:after="0" w:line="175" w:lineRule="exact"/>
              <w:rPr>
                <w:sz w:val="20"/>
                <w:szCs w:val="20"/>
                <w:color w:val="auto"/>
              </w:rPr>
            </w:pPr>
            <w:r>
              <w:rPr>
                <w:rFonts w:ascii="Arial" w:cs="Arial" w:eastAsia="Arial" w:hAnsi="Arial"/>
                <w:sz w:val="18"/>
                <w:szCs w:val="18"/>
                <w:color w:val="auto"/>
              </w:rPr>
              <w:t>Tax expense (benefit) included in provision for</w:t>
            </w:r>
          </w:p>
        </w:tc>
        <w:tc>
          <w:tcPr>
            <w:tcW w:w="48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48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34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48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200"/>
              <w:spacing w:after="0" w:line="203" w:lineRule="exact"/>
              <w:rPr>
                <w:sz w:val="20"/>
                <w:szCs w:val="20"/>
                <w:color w:val="auto"/>
              </w:rPr>
            </w:pPr>
            <w:r>
              <w:rPr>
                <w:rFonts w:ascii="Arial" w:cs="Arial" w:eastAsia="Arial" w:hAnsi="Arial"/>
                <w:sz w:val="18"/>
                <w:szCs w:val="18"/>
                <w:color w:val="auto"/>
              </w:rPr>
              <w:t>(17)</w:t>
            </w:r>
          </w:p>
        </w:tc>
        <w:tc>
          <w:tcPr>
            <w:tcW w:w="1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340" w:type="dxa"/>
            <w:vAlign w:val="bottom"/>
            <w:gridSpan w:val="2"/>
            <w:vMerge w:val="continue"/>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8"/>
        </w:trPr>
        <w:tc>
          <w:tcPr>
            <w:tcW w:w="4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Net change related to derivatives, net of tax of</w:t>
            </w:r>
          </w:p>
        </w:tc>
        <w:tc>
          <w:tcPr>
            <w:tcW w:w="480" w:type="dxa"/>
            <w:vAlign w:val="bottom"/>
          </w:tcPr>
          <w:p>
            <w:pPr>
              <w:spacing w:after="0"/>
              <w:rPr>
                <w:sz w:val="18"/>
                <w:szCs w:val="18"/>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 $3</w:t>
            </w:r>
            <w:r>
              <w:rPr>
                <w:rFonts w:ascii="Arial" w:cs="Arial" w:eastAsia="Arial" w:hAnsi="Arial"/>
                <w:sz w:val="18"/>
                <w:szCs w:val="18"/>
                <w:b w:val="1"/>
                <w:bCs w:val="1"/>
                <w:color w:val="auto"/>
              </w:rPr>
              <w:t>, $0</w:t>
            </w:r>
            <w:r>
              <w:rPr>
                <w:rFonts w:ascii="Arial" w:cs="Arial" w:eastAsia="Arial" w:hAnsi="Arial"/>
                <w:sz w:val="18"/>
                <w:szCs w:val="18"/>
                <w:color w:val="auto"/>
              </w:rPr>
              <w:t>, and $4</w:t>
            </w:r>
          </w:p>
        </w:tc>
        <w:tc>
          <w:tcPr>
            <w:tcW w:w="4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(17)</w:t>
            </w:r>
          </w:p>
        </w:tc>
        <w:tc>
          <w:tcPr>
            <w:tcW w:w="500" w:type="dxa"/>
            <w:vAlign w:val="bottom"/>
            <w:gridSpan w:val="2"/>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(26)</w:t>
            </w:r>
          </w:p>
        </w:tc>
        <w:tc>
          <w:tcPr>
            <w:tcW w:w="6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8"/>
        </w:trPr>
        <w:tc>
          <w:tcPr>
            <w:tcW w:w="4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2,800</w:t>
            </w:r>
          </w:p>
        </w:tc>
        <w:tc>
          <w:tcPr>
            <w:tcW w:w="500" w:type="dxa"/>
            <w:vAlign w:val="bottom"/>
            <w:gridSpan w:val="2"/>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5,287</w:t>
            </w:r>
          </w:p>
        </w:tc>
        <w:tc>
          <w:tcPr>
            <w:tcW w:w="6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3,222</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5,478</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40" w:type="dxa"/>
            <w:vAlign w:val="bottom"/>
          </w:tcPr>
          <w:p>
            <w:pPr>
              <w:spacing w:after="0" w:line="153" w:lineRule="exact"/>
              <w:rPr>
                <w:sz w:val="20"/>
                <w:szCs w:val="20"/>
                <w:color w:val="auto"/>
              </w:rPr>
            </w:pPr>
            <w:r>
              <w:rPr>
                <w:rFonts w:ascii="Arial" w:cs="Arial" w:eastAsia="Arial" w:hAnsi="Arial"/>
                <w:sz w:val="17"/>
                <w:szCs w:val="17"/>
                <w:color w:val="auto"/>
              </w:rPr>
              <w:t xml:space="preserve">Unrealized losses, net of tax of </w:t>
            </w:r>
            <w:r>
              <w:rPr>
                <w:rFonts w:ascii="Arial" w:cs="Arial" w:eastAsia="Arial" w:hAnsi="Arial"/>
                <w:sz w:val="17"/>
                <w:szCs w:val="17"/>
                <w:b w:val="1"/>
                <w:bCs w:val="1"/>
                <w:color w:val="auto"/>
              </w:rPr>
              <w:t>$(197)</w:t>
            </w:r>
            <w:r>
              <w:rPr>
                <w:rFonts w:ascii="Arial" w:cs="Arial" w:eastAsia="Arial" w:hAnsi="Arial"/>
                <w:sz w:val="17"/>
                <w:szCs w:val="17"/>
                <w:color w:val="auto"/>
              </w:rPr>
              <w:t>, $(128),</w:t>
            </w:r>
          </w:p>
        </w:tc>
        <w:tc>
          <w:tcPr>
            <w:tcW w:w="48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(742)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(1,157)</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$(307)</w:t>
            </w:r>
            <w:r>
              <w:rPr>
                <w:rFonts w:ascii="Arial" w:cs="Arial" w:eastAsia="Arial" w:hAnsi="Arial"/>
                <w:sz w:val="18"/>
                <w:szCs w:val="18"/>
                <w:color w:val="auto"/>
              </w:rPr>
              <w:t>, and $(178)</w:t>
            </w:r>
          </w:p>
        </w:tc>
        <w:tc>
          <w:tcPr>
            <w:tcW w:w="4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Reclassification adjustments for gains included</w:t>
            </w:r>
          </w:p>
        </w:tc>
        <w:tc>
          <w:tcPr>
            <w:tcW w:w="48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340" w:type="dxa"/>
            <w:vAlign w:val="bottom"/>
            <w:gridSpan w:val="2"/>
            <w:vMerge w:val="restart"/>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in other income (expense), net</w:t>
            </w:r>
          </w:p>
        </w:tc>
        <w:tc>
          <w:tcPr>
            <w:tcW w:w="48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200"/>
              <w:spacing w:after="0" w:line="203" w:lineRule="exact"/>
              <w:rPr>
                <w:sz w:val="20"/>
                <w:szCs w:val="20"/>
                <w:color w:val="auto"/>
              </w:rPr>
            </w:pPr>
            <w:r>
              <w:rPr>
                <w:rFonts w:ascii="Arial" w:cs="Arial" w:eastAsia="Arial" w:hAnsi="Arial"/>
                <w:sz w:val="18"/>
                <w:szCs w:val="18"/>
                <w:color w:val="auto"/>
              </w:rPr>
              <w:t>(19)</w:t>
            </w:r>
          </w:p>
        </w:tc>
        <w:tc>
          <w:tcPr>
            <w:tcW w:w="1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340" w:type="dxa"/>
            <w:vAlign w:val="bottom"/>
            <w:gridSpan w:val="2"/>
            <w:vMerge w:val="continue"/>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4140" w:type="dxa"/>
            <w:vAlign w:val="bottom"/>
          </w:tcPr>
          <w:p>
            <w:pPr>
              <w:spacing w:after="0" w:line="175" w:lineRule="exact"/>
              <w:rPr>
                <w:sz w:val="20"/>
                <w:szCs w:val="20"/>
                <w:color w:val="auto"/>
              </w:rPr>
            </w:pPr>
            <w:r>
              <w:rPr>
                <w:rFonts w:ascii="Arial" w:cs="Arial" w:eastAsia="Arial" w:hAnsi="Arial"/>
                <w:sz w:val="18"/>
                <w:szCs w:val="18"/>
                <w:color w:val="auto"/>
              </w:rPr>
              <w:t>Tax expense included in provision for income</w:t>
            </w:r>
          </w:p>
        </w:tc>
        <w:tc>
          <w:tcPr>
            <w:tcW w:w="480" w:type="dxa"/>
            <w:vAlign w:val="bottom"/>
          </w:tcPr>
          <w:p>
            <w:pPr>
              <w:spacing w:after="0"/>
              <w:rPr>
                <w:sz w:val="15"/>
                <w:szCs w:val="15"/>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20"/>
              <w:spacing w:after="0"/>
              <w:rPr>
                <w:sz w:val="20"/>
                <w:szCs w:val="20"/>
                <w:color w:val="auto"/>
              </w:rPr>
            </w:pPr>
            <w:r>
              <w:rPr>
                <w:rFonts w:ascii="Arial" w:cs="Arial" w:eastAsia="Arial" w:hAnsi="Arial"/>
                <w:sz w:val="18"/>
                <w:szCs w:val="18"/>
                <w:color w:val="auto"/>
              </w:rPr>
              <w:t>taxes</w:t>
            </w:r>
          </w:p>
        </w:tc>
        <w:tc>
          <w:tcPr>
            <w:tcW w:w="4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E5E5E5"/>
          </w:tcPr>
          <w:p>
            <w:pPr>
              <w:ind w:left="220"/>
              <w:spacing w:after="0" w:line="175" w:lineRule="exact"/>
              <w:rPr>
                <w:sz w:val="20"/>
                <w:szCs w:val="20"/>
                <w:color w:val="auto"/>
              </w:rPr>
            </w:pPr>
            <w:r>
              <w:rPr>
                <w:rFonts w:ascii="Arial" w:cs="Arial" w:eastAsia="Arial" w:hAnsi="Arial"/>
                <w:sz w:val="18"/>
                <w:szCs w:val="18"/>
                <w:color w:val="auto"/>
              </w:rPr>
              <w:t>Amounts reclassified from accumulated other</w:t>
            </w:r>
          </w:p>
        </w:tc>
        <w:tc>
          <w:tcPr>
            <w:tcW w:w="480" w:type="dxa"/>
            <w:vAlign w:val="bottom"/>
            <w:shd w:val="clear" w:color="auto" w:fill="E5E5E5"/>
          </w:tcPr>
          <w:p>
            <w:pPr>
              <w:spacing w:after="0"/>
              <w:rPr>
                <w:sz w:val="15"/>
                <w:szCs w:val="15"/>
                <w:color w:val="auto"/>
              </w:rPr>
            </w:pPr>
          </w:p>
        </w:tc>
        <w:tc>
          <w:tcPr>
            <w:tcW w:w="116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1340" w:type="dxa"/>
            <w:vAlign w:val="bottom"/>
            <w:gridSpan w:val="2"/>
            <w:vMerge w:val="restart"/>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E5E5E5"/>
          </w:tcPr>
          <w:p>
            <w:pPr>
              <w:ind w:left="440"/>
              <w:spacing w:after="0" w:line="203" w:lineRule="exact"/>
              <w:rPr>
                <w:sz w:val="20"/>
                <w:szCs w:val="20"/>
                <w:color w:val="auto"/>
              </w:rPr>
            </w:pPr>
            <w:r>
              <w:rPr>
                <w:rFonts w:ascii="Arial" w:cs="Arial" w:eastAsia="Arial" w:hAnsi="Arial"/>
                <w:sz w:val="18"/>
                <w:szCs w:val="18"/>
                <w:color w:val="auto"/>
              </w:rPr>
              <w:t>comprehensive income (loss)</w:t>
            </w:r>
          </w:p>
        </w:tc>
        <w:tc>
          <w:tcPr>
            <w:tcW w:w="480" w:type="dxa"/>
            <w:vAlign w:val="bottom"/>
            <w:shd w:val="clear" w:color="auto" w:fill="E5E5E5"/>
          </w:tcPr>
          <w:p>
            <w:pPr>
              <w:spacing w:after="0"/>
              <w:rPr>
                <w:sz w:val="17"/>
                <w:szCs w:val="17"/>
                <w:color w:val="auto"/>
              </w:rPr>
            </w:pPr>
          </w:p>
        </w:tc>
        <w:tc>
          <w:tcPr>
            <w:tcW w:w="1160" w:type="dxa"/>
            <w:vAlign w:val="bottom"/>
            <w:gridSpan w:val="2"/>
            <w:vMerge w:val="continue"/>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200"/>
              <w:spacing w:after="0" w:line="203" w:lineRule="exact"/>
              <w:rPr>
                <w:sz w:val="20"/>
                <w:szCs w:val="20"/>
                <w:color w:val="auto"/>
              </w:rPr>
            </w:pPr>
            <w:r>
              <w:rPr>
                <w:rFonts w:ascii="Arial" w:cs="Arial" w:eastAsia="Arial" w:hAnsi="Arial"/>
                <w:sz w:val="18"/>
                <w:szCs w:val="18"/>
                <w:color w:val="auto"/>
              </w:rPr>
              <w:t>(15)</w:t>
            </w:r>
          </w:p>
        </w:tc>
        <w:tc>
          <w:tcPr>
            <w:tcW w:w="1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340" w:type="dxa"/>
            <w:vAlign w:val="bottom"/>
            <w:gridSpan w:val="2"/>
            <w:vMerge w:val="continue"/>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16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8"/>
        </w:trPr>
        <w:tc>
          <w:tcPr>
            <w:tcW w:w="4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Net change related to investments, net of tax of</w:t>
            </w:r>
          </w:p>
        </w:tc>
        <w:tc>
          <w:tcPr>
            <w:tcW w:w="4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(743)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(1,165)</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$(197)</w:t>
            </w:r>
            <w:r>
              <w:rPr>
                <w:rFonts w:ascii="Arial" w:cs="Arial" w:eastAsia="Arial" w:hAnsi="Arial"/>
                <w:sz w:val="18"/>
                <w:szCs w:val="18"/>
                <w:color w:val="auto"/>
              </w:rPr>
              <w:t>, $ (132),</w:t>
            </w:r>
            <w:r>
              <w:rPr>
                <w:rFonts w:ascii="Arial" w:cs="Arial" w:eastAsia="Arial" w:hAnsi="Arial"/>
                <w:sz w:val="18"/>
                <w:szCs w:val="18"/>
                <w:b w:val="1"/>
                <w:bCs w:val="1"/>
                <w:color w:val="auto"/>
              </w:rPr>
              <w:t xml:space="preserve"> $(309)</w:t>
            </w:r>
            <w:r>
              <w:rPr>
                <w:rFonts w:ascii="Arial" w:cs="Arial" w:eastAsia="Arial" w:hAnsi="Arial"/>
                <w:sz w:val="18"/>
                <w:szCs w:val="18"/>
                <w:color w:val="auto"/>
              </w:rPr>
              <w:t>, and $ (186)</w:t>
            </w:r>
          </w:p>
        </w:tc>
        <w:tc>
          <w:tcPr>
            <w:tcW w:w="4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48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2,057</w:t>
            </w:r>
          </w:p>
        </w:tc>
        <w:tc>
          <w:tcPr>
            <w:tcW w:w="5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4,795</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4,795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(1,500)</w:t>
            </w:r>
          </w:p>
        </w:tc>
        <w:tc>
          <w:tcPr>
            <w:tcW w:w="500" w:type="dxa"/>
            <w:vAlign w:val="bottom"/>
            <w:gridSpan w:val="2"/>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(2,143)</w:t>
            </w:r>
          </w:p>
        </w:tc>
        <w:tc>
          <w:tcPr>
            <w:tcW w:w="6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(1,381)</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153"/>
        </w:trPr>
        <w:tc>
          <w:tcPr>
            <w:tcW w:w="4140" w:type="dxa"/>
            <w:vAlign w:val="bottom"/>
          </w:tcPr>
          <w:p>
            <w:pPr>
              <w:spacing w:after="0" w:line="153" w:lineRule="exact"/>
              <w:rPr>
                <w:sz w:val="20"/>
                <w:szCs w:val="20"/>
                <w:color w:val="auto"/>
              </w:rPr>
            </w:pPr>
            <w:r>
              <w:rPr>
                <w:rFonts w:ascii="Arial" w:cs="Arial" w:eastAsia="Arial" w:hAnsi="Arial"/>
                <w:sz w:val="17"/>
                <w:szCs w:val="17"/>
                <w:color w:val="auto"/>
              </w:rPr>
              <w:t>Translation adjustments and other, net of tax of</w:t>
            </w:r>
          </w:p>
        </w:tc>
        <w:tc>
          <w:tcPr>
            <w:tcW w:w="48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(222)</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color w:val="auto"/>
              </w:rPr>
              <w:t>, $0,</w:t>
            </w:r>
            <w:r>
              <w:rPr>
                <w:rFonts w:ascii="Arial" w:cs="Arial" w:eastAsia="Arial" w:hAnsi="Arial"/>
                <w:sz w:val="18"/>
                <w:szCs w:val="18"/>
                <w:b w:val="1"/>
                <w:bCs w:val="1"/>
                <w:color w:val="auto"/>
              </w:rPr>
              <w:t xml:space="preserve"> $0</w:t>
            </w:r>
            <w:r>
              <w:rPr>
                <w:rFonts w:ascii="Arial" w:cs="Arial" w:eastAsia="Arial" w:hAnsi="Arial"/>
                <w:sz w:val="18"/>
                <w:szCs w:val="18"/>
                <w:color w:val="auto"/>
              </w:rPr>
              <w:t>, and $(9)</w:t>
            </w:r>
          </w:p>
        </w:tc>
        <w:tc>
          <w:tcPr>
            <w:tcW w:w="4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48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(1,603)</w:t>
            </w:r>
          </w:p>
        </w:tc>
        <w:tc>
          <w:tcPr>
            <w:tcW w:w="500" w:type="dxa"/>
            <w:vAlign w:val="bottom"/>
            <w:gridSpan w:val="2"/>
            <w:shd w:val="clear" w:color="auto" w:fill="E5E5E5"/>
          </w:tcPr>
          <w:p>
            <w:pPr>
              <w:jc w:val="right"/>
              <w:ind w:right="153"/>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(1,402)</w:t>
            </w:r>
          </w:p>
        </w:tc>
        <w:tc>
          <w:tcPr>
            <w:tcW w:w="66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(1,603)</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68"/>
        </w:trPr>
        <w:tc>
          <w:tcPr>
            <w:tcW w:w="4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Accumulated other comprehensive income, end</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437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437</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220"/>
              <w:spacing w:after="0"/>
              <w:rPr>
                <w:sz w:val="20"/>
                <w:szCs w:val="20"/>
                <w:color w:val="auto"/>
              </w:rPr>
            </w:pPr>
            <w:r>
              <w:rPr>
                <w:rFonts w:ascii="Arial" w:cs="Arial" w:eastAsia="Arial" w:hAnsi="Arial"/>
                <w:sz w:val="18"/>
                <w:szCs w:val="18"/>
                <w:color w:val="auto"/>
              </w:rPr>
              <w:t>of period</w:t>
            </w:r>
          </w:p>
        </w:tc>
        <w:tc>
          <w:tcPr>
            <w:tcW w:w="48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3,367</w:t>
            </w:r>
          </w:p>
        </w:tc>
        <w:tc>
          <w:tcPr>
            <w:tcW w:w="6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62" w:lineRule="exact"/>
        <w:rPr>
          <w:sz w:val="20"/>
          <w:szCs w:val="20"/>
          <w:color w:val="auto"/>
        </w:rPr>
      </w:pPr>
    </w:p>
    <w:p>
      <w:pPr>
        <w:jc w:val="both"/>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Skype for Business.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Sales Solutions, and Learning Solutions.</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48" w:lineRule="exact"/>
        <w:rPr>
          <w:sz w:val="20"/>
          <w:szCs w:val="20"/>
          <w:color w:val="auto"/>
        </w:rPr>
      </w:pPr>
    </w:p>
    <w:p>
      <w:pPr>
        <w:ind w:left="1060" w:hanging="391"/>
        <w:spacing w:after="0" w:line="246"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GitHub.</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and Microsoft Consulting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48" w:lineRule="exact"/>
        <w:rPr>
          <w:sz w:val="20"/>
          <w:szCs w:val="20"/>
          <w:color w:val="auto"/>
        </w:rPr>
      </w:pPr>
    </w:p>
    <w:p>
      <w:pPr>
        <w:jc w:val="both"/>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Devices, including Surface and PC accessories.</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digital transactions, Xbox Game Pass and other subscriptions, video games, third-party video game royalties, cloud services, and advertising.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4"/>
        </w:trPr>
        <w:tc>
          <w:tcPr>
            <w:tcW w:w="42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4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15,936</w:t>
            </w:r>
          </w:p>
        </w:tc>
        <w:tc>
          <w:tcPr>
            <w:tcW w:w="4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13,353</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30,975</w:t>
            </w:r>
          </w:p>
        </w:tc>
        <w:tc>
          <w:tcPr>
            <w:tcW w:w="2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25,672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18,327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14,601</w:t>
            </w:r>
          </w:p>
        </w:tc>
        <w:tc>
          <w:tcPr>
            <w:tcW w:w="3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35,291</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27,587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17,465</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15,122</w:t>
            </w:r>
          </w:p>
        </w:tc>
        <w:tc>
          <w:tcPr>
            <w:tcW w:w="3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30,779</w:t>
            </w: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26,971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51,728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43,076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97,045</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80,230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7,688</w:t>
            </w:r>
          </w:p>
        </w:tc>
        <w:tc>
          <w:tcPr>
            <w:tcW w:w="4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6,181</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15,269</w:t>
            </w:r>
          </w:p>
        </w:tc>
        <w:tc>
          <w:tcPr>
            <w:tcW w:w="220" w:type="dxa"/>
            <w:vAlign w:val="bottom"/>
            <w:shd w:val="clear" w:color="auto" w:fill="E5E5E5"/>
          </w:tcPr>
          <w:p>
            <w:pPr>
              <w:jc w:val="right"/>
              <w:ind w:right="35"/>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11,887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8,197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6,492</w:t>
            </w:r>
          </w:p>
        </w:tc>
        <w:tc>
          <w:tcPr>
            <w:tcW w:w="38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15,759</w:t>
            </w: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11,914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6,362</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5,224</w:t>
            </w:r>
          </w:p>
        </w:tc>
        <w:tc>
          <w:tcPr>
            <w:tcW w:w="38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11,457</w:t>
            </w: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9,972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22,247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17,897</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42,485</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six months ended December 31, 2021 or 2020. Revenue, classified by the major geographic areas in which our customers were located,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34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4"/>
        </w:trPr>
        <w:tc>
          <w:tcPr>
            <w:tcW w:w="34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3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5"/>
        </w:trPr>
        <w:tc>
          <w:tcPr>
            <w:tcW w:w="34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2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26,463</w:t>
            </w:r>
          </w:p>
        </w:tc>
        <w:tc>
          <w:tcPr>
            <w:tcW w:w="4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21,836</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49,293</w:t>
            </w:r>
          </w:p>
        </w:tc>
        <w:tc>
          <w:tcPr>
            <w:tcW w:w="320" w:type="dxa"/>
            <w:vAlign w:val="bottom"/>
            <w:gridSpan w:val="2"/>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40,861</w:t>
            </w:r>
          </w:p>
        </w:tc>
      </w:tr>
      <w:tr>
        <w:trPr>
          <w:trHeight w:val="250"/>
        </w:trPr>
        <w:tc>
          <w:tcPr>
            <w:tcW w:w="3420" w:type="dxa"/>
            <w:vAlign w:val="bottom"/>
          </w:tcPr>
          <w:p>
            <w:pPr>
              <w:spacing w:after="0"/>
              <w:rPr>
                <w:sz w:val="20"/>
                <w:szCs w:val="20"/>
                <w:color w:val="auto"/>
              </w:rPr>
            </w:pPr>
            <w:r>
              <w:rPr>
                <w:rFonts w:ascii="Arial" w:cs="Arial" w:eastAsia="Arial" w:hAnsi="Arial"/>
                <w:sz w:val="18"/>
                <w:szCs w:val="18"/>
                <w:color w:val="auto"/>
              </w:rPr>
              <w:t>Other countries</w:t>
            </w:r>
          </w:p>
        </w:tc>
        <w:tc>
          <w:tcPr>
            <w:tcW w:w="2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25,265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21,240</w:t>
            </w: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39,369</w:t>
            </w:r>
          </w:p>
        </w:tc>
      </w:tr>
      <w:tr>
        <w:trPr>
          <w:trHeight w:val="68"/>
        </w:trPr>
        <w:tc>
          <w:tcPr>
            <w:tcW w:w="3420" w:type="dxa"/>
            <w:vAlign w:val="bottom"/>
            <w:tcBorders>
              <w:top w:val="single" w:sz="8" w:color="auto"/>
            </w:tcBorders>
          </w:tcPr>
          <w:p>
            <w:pPr>
              <w:spacing w:after="0"/>
              <w:rPr>
                <w:sz w:val="5"/>
                <w:szCs w:val="5"/>
                <w:color w:val="auto"/>
              </w:rPr>
            </w:pPr>
          </w:p>
        </w:tc>
        <w:tc>
          <w:tcPr>
            <w:tcW w:w="2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342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51,728</w:t>
            </w:r>
          </w:p>
        </w:tc>
        <w:tc>
          <w:tcPr>
            <w:tcW w:w="4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43,076</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97,045</w:t>
            </w:r>
          </w:p>
        </w:tc>
        <w:tc>
          <w:tcPr>
            <w:tcW w:w="320" w:type="dxa"/>
            <w:vAlign w:val="bottom"/>
            <w:gridSpan w:val="2"/>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80,230</w:t>
            </w:r>
          </w:p>
        </w:tc>
      </w:tr>
      <w:tr>
        <w:trPr>
          <w:trHeight w:val="74"/>
        </w:trPr>
        <w:tc>
          <w:tcPr>
            <w:tcW w:w="34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76" w:lineRule="exact"/>
        <w:rPr>
          <w:sz w:val="20"/>
          <w:szCs w:val="20"/>
          <w:color w:val="auto"/>
        </w:rPr>
      </w:pPr>
    </w:p>
    <w:p>
      <w:pPr>
        <w:ind w:left="540" w:right="20" w:hanging="532"/>
        <w:spacing w:after="0" w:line="26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1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5"/>
        </w:trPr>
        <w:tc>
          <w:tcPr>
            <w:tcW w:w="4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4"/>
        </w:trPr>
        <w:tc>
          <w:tcPr>
            <w:tcW w:w="4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1780" w:type="dxa"/>
            <w:vAlign w:val="bottom"/>
            <w:gridSpan w:val="2"/>
            <w:shd w:val="clear" w:color="auto" w:fill="E5E5E5"/>
          </w:tcPr>
          <w:p>
            <w:pPr>
              <w:ind w:left="13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16,375</w:t>
            </w:r>
          </w:p>
        </w:tc>
        <w:tc>
          <w:tcPr>
            <w:tcW w:w="4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12,729</w:t>
            </w:r>
          </w:p>
        </w:tc>
        <w:tc>
          <w:tcPr>
            <w:tcW w:w="38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31,444</w:t>
            </w:r>
          </w:p>
        </w:tc>
        <w:tc>
          <w:tcPr>
            <w:tcW w:w="320" w:type="dxa"/>
            <w:vAlign w:val="bottom"/>
            <w:gridSpan w:val="2"/>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23,924</w:t>
            </w: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11,251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9,881</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22,059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19,159</w:t>
            </w: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13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6,600</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5,514</w:t>
            </w:r>
          </w:p>
        </w:tc>
        <w:tc>
          <w:tcPr>
            <w:tcW w:w="3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12,276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10,665</w:t>
            </w: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5,442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5,031</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9,035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8,123</w:t>
            </w: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LinkedIn</w:t>
            </w:r>
          </w:p>
        </w:tc>
        <w:tc>
          <w:tcPr>
            <w:tcW w:w="13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3,531</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2,577</w:t>
            </w:r>
          </w:p>
        </w:tc>
        <w:tc>
          <w:tcPr>
            <w:tcW w:w="3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6,667</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4,783</w:t>
            </w: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Search and news advertising</w:t>
            </w: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3,064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2,386</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5,720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4,329</w:t>
            </w: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Devices</w:t>
            </w:r>
          </w:p>
        </w:tc>
        <w:tc>
          <w:tcPr>
            <w:tcW w:w="13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2,285</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2,120</w:t>
            </w:r>
          </w:p>
        </w:tc>
        <w:tc>
          <w:tcPr>
            <w:tcW w:w="3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3,646</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3,740</w:t>
            </w: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Enterprise Services</w:t>
            </w: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1,823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1,695</w:t>
            </w:r>
          </w:p>
        </w:tc>
        <w:tc>
          <w:tcPr>
            <w:tcW w:w="38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3,614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3,332</w:t>
            </w:r>
          </w:p>
        </w:tc>
      </w:tr>
      <w:tr>
        <w:trPr>
          <w:trHeight w:val="189"/>
        </w:trPr>
        <w:tc>
          <w:tcPr>
            <w:tcW w:w="4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13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1,357</w:t>
            </w:r>
          </w:p>
        </w:tc>
        <w:tc>
          <w:tcPr>
            <w:tcW w:w="1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1,143</w:t>
            </w:r>
          </w:p>
        </w:tc>
        <w:tc>
          <w:tcPr>
            <w:tcW w:w="3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2,584</w:t>
            </w:r>
          </w:p>
        </w:tc>
        <w:tc>
          <w:tcPr>
            <w:tcW w:w="1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2,175</w:t>
            </w:r>
          </w:p>
        </w:tc>
      </w:tr>
      <w:tr>
        <w:trPr>
          <w:trHeight w:val="68"/>
        </w:trPr>
        <w:tc>
          <w:tcPr>
            <w:tcW w:w="41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4"/>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ind w:left="13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51,728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43,076</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97,045</w:t>
            </w:r>
          </w:p>
        </w:tc>
        <w:tc>
          <w:tcPr>
            <w:tcW w:w="32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80,230</w:t>
            </w:r>
          </w:p>
        </w:tc>
      </w:tr>
      <w:tr>
        <w:trPr>
          <w:trHeight w:val="61"/>
        </w:trPr>
        <w:tc>
          <w:tcPr>
            <w:tcW w:w="4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595"/>
        </w:trPr>
        <w:tc>
          <w:tcPr>
            <w:tcW w:w="4180" w:type="dxa"/>
            <w:vAlign w:val="bottom"/>
          </w:tcPr>
          <w:p>
            <w:pPr>
              <w:spacing w:after="0"/>
              <w:rPr>
                <w:sz w:val="24"/>
                <w:szCs w:val="24"/>
                <w:color w:val="auto"/>
              </w:rPr>
            </w:pPr>
          </w:p>
        </w:tc>
        <w:tc>
          <w:tcPr>
            <w:tcW w:w="1780" w:type="dxa"/>
            <w:vAlign w:val="bottom"/>
            <w:gridSpan w:val="2"/>
          </w:tcPr>
          <w:p>
            <w:pPr>
              <w:ind w:left="1360"/>
              <w:spacing w:after="0"/>
              <w:rPr>
                <w:sz w:val="20"/>
                <w:szCs w:val="20"/>
                <w:color w:val="auto"/>
              </w:rPr>
            </w:pPr>
            <w:r>
              <w:rPr>
                <w:rFonts w:ascii="Arial" w:cs="Arial" w:eastAsia="Arial" w:hAnsi="Arial"/>
                <w:sz w:val="14"/>
                <w:szCs w:val="14"/>
                <w:color w:val="auto"/>
              </w:rPr>
              <w:t>28</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4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recast certain previously reported amounts in the table above to conform to the way we internally manage and monitor our business.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Microsoft Cloud (formerly commercial cloud) revenue, which includes Azure and other cloud services, Office 365 Commercial, the commercial portion of LinkedIn, Dynamics 365, and other commercial cloud properties, was $22.1 billion and $42.8 billion for the three and six months ended December 31, 2021, respectively, and $16.7 billion and $31.9 billion for the three and six months ended December 31, 2020, respectively. These amounts are primarily included in Server products and cloud services, Office products and cloud services, and LinkedIn in the table above.</w:t>
      </w:r>
    </w:p>
    <w:p>
      <w:pPr>
        <w:spacing w:after="0" w:line="14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SUBSEQUENT EVENT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and will provide building blocks for the metaverse. We expect this acquisition to close in fiscal year 2023, subject to approval by Activision Blizzard’s shareholders, the satisfaction of certain regulatory approvals, and other customary closing conditions.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9" w:name="page30"/>
    <w:bookmarkEnd w:id="29"/>
    <w:p>
      <w:pPr>
        <w:ind w:left="5200"/>
        <w:spacing w:after="0"/>
        <w:rPr>
          <w:sz w:val="20"/>
          <w:szCs w:val="20"/>
          <w:color w:val="auto"/>
        </w:rPr>
      </w:pPr>
      <w:r>
        <w:rPr>
          <w:rFonts w:ascii="Arial" w:cs="Arial" w:eastAsia="Arial" w:hAnsi="Arial"/>
          <w:sz w:val="13"/>
          <w:szCs w:val="13"/>
          <w:u w:val="single" w:color="auto"/>
          <w:color w:val="auto"/>
        </w:rPr>
        <w:t>PART I</w:t>
      </w:r>
    </w:p>
    <w:p>
      <w:pPr>
        <w:ind w:left="5220"/>
        <w:spacing w:after="0"/>
        <w:rPr>
          <w:sz w:val="20"/>
          <w:szCs w:val="20"/>
          <w:color w:val="auto"/>
        </w:rPr>
      </w:pPr>
      <w:r>
        <w:rPr>
          <w:rFonts w:ascii="Arial" w:cs="Arial" w:eastAsia="Arial" w:hAnsi="Arial"/>
          <w:sz w:val="13"/>
          <w:szCs w:val="13"/>
          <w:color w:val="auto"/>
        </w:rPr>
        <w:t>Item 1</w:t>
      </w:r>
    </w:p>
    <w:p>
      <w:pPr>
        <w:spacing w:after="0" w:line="395" w:lineRule="exact"/>
        <w:rPr>
          <w:sz w:val="20"/>
          <w:szCs w:val="20"/>
          <w:color w:val="auto"/>
        </w:rPr>
      </w:pPr>
    </w:p>
    <w:p>
      <w:pPr>
        <w:ind w:right="4600"/>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jc w:val="both"/>
        <w:spacing w:after="0" w:line="237"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December 31, 2021, the related consolidated statements of income, comprehensive income, cash flows, and stockholders’ equity for the three-month and six-month periods ended December 31, 2021 and 2020,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2021, and the related consolidated statements of income, comprehensive income, cash flows, and stockholders' equity for the year then ended (not presented herein); and in our report dated July 29, 2021, we expressed an unqualified opinion on those consolidated financial statements. In our opinion, the information set forth in the accompanying consolidated balance sheet as of June 30, 2021, is fairly stated, in all material respects, in relation to the consolidated balance sheet from which it has been derived.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January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38" w:right="67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ind w:left="340" w:right="38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2021, and our financial statements and the accompanying Notes to Financial Statements (Part I, Item 1 of this Form 10-Q).</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world continues to respond to COVID-19, we are working to do our part by ensuring the safety of our employees, striving to protect the health and well-being of the communities in which we operate, and providing technology and resources to our customers to help them do their best work while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fiscal year 2022 compared with the second quarter of fiscal year 2021 included:</w:t>
      </w:r>
    </w:p>
    <w:p>
      <w:pPr>
        <w:spacing w:after="0" w:line="77" w:lineRule="exact"/>
        <w:rPr>
          <w:sz w:val="20"/>
          <w:szCs w:val="20"/>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Microsoft Cloud (formerly commercial cloud) revenue increased 32% to $22.1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14% driven by Office 365 Commercial growth of 19%.</w:t>
      </w:r>
    </w:p>
    <w:p>
      <w:pPr>
        <w:spacing w:after="0" w:line="63"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15% and Microsoft 365 Consumer subscribers grew to 56.4 million.</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LinkedIn revenue increased 37%.</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29% driven by Dynamics 365 growth of 45%.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29% driven by Azure and other cloud services growth of 46%.</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25%.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13%.</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Xbox content and services revenue increased 10%.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Search and news advertising revenue excluding traffic acquisition costs increased 32%.</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Surface revenue increased 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could lead to a similar disruption in our ability to manufacture devices on time to meet consumer demand.</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or expenses from our international operations for the three or six months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continues to impact our business operations and financial results, although some of the effects have lessened over time. Our commercial and consumer businesses have benefited from demand for cloud and productivity tools, and we have experienced savings in operating expenses related to COVID-19. The COVID-19 pandemic may continue to impact our business operations and financial operating results, and there is uncertainty in the nature and degree of its continued effects over time. Refer to Risk Factors (Part II, Item 1A of this Form 10-Q) for a discussion of these factors and other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GAAP results and growth comparisons relate to the corresponding period of last fiscal year.</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first quarter of fiscal year 2022, we made updates to the presentation and method of calculation for certain metrics, most notably changes to incorporate all current and anticipated revenue streams within our Office Consumer and Server products and cloud services metrics and changes to align with how we manage our Windows OEM and Search and news advertising businesses. None of these changes had a material impact on previously reported amounts in our MD&amp;A.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69"/>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w w:val="99"/>
              </w:rPr>
              <w:t>Revenue from our commercial cloud business, which includes Azure and other cloud</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w w:val="99"/>
              </w:rPr>
              <w:t>services, Office 365 Commercial, the commercial portion of LinkedIn, Dynamics 365,</w:t>
            </w:r>
          </w:p>
        </w:tc>
      </w:tr>
      <w:tr>
        <w:trPr>
          <w:trHeight w:val="217"/>
        </w:trPr>
        <w:tc>
          <w:tcPr>
            <w:tcW w:w="41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and other commercial cloud properties</w:t>
            </w:r>
          </w:p>
        </w:tc>
      </w:tr>
      <w:tr>
        <w:trPr>
          <w:trHeight w:val="283"/>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commercial cloud business</w:t>
            </w:r>
          </w:p>
        </w:tc>
      </w:tr>
      <w:tr>
        <w:trPr>
          <w:trHeight w:val="582"/>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33</w:t>
            </w:r>
          </w:p>
        </w:tc>
      </w:tr>
      <w:tr>
        <w:trPr>
          <w:trHeight w:val="100"/>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83" w:lineRule="exact"/>
        <w:rPr>
          <w:sz w:val="20"/>
          <w:szCs w:val="20"/>
          <w:color w:val="auto"/>
        </w:rPr>
      </w:pPr>
    </w:p>
    <w:p>
      <w:pPr>
        <w:jc w:val="both"/>
        <w:ind w:left="5320" w:hanging="5142"/>
        <w:spacing w:after="0" w:line="238"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Skype for Business</w:t>
      </w:r>
    </w:p>
    <w:p>
      <w:pPr>
        <w:sectPr>
          <w:pgSz w:w="11900" w:h="16838" w:orient="portrait"/>
          <w:cols w:equalWidth="0" w:num="1">
            <w:col w:w="11240"/>
          </w:cols>
          <w:pgMar w:left="320" w:top="138" w:right="33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Office Consumer products and cloud services, including Microsoft 365 Consumer subscriptions, Office licensed on-premises, and other Office services</w:t>
      </w:r>
    </w:p>
    <w:p>
      <w:pPr>
        <w:spacing w:after="0" w:line="68" w:lineRule="exact"/>
        <w:rPr>
          <w:sz w:val="20"/>
          <w:szCs w:val="20"/>
          <w:color w:val="auto"/>
        </w:rPr>
      </w:pPr>
    </w:p>
    <w:p>
      <w:pPr>
        <w:sectPr>
          <w:pgSz w:w="11900" w:h="16838" w:orient="portrait"/>
          <w:cols w:equalWidth="0" w:num="2">
            <w:col w:w="5080" w:space="24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Microsoft 365 Consumer subscribers at end of period</w:t>
      </w:r>
    </w:p>
    <w:p>
      <w:pPr>
        <w:spacing w:after="0" w:line="88"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7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Revenue from LinkedIn, including Talent Solutions, Marketing Solutions, Premium Subscriptions, Sales Solutions, and Learning Solutions</w:t>
      </w:r>
    </w:p>
    <w:p>
      <w:pPr>
        <w:spacing w:after="0" w:line="62"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Revenue from Server products and cloud services, including Azure and other cloud services; SQL Server, Windows Server, Visual Studio, System Center, and related Client Access Licenses (“CALs”); and GitHub</w:t>
      </w:r>
    </w:p>
    <w:p>
      <w:pPr>
        <w:spacing w:after="0" w:line="200" w:lineRule="exact"/>
        <w:rPr>
          <w:sz w:val="20"/>
          <w:szCs w:val="20"/>
          <w:color w:val="auto"/>
        </w:rPr>
      </w:pPr>
    </w:p>
    <w:p>
      <w:pPr>
        <w:sectPr>
          <w:pgSz w:w="11900" w:h="16838" w:orient="portrait"/>
          <w:cols w:equalWidth="0" w:num="2">
            <w:col w:w="4600" w:space="720"/>
            <w:col w:w="5920"/>
          </w:cols>
          <w:pgMar w:left="320" w:top="13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38" w:right="339" w:bottom="1440" w:gutter="0" w:footer="0" w:header="0"/>
          <w:type w:val="continuous"/>
        </w:sectPr>
      </w:pPr>
    </w:p>
    <w:p>
      <w:pPr>
        <w:spacing w:after="0" w:line="1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revenue growth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 from sales of Windows Pro and non-Pro licenses sold through the OEM channel</w:t>
      </w:r>
    </w:p>
    <w:p>
      <w:pPr>
        <w:spacing w:after="0" w:line="62" w:lineRule="exact"/>
        <w:rPr>
          <w:sz w:val="20"/>
          <w:szCs w:val="20"/>
          <w:color w:val="auto"/>
        </w:rPr>
      </w:pPr>
    </w:p>
    <w:p>
      <w:pPr>
        <w:sectPr>
          <w:pgSz w:w="11900" w:h="16838" w:orient="portrait"/>
          <w:cols w:equalWidth="0" w:num="2">
            <w:col w:w="4860" w:space="720"/>
            <w:col w:w="5660"/>
          </w:cols>
          <w:pgMar w:left="320" w:top="138" w:right="339" w:bottom="1440" w:gutter="0" w:footer="0" w:header="0"/>
          <w:type w:val="continuous"/>
        </w:sectPr>
      </w:pPr>
    </w:p>
    <w:p>
      <w:pPr>
        <w:jc w:val="both"/>
        <w:ind w:left="5580" w:hanging="5412"/>
        <w:spacing w:after="0"/>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Surface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Surface devices and accessories</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Xbox  content  and  services,  comprising  digital</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transactions, Xbox Game Pass and other subscriptions, video games,</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third-party video game royalties, cloud services, and advertising</w:t>
            </w:r>
          </w:p>
        </w:tc>
      </w:tr>
      <w:tr>
        <w:trPr>
          <w:trHeight w:val="269"/>
        </w:trPr>
        <w:tc>
          <w:tcPr>
            <w:tcW w:w="5320" w:type="dxa"/>
            <w:vAlign w:val="bottom"/>
          </w:tcPr>
          <w:p>
            <w:pPr>
              <w:ind w:left="180"/>
              <w:spacing w:after="0"/>
              <w:rPr>
                <w:sz w:val="20"/>
                <w:szCs w:val="20"/>
                <w:color w:val="auto"/>
              </w:rPr>
            </w:pPr>
            <w:r>
              <w:rPr>
                <w:rFonts w:ascii="Arial" w:cs="Arial" w:eastAsia="Arial" w:hAnsi="Arial"/>
                <w:sz w:val="18"/>
                <w:szCs w:val="18"/>
                <w:color w:val="auto"/>
              </w:rPr>
              <w:t>Search and news advertising revenue, excluding TAC, growth</w:t>
            </w:r>
          </w:p>
        </w:tc>
        <w:tc>
          <w:tcPr>
            <w:tcW w:w="5920" w:type="dxa"/>
            <w:vAlign w:val="bottom"/>
          </w:tcPr>
          <w:p>
            <w:pPr>
              <w:ind w:left="260"/>
              <w:spacing w:after="0"/>
              <w:rPr>
                <w:sz w:val="20"/>
                <w:szCs w:val="20"/>
                <w:color w:val="auto"/>
              </w:rPr>
            </w:pPr>
            <w:r>
              <w:rPr>
                <w:rFonts w:ascii="Arial" w:cs="Arial" w:eastAsia="Arial" w:hAnsi="Arial"/>
                <w:sz w:val="18"/>
                <w:szCs w:val="18"/>
                <w:color w:val="auto"/>
              </w:rPr>
              <w:t>Revenue  from  search  and  news  advertising  excluding  traffic</w:t>
            </w:r>
          </w:p>
        </w:tc>
      </w:tr>
      <w:tr>
        <w:trPr>
          <w:trHeight w:val="203"/>
        </w:trPr>
        <w:tc>
          <w:tcPr>
            <w:tcW w:w="53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color w:val="auto"/>
              </w:rPr>
              <w:t>acquisition costs (“TAC”) paid to Bing Ads network publishers and</w:t>
            </w:r>
          </w:p>
        </w:tc>
      </w:tr>
      <w:tr>
        <w:trPr>
          <w:trHeight w:val="217"/>
        </w:trPr>
        <w:tc>
          <w:tcPr>
            <w:tcW w:w="532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news partners</w:t>
            </w:r>
          </w:p>
        </w:tc>
      </w:tr>
      <w:tr>
        <w:trPr>
          <w:trHeight w:val="582"/>
        </w:trPr>
        <w:tc>
          <w:tcPr>
            <w:tcW w:w="5320" w:type="dxa"/>
            <w:vAlign w:val="bottom"/>
          </w:tcPr>
          <w:p>
            <w:pPr>
              <w:spacing w:after="0"/>
              <w:rPr>
                <w:sz w:val="24"/>
                <w:szCs w:val="24"/>
                <w:color w:val="auto"/>
              </w:rPr>
            </w:pPr>
          </w:p>
        </w:tc>
        <w:tc>
          <w:tcPr>
            <w:tcW w:w="5920" w:type="dxa"/>
            <w:vAlign w:val="bottom"/>
          </w:tcPr>
          <w:p>
            <w:pPr>
              <w:ind w:left="220"/>
              <w:spacing w:after="0"/>
              <w:rPr>
                <w:sz w:val="20"/>
                <w:szCs w:val="20"/>
                <w:color w:val="auto"/>
              </w:rPr>
            </w:pPr>
            <w:r>
              <w:rPr>
                <w:rFonts w:ascii="Arial" w:cs="Arial" w:eastAsia="Arial" w:hAnsi="Arial"/>
                <w:sz w:val="14"/>
                <w:szCs w:val="14"/>
                <w:color w:val="auto"/>
              </w:rPr>
              <w:t>34</w:t>
            </w:r>
          </w:p>
        </w:tc>
      </w:tr>
      <w:tr>
        <w:trPr>
          <w:trHeight w:val="100"/>
        </w:trPr>
        <w:tc>
          <w:tcPr>
            <w:tcW w:w="5320" w:type="dxa"/>
            <w:vAlign w:val="bottom"/>
            <w:tcBorders>
              <w:bottom w:val="single" w:sz="8" w:color="9A9A9A"/>
            </w:tcBorders>
          </w:tcPr>
          <w:p>
            <w:pPr>
              <w:spacing w:after="0"/>
              <w:rPr>
                <w:sz w:val="8"/>
                <w:szCs w:val="8"/>
                <w:color w:val="auto"/>
              </w:rPr>
            </w:pPr>
          </w:p>
        </w:tc>
        <w:tc>
          <w:tcPr>
            <w:tcW w:w="5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type w:val="continuous"/>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3"/>
          </w:tcPr>
          <w:p>
            <w:pPr>
              <w:jc w:val="right"/>
              <w:ind w:right="195"/>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15"/>
              <w:spacing w:after="0"/>
              <w:rPr>
                <w:sz w:val="20"/>
                <w:szCs w:val="20"/>
                <w:color w:val="auto"/>
              </w:rPr>
            </w:pPr>
            <w:r>
              <w:rPr>
                <w:rFonts w:ascii="Arial" w:cs="Arial" w:eastAsia="Arial" w:hAnsi="Arial"/>
                <w:sz w:val="13"/>
                <w:szCs w:val="13"/>
                <w:b w:val="1"/>
                <w:bCs w:val="1"/>
                <w:color w:val="auto"/>
              </w:rPr>
              <w:t>Percentage</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2"/>
          </w:tcPr>
          <w:p>
            <w:pPr>
              <w:jc w:val="right"/>
              <w:ind w:right="195"/>
              <w:spacing w:after="0"/>
              <w:rPr>
                <w:sz w:val="20"/>
                <w:szCs w:val="20"/>
                <w:color w:val="auto"/>
              </w:rPr>
            </w:pPr>
            <w:r>
              <w:rPr>
                <w:rFonts w:ascii="Arial" w:cs="Arial" w:eastAsia="Arial" w:hAnsi="Arial"/>
                <w:sz w:val="13"/>
                <w:szCs w:val="13"/>
                <w:b w:val="1"/>
                <w:bCs w:val="1"/>
                <w:color w:val="auto"/>
              </w:rPr>
              <w:t>Six Months Ended</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195"/>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15"/>
              <w:spacing w:after="0"/>
              <w:rPr>
                <w:sz w:val="20"/>
                <w:szCs w:val="20"/>
                <w:color w:val="auto"/>
              </w:rPr>
            </w:pPr>
            <w:r>
              <w:rPr>
                <w:rFonts w:ascii="Arial" w:cs="Arial" w:eastAsia="Arial" w:hAnsi="Arial"/>
                <w:sz w:val="13"/>
                <w:szCs w:val="13"/>
                <w:b w:val="1"/>
                <w:bCs w:val="1"/>
                <w:color w:val="auto"/>
              </w:rPr>
              <w:t>Change</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195"/>
              <w:spacing w:after="0"/>
              <w:rPr>
                <w:sz w:val="20"/>
                <w:szCs w:val="20"/>
                <w:color w:val="auto"/>
              </w:rPr>
            </w:pPr>
            <w:r>
              <w:rPr>
                <w:rFonts w:ascii="Arial" w:cs="Arial" w:eastAsia="Arial" w:hAnsi="Arial"/>
                <w:sz w:val="13"/>
                <w:szCs w:val="13"/>
                <w:b w:val="1"/>
                <w:bCs w:val="1"/>
                <w:color w:val="auto"/>
              </w:rPr>
              <w:t>December 31,</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4"/>
        </w:trPr>
        <w:tc>
          <w:tcPr>
            <w:tcW w:w="36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51,728</w:t>
            </w:r>
          </w:p>
        </w:tc>
        <w:tc>
          <w:tcPr>
            <w:tcW w:w="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43,076</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20%</w:t>
            </w:r>
          </w:p>
        </w:tc>
        <w:tc>
          <w:tcPr>
            <w:tcW w:w="4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97,045</w:t>
            </w:r>
          </w:p>
        </w:tc>
        <w:tc>
          <w:tcPr>
            <w:tcW w:w="3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80,230</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34,768</w:t>
            </w:r>
          </w:p>
        </w:tc>
        <w:tc>
          <w:tcPr>
            <w:tcW w:w="26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28,882</w:t>
            </w: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20%</w:t>
            </w:r>
          </w:p>
        </w:tc>
        <w:tc>
          <w:tcPr>
            <w:tcW w:w="4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66,439</w:t>
            </w:r>
          </w:p>
        </w:tc>
        <w:tc>
          <w:tcPr>
            <w:tcW w:w="30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55,034</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22,247</w:t>
            </w:r>
          </w:p>
        </w:tc>
        <w:tc>
          <w:tcPr>
            <w:tcW w:w="260" w:type="dxa"/>
            <w:vAlign w:val="bottom"/>
            <w:shd w:val="clear" w:color="auto" w:fill="E5E5E5"/>
          </w:tcPr>
          <w:p>
            <w:pPr>
              <w:spacing w:after="0"/>
              <w:rPr>
                <w:sz w:val="16"/>
                <w:szCs w:val="16"/>
                <w:color w:val="auto"/>
              </w:rPr>
            </w:pP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17,897</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24%</w:t>
            </w:r>
          </w:p>
        </w:tc>
        <w:tc>
          <w:tcPr>
            <w:tcW w:w="4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42,485</w:t>
            </w:r>
          </w:p>
        </w:tc>
        <w:tc>
          <w:tcPr>
            <w:tcW w:w="300" w:type="dxa"/>
            <w:vAlign w:val="bottom"/>
            <w:shd w:val="clear" w:color="auto" w:fill="E5E5E5"/>
          </w:tcPr>
          <w:p>
            <w:pPr>
              <w:spacing w:after="0"/>
              <w:rPr>
                <w:sz w:val="16"/>
                <w:szCs w:val="16"/>
                <w:color w:val="auto"/>
              </w:rPr>
            </w:pP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33,773</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18,765</w:t>
            </w:r>
          </w:p>
        </w:tc>
        <w:tc>
          <w:tcPr>
            <w:tcW w:w="26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15,463</w:t>
            </w: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39,270</w:t>
            </w:r>
          </w:p>
        </w:tc>
        <w:tc>
          <w:tcPr>
            <w:tcW w:w="30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29,356</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2.48</w:t>
            </w:r>
          </w:p>
        </w:tc>
        <w:tc>
          <w:tcPr>
            <w:tcW w:w="260" w:type="dxa"/>
            <w:vAlign w:val="bottom"/>
            <w:shd w:val="clear" w:color="auto" w:fill="E5E5E5"/>
          </w:tcPr>
          <w:p>
            <w:pPr>
              <w:spacing w:after="0"/>
              <w:rPr>
                <w:sz w:val="16"/>
                <w:szCs w:val="16"/>
                <w:color w:val="auto"/>
              </w:rPr>
            </w:pP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2.03</w:t>
            </w:r>
          </w:p>
        </w:tc>
        <w:tc>
          <w:tcPr>
            <w:tcW w:w="11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color w:val="auto"/>
              </w:rPr>
              <w:t>22%</w:t>
            </w:r>
          </w:p>
        </w:tc>
        <w:tc>
          <w:tcPr>
            <w:tcW w:w="4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5.19</w:t>
            </w:r>
          </w:p>
        </w:tc>
        <w:tc>
          <w:tcPr>
            <w:tcW w:w="300" w:type="dxa"/>
            <w:vAlign w:val="bottom"/>
            <w:shd w:val="clear" w:color="auto" w:fill="E5E5E5"/>
          </w:tcPr>
          <w:p>
            <w:pPr>
              <w:spacing w:after="0"/>
              <w:rPr>
                <w:sz w:val="16"/>
                <w:szCs w:val="16"/>
                <w:color w:val="auto"/>
              </w:rPr>
            </w:pPr>
          </w:p>
        </w:tc>
        <w:tc>
          <w:tcPr>
            <w:tcW w:w="1200" w:type="dxa"/>
            <w:vAlign w:val="bottom"/>
            <w:shd w:val="clear" w:color="auto" w:fill="E5E5E5"/>
          </w:tcPr>
          <w:p>
            <w:pPr>
              <w:jc w:val="right"/>
              <w:ind w:right="195"/>
              <w:spacing w:after="0" w:line="189" w:lineRule="exact"/>
              <w:rPr>
                <w:sz w:val="20"/>
                <w:szCs w:val="20"/>
                <w:color w:val="auto"/>
              </w:rPr>
            </w:pPr>
            <w:r>
              <w:rPr>
                <w:rFonts w:ascii="Arial" w:cs="Arial" w:eastAsia="Arial" w:hAnsi="Arial"/>
                <w:sz w:val="18"/>
                <w:szCs w:val="18"/>
                <w:color w:val="auto"/>
              </w:rPr>
              <w:t>3.85</w:t>
            </w:r>
          </w:p>
        </w:tc>
        <w:tc>
          <w:tcPr>
            <w:tcW w:w="11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8"/>
                <w:szCs w:val="18"/>
                <w:color w:val="auto"/>
              </w:rPr>
              <w:t>Adjusted net income (non-GAAP)</w:t>
            </w:r>
          </w:p>
        </w:tc>
        <w:tc>
          <w:tcPr>
            <w:tcW w:w="36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18,765</w:t>
            </w:r>
          </w:p>
        </w:tc>
        <w:tc>
          <w:tcPr>
            <w:tcW w:w="26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15,463</w:t>
            </w:r>
          </w:p>
        </w:tc>
        <w:tc>
          <w:tcPr>
            <w:tcW w:w="1100" w:type="dxa"/>
            <w:vAlign w:val="bottom"/>
          </w:tcPr>
          <w:p>
            <w:pPr>
              <w:jc w:val="right"/>
              <w:ind w:right="15"/>
              <w:spacing w:after="0" w:line="189"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35,979</w:t>
            </w:r>
          </w:p>
        </w:tc>
        <w:tc>
          <w:tcPr>
            <w:tcW w:w="300" w:type="dxa"/>
            <w:vAlign w:val="bottom"/>
          </w:tcPr>
          <w:p>
            <w:pPr>
              <w:spacing w:after="0"/>
              <w:rPr>
                <w:sz w:val="16"/>
                <w:szCs w:val="16"/>
                <w:color w:val="auto"/>
              </w:rPr>
            </w:pPr>
          </w:p>
        </w:tc>
        <w:tc>
          <w:tcPr>
            <w:tcW w:w="1200" w:type="dxa"/>
            <w:vAlign w:val="bottom"/>
          </w:tcPr>
          <w:p>
            <w:pPr>
              <w:jc w:val="right"/>
              <w:ind w:right="195"/>
              <w:spacing w:after="0" w:line="189" w:lineRule="exact"/>
              <w:rPr>
                <w:sz w:val="20"/>
                <w:szCs w:val="20"/>
                <w:color w:val="auto"/>
              </w:rPr>
            </w:pPr>
            <w:r>
              <w:rPr>
                <w:rFonts w:ascii="Arial" w:cs="Arial" w:eastAsia="Arial" w:hAnsi="Arial"/>
                <w:sz w:val="18"/>
                <w:szCs w:val="18"/>
                <w:color w:val="auto"/>
              </w:rPr>
              <w:t>29,356</w:t>
            </w:r>
          </w:p>
        </w:tc>
        <w:tc>
          <w:tcPr>
            <w:tcW w:w="11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3660" w:type="dxa"/>
            <w:vAlign w:val="bottom"/>
            <w:shd w:val="clear" w:color="auto" w:fill="E5E5E5"/>
          </w:tcPr>
          <w:p>
            <w:pPr>
              <w:spacing w:after="0" w:line="175" w:lineRule="exact"/>
              <w:rPr>
                <w:sz w:val="20"/>
                <w:szCs w:val="20"/>
                <w:color w:val="auto"/>
              </w:rPr>
            </w:pPr>
            <w:r>
              <w:rPr>
                <w:rFonts w:ascii="Arial" w:cs="Arial" w:eastAsia="Arial" w:hAnsi="Arial"/>
                <w:sz w:val="18"/>
                <w:szCs w:val="18"/>
                <w:color w:val="auto"/>
              </w:rPr>
              <w:t>Adjusted diluted earnings per share (non-</w:t>
            </w:r>
          </w:p>
        </w:tc>
        <w:tc>
          <w:tcPr>
            <w:tcW w:w="360" w:type="dxa"/>
            <w:vAlign w:val="bottom"/>
            <w:shd w:val="clear" w:color="auto" w:fill="E5E5E5"/>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2.48</w:t>
            </w:r>
          </w:p>
        </w:tc>
        <w:tc>
          <w:tcPr>
            <w:tcW w:w="26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820" w:type="dxa"/>
            <w:vAlign w:val="bottom"/>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4.76</w:t>
            </w:r>
          </w:p>
        </w:tc>
        <w:tc>
          <w:tcPr>
            <w:tcW w:w="3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E5E5E5"/>
          </w:tcPr>
          <w:p>
            <w:pPr>
              <w:ind w:left="220"/>
              <w:spacing w:after="0" w:line="203" w:lineRule="exact"/>
              <w:rPr>
                <w:sz w:val="20"/>
                <w:szCs w:val="20"/>
                <w:color w:val="auto"/>
              </w:rPr>
            </w:pPr>
            <w:r>
              <w:rPr>
                <w:rFonts w:ascii="Arial" w:cs="Arial" w:eastAsia="Arial" w:hAnsi="Arial"/>
                <w:sz w:val="18"/>
                <w:szCs w:val="18"/>
                <w:color w:val="auto"/>
              </w:rPr>
              <w:t>GAAP)</w:t>
            </w:r>
          </w:p>
        </w:tc>
        <w:tc>
          <w:tcPr>
            <w:tcW w:w="360" w:type="dxa"/>
            <w:vAlign w:val="bottom"/>
            <w:shd w:val="clear" w:color="auto" w:fill="E5E5E5"/>
          </w:tcPr>
          <w:p>
            <w:pPr>
              <w:spacing w:after="0"/>
              <w:rPr>
                <w:sz w:val="17"/>
                <w:szCs w:val="17"/>
                <w:color w:val="auto"/>
              </w:rPr>
            </w:pPr>
          </w:p>
        </w:tc>
        <w:tc>
          <w:tcPr>
            <w:tcW w:w="840" w:type="dxa"/>
            <w:vAlign w:val="bottom"/>
            <w:vMerge w:val="continue"/>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195"/>
              <w:spacing w:after="0" w:line="203" w:lineRule="exact"/>
              <w:rPr>
                <w:sz w:val="20"/>
                <w:szCs w:val="20"/>
                <w:color w:val="auto"/>
              </w:rPr>
            </w:pPr>
            <w:r>
              <w:rPr>
                <w:rFonts w:ascii="Arial" w:cs="Arial" w:eastAsia="Arial" w:hAnsi="Arial"/>
                <w:sz w:val="18"/>
                <w:szCs w:val="18"/>
                <w:color w:val="auto"/>
              </w:rPr>
              <w:t>2.03</w:t>
            </w:r>
          </w:p>
        </w:tc>
        <w:tc>
          <w:tcPr>
            <w:tcW w:w="1100" w:type="dxa"/>
            <w:vAlign w:val="bottom"/>
            <w:shd w:val="clear" w:color="auto" w:fill="E5E5E5"/>
          </w:tcPr>
          <w:p>
            <w:pPr>
              <w:jc w:val="right"/>
              <w:ind w:right="15"/>
              <w:spacing w:after="0" w:line="203" w:lineRule="exact"/>
              <w:rPr>
                <w:sz w:val="20"/>
                <w:szCs w:val="20"/>
                <w:color w:val="auto"/>
              </w:rPr>
            </w:pPr>
            <w:r>
              <w:rPr>
                <w:rFonts w:ascii="Arial" w:cs="Arial" w:eastAsia="Arial" w:hAnsi="Arial"/>
                <w:sz w:val="18"/>
                <w:szCs w:val="18"/>
                <w:color w:val="auto"/>
              </w:rPr>
              <w:t>22%</w:t>
            </w:r>
          </w:p>
        </w:tc>
        <w:tc>
          <w:tcPr>
            <w:tcW w:w="400" w:type="dxa"/>
            <w:vAlign w:val="bottom"/>
            <w:shd w:val="clear" w:color="auto" w:fill="E5E5E5"/>
          </w:tcPr>
          <w:p>
            <w:pPr>
              <w:spacing w:after="0"/>
              <w:rPr>
                <w:sz w:val="17"/>
                <w:szCs w:val="17"/>
                <w:color w:val="auto"/>
              </w:rPr>
            </w:pPr>
          </w:p>
        </w:tc>
        <w:tc>
          <w:tcPr>
            <w:tcW w:w="820" w:type="dxa"/>
            <w:vAlign w:val="bottom"/>
            <w:vMerge w:val="continue"/>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195"/>
              <w:spacing w:after="0" w:line="203" w:lineRule="exact"/>
              <w:rPr>
                <w:sz w:val="20"/>
                <w:szCs w:val="20"/>
                <w:color w:val="auto"/>
              </w:rPr>
            </w:pPr>
            <w:r>
              <w:rPr>
                <w:rFonts w:ascii="Arial" w:cs="Arial" w:eastAsia="Arial" w:hAnsi="Arial"/>
                <w:sz w:val="18"/>
                <w:szCs w:val="18"/>
                <w:color w:val="auto"/>
              </w:rPr>
              <w:t>3.85</w:t>
            </w:r>
          </w:p>
        </w:tc>
        <w:tc>
          <w:tcPr>
            <w:tcW w:w="1100" w:type="dxa"/>
            <w:vAlign w:val="bottom"/>
            <w:gridSpan w:val="2"/>
            <w:shd w:val="clear" w:color="auto" w:fill="E5E5E5"/>
          </w:tcPr>
          <w:p>
            <w:pPr>
              <w:jc w:val="right"/>
              <w:ind w:right="100"/>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8"/>
        </w:trPr>
        <w:tc>
          <w:tcPr>
            <w:tcW w:w="3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the net income tax benefit related to transfer of intangible properties in the first quarter of fiscal year 2022. Refer to the Non-GAAP Financial Measures section below for a reconciliation of our financial results reported in accordance with GAAP to non-GAAP financial results. See Note 11 – Income Taxes of the Notes to Financial Statements (Part I, Item 1 of this Form 10-Q)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$8.7 billion or 20% driven by growth across each of our segments. Intelligent Cloud revenue increased driven by Azure and other cloud services. Productivity and Business Processes revenue increased driven by Office 365 Commercial and LinkedIn. More Personal Computing revenue increased driven by Windows and Search and news advertising.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$2.8 billion or 19%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$5.9 billion or 20% driven by growth across each of our segments.</w:t>
      </w:r>
    </w:p>
    <w:p>
      <w:pPr>
        <w:spacing w:after="0" w:line="63" w:lineRule="exact"/>
        <w:rPr>
          <w:sz w:val="20"/>
          <w:szCs w:val="20"/>
          <w:color w:val="auto"/>
        </w:rPr>
      </w:pPr>
    </w:p>
    <w:p>
      <w:pPr>
        <w:jc w:val="both"/>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margin percentage was relatively unchanged. Excluding the impact of the change in accounting estimate for the useful lives of our server and network equipment, gross margin percentage increased 2 points driven by improvements in More Personal Computing and Productivity and Business Processes.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70%. Excluding the impact of the change in accounting estimate, Microsoft Cloud gross margin percentage increased 3 points driven by improvement across our cloud services, offset in part by sales mix shift to Azure and other cloud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$1.5 billion or 14% driven by investments in cloud engineering, Gaming, LinkedIn, and commercial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expenses increased $859 million or 18% driven by investments in cloud engineering and Gaming.</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expenses increased $432 million or 9% driven by investments in commercial sales and LinkedIn.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and administrative expenses increased $245 million or 22% primarily driven by an increase in headcount.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$4.4 billion or 24% driven by growth across each of our segments.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increased $16.8 billion or 21% driven by growth across each of our segments. Intelligent Cloud revenue increased driven by Azure and other cloud services. Productivity and Business Processes revenue increased driven by Office 365 Commercial and LinkedIn. More Personal Computing revenue increased driven by Windows, Search and news advertising, and Gaming.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$5.4 billion or 21% driven by growth in Microsoft Cloud and Gaming.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$11.4 billion or 21% driven by growth across each of our segments.</w:t>
      </w:r>
    </w:p>
    <w:p>
      <w:pPr>
        <w:spacing w:after="0" w:line="77" w:lineRule="exact"/>
        <w:rPr>
          <w:sz w:val="20"/>
          <w:szCs w:val="20"/>
          <w:color w:val="auto"/>
        </w:rPr>
      </w:pPr>
    </w:p>
    <w:p>
      <w:pPr>
        <w:ind w:left="1060" w:hanging="391"/>
        <w:spacing w:after="0" w:line="24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percentage was relatively unchanged. Excluding the impact of the change in accounting estimate, gross margin percentage increased 2 points driven by improvements across each of our segments.</w:t>
      </w:r>
    </w:p>
    <w:p>
      <w:pPr>
        <w:spacing w:after="0" w:line="48" w:lineRule="exact"/>
        <w:rPr>
          <w:rFonts w:ascii="Arial" w:cs="Arial" w:eastAsia="Arial" w:hAnsi="Arial"/>
          <w:sz w:val="18"/>
          <w:szCs w:val="18"/>
          <w:color w:val="auto"/>
        </w:rPr>
      </w:pPr>
    </w:p>
    <w:p>
      <w:pPr>
        <w:jc w:val="both"/>
        <w:ind w:left="1060" w:hanging="39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Microsoft Cloud gross margin percentage decreased slightly to 70%. Excluding the impact of the change in accounting estimate, Microsoft Cloud gross margin percentage increased 3 points driven by improvement across our cloud services offset in part by sales mix shift to Azure and other cloud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$2.7 billion or 13% driven by investments in cloud engineering, Gaming, commercial sales, and LinkedIn.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77" w:lineRule="exact"/>
        <w:rPr>
          <w:sz w:val="20"/>
          <w:szCs w:val="20"/>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expenses increased $1.5 billion or 16% driven by investments in cloud engineering and Gaming.</w:t>
      </w:r>
    </w:p>
    <w:p>
      <w:pPr>
        <w:spacing w:after="0" w:line="6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expenses increased $748 million or 8% driven by investments in commercial sales, LinkedIn, and Windows marketing.</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administrative expenses increased $413 million or 18% primarily driven by an increase in headcount.</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Operating income increased $8.7 billion or 26%, including a favorable foreign currency impact of 2%, driven by growth across each of our segments.</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Current year net income and diluted EPS were positively impacted by the net tax benefit related to the transfer of intangible properties, which resulted in an increase to net income and diluted EPS of $3.3 billion and $0.43, respectively.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1020" w:type="dxa"/>
            <w:vAlign w:val="bottom"/>
          </w:tcPr>
          <w:p>
            <w:pPr>
              <w:jc w:val="right"/>
              <w:ind w:right="15"/>
              <w:spacing w:after="0"/>
              <w:rPr>
                <w:sz w:val="20"/>
                <w:szCs w:val="20"/>
                <w:color w:val="auto"/>
              </w:rPr>
            </w:pPr>
            <w:r>
              <w:rPr>
                <w:rFonts w:ascii="Arial" w:cs="Arial" w:eastAsia="Arial" w:hAnsi="Arial"/>
                <w:sz w:val="13"/>
                <w:szCs w:val="13"/>
                <w:b w:val="1"/>
                <w:bCs w:val="1"/>
                <w:color w:val="auto"/>
              </w:rPr>
              <w:t>Percentage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Six Months Ended</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348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Pr>
          <w:p>
            <w:pPr>
              <w:jc w:val="right"/>
              <w:ind w:right="15"/>
              <w:spacing w:after="0"/>
              <w:rPr>
                <w:sz w:val="20"/>
                <w:szCs w:val="20"/>
                <w:color w:val="auto"/>
              </w:rPr>
            </w:pPr>
            <w:r>
              <w:rPr>
                <w:rFonts w:ascii="Arial" w:cs="Arial" w:eastAsia="Arial" w:hAnsi="Arial"/>
                <w:sz w:val="13"/>
                <w:szCs w:val="13"/>
                <w:b w:val="1"/>
                <w:bCs w:val="1"/>
                <w:color w:val="auto"/>
              </w:rPr>
              <w:t>Change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5"/>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8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15,936</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13,353</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30,975</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25,672</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18,327</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14,601</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35,291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27,587</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17,465</w:t>
            </w: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15,122</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30,779</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26,971</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80" w:type="dxa"/>
            <w:vAlign w:val="bottom"/>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51,728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43,076</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97,045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80,230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1"/>
        </w:trPr>
        <w:tc>
          <w:tcPr>
            <w:tcW w:w="348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5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8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7,688</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6,181</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24%</w:t>
            </w:r>
          </w:p>
        </w:tc>
        <w:tc>
          <w:tcPr>
            <w:tcW w:w="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15,269</w:t>
            </w:r>
          </w:p>
        </w:tc>
        <w:tc>
          <w:tcPr>
            <w:tcW w:w="2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11,887</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8,197</w:t>
            </w:r>
          </w:p>
        </w:tc>
        <w:tc>
          <w:tcPr>
            <w:tcW w:w="16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6,492</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15,759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11,914</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9"/>
        </w:trPr>
        <w:tc>
          <w:tcPr>
            <w:tcW w:w="3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6,362</w:t>
            </w:r>
          </w:p>
        </w:tc>
        <w:tc>
          <w:tcPr>
            <w:tcW w:w="16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5,224</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11,457</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9,972</w:t>
            </w:r>
          </w:p>
        </w:tc>
        <w:tc>
          <w:tcPr>
            <w:tcW w:w="9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480" w:type="dxa"/>
            <w:vAlign w:val="bottom"/>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22,247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17,897</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42,485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33,773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1"/>
        </w:trPr>
        <w:tc>
          <w:tcPr>
            <w:tcW w:w="3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36"/>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4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$2.6 billion or 19%.</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$1.1 billion or 14%. Office 365 Commercial revenue grew 19% driven by seat growth of 16%, with continued momentum in small and medium business and frontline worker offerings, and growth in revenue per user. Office Commercial products revenue declined 17% driven by continued customer shift to cloud offerings, on a low prior year comparable impacted by a slowdown in transactional licensing.</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$220 million or 15% driven by Microsoft 365 Consumer subscription revenue. Microsoft 365 Consumer subscribers grew 19% to 56.4 million.</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LinkedIn revenue increased $954 million or 37% driven by advertising demand in our Marketing Solutions business and an improving job market in our Talent Solutions business.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29% driven by Dynamics 365 growth of 45%.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$1.5 billion or 24%.</w:t>
      </w:r>
    </w:p>
    <w:p>
      <w:pPr>
        <w:spacing w:after="0" w:line="77" w:lineRule="exact"/>
        <w:rPr>
          <w:sz w:val="20"/>
          <w:szCs w:val="20"/>
          <w:color w:val="auto"/>
        </w:rPr>
      </w:pPr>
    </w:p>
    <w:p>
      <w:pPr>
        <w:jc w:val="both"/>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increased $2.0 billion or 20% driven by growth in Office 365 Commercial and LinkedIn. Gross margin percentage was relatively unchanged. Excluding the impact of the change in accounting estimate, gross margin percentage increased 2 points driven by improvement across all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increased $531 million or 13% driven by investments in cloud engineering and LinkedIn.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$3.7 billion or 26%.</w:t>
      </w:r>
    </w:p>
    <w:p>
      <w:pPr>
        <w:spacing w:after="0" w:line="63" w:lineRule="exact"/>
        <w:rPr>
          <w:sz w:val="20"/>
          <w:szCs w:val="20"/>
          <w:color w:val="auto"/>
        </w:rPr>
      </w:pPr>
    </w:p>
    <w:p>
      <w:pPr>
        <w:jc w:val="both"/>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$3.6 billion or 29% driven by Azure and other cloud services. Azure and other cloud services revenue grew 46% driven by growth in our consumption-based services. Server products revenue increased 6% driven by hybrid solutions, including Windows Server and SQL Server running in multi-cloud environments.</w:t>
      </w:r>
    </w:p>
    <w:p>
      <w:pPr>
        <w:spacing w:after="0" w:line="54" w:lineRule="exact"/>
        <w:rPr>
          <w:rFonts w:ascii="Arial" w:cs="Arial" w:eastAsia="Arial" w:hAnsi="Arial"/>
          <w:sz w:val="18"/>
          <w:szCs w:val="18"/>
          <w:color w:val="auto"/>
        </w:rPr>
      </w:pPr>
    </w:p>
    <w:p>
      <w:pPr>
        <w:ind w:left="1060" w:right="20" w:hanging="391"/>
        <w:spacing w:after="0" w:line="246"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Enterprise Services revenue increased $128 million or 8% driven by growth in Enterprise Support Services and Microsoft Consulting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$1.7 billion or 26%.</w:t>
      </w:r>
    </w:p>
    <w:p>
      <w:pPr>
        <w:spacing w:after="0" w:line="63" w:lineRule="exact"/>
        <w:rPr>
          <w:sz w:val="20"/>
          <w:szCs w:val="20"/>
          <w:color w:val="auto"/>
        </w:rPr>
      </w:pPr>
    </w:p>
    <w:p>
      <w:pPr>
        <w:jc w:val="both"/>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increased $2.3 billion or 21% driven by growth in Azure and other cloud services. Gross margin percentage decreased. Excluding the impact of the change in accounting estimate, gross margin percentage increased slightly driven by improvement in Azure and other cloud services, offset in part by sales mix shift to Azure and other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increased $569 million or 14% driven by investments in Azure and other cloud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$2.3 billion or 15%.</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Windows revenue increased $1.1 billion or 20% driven by growth in Windows OEM and Windows Commercial. Windows OEM revenue increased 25%, including 6 points of positive impact from the Windows 11 revenue deferral, driven by continued growth in the PC market, particularly in commercial which has higher revenue per license. Windows Commercial products and cloud services revenue increased 13% driven by demand for Microsoft 365.</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Search and news advertising revenue increased $678 million or 28%. Search and news advertising revenue excluding traffic acquisition costs increased 32% driven by higher revenue per search.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69" w:lineRule="exact"/>
        <w:rPr>
          <w:sz w:val="20"/>
          <w:szCs w:val="20"/>
          <w:color w:val="auto"/>
        </w:rPr>
      </w:pPr>
    </w:p>
    <w:p>
      <w:pPr>
        <w:jc w:val="both"/>
        <w:ind w:left="1060" w:hanging="391"/>
        <w:spacing w:after="0" w:line="238"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Gaming revenue increased $411 million or 8% on a strong prior year comparable that benefited from Xbox Series X|S launches and stay-at-home scenarios, driven by growth in Xbox content and services. Xbox content and services revenue increased 10% driven by growth in first-party titles and Xbox Game Pass subscriptions, offset in part by a decline in third-party titles. Xbox hardware revenue increased 4% due to continued demand for Xbox Series X|S.</w:t>
      </w:r>
    </w:p>
    <w:p>
      <w:pPr>
        <w:spacing w:after="0" w:line="56" w:lineRule="exact"/>
        <w:rPr>
          <w:rFonts w:ascii="Arial" w:cs="Arial" w:eastAsia="Arial" w:hAnsi="Arial"/>
          <w:sz w:val="18"/>
          <w:szCs w:val="18"/>
          <w:color w:val="auto"/>
        </w:rPr>
      </w:pPr>
    </w:p>
    <w:p>
      <w:pPr>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Surface revenue increased $162 million or 8% driven by Surface Laptop.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$1.1 billion or 22%.</w:t>
      </w:r>
    </w:p>
    <w:p>
      <w:pPr>
        <w:spacing w:after="0" w:line="63" w:lineRule="exact"/>
        <w:rPr>
          <w:sz w:val="20"/>
          <w:szCs w:val="20"/>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increased $1.6 billion or 20% driven by growth in Windows and Search and news advertising. Gross margin percentage increased driven by sales mix shift to higher margin businesses and improvement in Search and news advertising.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increased $436 million or 17% driven by investments in Gaming, Search and news advertising, and Windows marketing.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$5.3 billion or 21%.</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$2.5 billion or 16%. Office 365 Commercial revenue grew 21% driven by seat growth of 16%, with continued momentum in small and medium business and frontline worker offerings, and growth in revenue per user. Office Commercial products revenue declined 15% driven by continued customer shift to cloud offerings, on a low prior year comparable impacted by a slowdown in transactional licensing.</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$355 million or 13% driven by Microsoft 365 Consumer subscription revenue.</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LinkedIn revenue increased $1.9 billion or 39% driven by advertising demand in our Marketing Solutions business and an improving job market in our Talent Solutions business.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30% driven by Dynamics 365 growth of 46%.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$3.4 billion or 28%, including a favorable foreign currency impact of 2%.</w:t>
      </w:r>
    </w:p>
    <w:p>
      <w:pPr>
        <w:spacing w:after="0" w:line="77" w:lineRule="exact"/>
        <w:rPr>
          <w:sz w:val="20"/>
          <w:szCs w:val="20"/>
          <w:color w:val="auto"/>
        </w:rPr>
      </w:pPr>
    </w:p>
    <w:p>
      <w:pPr>
        <w:jc w:val="both"/>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increased $4.2 billion or 21% driven by growth in Office 365 Commercial and LinkedIn. Gross margin percentage was relatively unchanged. Excluding the impact of the change in accounting estimate, gross margin percentage increased 2 points driven by improvement across all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increased $821 million or 10% driven by investments in cloud engineering and LinkedIn.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$7.7 billion or 28%.</w:t>
      </w:r>
    </w:p>
    <w:p>
      <w:pPr>
        <w:spacing w:after="0" w:line="63" w:lineRule="exact"/>
        <w:rPr>
          <w:sz w:val="20"/>
          <w:szCs w:val="20"/>
          <w:color w:val="auto"/>
        </w:rPr>
      </w:pPr>
    </w:p>
    <w:p>
      <w:pPr>
        <w:jc w:val="both"/>
        <w:ind w:left="1060" w:hanging="391"/>
        <w:spacing w:after="0" w:line="23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$7.5 billion or 31% driven by Azure and other cloud services. Azure and other cloud services revenue grew 48% driven by growth in our consumption-based services. Server products revenue increased 10% driven by hybrid solutions, including Windows Server and SQL Server running in multi-cloud environments, on a low prior year comparable impacted by a slowdown in transactional licensing.</w:t>
      </w:r>
    </w:p>
    <w:p>
      <w:pPr>
        <w:spacing w:after="0" w:line="5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Services revenue increased $282 million or 8% driven by growth in Microsoft Consulting Services and Enterprise Support Services.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$3.8 billion or 32%.</w:t>
      </w:r>
    </w:p>
    <w:p>
      <w:pPr>
        <w:spacing w:after="0" w:line="63" w:lineRule="exact"/>
        <w:rPr>
          <w:sz w:val="20"/>
          <w:szCs w:val="20"/>
          <w:color w:val="auto"/>
        </w:rPr>
      </w:pPr>
    </w:p>
    <w:p>
      <w:pPr>
        <w:jc w:val="both"/>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increased $4.9 billion or 25% driven by growth in Azure and other cloud services. Gross margin percentage decreased. Excluding the impact of the change in accounting estimate, gross margin percentage increased 1 point driven by improvement in Azure and other cloud services, offset in part by sales mix shift to Azure and other cloud services.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expenses increased $1.1 billion or 13% driven by investments in Azure and other cloud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$3.8 billion or 14%.</w:t>
      </w:r>
    </w:p>
    <w:p>
      <w:pPr>
        <w:spacing w:after="0" w:line="77" w:lineRule="exact"/>
        <w:rPr>
          <w:sz w:val="20"/>
          <w:szCs w:val="20"/>
          <w:color w:val="auto"/>
        </w:rPr>
      </w:pPr>
    </w:p>
    <w:p>
      <w:pPr>
        <w:jc w:val="both"/>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Windows revenue increased $1.6 billion or 15% driven by growth in Windows OEM and Windows Commercial. Windows OEM revenue increased 18% driven by continued growth in the PC market, particularly in commercial which has higher revenue per license. Windows Commercial products and cloud services revenue increased 13% driven by demand for Microsoft 365.</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Search and news advertising revenue increased $1.4 billion or 32%. Search and news advertising revenue excluding traffic acquisition costs increased 36% driven by higher revenue per search, on a low prior year comparable.</w:t>
      </w:r>
    </w:p>
    <w:p>
      <w:pPr>
        <w:spacing w:after="0" w:line="48" w:lineRule="exact"/>
        <w:rPr>
          <w:rFonts w:ascii="Arial" w:cs="Arial" w:eastAsia="Arial" w:hAnsi="Arial"/>
          <w:sz w:val="18"/>
          <w:szCs w:val="18"/>
          <w:color w:val="auto"/>
        </w:rPr>
      </w:pPr>
    </w:p>
    <w:p>
      <w:pPr>
        <w:jc w:val="both"/>
        <w:ind w:left="1060" w:hanging="391"/>
        <w:spacing w:after="0" w:line="23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Gaming revenue increased $912 million or 11% on a strong prior year comparable that benefited from Xbox Series X|S launches and stay-at-home scenarios, driven by growth in Xbox hardware and Xbox content and services. Xbox hardware revenue increased 28% driven by higher volume of consoles sold due to continued demand for Xbox Series X|S. Xbox content and services revenue increased 6% driven by growth in first-party titles and Xbox Game Pass subscriptions, offset in part by a decline in third-party titles.</w:t>
      </w:r>
    </w:p>
    <w:p>
      <w:pPr>
        <w:spacing w:after="0" w:line="53"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Surface revenue decreased $105 million or 3% on a strong prior year comparable.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$1.5 billion or 15%.</w:t>
      </w:r>
    </w:p>
    <w:p>
      <w:pPr>
        <w:spacing w:after="0" w:line="77" w:lineRule="exact"/>
        <w:rPr>
          <w:sz w:val="20"/>
          <w:szCs w:val="20"/>
          <w:color w:val="auto"/>
        </w:rPr>
      </w:pPr>
    </w:p>
    <w:p>
      <w:pPr>
        <w:jc w:val="both"/>
        <w:ind w:left="1060" w:hanging="391"/>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margin increased $2.3 billion or 15% driven by growth in Windows and Search and news advertising. Gross margin percentage increased slightly driven by sales mix shift to higher margin businesses and improvement in Search and news advertising.</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expenses increased $807 million or 16% driven by investments in Gaming, Windows marketing, and Search and news advertising.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Three Months Ended</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0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Six Months Ended</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242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1"/>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December 31,</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Change</w:t>
            </w:r>
          </w:p>
        </w:tc>
      </w:tr>
      <w:tr>
        <w:trPr>
          <w:trHeight w:val="55"/>
        </w:trPr>
        <w:tc>
          <w:tcPr>
            <w:tcW w:w="24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2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9"/>
                <w:szCs w:val="19"/>
                <w:color w:val="auto"/>
              </w:rPr>
            </w:pPr>
          </w:p>
        </w:tc>
        <w:tc>
          <w:tcPr>
            <w:tcW w:w="1380" w:type="dxa"/>
            <w:vAlign w:val="bottom"/>
          </w:tcPr>
          <w:p>
            <w:pPr>
              <w:jc w:val="right"/>
              <w:ind w:right="281"/>
              <w:spacing w:after="0"/>
              <w:rPr>
                <w:sz w:val="20"/>
                <w:szCs w:val="20"/>
                <w:color w:val="auto"/>
              </w:rPr>
            </w:pPr>
            <w:r>
              <w:rPr>
                <w:rFonts w:ascii="Arial" w:cs="Arial" w:eastAsia="Arial" w:hAnsi="Arial"/>
                <w:sz w:val="13"/>
                <w:szCs w:val="13"/>
                <w:b w:val="1"/>
                <w:bCs w:val="1"/>
                <w:color w:val="auto"/>
              </w:rPr>
              <w:t>2020</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9"/>
                <w:szCs w:val="19"/>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2020</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5"/>
        </w:trPr>
        <w:tc>
          <w:tcPr>
            <w:tcW w:w="2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2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5,758</w:t>
            </w:r>
          </w:p>
        </w:tc>
        <w:tc>
          <w:tcPr>
            <w:tcW w:w="40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281"/>
              <w:spacing w:after="0" w:line="189" w:lineRule="exact"/>
              <w:rPr>
                <w:sz w:val="20"/>
                <w:szCs w:val="20"/>
                <w:color w:val="auto"/>
              </w:rPr>
            </w:pPr>
            <w:r>
              <w:rPr>
                <w:rFonts w:ascii="Arial" w:cs="Arial" w:eastAsia="Arial" w:hAnsi="Arial"/>
                <w:sz w:val="18"/>
                <w:szCs w:val="18"/>
                <w:color w:val="auto"/>
              </w:rPr>
              <w:t>4,899</w:t>
            </w:r>
          </w:p>
        </w:tc>
        <w:tc>
          <w:tcPr>
            <w:tcW w:w="122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18%</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18"/>
              <w:spacing w:after="0" w:line="189" w:lineRule="exact"/>
              <w:rPr>
                <w:sz w:val="20"/>
                <w:szCs w:val="20"/>
                <w:color w:val="auto"/>
              </w:rPr>
            </w:pPr>
            <w:r>
              <w:rPr>
                <w:rFonts w:ascii="Arial" w:cs="Arial" w:eastAsia="Arial" w:hAnsi="Arial"/>
                <w:sz w:val="18"/>
                <w:szCs w:val="18"/>
                <w:b w:val="1"/>
                <w:bCs w:val="1"/>
                <w:color w:val="auto"/>
              </w:rPr>
              <w:t>11,357</w:t>
            </w:r>
          </w:p>
        </w:tc>
        <w:tc>
          <w:tcPr>
            <w:tcW w:w="340" w:type="dxa"/>
            <w:vAlign w:val="bottom"/>
            <w:shd w:val="clear" w:color="auto" w:fill="E5E5E5"/>
          </w:tcPr>
          <w:p>
            <w:pPr>
              <w:jc w:val="right"/>
              <w:ind w:right="61"/>
              <w:spacing w:after="0" w:line="189"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281"/>
              <w:spacing w:after="0" w:line="189" w:lineRule="exact"/>
              <w:rPr>
                <w:sz w:val="20"/>
                <w:szCs w:val="20"/>
                <w:color w:val="auto"/>
              </w:rPr>
            </w:pPr>
            <w:r>
              <w:rPr>
                <w:rFonts w:ascii="Arial" w:cs="Arial" w:eastAsia="Arial" w:hAnsi="Arial"/>
                <w:sz w:val="18"/>
                <w:szCs w:val="18"/>
                <w:color w:val="auto"/>
              </w:rPr>
              <w:t>9,825</w:t>
            </w:r>
          </w:p>
        </w:tc>
        <w:tc>
          <w:tcPr>
            <w:tcW w:w="10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w:t>
            </w:r>
          </w:p>
        </w:tc>
        <w:tc>
          <w:tcPr>
            <w:tcW w:w="80" w:type="dxa"/>
            <w:vAlign w:val="bottom"/>
            <w:shd w:val="clear" w:color="auto" w:fill="E5E5E5"/>
          </w:tcPr>
          <w:p>
            <w:pPr>
              <w:spacing w:after="0"/>
              <w:rPr>
                <w:sz w:val="16"/>
                <w:szCs w:val="16"/>
                <w:color w:val="auto"/>
              </w:rPr>
            </w:pPr>
          </w:p>
        </w:tc>
      </w:tr>
      <w:tr>
        <w:trPr>
          <w:trHeight w:val="25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0ppt</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12%</w:t>
            </w: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80" w:type="dxa"/>
            <w:vAlign w:val="bottom"/>
          </w:tcPr>
          <w:p>
            <w:pPr>
              <w:spacing w:after="0"/>
              <w:rPr>
                <w:sz w:val="21"/>
                <w:szCs w:val="2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$859 million or 18% driven by investments in cloud engineering and Gaming.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$1.5 billion or 16% driven by investments in cloud engineering and Gaming.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Three Months Ended</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gridSpan w:val="2"/>
          </w:tcPr>
          <w:p>
            <w:pPr>
              <w:jc w:val="right"/>
              <w:ind w:right="301"/>
              <w:spacing w:after="0"/>
              <w:rPr>
                <w:sz w:val="20"/>
                <w:szCs w:val="20"/>
                <w:color w:val="auto"/>
              </w:rPr>
            </w:pPr>
            <w:r>
              <w:rPr>
                <w:rFonts w:ascii="Arial" w:cs="Arial" w:eastAsia="Arial" w:hAnsi="Arial"/>
                <w:sz w:val="13"/>
                <w:szCs w:val="13"/>
                <w:b w:val="1"/>
                <w:bCs w:val="1"/>
                <w:color w:val="auto"/>
              </w:rPr>
              <w:t>Six Months Ended</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23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Arial" w:cs="Arial" w:eastAsia="Arial" w:hAnsi="Arial"/>
                <w:sz w:val="13"/>
                <w:szCs w:val="13"/>
                <w:b w:val="1"/>
                <w:bCs w:val="1"/>
                <w:color w:val="auto"/>
              </w:rPr>
              <w:t>December 31,</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r>
      <w:tr>
        <w:trPr>
          <w:trHeight w:val="54"/>
        </w:trPr>
        <w:tc>
          <w:tcPr>
            <w:tcW w:w="2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2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9"/>
                <w:szCs w:val="19"/>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2020</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9"/>
                <w:szCs w:val="19"/>
                <w:color w:val="auto"/>
              </w:rPr>
            </w:pPr>
          </w:p>
        </w:tc>
        <w:tc>
          <w:tcPr>
            <w:tcW w:w="1380" w:type="dxa"/>
            <w:vAlign w:val="bottom"/>
          </w:tcPr>
          <w:p>
            <w:pPr>
              <w:jc w:val="right"/>
              <w:ind w:right="301"/>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5"/>
        </w:trPr>
        <w:tc>
          <w:tcPr>
            <w:tcW w:w="2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2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68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5,379</w:t>
            </w:r>
          </w:p>
        </w:tc>
        <w:tc>
          <w:tcPr>
            <w:tcW w:w="400" w:type="dxa"/>
            <w:vAlign w:val="bottom"/>
            <w:shd w:val="clear" w:color="auto" w:fill="E5E5E5"/>
          </w:tcPr>
          <w:p>
            <w:pPr>
              <w:jc w:val="right"/>
              <w:ind w:right="61"/>
              <w:spacing w:after="0" w:line="189"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281"/>
              <w:spacing w:after="0" w:line="189" w:lineRule="exact"/>
              <w:rPr>
                <w:sz w:val="20"/>
                <w:szCs w:val="20"/>
                <w:color w:val="auto"/>
              </w:rPr>
            </w:pPr>
            <w:r>
              <w:rPr>
                <w:rFonts w:ascii="Arial" w:cs="Arial" w:eastAsia="Arial" w:hAnsi="Arial"/>
                <w:sz w:val="18"/>
                <w:szCs w:val="18"/>
                <w:color w:val="auto"/>
              </w:rPr>
              <w:t>4,947</w:t>
            </w:r>
          </w:p>
        </w:tc>
        <w:tc>
          <w:tcPr>
            <w:tcW w:w="122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9%</w:t>
            </w:r>
          </w:p>
        </w:tc>
        <w:tc>
          <w:tcPr>
            <w:tcW w:w="5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b w:val="1"/>
                <w:bCs w:val="1"/>
                <w:color w:val="auto"/>
              </w:rPr>
              <w:t>9,926</w:t>
            </w:r>
          </w:p>
        </w:tc>
        <w:tc>
          <w:tcPr>
            <w:tcW w:w="340" w:type="dxa"/>
            <w:vAlign w:val="bottom"/>
            <w:shd w:val="clear" w:color="auto" w:fill="E5E5E5"/>
          </w:tcPr>
          <w:p>
            <w:pPr>
              <w:jc w:val="right"/>
              <w:ind w:right="61"/>
              <w:spacing w:after="0" w:line="189"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E5E5E5"/>
          </w:tcPr>
          <w:p>
            <w:pPr>
              <w:jc w:val="right"/>
              <w:ind w:right="301"/>
              <w:spacing w:after="0" w:line="189" w:lineRule="exact"/>
              <w:rPr>
                <w:sz w:val="20"/>
                <w:szCs w:val="20"/>
                <w:color w:val="auto"/>
              </w:rPr>
            </w:pPr>
            <w:r>
              <w:rPr>
                <w:rFonts w:ascii="Arial" w:cs="Arial" w:eastAsia="Arial" w:hAnsi="Arial"/>
                <w:sz w:val="18"/>
                <w:szCs w:val="18"/>
                <w:color w:val="auto"/>
              </w:rPr>
              <w:t>9,178</w:t>
            </w:r>
          </w:p>
        </w:tc>
        <w:tc>
          <w:tcPr>
            <w:tcW w:w="12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w:t>
            </w:r>
          </w:p>
        </w:tc>
      </w:tr>
      <w:tr>
        <w:trPr>
          <w:trHeight w:val="250"/>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6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(1)ppt</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10%</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1"/>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$432 million or 9% driven by investments in commercial sales and LinkedIn.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$748 million or 8% driven by investments in commercial sales, LinkedIn, and Windows marketing.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gridSpan w:val="2"/>
          </w:tcPr>
          <w:p>
            <w:pPr>
              <w:jc w:val="right"/>
              <w:ind w:right="301"/>
              <w:spacing w:after="0"/>
              <w:rPr>
                <w:sz w:val="20"/>
                <w:szCs w:val="20"/>
                <w:color w:val="auto"/>
              </w:rPr>
            </w:pPr>
            <w:r>
              <w:rPr>
                <w:rFonts w:ascii="Arial" w:cs="Arial" w:eastAsia="Arial" w:hAnsi="Arial"/>
                <w:sz w:val="13"/>
                <w:szCs w:val="13"/>
                <w:b w:val="1"/>
                <w:bCs w:val="1"/>
                <w:color w:val="auto"/>
              </w:rPr>
              <w:t>Three Months Ended</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Six Months Ended</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r>
      <w:tr>
        <w:trPr>
          <w:trHeight w:val="178"/>
        </w:trPr>
        <w:tc>
          <w:tcPr>
            <w:tcW w:w="2360" w:type="dxa"/>
            <w:vAlign w:val="bottom"/>
          </w:tcPr>
          <w:p>
            <w:pPr>
              <w:spacing w:after="0"/>
              <w:rPr>
                <w:sz w:val="20"/>
                <w:szCs w:val="20"/>
                <w:color w:val="auto"/>
              </w:rPr>
            </w:pPr>
            <w:r>
              <w:rPr>
                <w:rFonts w:ascii="Arial" w:cs="Arial" w:eastAsia="Arial" w:hAnsi="Arial"/>
                <w:sz w:val="13"/>
                <w:szCs w:val="13"/>
                <w:b w:val="1"/>
                <w:bCs w:val="1"/>
                <w:color w:val="auto"/>
              </w:rPr>
              <w:t>(In millions, except percentages)</w:t>
            </w: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December 31,</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r>
      <w:tr>
        <w:trPr>
          <w:trHeight w:val="55"/>
        </w:trPr>
        <w:tc>
          <w:tcPr>
            <w:tcW w:w="2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23"/>
        </w:trPr>
        <w:tc>
          <w:tcPr>
            <w:tcW w:w="2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9"/>
                <w:szCs w:val="19"/>
                <w:color w:val="auto"/>
              </w:rPr>
            </w:pPr>
          </w:p>
        </w:tc>
        <w:tc>
          <w:tcPr>
            <w:tcW w:w="1380" w:type="dxa"/>
            <w:vAlign w:val="bottom"/>
          </w:tcPr>
          <w:p>
            <w:pPr>
              <w:jc w:val="right"/>
              <w:ind w:right="301"/>
              <w:spacing w:after="0"/>
              <w:rPr>
                <w:sz w:val="20"/>
                <w:szCs w:val="20"/>
                <w:color w:val="auto"/>
              </w:rPr>
            </w:pPr>
            <w:r>
              <w:rPr>
                <w:rFonts w:ascii="Arial" w:cs="Arial" w:eastAsia="Arial" w:hAnsi="Arial"/>
                <w:sz w:val="13"/>
                <w:szCs w:val="13"/>
                <w:b w:val="1"/>
                <w:bCs w:val="1"/>
                <w:color w:val="auto"/>
              </w:rPr>
              <w:t>2020</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9"/>
                <w:szCs w:val="19"/>
                <w:color w:val="auto"/>
              </w:rPr>
            </w:pPr>
          </w:p>
        </w:tc>
        <w:tc>
          <w:tcPr>
            <w:tcW w:w="1360" w:type="dxa"/>
            <w:vAlign w:val="bottom"/>
          </w:tcPr>
          <w:p>
            <w:pPr>
              <w:jc w:val="right"/>
              <w:ind w:right="281"/>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5"/>
        </w:trPr>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2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1,384</w:t>
            </w:r>
          </w:p>
        </w:tc>
        <w:tc>
          <w:tcPr>
            <w:tcW w:w="38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281"/>
              <w:spacing w:after="0" w:line="189" w:lineRule="exact"/>
              <w:rPr>
                <w:sz w:val="20"/>
                <w:szCs w:val="20"/>
                <w:color w:val="auto"/>
              </w:rPr>
            </w:pPr>
            <w:r>
              <w:rPr>
                <w:rFonts w:ascii="Arial" w:cs="Arial" w:eastAsia="Arial" w:hAnsi="Arial"/>
                <w:sz w:val="18"/>
                <w:szCs w:val="18"/>
                <w:color w:val="auto"/>
              </w:rPr>
              <w:t>1,139</w:t>
            </w:r>
          </w:p>
        </w:tc>
        <w:tc>
          <w:tcPr>
            <w:tcW w:w="1220" w:type="dxa"/>
            <w:vAlign w:val="bottom"/>
            <w:shd w:val="clear" w:color="auto" w:fill="E5E5E5"/>
          </w:tcPr>
          <w:p>
            <w:pPr>
              <w:jc w:val="right"/>
              <w:ind w:right="41"/>
              <w:spacing w:after="0" w:line="189" w:lineRule="exact"/>
              <w:rPr>
                <w:sz w:val="20"/>
                <w:szCs w:val="20"/>
                <w:color w:val="auto"/>
              </w:rPr>
            </w:pPr>
            <w:r>
              <w:rPr>
                <w:rFonts w:ascii="Arial" w:cs="Arial" w:eastAsia="Arial" w:hAnsi="Arial"/>
                <w:sz w:val="18"/>
                <w:szCs w:val="18"/>
                <w:color w:val="auto"/>
              </w:rPr>
              <w:t>22%</w:t>
            </w:r>
          </w:p>
        </w:tc>
        <w:tc>
          <w:tcPr>
            <w:tcW w:w="5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8"/>
              <w:spacing w:after="0" w:line="189" w:lineRule="exact"/>
              <w:rPr>
                <w:sz w:val="20"/>
                <w:szCs w:val="20"/>
                <w:color w:val="auto"/>
              </w:rPr>
            </w:pPr>
            <w:r>
              <w:rPr>
                <w:rFonts w:ascii="Arial" w:cs="Arial" w:eastAsia="Arial" w:hAnsi="Arial"/>
                <w:sz w:val="18"/>
                <w:szCs w:val="18"/>
                <w:b w:val="1"/>
                <w:bCs w:val="1"/>
                <w:color w:val="auto"/>
              </w:rPr>
              <w:t>2,671</w:t>
            </w:r>
          </w:p>
        </w:tc>
        <w:tc>
          <w:tcPr>
            <w:tcW w:w="340" w:type="dxa"/>
            <w:vAlign w:val="bottom"/>
            <w:shd w:val="clear" w:color="auto" w:fill="E5E5E5"/>
          </w:tcPr>
          <w:p>
            <w:pPr>
              <w:jc w:val="right"/>
              <w:ind w:right="61"/>
              <w:spacing w:after="0" w:line="189"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281"/>
              <w:spacing w:after="0" w:line="189" w:lineRule="exact"/>
              <w:rPr>
                <w:sz w:val="20"/>
                <w:szCs w:val="20"/>
                <w:color w:val="auto"/>
              </w:rPr>
            </w:pPr>
            <w:r>
              <w:rPr>
                <w:rFonts w:ascii="Arial" w:cs="Arial" w:eastAsia="Arial" w:hAnsi="Arial"/>
                <w:sz w:val="18"/>
                <w:szCs w:val="18"/>
                <w:color w:val="auto"/>
              </w:rPr>
              <w:t>2,258</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w:t>
            </w:r>
          </w:p>
        </w:tc>
        <w:tc>
          <w:tcPr>
            <w:tcW w:w="140" w:type="dxa"/>
            <w:vAlign w:val="bottom"/>
            <w:shd w:val="clear" w:color="auto" w:fill="E5E5E5"/>
          </w:tcPr>
          <w:p>
            <w:pPr>
              <w:spacing w:after="0"/>
              <w:rPr>
                <w:sz w:val="16"/>
                <w:szCs w:val="16"/>
                <w:color w:val="auto"/>
              </w:rPr>
            </w:pPr>
          </w:p>
        </w:tc>
      </w:tr>
      <w:tr>
        <w:trPr>
          <w:trHeight w:val="248"/>
        </w:trPr>
        <w:tc>
          <w:tcPr>
            <w:tcW w:w="236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21"/>
                <w:szCs w:val="21"/>
                <w:color w:val="auto"/>
              </w:rPr>
            </w:pPr>
          </w:p>
        </w:tc>
        <w:tc>
          <w:tcPr>
            <w:tcW w:w="1380" w:type="dxa"/>
            <w:vAlign w:val="bottom"/>
          </w:tcPr>
          <w:p>
            <w:pPr>
              <w:jc w:val="right"/>
              <w:ind w:right="281"/>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0ppt</w:t>
            </w:r>
          </w:p>
        </w:tc>
        <w:tc>
          <w:tcPr>
            <w:tcW w:w="54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21"/>
                <w:szCs w:val="21"/>
                <w:color w:val="auto"/>
              </w:rPr>
            </w:pPr>
          </w:p>
        </w:tc>
        <w:tc>
          <w:tcPr>
            <w:tcW w:w="1360" w:type="dxa"/>
            <w:vAlign w:val="bottom"/>
          </w:tcPr>
          <w:p>
            <w:pPr>
              <w:jc w:val="right"/>
              <w:ind w:right="281"/>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0ppt</w:t>
            </w:r>
          </w:p>
        </w:tc>
      </w:tr>
      <w:tr>
        <w:trPr>
          <w:trHeight w:val="22"/>
        </w:trPr>
        <w:tc>
          <w:tcPr>
            <w:tcW w:w="2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$245 million or 22% primarily driven by an increase in headcount.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$413 million or 18% primarily driven by an increase in headcount.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3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r>
      <w:tr>
        <w:trPr>
          <w:trHeight w:val="178"/>
        </w:trPr>
        <w:tc>
          <w:tcPr>
            <w:tcW w:w="49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r>
      <w:tr>
        <w:trPr>
          <w:trHeight w:val="55"/>
        </w:trPr>
        <w:tc>
          <w:tcPr>
            <w:tcW w:w="4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r>
      <w:tr>
        <w:trPr>
          <w:trHeight w:val="54"/>
        </w:trPr>
        <w:tc>
          <w:tcPr>
            <w:tcW w:w="4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104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503</w:t>
            </w:r>
          </w:p>
        </w:tc>
        <w:tc>
          <w:tcPr>
            <w:tcW w:w="3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545</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1,023</w:t>
            </w:r>
          </w:p>
        </w:tc>
        <w:tc>
          <w:tcPr>
            <w:tcW w:w="300" w:type="dxa"/>
            <w:vAlign w:val="bottom"/>
            <w:gridSpan w:val="2"/>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1,115</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(525)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(571)</w:t>
            </w:r>
          </w:p>
        </w:tc>
        <w:tc>
          <w:tcPr>
            <w:tcW w:w="40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(1,064)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(1,160)</w:t>
            </w: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5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300</w:t>
            </w:r>
          </w:p>
        </w:tc>
        <w:tc>
          <w:tcPr>
            <w:tcW w:w="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359</w:t>
            </w:r>
          </w:p>
        </w:tc>
        <w:tc>
          <w:tcPr>
            <w:tcW w:w="4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671</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484</w:t>
            </w:r>
          </w:p>
        </w:tc>
        <w:tc>
          <w:tcPr>
            <w:tcW w:w="100" w:type="dxa"/>
            <w:vAlign w:val="bottom"/>
            <w:shd w:val="clear" w:color="auto" w:fill="E5E5E5"/>
          </w:tcPr>
          <w:p>
            <w:pPr>
              <w:spacing w:after="0"/>
              <w:rPr>
                <w:sz w:val="16"/>
                <w:szCs w:val="16"/>
                <w:color w:val="auto"/>
              </w:rPr>
            </w:pP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w:t>
            </w:r>
          </w:p>
        </w:tc>
      </w:tr>
      <w:tr>
        <w:trPr>
          <w:trHeight w:val="189"/>
        </w:trPr>
        <w:tc>
          <w:tcPr>
            <w:tcW w:w="4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gains (losses) on foreign currency remeasurements</w:t>
            </w:r>
          </w:p>
        </w:tc>
        <w:tc>
          <w:tcPr>
            <w:tcW w:w="54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42</w:t>
            </w:r>
          </w:p>
        </w:tc>
        <w:tc>
          <w:tcPr>
            <w:tcW w:w="4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181</w:t>
            </w:r>
          </w:p>
        </w:tc>
        <w:tc>
          <w:tcPr>
            <w:tcW w:w="100" w:type="dxa"/>
            <w:vAlign w:val="bottom"/>
            <w:shd w:val="clear" w:color="auto" w:fill="E5E5E5"/>
          </w:tcPr>
          <w:p>
            <w:pPr>
              <w:spacing w:after="0"/>
              <w:rPr>
                <w:sz w:val="16"/>
                <w:szCs w:val="16"/>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68"/>
        </w:trPr>
        <w:tc>
          <w:tcPr>
            <w:tcW w:w="49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49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268</w:t>
            </w:r>
          </w:p>
        </w:tc>
        <w:tc>
          <w:tcPr>
            <w:tcW w:w="3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440</w:t>
            </w:r>
          </w:p>
        </w:tc>
        <w:tc>
          <w:tcPr>
            <w:tcW w:w="4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554</w:t>
            </w:r>
          </w:p>
        </w:tc>
        <w:tc>
          <w:tcPr>
            <w:tcW w:w="300" w:type="dxa"/>
            <w:vAlign w:val="bottom"/>
            <w:gridSpan w:val="2"/>
            <w:shd w:val="clear" w:color="auto" w:fill="E5E5E5"/>
          </w:tcPr>
          <w:p>
            <w:pPr>
              <w:jc w:val="right"/>
              <w:ind w:right="53"/>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688</w:t>
            </w:r>
          </w:p>
        </w:tc>
        <w:tc>
          <w:tcPr>
            <w:tcW w:w="100" w:type="dxa"/>
            <w:vAlign w:val="bottom"/>
            <w:shd w:val="clear" w:color="auto" w:fill="E5E5E5"/>
          </w:tcPr>
          <w:p>
            <w:pPr>
              <w:spacing w:after="0"/>
              <w:rPr>
                <w:sz w:val="16"/>
                <w:szCs w:val="16"/>
                <w:color w:val="auto"/>
              </w:rPr>
            </w:pPr>
          </w:p>
        </w:tc>
      </w:tr>
      <w:tr>
        <w:trPr>
          <w:trHeight w:val="74"/>
        </w:trPr>
        <w:tc>
          <w:tcPr>
            <w:tcW w:w="4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2021 Compared with Three Months Ended December 31, 2020</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and dividends income decreased due to lower portfolio balances. Interest expense decreased due to a decrease in outstanding long-term debt due to debt maturities. Net recognized gains on investments decreased due to lower gains on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2021 Compared with Six Months Ended December 31, 2020</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and dividends income decreased due to lower portfolio balances. Interest expense decreased due to a decrease in outstanding long-term debt due to debt maturities. Net recognized gains on investments increased due to higher gains on equity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effective tax rate was 17% and 16% for the three months ended December 31, 2021 and 2020, respectively, and 9% and 15% for the six months ended December 31, 2021 and 2020, respectively. The increase in our effective tax rate for the three months ended December 31, 2021 compared to the prior year was primarily due to changes in the mix of our income before income taxes between the U.S. and foreign countries and tax benefits from final Tax Cuts and Jobs Act (“TCJA”) regulations in fiscal year 2021, offset in part by an increase in tax benefits relating to stock-based compensation. The decrease in our effective tax rate for the six months ended December 31, 2021 compared to the prior year was primarily due to a $3.3 billion net income tax benefit in the first quarter of fiscal year 2022 related to the transfer of intangible properties.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exceeds the current tax liability from the U.S. global intangible low-taxed income tax.</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2021, primarily due to earnings taxed at lower rates in foreign jurisdictions resulting from producing and distributing our products and services through our foreign regional operations center in Ireland, tax benefits relating to stock-based compensation, and for the six months ended December 31, 2021, the net income tax benefit related to the transfer of intangible properties.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2021, some of which are currently under audit by local tax authorities. The resolution of each of these audits is not expected to be material to our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Adjusted net income and adjusted diluted EPS are non-GAAP financial measures which exclude the net tax benefit related to the transfer of intangible properties in the first quarter of fiscal year 2022.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Six Months Ended</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36"/>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December 31,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5"/>
        </w:trPr>
        <w:tc>
          <w:tcPr>
            <w:tcW w:w="1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37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18,765</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15,463</w:t>
            </w:r>
          </w:p>
        </w:tc>
        <w:tc>
          <w:tcPr>
            <w:tcW w:w="110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21%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39,270</w:t>
            </w:r>
          </w:p>
        </w:tc>
        <w:tc>
          <w:tcPr>
            <w:tcW w:w="2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29,356</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5"/>
        </w:trPr>
        <w:tc>
          <w:tcPr>
            <w:tcW w:w="3740" w:type="dxa"/>
            <w:vAlign w:val="bottom"/>
            <w:gridSpan w:val="2"/>
          </w:tcPr>
          <w:p>
            <w:pPr>
              <w:spacing w:after="0" w:line="175" w:lineRule="exact"/>
              <w:rPr>
                <w:sz w:val="20"/>
                <w:szCs w:val="20"/>
                <w:color w:val="auto"/>
              </w:rPr>
            </w:pPr>
            <w:r>
              <w:rPr>
                <w:rFonts w:ascii="Arial" w:cs="Arial" w:eastAsia="Arial" w:hAnsi="Arial"/>
                <w:sz w:val="18"/>
                <w:szCs w:val="18"/>
                <w:color w:val="auto"/>
              </w:rPr>
              <w:t>Net income tax benefit related to transfer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(3,291)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intangible properties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7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Adjusted net income (non-GAAP)</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18,765</w:t>
            </w:r>
          </w:p>
        </w:tc>
        <w:tc>
          <w:tcPr>
            <w:tcW w:w="24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15,463</w:t>
            </w:r>
          </w:p>
        </w:tc>
        <w:tc>
          <w:tcPr>
            <w:tcW w:w="110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21%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35,979</w:t>
            </w:r>
          </w:p>
        </w:tc>
        <w:tc>
          <w:tcPr>
            <w:tcW w:w="2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29,356</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4"/>
        </w:trPr>
        <w:tc>
          <w:tcPr>
            <w:tcW w:w="37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5"/>
        </w:trPr>
        <w:tc>
          <w:tcPr>
            <w:tcW w:w="3740" w:type="dxa"/>
            <w:vAlign w:val="bottom"/>
            <w:gridSpan w:val="2"/>
            <w:shd w:val="clear" w:color="auto" w:fill="E5E5E5"/>
          </w:tcPr>
          <w:p>
            <w:pPr>
              <w:spacing w:after="0" w:line="175" w:lineRule="exact"/>
              <w:rPr>
                <w:sz w:val="20"/>
                <w:szCs w:val="20"/>
                <w:color w:val="auto"/>
              </w:rPr>
            </w:pPr>
            <w:r>
              <w:rPr>
                <w:rFonts w:ascii="Arial" w:cs="Arial" w:eastAsia="Arial" w:hAnsi="Arial"/>
                <w:sz w:val="18"/>
                <w:szCs w:val="18"/>
                <w:color w:val="auto"/>
              </w:rPr>
              <w:t>Net income tax benefit related to transfer of</w:t>
            </w:r>
          </w:p>
        </w:tc>
        <w:tc>
          <w:tcPr>
            <w:tcW w:w="1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82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(0.43)</w:t>
            </w:r>
          </w:p>
        </w:tc>
        <w:tc>
          <w:tcPr>
            <w:tcW w:w="1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5E5"/>
          </w:tcPr>
          <w:p>
            <w:pPr>
              <w:spacing w:after="0"/>
              <w:rPr>
                <w:sz w:val="17"/>
                <w:szCs w:val="17"/>
                <w:color w:val="auto"/>
              </w:rPr>
            </w:pPr>
          </w:p>
        </w:tc>
        <w:tc>
          <w:tcPr>
            <w:tcW w:w="358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intangible properties</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vMerge w:val="continue"/>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60"/>
              <w:spacing w:after="0" w:line="203" w:lineRule="exact"/>
              <w:rPr>
                <w:sz w:val="20"/>
                <w:szCs w:val="20"/>
                <w:color w:val="auto"/>
              </w:rPr>
            </w:pPr>
            <w:r>
              <w:rPr>
                <w:rFonts w:ascii="Arial" w:cs="Arial" w:eastAsia="Arial" w:hAnsi="Arial"/>
                <w:sz w:val="18"/>
                <w:szCs w:val="18"/>
                <w:color w:val="auto"/>
              </w:rPr>
              <w:t>0</w:t>
            </w:r>
          </w:p>
        </w:tc>
        <w:tc>
          <w:tcPr>
            <w:tcW w:w="1100" w:type="dxa"/>
            <w:vAlign w:val="bottom"/>
            <w:shd w:val="clear" w:color="auto" w:fill="E5E5E5"/>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gridSpan w:val="2"/>
            <w:vMerge w:val="continue"/>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60"/>
              <w:spacing w:after="0" w:line="203"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E5E5E5"/>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7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740" w:type="dxa"/>
            <w:vAlign w:val="bottom"/>
            <w:gridSpan w:val="2"/>
          </w:tcPr>
          <w:p>
            <w:pPr>
              <w:spacing w:after="0"/>
              <w:rPr>
                <w:sz w:val="20"/>
                <w:szCs w:val="20"/>
                <w:color w:val="auto"/>
              </w:rPr>
            </w:pPr>
            <w:r>
              <w:rPr>
                <w:rFonts w:ascii="Arial" w:cs="Arial" w:eastAsia="Arial" w:hAnsi="Arial"/>
                <w:sz w:val="18"/>
                <w:szCs w:val="18"/>
                <w:color w:val="auto"/>
              </w:rPr>
              <w:t>Adjusted diluted earnings per share (non-</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GAAP)</w:t>
            </w: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3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1"/>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58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Cash, cash equivalents, and short-term investments totaled $125.4 billion and $130.3 billion as of December 31, 2021 and June 30, 2021, respectively. Equity investments were $7.0 billion and $6.0 billion as of December 31, 2021 and June 30, 2021,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from operations increased $ 7.2 billion to $39.0 billion for the six months ended December 31, 2021, mainly due to an increase in cash received from customers, offset in part by an increase in cash paid to employees and suppliers. Cash used in financing increased $4.3 billion to $28.3 billion for the six months ended December 31, 2021, mainly due to a $1.8 billion increase in common stock repurchases and a $1.6 billion increase in repayments of debt. Cash used in investing decreased $2.6 billion to $ 4.4 billion for the six months ended December 31, 2021, mainly due to a $5.1 billion increase in cash from net investment purchases, sales, and maturities and a $1.3 billion decrease in other investing to facilitate the purchase of components, offset in part by a $2.6 billion increase in additions to property and equipment and a $1.2 billion increase in cash used for acquisitions of companies, net of cash acquired, and purchases of intangible and other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In March 2021 and June 2020, we exchanged a portion of our existing debt at a premium for cash and new debt with longer maturities to take advantage of favorable financing rates in the debt markets, reflecting our credit rating and the low interest rate environment. Refer to Note 10 – Debt of the Notes to Financial Statements (Part I, Item 1 of this Form 10-Q)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548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6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4"/>
        </w:trPr>
        <w:tc>
          <w:tcPr>
            <w:tcW w:w="9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2022</w:t>
            </w:r>
          </w:p>
        </w:tc>
        <w:tc>
          <w:tcPr>
            <w:tcW w:w="600" w:type="dxa"/>
            <w:vAlign w:val="bottom"/>
            <w:shd w:val="clear" w:color="auto" w:fill="E5E5E5"/>
          </w:tcPr>
          <w:p>
            <w:pPr>
              <w:jc w:val="right"/>
              <w:ind w:right="410"/>
              <w:spacing w:after="0" w:line="189"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16,736</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June 30, 2022</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10,252</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2022</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4,546</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line="189" w:lineRule="exact"/>
              <w:rPr>
                <w:sz w:val="20"/>
                <w:szCs w:val="20"/>
                <w:color w:val="auto"/>
              </w:rPr>
            </w:pPr>
            <w:r>
              <w:rPr>
                <w:rFonts w:ascii="Arial" w:cs="Arial" w:eastAsia="Arial" w:hAnsi="Arial"/>
                <w:sz w:val="18"/>
                <w:szCs w:val="18"/>
                <w:color w:val="auto"/>
              </w:rPr>
              <w:t>December 31, 2022</w:t>
            </w:r>
          </w:p>
        </w:tc>
        <w:tc>
          <w:tcPr>
            <w:tcW w:w="6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2,467</w:t>
            </w:r>
          </w:p>
        </w:tc>
        <w:tc>
          <w:tcPr>
            <w:tcW w:w="120" w:type="dxa"/>
            <w:vAlign w:val="bottom"/>
          </w:tcPr>
          <w:p>
            <w:pPr>
              <w:spacing w:after="0"/>
              <w:rPr>
                <w:sz w:val="16"/>
                <w:szCs w:val="16"/>
                <w:color w:val="auto"/>
              </w:rPr>
            </w:pPr>
          </w:p>
        </w:tc>
      </w:tr>
      <w:tr>
        <w:trPr>
          <w:trHeight w:val="189"/>
        </w:trPr>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60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2,768</w:t>
            </w:r>
          </w:p>
        </w:tc>
        <w:tc>
          <w:tcPr>
            <w:tcW w:w="120" w:type="dxa"/>
            <w:vAlign w:val="bottom"/>
            <w:shd w:val="clear" w:color="auto" w:fill="E5E5E5"/>
          </w:tcPr>
          <w:p>
            <w:pPr>
              <w:spacing w:after="0"/>
              <w:rPr>
                <w:sz w:val="16"/>
                <w:szCs w:val="16"/>
                <w:color w:val="auto"/>
              </w:rPr>
            </w:pPr>
          </w:p>
        </w:tc>
      </w:tr>
      <w:tr>
        <w:trPr>
          <w:trHeight w:val="68"/>
        </w:trPr>
        <w:tc>
          <w:tcPr>
            <w:tcW w:w="9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64"/>
        </w:trPr>
        <w:tc>
          <w:tcPr>
            <w:tcW w:w="9460" w:type="dxa"/>
            <w:vAlign w:val="bottom"/>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36,769</w:t>
            </w:r>
          </w:p>
        </w:tc>
        <w:tc>
          <w:tcPr>
            <w:tcW w:w="120" w:type="dxa"/>
            <w:vAlign w:val="bottom"/>
          </w:tcPr>
          <w:p>
            <w:pPr>
              <w:spacing w:after="0"/>
              <w:rPr>
                <w:sz w:val="22"/>
                <w:szCs w:val="22"/>
                <w:color w:val="auto"/>
              </w:rPr>
            </w:pPr>
          </w:p>
        </w:tc>
      </w:tr>
      <w:tr>
        <w:trPr>
          <w:trHeight w:val="61"/>
        </w:trPr>
        <w:tc>
          <w:tcPr>
            <w:tcW w:w="946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December 31, 2021 and 2020, we repurchased 41 million shares and 52 million shares of our common stock for $12.4 billion and $11.0 billion, respectively, through our share repurchase programs. All repurchases were made using cash resources. Refer to Note 15 – Stockholders’ Equity of the Notes to Financial Statements (Part I, Item 1 of this Form 10-Q) for further discussion.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 Stockholders’ Equity of the Notes to Financial Statements (Part I, Item 1 of this Form 10-Q) for further discussion.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in our consolidated financial statements during the periods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4" w:name="page45"/>
    <w:bookmarkEnd w:id="44"/>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We expect this acquisition to close in fiscal year 2023, subject to approval by Activision Blizzard’s shareholders, the satisfaction of certain regulatory approvals, and other customary closing conditions.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11, 2021, we entered into a definitive agreement to acquire Nuance Communications, Inc. (“Nuance”) for $56.00 per share in an all-cash transaction valued at $19.7 billion, inclusive of Nuance’s net debt. The acquisition has been approved by Nuance’s shareholders, and we expect it to close in the third quarter of fiscal year 2022, subject to the satisfaction of certain regulatory approvals and other customary closing conditions.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$6.2 billion, which included $1.5 billion during the six months ended December 31, 2021. The remaining transition tax of $12.0 billion is payable over the next four years with a final payment in fiscal year 2026.</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218"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as well as uncertainty in the current economic environment due to COVID-19. Critical accounting policies for us include revenue recognition, impairment of investment securities, goodwill, research and development costs, legal and other contingencies, income taxes, and inventories.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5" w:name="page46"/>
    <w:bookmarkEnd w:id="45"/>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6" w:name="page47"/>
    <w:bookmarkEnd w:id="46"/>
    <w:p>
      <w:pPr>
        <w:ind w:left="5420"/>
        <w:spacing w:after="0"/>
        <w:rPr>
          <w:sz w:val="20"/>
          <w:szCs w:val="20"/>
          <w:color w:val="auto"/>
        </w:rPr>
      </w:pPr>
      <w:r>
        <w:rPr>
          <w:rFonts w:ascii="Arial" w:cs="Arial" w:eastAsia="Arial" w:hAnsi="Arial"/>
          <w:sz w:val="13"/>
          <w:szCs w:val="13"/>
          <w:u w:val="single" w:color="auto"/>
          <w:color w:val="auto"/>
        </w:rPr>
        <w:t>PART I</w:t>
      </w: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3"/>
          <w:szCs w:val="13"/>
          <w:u w:val="single" w:color="auto"/>
          <w:color w:val="auto"/>
        </w:rPr>
        <w:t>PART I</w:t>
      </w:r>
    </w:p>
    <w:p>
      <w:pPr>
        <w:jc w:val="center"/>
        <w:spacing w:after="0"/>
        <w:rPr>
          <w:sz w:val="20"/>
          <w:szCs w:val="20"/>
          <w:color w:val="auto"/>
        </w:rPr>
      </w:pPr>
      <w:r>
        <w:rPr>
          <w:rFonts w:ascii="Arial" w:cs="Arial" w:eastAsia="Arial" w:hAnsi="Arial"/>
          <w:sz w:val="13"/>
          <w:szCs w:val="13"/>
          <w:color w:val="auto"/>
        </w:rPr>
        <w:t>Item 3, 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0719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940" w:type="dxa"/>
            <w:vAlign w:val="bottom"/>
          </w:tcPr>
          <w:p>
            <w:pPr>
              <w:spacing w:after="0"/>
              <w:rPr>
                <w:sz w:val="20"/>
                <w:szCs w:val="20"/>
                <w:color w:val="auto"/>
              </w:rPr>
            </w:pPr>
            <w:r>
              <w:rPr>
                <w:rFonts w:ascii="Arial" w:cs="Arial" w:eastAsia="Arial" w:hAnsi="Arial"/>
                <w:sz w:val="13"/>
                <w:szCs w:val="13"/>
                <w:b w:val="1"/>
                <w:bCs w:val="1"/>
                <w:color w:val="auto"/>
              </w:rPr>
              <w:t>Risk Categories</w:t>
            </w:r>
          </w:p>
        </w:tc>
        <w:tc>
          <w:tcPr>
            <w:tcW w:w="5160" w:type="dxa"/>
            <w:vAlign w:val="bottom"/>
          </w:tcPr>
          <w:p>
            <w:pPr>
              <w:ind w:left="420"/>
              <w:spacing w:after="0"/>
              <w:rPr>
                <w:sz w:val="20"/>
                <w:szCs w:val="20"/>
                <w:color w:val="auto"/>
              </w:rPr>
            </w:pPr>
            <w:r>
              <w:rPr>
                <w:rFonts w:ascii="Arial" w:cs="Arial" w:eastAsia="Arial" w:hAnsi="Arial"/>
                <w:sz w:val="13"/>
                <w:szCs w:val="13"/>
                <w:b w:val="1"/>
                <w:bCs w:val="1"/>
                <w:color w:val="auto"/>
              </w:rPr>
              <w:t>Hypothetical Change</w:t>
            </w:r>
          </w:p>
        </w:tc>
        <w:tc>
          <w:tcPr>
            <w:tcW w:w="72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Impact</w:t>
            </w:r>
          </w:p>
        </w:tc>
      </w:tr>
      <w:tr>
        <w:trPr>
          <w:trHeight w:val="55"/>
        </w:trPr>
        <w:tc>
          <w:tcPr>
            <w:tcW w:w="2940" w:type="dxa"/>
            <w:vAlign w:val="bottom"/>
          </w:tcPr>
          <w:p>
            <w:pPr>
              <w:spacing w:after="0"/>
              <w:rPr>
                <w:sz w:val="4"/>
                <w:szCs w:val="4"/>
                <w:color w:val="auto"/>
              </w:rPr>
            </w:pPr>
          </w:p>
        </w:tc>
        <w:tc>
          <w:tcPr>
            <w:tcW w:w="5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currency – Revenue</w:t>
            </w:r>
          </w:p>
        </w:tc>
        <w:tc>
          <w:tcPr>
            <w:tcW w:w="51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(6,687)</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8"/>
                <w:szCs w:val="18"/>
                <w:color w:val="auto"/>
              </w:rPr>
              <w:t>Foreign currency – Investments</w:t>
            </w:r>
          </w:p>
        </w:tc>
        <w:tc>
          <w:tcPr>
            <w:tcW w:w="5160" w:type="dxa"/>
            <w:vAlign w:val="bottom"/>
          </w:tcPr>
          <w:p>
            <w:pPr>
              <w:ind w:left="420"/>
              <w:spacing w:after="0" w:line="189"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(142)</w:t>
            </w:r>
          </w:p>
        </w:tc>
        <w:tc>
          <w:tcPr>
            <w:tcW w:w="12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51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72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(3,113)</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5160" w:type="dxa"/>
            <w:vAlign w:val="bottom"/>
          </w:tcPr>
          <w:p>
            <w:pPr>
              <w:ind w:left="42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7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(304)</w:t>
            </w:r>
          </w:p>
        </w:tc>
        <w:tc>
          <w:tcPr>
            <w:tcW w:w="12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Fair Value</w:t>
            </w:r>
          </w:p>
        </w:tc>
      </w:tr>
      <w:tr>
        <w:trPr>
          <w:trHeight w:val="189"/>
        </w:trPr>
        <w:tc>
          <w:tcPr>
            <w:tcW w:w="29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51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10% decrease in equity market prices</w:t>
            </w:r>
          </w:p>
        </w:tc>
        <w:tc>
          <w:tcPr>
            <w:tcW w:w="720" w:type="dxa"/>
            <w:vAlign w:val="bottom"/>
            <w:shd w:val="clear" w:color="auto" w:fill="E5E5E5"/>
          </w:tcPr>
          <w:p>
            <w:pPr>
              <w:spacing w:after="0"/>
              <w:rPr>
                <w:sz w:val="16"/>
                <w:szCs w:val="16"/>
                <w:color w:val="auto"/>
              </w:rPr>
            </w:pPr>
          </w:p>
        </w:tc>
        <w:tc>
          <w:tcPr>
            <w:tcW w:w="12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(659)</w:t>
            </w:r>
          </w:p>
        </w:tc>
        <w:tc>
          <w:tcPr>
            <w:tcW w:w="1200" w:type="dxa"/>
            <w:vAlign w:val="bottom"/>
            <w:gridSpan w:val="2"/>
            <w:shd w:val="clear" w:color="auto" w:fill="E5E5E5"/>
          </w:tcPr>
          <w:p>
            <w:pPr>
              <w:ind w:left="80"/>
              <w:spacing w:after="0" w:line="189" w:lineRule="exact"/>
              <w:rPr>
                <w:sz w:val="20"/>
                <w:szCs w:val="20"/>
                <w:color w:val="auto"/>
              </w:rPr>
            </w:pPr>
            <w:r>
              <w:rPr>
                <w:rFonts w:ascii="Arial" w:cs="Arial" w:eastAsia="Arial" w:hAnsi="Arial"/>
                <w:sz w:val="18"/>
                <w:szCs w:val="18"/>
                <w:color w:val="auto"/>
              </w:rPr>
              <w:t>Earnings</w:t>
            </w:r>
          </w:p>
        </w:tc>
      </w:tr>
      <w:tr>
        <w:trPr>
          <w:trHeight w:val="68"/>
        </w:trPr>
        <w:tc>
          <w:tcPr>
            <w:tcW w:w="2940" w:type="dxa"/>
            <w:vAlign w:val="bottom"/>
            <w:tcBorders>
              <w:bottom w:val="single" w:sz="8" w:color="auto"/>
            </w:tcBorders>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u w:val="single" w:color="auto"/>
          <w:color w:val="auto"/>
        </w:rPr>
        <w:t>PART II</w:t>
      </w:r>
    </w:p>
    <w:p>
      <w:pPr>
        <w:jc w:val="center"/>
        <w:spacing w:after="0"/>
        <w:rPr>
          <w:sz w:val="20"/>
          <w:szCs w:val="20"/>
          <w:color w:val="auto"/>
        </w:rPr>
      </w:pPr>
      <w:r>
        <w:rPr>
          <w:rFonts w:ascii="Arial" w:cs="Arial" w:eastAsia="Arial" w:hAnsi="Arial"/>
          <w:sz w:val="13"/>
          <w:szCs w:val="13"/>
          <w:color w:val="auto"/>
        </w:rPr>
        <w:t>Item 1, 1A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jc w:val="both"/>
        <w:ind w:left="1060" w:hanging="391"/>
        <w:spacing w:after="0" w:line="23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54" w:lineRule="exact"/>
        <w:rPr>
          <w:rFonts w:ascii="Arial" w:cs="Arial" w:eastAsia="Arial" w:hAnsi="Arial"/>
          <w:sz w:val="18"/>
          <w:szCs w:val="18"/>
          <w:color w:val="auto"/>
        </w:rPr>
      </w:pPr>
    </w:p>
    <w:p>
      <w:pPr>
        <w:jc w:val="both"/>
        <w:ind w:left="1060" w:hanging="391"/>
        <w:spacing w:after="0" w:line="23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69" w:lineRule="exact"/>
        <w:rPr>
          <w:sz w:val="20"/>
          <w:szCs w:val="20"/>
          <w:color w:val="auto"/>
        </w:rPr>
      </w:pPr>
    </w:p>
    <w:p>
      <w:pPr>
        <w:jc w:val="both"/>
        <w:ind w:left="1060" w:hanging="391"/>
        <w:spacing w:after="0" w:line="23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38"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3" w:lineRule="exact"/>
        <w:rPr>
          <w:rFonts w:ascii="Arial" w:cs="Arial" w:eastAsia="Arial" w:hAnsi="Arial"/>
          <w:sz w:val="18"/>
          <w:szCs w:val="18"/>
          <w:color w:val="auto"/>
        </w:rPr>
      </w:pPr>
    </w:p>
    <w:p>
      <w:pPr>
        <w:jc w:val="both"/>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4" w:lineRule="exact"/>
        <w:rPr>
          <w:rFonts w:ascii="Arial" w:cs="Arial" w:eastAsia="Arial" w:hAnsi="Arial"/>
          <w:sz w:val="18"/>
          <w:szCs w:val="18"/>
          <w:color w:val="auto"/>
        </w:rPr>
      </w:pPr>
    </w:p>
    <w:p>
      <w:pPr>
        <w:jc w:val="both"/>
        <w:ind w:left="1060" w:hanging="391"/>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Azure, Azure Stack, Azure IoT Edge, and Azure Sphere. We may not establish market share sufficient to achieve scale necessary to achieve our business objectives.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68" w:lineRule="exact"/>
        <w:rPr>
          <w:sz w:val="20"/>
          <w:szCs w:val="20"/>
          <w:color w:val="auto"/>
        </w:rPr>
      </w:pPr>
    </w:p>
    <w:p>
      <w:pPr>
        <w:ind w:left="1060" w:hanging="39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379" w:lineRule="exact"/>
        <w:rPr>
          <w:sz w:val="20"/>
          <w:szCs w:val="20"/>
          <w:color w:val="auto"/>
        </w:rPr>
      </w:pPr>
    </w:p>
    <w:p>
      <w:pPr>
        <w:ind w:left="1060" w:hanging="391"/>
        <w:spacing w:after="0" w:line="246"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Office,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October 2018 we completed our acquisition of GitHub, Inc. (“GitHub”) for $7.5 billion, in March 2021 we completed our acquisition of ZeniMax Media Inc. for $8.1 billion, in April 2021 we announced a definitive agreement to acquire Nuance Communications, Inc. </w:t>
      </w:r>
      <w:r>
        <w:rPr>
          <w:rFonts w:ascii="Arial" w:cs="Arial" w:eastAsia="Arial" w:hAnsi="Arial"/>
          <w:sz w:val="18"/>
          <w:szCs w:val="18"/>
          <w:color w:val="212529"/>
        </w:rPr>
        <w:t>for $19.7 billion, and in January</w:t>
      </w:r>
      <w:r>
        <w:rPr>
          <w:rFonts w:ascii="Arial" w:cs="Arial" w:eastAsia="Arial" w:hAnsi="Arial"/>
          <w:sz w:val="18"/>
          <w:szCs w:val="18"/>
          <w:color w:val="auto"/>
        </w:rPr>
        <w:t xml:space="preserve"> </w:t>
      </w:r>
      <w:r>
        <w:rPr>
          <w:rFonts w:ascii="Arial" w:cs="Arial" w:eastAsia="Arial" w:hAnsi="Arial"/>
          <w:sz w:val="18"/>
          <w:szCs w:val="18"/>
          <w:color w:val="212529"/>
        </w:rPr>
        <w:t>2022 we announced a definitive agreement to acquire Activision Blizzard, Inc. for $68</w:t>
      </w:r>
      <w:r>
        <w:rPr>
          <w:rFonts w:ascii="Arial" w:cs="Arial" w:eastAsia="Arial" w:hAnsi="Arial"/>
          <w:sz w:val="18"/>
          <w:szCs w:val="18"/>
          <w:color w:val="000000"/>
        </w:rPr>
        <w:t>.7 billion. These acquisitions and other transactions and</w:t>
      </w:r>
      <w:r>
        <w:rPr>
          <w:rFonts w:ascii="Arial" w:cs="Arial" w:eastAsia="Arial" w:hAnsi="Arial"/>
          <w:sz w:val="18"/>
          <w:szCs w:val="18"/>
          <w:color w:val="212529"/>
        </w:rPr>
        <w:t xml:space="preserve"> </w:t>
      </w:r>
      <w:r>
        <w:rPr>
          <w:rFonts w:ascii="Arial" w:cs="Arial" w:eastAsia="Arial" w:hAnsi="Arial"/>
          <w:sz w:val="18"/>
          <w:szCs w:val="18"/>
          <w:color w:val="000000"/>
        </w:rPr>
        <w:t>arrangements involve significant challenges and risks, including that they do not advance our business strategy, that we get an unsatisfactory return on our investment,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 state and state sponsored actors can deploy significant resources to plan and carry out exploits.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 technologies or remediate the impacts of attacks, or otherwise adversely affect our business.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Solorigate/Nobelium or similar cyberattacks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 and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making AI available for our customers to use in solutions that they build. We expect these elements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Ineffective or inadequate AI development practices by Microsoft or others could result in incidents that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economic, or political issues, we may experience brand or reputational harm.</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56" w:lineRule="exact"/>
        <w:rPr>
          <w:sz w:val="20"/>
          <w:szCs w:val="20"/>
          <w:color w:val="auto"/>
        </w:rPr>
      </w:pPr>
    </w:p>
    <w:p>
      <w:pPr>
        <w:jc w:val="both"/>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54"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48" w:lineRule="exact"/>
        <w:rPr>
          <w:rFonts w:ascii="Arial" w:cs="Arial" w:eastAsia="Arial" w:hAnsi="Arial"/>
          <w:sz w:val="18"/>
          <w:szCs w:val="18"/>
          <w:color w:val="auto"/>
        </w:rPr>
      </w:pPr>
    </w:p>
    <w:p>
      <w:pPr>
        <w:jc w:val="both"/>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54" w:lineRule="exact"/>
        <w:rPr>
          <w:rFonts w:ascii="Arial" w:cs="Arial" w:eastAsia="Arial" w:hAnsi="Arial"/>
          <w:sz w:val="18"/>
          <w:szCs w:val="18"/>
          <w:color w:val="auto"/>
        </w:rPr>
      </w:pPr>
    </w:p>
    <w:p>
      <w:pPr>
        <w:ind w:left="1060" w:hanging="39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On July 22, 2019, our Hungarian subsidiary entered into a non-prosecution agreement (“NPA”) with the U.S. Department of Justice (“DOJ”) and we agreed to the terms of a cease and desist order with the Securities and Exchange Commission. These agreements required us to pay $ 25.3 million in monetary penalties, disgorgement, and interest pertaining to activities at Microsoft’s subsidiary in Hungary. The NPA, which has a three-year term concluding in July 2022, also contains certain ongoing compliance requirements, including the obligations to disclose to the DOJ certain potential FCPA-related allegations or issues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Non-compliance could result in reputational harm, operational delays, monetary fines, loss of export privileges, or criminal sanctions.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as negotiations continue between the U.S. and the EU on a replacement framework for the Privacy Shield, and a failure of those negotiations to conclude a replacement framework could compound that uncertainty. Potential new rules and restrictions on the flow of data across borders could increase the cost and complexity of delivering our products and services in some markets. For example, the EU General Data Protection Regulation (“GDPR”) applies to all of our activities conducted from an establishment in the EU or related to products and services offered in the EU, imposes a range of compliance obligations regarding the handling of personal data. Engineering efforts to build and maintain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our implementation to comply with the GDPR makes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(including in response to complaints made to regulators), it may lead to regulatory enforcement actions, which can result in monetary penalties of up to 4% of worldwide revenue, private lawsuits, reputational damage, and loss of customers. The highest fines assessed under GDPR have recently been increasing, especially against large technology companies. Countries around the world, such as China and India, and states in the U.S. such as California, Colorado, and Virginia, have adopted, or are considering adopting or expanding, laws and regulations imposing obligations regarding the handling or transfer of personal data.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or delays which could adversely impact public-sector demand for our products and services. These events could negatively impact our results of operations, financial condition, and reputation.</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66" w:lineRule="exact"/>
        <w:rPr>
          <w:sz w:val="20"/>
          <w:szCs w:val="20"/>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occurrence of regional epidemics or a global pandemic may adversely affect our operations, financial condition, and results of operations. The COVID-19 pandemic continues to have widespread, rapidly evolving, and unpredictable impacts on global society, economies, financial markets, and business practices. Federal and state governments have implemented measures to contain the virus, including social distancing, travel restrictions, and vaccination programs. Even as efforts to contain the pandemic have made progress and some restrictions have relaxed, new variants of the virus are causing additional outbreaks.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investments, receivables, and forward-looking guidance.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Measures to contain the virus that impact us, our partners, distributors, and suppliers may further intensify these impacts and other risks described in these Risk Factors. Any of these may adversely impact our ability to:</w:t>
      </w:r>
    </w:p>
    <w:p>
      <w:pPr>
        <w:spacing w:after="0" w:line="48" w:lineRule="exact"/>
        <w:rPr>
          <w:sz w:val="20"/>
          <w:szCs w:val="20"/>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6"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48"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48"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46"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ind w:left="5400"/>
        <w:spacing w:after="0"/>
        <w:rPr>
          <w:sz w:val="20"/>
          <w:szCs w:val="20"/>
          <w:color w:val="auto"/>
        </w:rPr>
      </w:pPr>
      <w:r>
        <w:rPr>
          <w:rFonts w:ascii="Arial" w:cs="Arial" w:eastAsia="Arial" w:hAnsi="Arial"/>
          <w:sz w:val="13"/>
          <w:szCs w:val="13"/>
          <w:color w:val="auto"/>
        </w:rPr>
        <w:t>Item 1A</w:t>
      </w:r>
    </w:p>
    <w:p>
      <w:pPr>
        <w:spacing w:after="0" w:line="3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ind w:left="5440"/>
        <w:spacing w:after="0"/>
        <w:rPr>
          <w:sz w:val="20"/>
          <w:szCs w:val="20"/>
          <w:color w:val="auto"/>
        </w:rPr>
      </w:pPr>
      <w:r>
        <w:rPr>
          <w:rFonts w:ascii="Arial" w:cs="Arial" w:eastAsia="Arial" w:hAnsi="Arial"/>
          <w:sz w:val="13"/>
          <w:szCs w:val="13"/>
          <w:color w:val="auto"/>
        </w:rPr>
        <w:t>Item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second quarter of fiscal year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4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Approximate</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Dollar Value of</w:t>
            </w:r>
          </w:p>
        </w:tc>
      </w:tr>
      <w:tr>
        <w:trPr>
          <w:trHeight w:val="148"/>
        </w:trPr>
        <w:tc>
          <w:tcPr>
            <w:tcW w:w="4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That May</w:t>
            </w:r>
          </w:p>
        </w:tc>
      </w:tr>
      <w:tr>
        <w:trPr>
          <w:trHeight w:val="148"/>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Yet Be Purchased</w:t>
            </w:r>
          </w:p>
        </w:tc>
      </w:tr>
      <w:tr>
        <w:trPr>
          <w:trHeight w:val="149"/>
        </w:trPr>
        <w:tc>
          <w:tcPr>
            <w:tcW w:w="45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620" w:type="dxa"/>
            <w:vAlign w:val="bottom"/>
          </w:tcPr>
          <w:p>
            <w:pPr>
              <w:spacing w:after="0"/>
              <w:rPr>
                <w:sz w:val="12"/>
                <w:szCs w:val="12"/>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 the Plans</w:t>
            </w:r>
          </w:p>
        </w:tc>
      </w:tr>
      <w:tr>
        <w:trPr>
          <w:trHeight w:val="178"/>
        </w:trPr>
        <w:tc>
          <w:tcPr>
            <w:tcW w:w="45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1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620" w:type="dxa"/>
            <w:vAlign w:val="bottom"/>
          </w:tcPr>
          <w:p>
            <w:pPr>
              <w:spacing w:after="0"/>
              <w:rPr>
                <w:sz w:val="15"/>
                <w:szCs w:val="15"/>
                <w:color w:val="auto"/>
              </w:rPr>
            </w:pPr>
          </w:p>
        </w:tc>
        <w:tc>
          <w:tcPr>
            <w:tcW w:w="1360" w:type="dxa"/>
            <w:vAlign w:val="bottom"/>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4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r>
      <w:tr>
        <w:trPr>
          <w:trHeight w:val="55"/>
        </w:trPr>
        <w:tc>
          <w:tcPr>
            <w:tcW w:w="45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4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r>
      <w:tr>
        <w:trPr>
          <w:trHeight w:val="54"/>
        </w:trPr>
        <w:tc>
          <w:tcPr>
            <w:tcW w:w="45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October 1, 2021 – October 31,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6,319,374</w:t>
            </w:r>
          </w:p>
        </w:tc>
        <w:tc>
          <w:tcPr>
            <w:tcW w:w="620" w:type="dxa"/>
            <w:vAlign w:val="bottom"/>
            <w:shd w:val="clear" w:color="auto" w:fill="E5E5E5"/>
          </w:tcPr>
          <w:p>
            <w:pPr>
              <w:jc w:val="right"/>
              <w:ind w:right="290"/>
              <w:spacing w:after="0" w:line="189"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302.43</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6,319,374</w:t>
            </w:r>
          </w:p>
        </w:tc>
        <w:tc>
          <w:tcPr>
            <w:tcW w:w="3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631</w:t>
            </w:r>
          </w:p>
        </w:tc>
        <w:tc>
          <w:tcPr>
            <w:tcW w:w="100" w:type="dxa"/>
            <w:vAlign w:val="bottom"/>
            <w:shd w:val="clear" w:color="auto" w:fill="E5E5E5"/>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November 1, 2021 – November 30, 2021</w:t>
            </w:r>
          </w:p>
        </w:tc>
        <w:tc>
          <w:tcPr>
            <w:tcW w:w="15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6,587,797</w:t>
            </w:r>
          </w:p>
        </w:tc>
        <w:tc>
          <w:tcPr>
            <w:tcW w:w="620" w:type="dxa"/>
            <w:vAlign w:val="bottom"/>
          </w:tcPr>
          <w:p>
            <w:pPr>
              <w:spacing w:after="0"/>
              <w:rPr>
                <w:sz w:val="16"/>
                <w:szCs w:val="16"/>
                <w:color w:val="auto"/>
              </w:rPr>
            </w:pPr>
          </w:p>
        </w:tc>
        <w:tc>
          <w:tcPr>
            <w:tcW w:w="1360" w:type="dxa"/>
            <w:vAlign w:val="bottom"/>
          </w:tcPr>
          <w:p>
            <w:pPr>
              <w:jc w:val="right"/>
              <w:ind w:right="241"/>
              <w:spacing w:after="0" w:line="189" w:lineRule="exact"/>
              <w:rPr>
                <w:sz w:val="20"/>
                <w:szCs w:val="20"/>
                <w:color w:val="auto"/>
              </w:rPr>
            </w:pPr>
            <w:r>
              <w:rPr>
                <w:rFonts w:ascii="Arial" w:cs="Arial" w:eastAsia="Arial" w:hAnsi="Arial"/>
                <w:sz w:val="18"/>
                <w:szCs w:val="18"/>
                <w:b w:val="1"/>
                <w:bCs w:val="1"/>
                <w:color w:val="auto"/>
              </w:rPr>
              <w:t>335.96</w:t>
            </w:r>
          </w:p>
        </w:tc>
        <w:tc>
          <w:tcPr>
            <w:tcW w:w="15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6,587,797</w:t>
            </w:r>
          </w:p>
        </w:tc>
        <w:tc>
          <w:tcPr>
            <w:tcW w:w="3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58,418</w:t>
            </w:r>
          </w:p>
        </w:tc>
        <w:tc>
          <w:tcPr>
            <w:tcW w:w="100" w:type="dxa"/>
            <w:vAlign w:val="bottom"/>
          </w:tcPr>
          <w:p>
            <w:pPr>
              <w:spacing w:after="0"/>
              <w:rPr>
                <w:sz w:val="16"/>
                <w:szCs w:val="16"/>
                <w:color w:val="auto"/>
              </w:rPr>
            </w:pPr>
          </w:p>
        </w:tc>
      </w:tr>
      <w:tr>
        <w:trPr>
          <w:trHeight w:val="189"/>
        </w:trPr>
        <w:tc>
          <w:tcPr>
            <w:tcW w:w="4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 2021 – December 31, 2021</w:t>
            </w:r>
          </w:p>
        </w:tc>
        <w:tc>
          <w:tcPr>
            <w:tcW w:w="15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6,365,038</w:t>
            </w:r>
          </w:p>
        </w:tc>
        <w:tc>
          <w:tcPr>
            <w:tcW w:w="620" w:type="dxa"/>
            <w:vAlign w:val="bottom"/>
            <w:shd w:val="clear" w:color="auto" w:fill="E5E5E5"/>
          </w:tcPr>
          <w:p>
            <w:pPr>
              <w:spacing w:after="0"/>
              <w:rPr>
                <w:sz w:val="16"/>
                <w:szCs w:val="16"/>
                <w:color w:val="auto"/>
              </w:rPr>
            </w:pPr>
          </w:p>
        </w:tc>
        <w:tc>
          <w:tcPr>
            <w:tcW w:w="1360" w:type="dxa"/>
            <w:vAlign w:val="bottom"/>
            <w:shd w:val="clear" w:color="auto" w:fill="E5E5E5"/>
          </w:tcPr>
          <w:p>
            <w:pPr>
              <w:jc w:val="right"/>
              <w:ind w:right="241"/>
              <w:spacing w:after="0" w:line="189" w:lineRule="exact"/>
              <w:rPr>
                <w:sz w:val="20"/>
                <w:szCs w:val="20"/>
                <w:color w:val="auto"/>
              </w:rPr>
            </w:pPr>
            <w:r>
              <w:rPr>
                <w:rFonts w:ascii="Arial" w:cs="Arial" w:eastAsia="Arial" w:hAnsi="Arial"/>
                <w:sz w:val="18"/>
                <w:szCs w:val="18"/>
                <w:b w:val="1"/>
                <w:bCs w:val="1"/>
                <w:color w:val="auto"/>
              </w:rPr>
              <w:t>331.27</w:t>
            </w:r>
          </w:p>
        </w:tc>
        <w:tc>
          <w:tcPr>
            <w:tcW w:w="15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6,365,038</w:t>
            </w:r>
          </w:p>
        </w:tc>
        <w:tc>
          <w:tcPr>
            <w:tcW w:w="34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56,309</w:t>
            </w:r>
          </w:p>
        </w:tc>
        <w:tc>
          <w:tcPr>
            <w:tcW w:w="100" w:type="dxa"/>
            <w:vAlign w:val="bottom"/>
            <w:shd w:val="clear" w:color="auto" w:fill="E5E5E5"/>
          </w:tcPr>
          <w:p>
            <w:pPr>
              <w:spacing w:after="0"/>
              <w:rPr>
                <w:sz w:val="16"/>
                <w:szCs w:val="16"/>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77"/>
        </w:trPr>
        <w:tc>
          <w:tcPr>
            <w:tcW w:w="454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19,272,209</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19,272,209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54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second quarter of fiscal year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3"/>
                <w:szCs w:val="13"/>
                <w:b w:val="1"/>
                <w:bCs w:val="1"/>
                <w:color w:val="auto"/>
              </w:rPr>
              <w:t>Declaration Date</w:t>
            </w:r>
          </w:p>
        </w:tc>
        <w:tc>
          <w:tcPr>
            <w:tcW w:w="2900" w:type="dxa"/>
            <w:vAlign w:val="bottom"/>
          </w:tcPr>
          <w:p>
            <w:pPr>
              <w:ind w:left="1000"/>
              <w:spacing w:after="0"/>
              <w:rPr>
                <w:sz w:val="20"/>
                <w:szCs w:val="20"/>
                <w:color w:val="auto"/>
              </w:rPr>
            </w:pPr>
            <w:r>
              <w:rPr>
                <w:rFonts w:ascii="Arial" w:cs="Arial" w:eastAsia="Arial" w:hAnsi="Arial"/>
                <w:sz w:val="13"/>
                <w:szCs w:val="13"/>
                <w:b w:val="1"/>
                <w:bCs w:val="1"/>
                <w:color w:val="auto"/>
              </w:rPr>
              <w:t>Record Date</w:t>
            </w:r>
          </w:p>
        </w:tc>
        <w:tc>
          <w:tcPr>
            <w:tcW w:w="2100" w:type="dxa"/>
            <w:vAlign w:val="bottom"/>
          </w:tcPr>
          <w:p>
            <w:pPr>
              <w:ind w:left="360"/>
              <w:spacing w:after="0"/>
              <w:rPr>
                <w:sz w:val="20"/>
                <w:szCs w:val="20"/>
                <w:color w:val="auto"/>
              </w:rPr>
            </w:pPr>
            <w:r>
              <w:rPr>
                <w:rFonts w:ascii="Arial" w:cs="Arial" w:eastAsia="Arial" w:hAnsi="Arial"/>
                <w:sz w:val="13"/>
                <w:szCs w:val="13"/>
                <w:b w:val="1"/>
                <w:bCs w:val="1"/>
                <w:color w:val="auto"/>
              </w:rPr>
              <w:t>Payment Date</w:t>
            </w:r>
          </w:p>
        </w:tc>
        <w:tc>
          <w:tcPr>
            <w:tcW w:w="92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5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r>
      <w:tr>
        <w:trPr>
          <w:trHeight w:val="55"/>
        </w:trPr>
        <w:tc>
          <w:tcPr>
            <w:tcW w:w="25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23"/>
        </w:trPr>
        <w:tc>
          <w:tcPr>
            <w:tcW w:w="25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(In millions)</w:t>
            </w:r>
          </w:p>
        </w:tc>
      </w:tr>
      <w:tr>
        <w:trPr>
          <w:trHeight w:val="55"/>
        </w:trPr>
        <w:tc>
          <w:tcPr>
            <w:tcW w:w="25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9"/>
        </w:trPr>
        <w:tc>
          <w:tcPr>
            <w:tcW w:w="25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December 7, 2021</w:t>
            </w:r>
          </w:p>
        </w:tc>
        <w:tc>
          <w:tcPr>
            <w:tcW w:w="2900" w:type="dxa"/>
            <w:vAlign w:val="bottom"/>
            <w:shd w:val="clear" w:color="auto" w:fill="E5E5E5"/>
          </w:tcPr>
          <w:p>
            <w:pPr>
              <w:ind w:left="1000"/>
              <w:spacing w:after="0" w:line="189" w:lineRule="exact"/>
              <w:rPr>
                <w:sz w:val="20"/>
                <w:szCs w:val="20"/>
                <w:color w:val="auto"/>
              </w:rPr>
            </w:pPr>
            <w:r>
              <w:rPr>
                <w:rFonts w:ascii="Arial" w:cs="Arial" w:eastAsia="Arial" w:hAnsi="Arial"/>
                <w:sz w:val="18"/>
                <w:szCs w:val="18"/>
                <w:b w:val="1"/>
                <w:bCs w:val="1"/>
                <w:color w:val="auto"/>
              </w:rPr>
              <w:t>February 17, 2022</w:t>
            </w:r>
          </w:p>
        </w:tc>
        <w:tc>
          <w:tcPr>
            <w:tcW w:w="2100" w:type="dxa"/>
            <w:vAlign w:val="bottom"/>
            <w:shd w:val="clear" w:color="auto" w:fill="E5E5E5"/>
          </w:tcPr>
          <w:p>
            <w:pPr>
              <w:ind w:left="360"/>
              <w:spacing w:after="0" w:line="189" w:lineRule="exact"/>
              <w:rPr>
                <w:sz w:val="20"/>
                <w:szCs w:val="20"/>
                <w:color w:val="auto"/>
              </w:rPr>
            </w:pPr>
            <w:r>
              <w:rPr>
                <w:rFonts w:ascii="Arial" w:cs="Arial" w:eastAsia="Arial" w:hAnsi="Arial"/>
                <w:sz w:val="18"/>
                <w:szCs w:val="18"/>
                <w:b w:val="1"/>
                <w:bCs w:val="1"/>
                <w:color w:val="auto"/>
              </w:rPr>
              <w:t>March 10, 2022</w:t>
            </w:r>
          </w:p>
        </w:tc>
        <w:tc>
          <w:tcPr>
            <w:tcW w:w="920" w:type="dxa"/>
            <w:vAlign w:val="bottom"/>
            <w:shd w:val="clear" w:color="auto" w:fill="E5E5E5"/>
          </w:tcPr>
          <w:p>
            <w:pPr>
              <w:jc w:val="right"/>
              <w:ind w:right="27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line="189" w:lineRule="exact"/>
              <w:rPr>
                <w:sz w:val="20"/>
                <w:szCs w:val="20"/>
                <w:color w:val="auto"/>
              </w:rPr>
            </w:pPr>
            <w:r>
              <w:rPr>
                <w:rFonts w:ascii="Arial" w:cs="Arial" w:eastAsia="Arial" w:hAnsi="Arial"/>
                <w:sz w:val="18"/>
                <w:szCs w:val="18"/>
                <w:b w:val="1"/>
                <w:bCs w:val="1"/>
                <w:color w:val="auto"/>
              </w:rPr>
              <w:t>0.62</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4,650</w:t>
            </w:r>
          </w:p>
        </w:tc>
      </w:tr>
      <w:tr>
        <w:trPr>
          <w:trHeight w:val="68"/>
        </w:trPr>
        <w:tc>
          <w:tcPr>
            <w:tcW w:w="252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bl>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returned $10.9 billion to shareholders in the form of share repurchases and dividends in the second quarter of fiscal year 2022.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9980" w:type="dxa"/>
            <w:vAlign w:val="bottom"/>
            <w:gridSpan w:val="6"/>
          </w:tcPr>
          <w:p>
            <w:pPr>
              <w:jc w:val="center"/>
              <w:ind w:right="1200"/>
              <w:spacing w:after="0"/>
              <w:rPr>
                <w:sz w:val="20"/>
                <w:szCs w:val="20"/>
                <w:color w:val="auto"/>
              </w:rPr>
            </w:pPr>
            <w:r>
              <w:rPr>
                <w:rFonts w:ascii="Arial" w:cs="Arial" w:eastAsia="Arial" w:hAnsi="Arial"/>
                <w:sz w:val="13"/>
                <w:szCs w:val="13"/>
                <w:color w:val="auto"/>
              </w:rPr>
              <w:t>PART II</w:t>
            </w:r>
          </w:p>
        </w:tc>
      </w:tr>
      <w:tr>
        <w:trPr>
          <w:trHeight w:val="156"/>
        </w:trPr>
        <w:tc>
          <w:tcPr>
            <w:tcW w:w="12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658"/>
        </w:trPr>
        <w:tc>
          <w:tcPr>
            <w:tcW w:w="1240" w:type="dxa"/>
            <w:vAlign w:val="bottom"/>
          </w:tcPr>
          <w:p>
            <w:pPr>
              <w:spacing w:after="0"/>
              <w:rPr>
                <w:sz w:val="24"/>
                <w:szCs w:val="24"/>
                <w:color w:val="auto"/>
              </w:rPr>
            </w:pPr>
          </w:p>
        </w:tc>
        <w:tc>
          <w:tcPr>
            <w:tcW w:w="9980" w:type="dxa"/>
            <w:vAlign w:val="bottom"/>
            <w:gridSpan w:val="6"/>
          </w:tcPr>
          <w:p>
            <w:pPr>
              <w:jc w:val="center"/>
              <w:ind w:right="1200"/>
              <w:spacing w:after="0"/>
              <w:rPr>
                <w:sz w:val="20"/>
                <w:szCs w:val="20"/>
                <w:color w:val="auto"/>
              </w:rPr>
            </w:pPr>
            <w:r>
              <w:rPr>
                <w:rFonts w:ascii="Arial" w:cs="Arial" w:eastAsia="Arial" w:hAnsi="Arial"/>
                <w:sz w:val="22"/>
                <w:szCs w:val="22"/>
                <w:b w:val="1"/>
                <w:bCs w:val="1"/>
                <w:color w:val="auto"/>
                <w:w w:val="98"/>
              </w:rPr>
              <w:t>ITEM 6. EXHIBITS</w:t>
            </w:r>
          </w:p>
        </w:tc>
      </w:tr>
      <w:tr>
        <w:trPr>
          <w:trHeight w:val="354"/>
        </w:trPr>
        <w:tc>
          <w:tcPr>
            <w:tcW w:w="1240" w:type="dxa"/>
            <w:vAlign w:val="bottom"/>
          </w:tcPr>
          <w:p>
            <w:pPr>
              <w:spacing w:after="0"/>
              <w:rPr>
                <w:sz w:val="20"/>
                <w:szCs w:val="20"/>
                <w:color w:val="auto"/>
              </w:rPr>
            </w:pPr>
            <w:r>
              <w:rPr>
                <w:rFonts w:ascii="Arial" w:cs="Arial" w:eastAsia="Arial" w:hAnsi="Arial"/>
                <w:sz w:val="18"/>
                <w:szCs w:val="18"/>
                <w:color w:val="auto"/>
              </w:rPr>
              <w:t>15.1</w:t>
            </w:r>
          </w:p>
        </w:tc>
        <w:tc>
          <w:tcPr>
            <w:tcW w:w="998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Letter regarding unaudited interim financial information</w:t>
              </w:r>
            </w:hyperlink>
          </w:p>
        </w:tc>
      </w:tr>
      <w:tr>
        <w:trPr>
          <w:trHeight w:val="20"/>
        </w:trPr>
        <w:tc>
          <w:tcPr>
            <w:tcW w:w="124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Certification of Chief Executive Officer Pursuant to Section 302 of the Sarbanes-Oxley Act of 2002</w:t>
              </w:r>
            </w:hyperlink>
          </w:p>
        </w:tc>
        <w:tc>
          <w:tcPr>
            <w:tcW w:w="2180" w:type="dxa"/>
            <w:vAlign w:val="bottom"/>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Certification of Chief Financial Officer Pursuant to Section 302 of the Sarbanes-Oxley Act of 2002</w:t>
              </w:r>
            </w:hyperlink>
          </w:p>
        </w:tc>
        <w:tc>
          <w:tcPr>
            <w:tcW w:w="2240" w:type="dxa"/>
            <w:vAlign w:val="bottom"/>
            <w:gridSpan w:val="2"/>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Certification of Chief Executive Officer Pursuant to Section 906 of the Sarbanes-Oxley Act of 2002</w:t>
              </w:r>
            </w:hyperlink>
          </w:p>
        </w:tc>
        <w:tc>
          <w:tcPr>
            <w:tcW w:w="2180" w:type="dxa"/>
            <w:vAlign w:val="bottom"/>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Certification of Chief Financial Officer Pursuant to Section 906 of the Sarbanes-Oxley Act of 2002</w:t>
              </w:r>
            </w:hyperlink>
          </w:p>
        </w:tc>
        <w:tc>
          <w:tcPr>
            <w:tcW w:w="2240" w:type="dxa"/>
            <w:vAlign w:val="bottom"/>
            <w:gridSpan w:val="2"/>
          </w:tcPr>
          <w:p>
            <w:pPr>
              <w:spacing w:after="0"/>
              <w:rPr>
                <w:sz w:val="24"/>
                <w:szCs w:val="24"/>
                <w:color w:val="auto"/>
              </w:rPr>
            </w:pPr>
          </w:p>
        </w:tc>
      </w:tr>
      <w:tr>
        <w:trPr>
          <w:trHeight w:val="303"/>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17"/>
        </w:trPr>
        <w:tc>
          <w:tcPr>
            <w:tcW w:w="124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ind w:left="1240" w:hanging="1232"/>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i w:val="1"/>
          <w:iCs w:val="1"/>
          <w:color w:val="auto"/>
        </w:rPr>
        <w:t>Furnished, not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775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20"/>
          </w:cols>
          <w:pgMar w:left="320" w:top="576"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234" w:lineRule="auto"/>
        <w:rPr>
          <w:sz w:val="20"/>
          <w:szCs w:val="20"/>
          <w:color w:val="auto"/>
        </w:rPr>
      </w:pPr>
      <w:r>
        <w:rPr>
          <w:rFonts w:ascii="Arial" w:cs="Arial" w:eastAsia="Arial" w:hAnsi="Arial"/>
          <w:sz w:val="18"/>
          <w:szCs w:val="18"/>
          <w:color w:val="auto"/>
        </w:rPr>
        <w:t>One Microsoft 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Redmond, WA 98052-6399</w:t>
      </w:r>
    </w:p>
    <w:p>
      <w:pPr>
        <w:spacing w:after="0" w:line="158"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aware that our report dated January 25, 2022, on our review of the interim financial information of Microsoft Corporation and subsidiaries (“Microsoft”) appearing in Microsoft’s Quarterly Report on Form 10-Q for the quarter ended December 31, 2021, is incorporated by reference in Registration Statement Nos. 333-109185, 333-118764, 333-52852, 333-132100, 333-161516, 333-75243, 333-185757, and 333-221833 on Form S-8 and Registration Statement Nos. 333-240227 and 333-261590 on Form S-3.</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6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ectPr>
          <w:pgSz w:w="11900" w:h="16838" w:orient="portrait"/>
          <w:cols w:equalWidth="0" w:num="1">
            <w:col w:w="11240"/>
          </w:cols>
          <w:pgMar w:left="320" w:top="14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tabs>
          <w:tab w:leader="none" w:pos="2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firstLine="8"/>
        <w:spacing w:after="0" w:line="246" w:lineRule="auto"/>
        <w:tabs>
          <w:tab w:leader="none" w:pos="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firstLine="8"/>
        <w:spacing w:after="0"/>
        <w:tabs>
          <w:tab w:leader="none" w:pos="2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sz w:val="20"/>
          <w:szCs w:val="20"/>
          <w:color w:val="auto"/>
        </w:rPr>
      </w:pPr>
    </w:p>
    <w:p>
      <w:pPr>
        <w:jc w:val="both"/>
        <w:ind w:right="20" w:firstLine="8"/>
        <w:spacing w:after="0"/>
        <w:tabs>
          <w:tab w:leader="none" w:pos="2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jc w:val="both"/>
        <w:ind w:firstLine="8"/>
        <w:spacing w:after="0"/>
        <w:tabs>
          <w:tab w:leader="none" w:pos="2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ind w:right="20" w:firstLine="8"/>
        <w:spacing w:after="0" w:line="246" w:lineRule="auto"/>
        <w:tabs>
          <w:tab w:leader="none" w:pos="2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firstLine="8"/>
        <w:spacing w:after="0"/>
        <w:tabs>
          <w:tab w:leader="none" w:pos="2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sz w:val="20"/>
          <w:szCs w:val="20"/>
          <w:color w:val="auto"/>
        </w:rPr>
      </w:pPr>
    </w:p>
    <w:p>
      <w:pPr>
        <w:ind w:right="20" w:firstLine="8"/>
        <w:spacing w:after="0" w:line="246" w:lineRule="auto"/>
        <w:tabs>
          <w:tab w:leader="none" w:pos="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right="20" w:firstLine="8"/>
        <w:spacing w:after="0" w:line="246" w:lineRule="auto"/>
        <w:tabs>
          <w:tab w:leader="none" w:pos="2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ectPr>
          <w:pgSz w:w="11900" w:h="16838" w:orient="portrait"/>
          <w:cols w:equalWidth="0" w:num="1">
            <w:col w:w="11240"/>
          </w:cols>
          <w:pgMar w:left="320" w:top="14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2021, as filed with the Securities and Exchange Commission (the “Report”), Satya Nadella, Chief Executive Officer of the Company, does hereby certify, pursuant to § 906 of the Sarbanes-Oxley Act of 2002 (18 U.S.C. § 1350), that to his knowledge:</w:t>
      </w:r>
    </w:p>
    <w:p>
      <w:pPr>
        <w:spacing w:after="0" w:line="149"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8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2021, as filed with the Securities and Exchange Commission (the “Report”), Amy E. Hood, Chief Financial Officer of the Company, does hereby certify, pursuant to § 906 of the Sarbanes-Oxley Act of 2002 (18 U.S.C. § 1350), that to her knowledge:</w:t>
      </w:r>
    </w:p>
    <w:p>
      <w:pPr>
        <w:spacing w:after="0" w:line="149"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January 25, 2022</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425"/>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04"/>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2022-01-25T15:14:44Z</dcterms:created>
  <dcterms:modified xsi:type="dcterms:W3CDTF">2022-01-25T15:14:44Z</dcterms:modified>
</cp:coreProperties>
</file>