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1404"/>
        <w:spacing w:after="0"/>
        <w:rPr>
          <w:sz w:val="20"/>
          <w:szCs w:val="20"/>
          <w:color w:val="auto"/>
        </w:rPr>
      </w:pPr>
      <w:r>
        <w:rPr>
          <w:rFonts w:ascii="Times New Roman" w:cs="Times New Roman" w:eastAsia="Times New Roman" w:hAnsi="Times New Roman"/>
          <w:sz w:val="17"/>
          <w:szCs w:val="17"/>
          <w:b w:val="1"/>
          <w:bCs w:val="1"/>
          <w:color w:val="auto"/>
        </w:rPr>
        <w:t>Washington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001-37845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91-1144442</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One Microsoft Way, Redmond, Washington 98052-6399</w:t>
      </w:r>
    </w:p>
    <w:p>
      <w:pPr>
        <w:spacing w:after="0" w:line="2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(425) 882-8080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www.microsoft.com/investor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$0.00000625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520"/>
              <w:spacing w:after="0" w:line="191" w:lineRule="exact"/>
              <w:rPr>
                <w:sz w:val="20"/>
                <w:szCs w:val="20"/>
                <w:color w:val="auto"/>
              </w:rPr>
            </w:pPr>
            <w:r>
              <w:rPr>
                <w:rFonts w:ascii="Times New Roman" w:cs="Times New Roman" w:eastAsia="Times New Roman" w:hAnsi="Times New Roman"/>
                <w:sz w:val="18"/>
                <w:szCs w:val="18"/>
                <w:color w:val="auto"/>
              </w:rPr>
              <w:t>MSFT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3.125% Notes due 2028</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MSFT</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2.625% Notes due 2033</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MSFT</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On December 10, 2024, Microsoft Corporation (the “Company” or “Microsoft”) held its 2024 Annual Shareholders Meeting (the “Annual Meeting”). There were 7,434,436,393 shares of common stock entitled to be voted at the Annual Meeting, of which 6,417,206,480 were voted in person or by proxy. The results for each item submitted for a vote of shareholders are as follows. The shareholders:</w:t>
      </w:r>
    </w:p>
    <w:p>
      <w:pPr>
        <w:spacing w:after="0" w:line="176"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Voted to elect each of the 12 nominees for director.</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on an advisory basis, the compensation of the Company’s named executive officers.</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Voted to ratify the appointment of Deloitte &amp; Touche LLP as the Company’s independent registered public accounting firm for fiscal year 2025.</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approve a shareholder proposal concerning a report on risks of weapons development.</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approve a shareholder proposal concerning an assessment of investing in bitcoin.</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approve a shareholder proposal concerning a report on data operations in human rights hotspots.</w:t>
      </w:r>
    </w:p>
    <w:p>
      <w:pPr>
        <w:spacing w:after="0" w:line="225" w:lineRule="exact"/>
        <w:rPr>
          <w:rFonts w:ascii="Times New Roman" w:cs="Times New Roman" w:eastAsia="Times New Roman" w:hAnsi="Times New Roman"/>
          <w:sz w:val="18"/>
          <w:szCs w:val="18"/>
          <w:color w:val="auto"/>
        </w:rPr>
      </w:pPr>
    </w:p>
    <w:p>
      <w:pPr>
        <w:ind w:left="4" w:right="380" w:hanging="4"/>
        <w:spacing w:after="0" w:line="282"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approve a shareholder proposal concerning a report on artificial intelligence and machine learning tools for oil and gas development and production.</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approve a shareholder proposal concerning a report on artificial intelligence (“AI”) misinformation and disinformation.</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approve a shareholder proposal concerning a report on AI data sourcing accountability.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Company’s inspector of election certified the following vote tabulations: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 Votes</w:t>
            </w: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3"/>
              </w:rPr>
              <w:t>Broker</w:t>
            </w:r>
          </w:p>
        </w:tc>
        <w:tc>
          <w:tcPr>
            <w:tcW w:w="0" w:type="dxa"/>
            <w:vAlign w:val="bottom"/>
          </w:tcPr>
          <w:p>
            <w:pPr>
              <w:spacing w:after="0"/>
              <w:rPr>
                <w:sz w:val="1"/>
                <w:szCs w:val="1"/>
                <w:color w:val="auto"/>
              </w:rPr>
            </w:pPr>
          </w:p>
        </w:tc>
      </w:tr>
      <w:tr>
        <w:trPr>
          <w:trHeight w:val="20"/>
        </w:trPr>
        <w:tc>
          <w:tcPr>
            <w:tcW w:w="4800" w:type="dxa"/>
            <w:vAlign w:val="bottom"/>
            <w:gridSpan w:val="2"/>
            <w:vMerge w:val="continue"/>
          </w:tcPr>
          <w:p>
            <w:pPr>
              <w:spacing w:after="0" w:line="20" w:lineRule="exact"/>
              <w:rPr>
                <w:sz w:val="1"/>
                <w:szCs w:val="1"/>
                <w:color w:val="auto"/>
              </w:rPr>
            </w:pPr>
          </w:p>
        </w:tc>
        <w:tc>
          <w:tcPr>
            <w:tcW w:w="98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Vote Results</w:t>
            </w:r>
          </w:p>
        </w:tc>
        <w:tc>
          <w:tcPr>
            <w:tcW w:w="680" w:type="dxa"/>
            <w:vAlign w:val="bottom"/>
            <w:gridSpan w:val="2"/>
            <w:vMerge w:val="restart"/>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260" w:type="dxa"/>
            <w:vAlign w:val="bottom"/>
            <w:gridSpan w:val="2"/>
            <w:vMerge w:val="restart"/>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120" w:type="dxa"/>
            <w:vAlign w:val="bottom"/>
            <w:gridSpan w:val="2"/>
            <w:vMerge w:val="restart"/>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Against</w:t>
            </w:r>
          </w:p>
        </w:tc>
        <w:tc>
          <w:tcPr>
            <w:tcW w:w="980" w:type="dxa"/>
            <w:vAlign w:val="bottom"/>
            <w:gridSpan w:val="2"/>
            <w:vMerge w:val="restart"/>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Abstain</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80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0" w:type="dxa"/>
            <w:vAlign w:val="bottom"/>
            <w:gridSpan w:val="5"/>
          </w:tcPr>
          <w:p>
            <w:pPr>
              <w:jc w:val="right"/>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shd w:val="clear" w:color="auto" w:fill="000000"/>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10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Reid G. Hoffman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Re-elected</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99.20</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5,148,624,453</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41,556,212</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8,911,649</w:t>
            </w:r>
          </w:p>
        </w:tc>
        <w:tc>
          <w:tcPr>
            <w:tcW w:w="120" w:type="dxa"/>
            <w:vAlign w:val="bottom"/>
            <w:shd w:val="clear" w:color="auto" w:fill="CCEEFF"/>
          </w:tcPr>
          <w:p>
            <w:pPr>
              <w:spacing w:after="0"/>
              <w:rPr>
                <w:sz w:val="17"/>
                <w:szCs w:val="17"/>
                <w:color w:val="auto"/>
              </w:rPr>
            </w:pPr>
          </w:p>
        </w:tc>
        <w:tc>
          <w:tcPr>
            <w:tcW w:w="1200" w:type="dxa"/>
            <w:vAlign w:val="bottom"/>
            <w:gridSpan w:val="5"/>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1,218,114,166</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Hugh F. Johnston</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Re-elected</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91.89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4,768,792,470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420,605,495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9,694,349</w:t>
            </w:r>
          </w:p>
        </w:tc>
        <w:tc>
          <w:tcPr>
            <w:tcW w:w="12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1,218,114,166</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Teri L. List</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Re-elected</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98.68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5,120,774,949</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68,560,265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9,757,100</w:t>
            </w:r>
          </w:p>
        </w:tc>
        <w:tc>
          <w:tcPr>
            <w:tcW w:w="12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1,218,114,166</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Catherine MacGregor</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Re-elected</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99.83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5,180,667,633</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8,873,170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9,551,511</w:t>
            </w:r>
          </w:p>
        </w:tc>
        <w:tc>
          <w:tcPr>
            <w:tcW w:w="12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1,218,114,166</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L. Mason</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Re-elected</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99.59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5,167,419,348</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21,404,525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10,268,441</w:t>
            </w:r>
          </w:p>
        </w:tc>
        <w:tc>
          <w:tcPr>
            <w:tcW w:w="12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1,218,114,166</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Satya Nadella</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Re-elected</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94.35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4,878,901,541</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291,907,066</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28,283,707</w:t>
            </w:r>
          </w:p>
        </w:tc>
        <w:tc>
          <w:tcPr>
            <w:tcW w:w="12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1,218,114,166</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E. Peterson</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Re-elected</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98.14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5,092,981,786</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96,435,357</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9,675,171</w:t>
            </w:r>
          </w:p>
        </w:tc>
        <w:tc>
          <w:tcPr>
            <w:tcW w:w="12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1,218,114,166</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Penny S. Pritzker</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Re-elected</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99.60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5,170,315,477</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20,548,862</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8,227,975</w:t>
            </w:r>
          </w:p>
        </w:tc>
        <w:tc>
          <w:tcPr>
            <w:tcW w:w="12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1,218,114,166</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Carlos A. Rodriguez</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Re-elected</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98.18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5,094,003,865</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94,407,242</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10,681,207</w:t>
            </w:r>
          </w:p>
        </w:tc>
        <w:tc>
          <w:tcPr>
            <w:tcW w:w="12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1,218,114,166</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W. Scharf</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Re-elected</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98.26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5,098,538,567</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90,405,839</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10,147,908</w:t>
            </w:r>
          </w:p>
        </w:tc>
        <w:tc>
          <w:tcPr>
            <w:tcW w:w="12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1,218,114,166</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W. Stanton</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Re-elected</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99.40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5,158,411,139</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30,890,450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9,790,725</w:t>
            </w:r>
          </w:p>
        </w:tc>
        <w:tc>
          <w:tcPr>
            <w:tcW w:w="12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1,218,114,166</w:t>
            </w:r>
          </w:p>
        </w:tc>
        <w:tc>
          <w:tcPr>
            <w:tcW w:w="0" w:type="dxa"/>
            <w:vAlign w:val="bottom"/>
          </w:tcPr>
          <w:p>
            <w:pPr>
              <w:spacing w:after="0"/>
              <w:rPr>
                <w:sz w:val="1"/>
                <w:szCs w:val="1"/>
                <w:color w:val="auto"/>
              </w:rPr>
            </w:pPr>
          </w:p>
        </w:tc>
      </w:tr>
      <w:tr>
        <w:trPr>
          <w:trHeight w:val="234"/>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Emma N. Walmsley</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Re-elected</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99.07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5,141,345,085</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48,471,729</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9,275,500</w:t>
            </w:r>
          </w:p>
        </w:tc>
        <w:tc>
          <w:tcPr>
            <w:tcW w:w="12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1,218,114,166</w:t>
            </w:r>
          </w:p>
        </w:tc>
        <w:tc>
          <w:tcPr>
            <w:tcW w:w="0" w:type="dxa"/>
            <w:vAlign w:val="bottom"/>
          </w:tcPr>
          <w:p>
            <w:pPr>
              <w:spacing w:after="0"/>
              <w:rPr>
                <w:sz w:val="1"/>
                <w:szCs w:val="1"/>
                <w:color w:val="auto"/>
              </w:rPr>
            </w:pPr>
          </w:p>
        </w:tc>
      </w:tr>
    </w:tbl>
    <w:p>
      <w:pPr>
        <w:sectPr>
          <w:pgSz w:w="11900" w:h="16838" w:orient="portrait"/>
          <w:cols w:equalWidth="0" w:num="1">
            <w:col w:w="11024"/>
          </w:cols>
          <w:pgMar w:left="436" w:top="293"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Advisory Vote to Approve Named Executive Officer Compensation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result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b w:val="1"/>
                <w:bCs w:val="1"/>
                <w:color w:val="auto"/>
              </w:rPr>
              <w:t>% Votes For</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7"/>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For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7"/>
            <w:vMerge w:val="restart"/>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7"/>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2300" w:type="dxa"/>
            <w:vAlign w:val="bottom"/>
            <w:tcBorders>
              <w:bottom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gridSpan w:val="11"/>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7"/>
            <w:vMerge w:val="continue"/>
          </w:tcPr>
          <w:p>
            <w:pPr>
              <w:spacing w:after="0"/>
              <w:rPr>
                <w:sz w:val="15"/>
                <w:szCs w:val="15"/>
                <w:color w:val="auto"/>
              </w:rPr>
            </w:pPr>
          </w:p>
        </w:tc>
        <w:tc>
          <w:tcPr>
            <w:tcW w:w="116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3"/>
        </w:trPr>
        <w:tc>
          <w:tcPr>
            <w:tcW w:w="2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Approved</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6"/>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91.34</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9"/>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8"/>
              </w:rPr>
              <w:t>4,727,655,048</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448,256,975</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5"/>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23,180,291</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1,218,114,166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34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Auditor for Fisal Year 2025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result</w:t>
            </w:r>
          </w:p>
        </w:tc>
        <w:tc>
          <w:tcPr>
            <w:tcW w:w="14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Votes For</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7"/>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7"/>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6"/>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460" w:type="dxa"/>
            <w:vAlign w:val="bottom"/>
          </w:tcPr>
          <w:p>
            <w:pPr>
              <w:spacing w:after="0"/>
              <w:rPr>
                <w:sz w:val="24"/>
                <w:szCs w:val="24"/>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21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1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6"/>
            <w:vMerge w:val="continue"/>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3"/>
        </w:trPr>
        <w:tc>
          <w:tcPr>
            <w:tcW w:w="2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Approved</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6"/>
            <w:shd w:val="clear" w:color="auto" w:fill="CCEEFF"/>
          </w:tcPr>
          <w:p>
            <w:pPr>
              <w:jc w:val="center"/>
              <w:ind w:left="299"/>
              <w:spacing w:after="0" w:line="203" w:lineRule="exact"/>
              <w:rPr>
                <w:sz w:val="20"/>
                <w:szCs w:val="20"/>
                <w:color w:val="auto"/>
              </w:rPr>
            </w:pPr>
            <w:r>
              <w:rPr>
                <w:rFonts w:ascii="Times New Roman" w:cs="Times New Roman" w:eastAsia="Times New Roman" w:hAnsi="Times New Roman"/>
                <w:sz w:val="18"/>
                <w:szCs w:val="18"/>
                <w:color w:val="auto"/>
                <w:w w:val="98"/>
              </w:rPr>
              <w:t>94.32</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7"/>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6,042,000,471</w:t>
            </w: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6"/>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364,022,603</w:t>
            </w: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5"/>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11,183,406</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34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auto"/>
              </w:rPr>
              <w:t>Shareholder Proposal: Report on Risks of Weapons Development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result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10"/>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7"/>
              </w:rPr>
              <w:t>% Votes For</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7"/>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8"/>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7"/>
            <w:vMerge w:val="restart"/>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230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10"/>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gridSpan w:val="8"/>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7"/>
            <w:vMerge w:val="continue"/>
          </w:tcPr>
          <w:p>
            <w:pPr>
              <w:spacing w:after="0"/>
              <w:rPr>
                <w:sz w:val="15"/>
                <w:szCs w:val="15"/>
                <w:color w:val="auto"/>
              </w:rPr>
            </w:pPr>
          </w:p>
        </w:tc>
        <w:tc>
          <w:tcPr>
            <w:tcW w:w="116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3"/>
        </w:trPr>
        <w:tc>
          <w:tcPr>
            <w:tcW w:w="2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Not approved</w:t>
            </w:r>
          </w:p>
        </w:tc>
        <w:tc>
          <w:tcPr>
            <w:tcW w:w="8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gridSpan w:val="3"/>
            <w:shd w:val="clear" w:color="auto" w:fill="CCEEFF"/>
          </w:tcPr>
          <w:p>
            <w:pPr>
              <w:spacing w:after="0"/>
              <w:rPr>
                <w:sz w:val="17"/>
                <w:szCs w:val="17"/>
                <w:color w:val="auto"/>
              </w:rPr>
            </w:pPr>
          </w:p>
        </w:tc>
        <w:tc>
          <w:tcPr>
            <w:tcW w:w="760" w:type="dxa"/>
            <w:vAlign w:val="bottom"/>
            <w:tcBorders>
              <w:top w:val="single" w:sz="8" w:color="auto"/>
            </w:tcBorders>
            <w:gridSpan w:val="6"/>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15.26</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6"/>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783,837,170</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7"/>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4,353,192,956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5"/>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62,062,188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1,218,114,166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5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Shareholder Proposal: Assessment of Investing in Bitcoin</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result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8"/>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 Votes For</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7"/>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7"/>
            <w:vMerge w:val="restart"/>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7"/>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230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8"/>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7"/>
            <w:vMerge w:val="continue"/>
          </w:tcPr>
          <w:p>
            <w:pPr>
              <w:spacing w:after="0"/>
              <w:rPr>
                <w:sz w:val="15"/>
                <w:szCs w:val="15"/>
                <w:color w:val="auto"/>
              </w:rPr>
            </w:pPr>
          </w:p>
        </w:tc>
        <w:tc>
          <w:tcPr>
            <w:tcW w:w="116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3"/>
        </w:trPr>
        <w:tc>
          <w:tcPr>
            <w:tcW w:w="2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Not approved</w:t>
            </w:r>
          </w:p>
        </w:tc>
        <w:tc>
          <w:tcPr>
            <w:tcW w:w="8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gridSpan w:val="4"/>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6"/>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w w:val="88"/>
              </w:rPr>
              <w:t>0.55</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8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28,234,424</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7"/>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5,148,248,368</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860" w:type="dxa"/>
            <w:vAlign w:val="bottom"/>
            <w:tcBorders>
              <w:top w:val="single" w:sz="8" w:color="auto"/>
            </w:tcBorders>
            <w:gridSpan w:val="5"/>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22,609,522</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1,218,114,166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34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auto"/>
              </w:rPr>
              <w:t>Shareholder Proposal: Report on Data Operations in Human Rights Hotspots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result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Votes For</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7"/>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7"/>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7"/>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230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7"/>
            <w:vMerge w:val="continue"/>
          </w:tcPr>
          <w:p>
            <w:pPr>
              <w:spacing w:after="0"/>
              <w:rPr>
                <w:sz w:val="15"/>
                <w:szCs w:val="15"/>
                <w:color w:val="auto"/>
              </w:rPr>
            </w:pPr>
          </w:p>
        </w:tc>
        <w:tc>
          <w:tcPr>
            <w:tcW w:w="116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3"/>
        </w:trPr>
        <w:tc>
          <w:tcPr>
            <w:tcW w:w="2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Not approved</w:t>
            </w:r>
          </w:p>
        </w:tc>
        <w:tc>
          <w:tcPr>
            <w:tcW w:w="8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spacing w:after="0"/>
              <w:rPr>
                <w:sz w:val="17"/>
                <w:szCs w:val="17"/>
                <w:color w:val="auto"/>
              </w:rPr>
            </w:pPr>
          </w:p>
        </w:tc>
        <w:tc>
          <w:tcPr>
            <w:tcW w:w="540" w:type="dxa"/>
            <w:vAlign w:val="bottom"/>
            <w:tcBorders>
              <w:top w:val="single" w:sz="8" w:color="CCEEFF"/>
            </w:tcBorders>
            <w:gridSpan w:val="5"/>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spacing w:after="0"/>
              <w:rPr>
                <w:sz w:val="17"/>
                <w:szCs w:val="17"/>
                <w:color w:val="auto"/>
              </w:rPr>
            </w:pPr>
          </w:p>
        </w:tc>
        <w:tc>
          <w:tcPr>
            <w:tcW w:w="780" w:type="dxa"/>
            <w:vAlign w:val="bottom"/>
            <w:tcBorders>
              <w:top w:val="single" w:sz="8" w:color="auto"/>
            </w:tcBorders>
            <w:gridSpan w:val="6"/>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w w:val="93"/>
              </w:rPr>
              <w:t>32.03</w:t>
            </w:r>
          </w:p>
        </w:tc>
        <w:tc>
          <w:tcPr>
            <w:tcW w:w="5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3"/>
            <w:shd w:val="clear" w:color="auto" w:fill="CCEEFF"/>
          </w:tcPr>
          <w:p>
            <w:pPr>
              <w:spacing w:after="0"/>
              <w:rPr>
                <w:sz w:val="17"/>
                <w:szCs w:val="17"/>
                <w:color w:val="auto"/>
              </w:rPr>
            </w:pPr>
          </w:p>
        </w:tc>
        <w:tc>
          <w:tcPr>
            <w:tcW w:w="1080" w:type="dxa"/>
            <w:vAlign w:val="bottom"/>
            <w:tcBorders>
              <w:top w:val="single" w:sz="8" w:color="auto"/>
            </w:tcBorders>
            <w:gridSpan w:val="6"/>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8"/>
              </w:rPr>
              <w:t>1,647,287,434</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1100" w:type="dxa"/>
            <w:vAlign w:val="bottom"/>
            <w:tcBorders>
              <w:top w:val="single" w:sz="8" w:color="auto"/>
            </w:tcBorders>
            <w:gridSpan w:val="6"/>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3,495,428,268</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3"/>
            <w:shd w:val="clear" w:color="auto" w:fill="CCEEFF"/>
          </w:tcPr>
          <w:p>
            <w:pPr>
              <w:spacing w:after="0"/>
              <w:rPr>
                <w:sz w:val="17"/>
                <w:szCs w:val="17"/>
                <w:color w:val="auto"/>
              </w:rPr>
            </w:pPr>
          </w:p>
        </w:tc>
        <w:tc>
          <w:tcPr>
            <w:tcW w:w="860" w:type="dxa"/>
            <w:vAlign w:val="bottom"/>
            <w:tcBorders>
              <w:top w:val="single" w:sz="8" w:color="auto"/>
            </w:tcBorders>
            <w:gridSpan w:val="5"/>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56,376,612</w:t>
            </w: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1,218,114,166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1020" w:type="dxa"/>
            <w:vAlign w:val="bottom"/>
            <w:gridSpan w:val="58"/>
          </w:tcPr>
          <w:p>
            <w:pPr>
              <w:spacing w:after="0"/>
              <w:rPr>
                <w:sz w:val="20"/>
                <w:szCs w:val="20"/>
                <w:color w:val="auto"/>
              </w:rPr>
            </w:pPr>
            <w:r>
              <w:rPr>
                <w:rFonts w:ascii="Times New Roman" w:cs="Times New Roman" w:eastAsia="Times New Roman" w:hAnsi="Times New Roman"/>
                <w:sz w:val="18"/>
                <w:szCs w:val="18"/>
                <w:b w:val="1"/>
                <w:bCs w:val="1"/>
                <w:color w:val="auto"/>
              </w:rPr>
              <w:t>Shareholder Proposal: Report on Artificial Intelligence and Machine Learning Tools for Oil and Gas Development and Production</w:t>
            </w:r>
          </w:p>
        </w:tc>
        <w:tc>
          <w:tcPr>
            <w:tcW w:w="0" w:type="dxa"/>
            <w:vAlign w:val="bottom"/>
          </w:tcPr>
          <w:p>
            <w:pPr>
              <w:spacing w:after="0"/>
              <w:rPr>
                <w:sz w:val="1"/>
                <w:szCs w:val="1"/>
                <w:color w:val="auto"/>
              </w:rPr>
            </w:pPr>
          </w:p>
        </w:tc>
      </w:tr>
      <w:tr>
        <w:trPr>
          <w:trHeight w:val="367"/>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result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b w:val="1"/>
                <w:bCs w:val="1"/>
                <w:color w:val="auto"/>
              </w:rPr>
              <w:t>% Votes For</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7"/>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7"/>
            <w:vMerge w:val="restart"/>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7"/>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230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9"/>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7"/>
            <w:vMerge w:val="continue"/>
          </w:tcPr>
          <w:p>
            <w:pPr>
              <w:spacing w:after="0"/>
              <w:rPr>
                <w:sz w:val="15"/>
                <w:szCs w:val="15"/>
                <w:color w:val="auto"/>
              </w:rPr>
            </w:pPr>
          </w:p>
        </w:tc>
        <w:tc>
          <w:tcPr>
            <w:tcW w:w="116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3"/>
        </w:trPr>
        <w:tc>
          <w:tcPr>
            <w:tcW w:w="2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Not approved</w:t>
            </w:r>
          </w:p>
        </w:tc>
        <w:tc>
          <w:tcPr>
            <w:tcW w:w="260" w:type="dxa"/>
            <w:vAlign w:val="bottom"/>
            <w:tcBorders>
              <w:top w:val="single" w:sz="8" w:color="CCEEFF"/>
            </w:tcBorders>
            <w:gridSpan w:val="4"/>
            <w:shd w:val="clear" w:color="auto" w:fill="CCEEFF"/>
          </w:tcPr>
          <w:p>
            <w:pPr>
              <w:spacing w:after="0"/>
              <w:rPr>
                <w:sz w:val="17"/>
                <w:szCs w:val="17"/>
                <w:color w:val="auto"/>
              </w:rPr>
            </w:pPr>
          </w:p>
        </w:tc>
        <w:tc>
          <w:tcPr>
            <w:tcW w:w="540" w:type="dxa"/>
            <w:vAlign w:val="bottom"/>
            <w:tcBorders>
              <w:top w:val="single" w:sz="8" w:color="CCEEFF"/>
            </w:tcBorders>
            <w:gridSpan w:val="5"/>
            <w:shd w:val="clear" w:color="auto" w:fill="CCEEFF"/>
          </w:tcPr>
          <w:p>
            <w:pPr>
              <w:spacing w:after="0"/>
              <w:rPr>
                <w:sz w:val="17"/>
                <w:szCs w:val="17"/>
                <w:color w:val="auto"/>
              </w:rPr>
            </w:pPr>
          </w:p>
        </w:tc>
        <w:tc>
          <w:tcPr>
            <w:tcW w:w="780" w:type="dxa"/>
            <w:vAlign w:val="bottom"/>
            <w:tcBorders>
              <w:top w:val="single" w:sz="8" w:color="auto"/>
            </w:tcBorders>
            <w:gridSpan w:val="6"/>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w w:val="95"/>
              </w:rPr>
              <w:t>9.71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960" w:type="dxa"/>
            <w:vAlign w:val="bottom"/>
            <w:tcBorders>
              <w:top w:val="single" w:sz="8" w:color="auto"/>
            </w:tcBorders>
            <w:gridSpan w:val="6"/>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498,928,539</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7"/>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4,641,011,840</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860" w:type="dxa"/>
            <w:vAlign w:val="bottom"/>
            <w:tcBorders>
              <w:top w:val="single" w:sz="8" w:color="auto"/>
            </w:tcBorders>
            <w:gridSpan w:val="5"/>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59,151,935</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1,218,114,166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34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auto"/>
              </w:rPr>
              <w:t>Shareholder Proposal: Report on AI Misinformation and Disinformation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result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10"/>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7"/>
              </w:rPr>
              <w:t>% Votes For</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7"/>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8"/>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7"/>
            <w:vMerge w:val="restart"/>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230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10"/>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gridSpan w:val="8"/>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7"/>
            <w:vMerge w:val="continue"/>
          </w:tcPr>
          <w:p>
            <w:pPr>
              <w:spacing w:after="0"/>
              <w:rPr>
                <w:sz w:val="15"/>
                <w:szCs w:val="15"/>
                <w:color w:val="auto"/>
              </w:rPr>
            </w:pPr>
          </w:p>
        </w:tc>
        <w:tc>
          <w:tcPr>
            <w:tcW w:w="116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3"/>
        </w:trPr>
        <w:tc>
          <w:tcPr>
            <w:tcW w:w="2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Not approved</w:t>
            </w:r>
          </w:p>
        </w:tc>
        <w:tc>
          <w:tcPr>
            <w:tcW w:w="260" w:type="dxa"/>
            <w:vAlign w:val="bottom"/>
            <w:tcBorders>
              <w:top w:val="single" w:sz="8" w:color="CCEEFF"/>
            </w:tcBorders>
            <w:gridSpan w:val="4"/>
            <w:shd w:val="clear" w:color="auto" w:fill="CCEEFF"/>
          </w:tcPr>
          <w:p>
            <w:pPr>
              <w:spacing w:after="0"/>
              <w:rPr>
                <w:sz w:val="17"/>
                <w:szCs w:val="17"/>
                <w:color w:val="auto"/>
              </w:rPr>
            </w:pPr>
          </w:p>
        </w:tc>
        <w:tc>
          <w:tcPr>
            <w:tcW w:w="500" w:type="dxa"/>
            <w:vAlign w:val="bottom"/>
            <w:tcBorders>
              <w:top w:val="single" w:sz="8" w:color="CCEEFF"/>
            </w:tcBorders>
            <w:gridSpan w:val="4"/>
            <w:shd w:val="clear" w:color="auto" w:fill="CCEEFF"/>
          </w:tcPr>
          <w:p>
            <w:pPr>
              <w:spacing w:after="0"/>
              <w:rPr>
                <w:sz w:val="17"/>
                <w:szCs w:val="17"/>
                <w:color w:val="auto"/>
              </w:rPr>
            </w:pPr>
          </w:p>
        </w:tc>
        <w:tc>
          <w:tcPr>
            <w:tcW w:w="760" w:type="dxa"/>
            <w:vAlign w:val="bottom"/>
            <w:tcBorders>
              <w:top w:val="single" w:sz="8" w:color="auto"/>
            </w:tcBorders>
            <w:gridSpan w:val="6"/>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18.67</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6"/>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956,598,432</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7"/>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4,167,583,544</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5"/>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74,910,338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1,218,114,166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34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auto"/>
              </w:rPr>
              <w:t>Shareholder Proposal: Report on AI Data Sourcing Accountability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result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8"/>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 Votes For</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7"/>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7"/>
            <w:vMerge w:val="restart"/>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7"/>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230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8"/>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7"/>
            <w:vMerge w:val="continue"/>
          </w:tcPr>
          <w:p>
            <w:pPr>
              <w:spacing w:after="0"/>
              <w:rPr>
                <w:sz w:val="15"/>
                <w:szCs w:val="15"/>
                <w:color w:val="auto"/>
              </w:rPr>
            </w:pPr>
          </w:p>
        </w:tc>
        <w:tc>
          <w:tcPr>
            <w:tcW w:w="116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3"/>
        </w:trPr>
        <w:tc>
          <w:tcPr>
            <w:tcW w:w="2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Not approved</w:t>
            </w:r>
          </w:p>
        </w:tc>
        <w:tc>
          <w:tcPr>
            <w:tcW w:w="900" w:type="dxa"/>
            <w:vAlign w:val="bottom"/>
            <w:tcBorders>
              <w:top w:val="single" w:sz="8" w:color="CCEEFF"/>
            </w:tcBorders>
            <w:gridSpan w:val="10"/>
            <w:shd w:val="clear" w:color="auto" w:fill="CCEEFF"/>
          </w:tcPr>
          <w:p>
            <w:pPr>
              <w:spacing w:after="0"/>
              <w:rPr>
                <w:sz w:val="17"/>
                <w:szCs w:val="17"/>
                <w:color w:val="auto"/>
              </w:rPr>
            </w:pPr>
          </w:p>
        </w:tc>
        <w:tc>
          <w:tcPr>
            <w:tcW w:w="760" w:type="dxa"/>
            <w:vAlign w:val="bottom"/>
            <w:tcBorders>
              <w:top w:val="single" w:sz="8" w:color="auto"/>
            </w:tcBorders>
            <w:gridSpan w:val="6"/>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w w:val="93"/>
              </w:rPr>
              <w:t>36.19</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3"/>
            <w:shd w:val="clear" w:color="auto" w:fill="CCEEFF"/>
          </w:tcPr>
          <w:p>
            <w:pPr>
              <w:spacing w:after="0"/>
              <w:rPr>
                <w:sz w:val="17"/>
                <w:szCs w:val="17"/>
                <w:color w:val="auto"/>
              </w:rPr>
            </w:pPr>
          </w:p>
        </w:tc>
        <w:tc>
          <w:tcPr>
            <w:tcW w:w="1080" w:type="dxa"/>
            <w:vAlign w:val="bottom"/>
            <w:tcBorders>
              <w:top w:val="single" w:sz="8" w:color="auto"/>
            </w:tcBorders>
            <w:gridSpan w:val="7"/>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1,803,298,481</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080" w:type="dxa"/>
            <w:vAlign w:val="bottom"/>
            <w:tcBorders>
              <w:top w:val="single" w:sz="8" w:color="auto"/>
            </w:tcBorders>
            <w:gridSpan w:val="7"/>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3,179,152,976</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7"/>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216,640,857</w:t>
            </w: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1,218,114,166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January 2021, Microsoft announced a minority investment in Cruise, an autonomous vehicle company which is a majority-owned subsidiary of General Motors Company (“GM”). On December 10, 2024, GM announced its intent to realign its autonomous driving strategy, no longer fund Cruise’s robotaxi development work, and pursue the acquisition of minority investor shares. As a result, we expect to record an impairment charge of approximately $800 million in the second quarter of fiscal year 2025. This charge will be recorded in other income and expense and was not included in our second quarter guidance provided on October 30, 2024. It is estimated to have a negative impact of approximately $0.09 to second quarter diluted earnings per share.</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Form 8-K contains forward-looking statements, which are any predictions, projections or other statements about future events based on current expectations and assumptions that are subject to risks and uncertainties, which are described in our filings with the Securities and Exchange Commission. Forward-looking statements speak only as of the date they are made. Readers are cautioned not to put undue reliance on forward-looking statements, and Microsoft undertakes no duty to update any forward-looking statement to conform the statement to actual results or changes in the company’s expectations.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Item 7.01 of this Current Report on Form 8-K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ectPr>
          <w:pgSz w:w="11900" w:h="16838" w:orient="portrait"/>
          <w:cols w:equalWidth="0" w:num="1">
            <w:col w:w="10960"/>
          </w:cols>
          <w:pgMar w:left="440" w:top="293" w:right="499" w:bottom="1440" w:gutter="0" w:footer="0" w:header="0"/>
        </w:sectPr>
      </w:pPr>
    </w:p>
    <w:bookmarkStart w:id="4" w:name="page5"/>
    <w:bookmarkEnd w:id="4"/>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MICROSOFT CORPORATION</w:t>
      </w:r>
    </w:p>
    <w:p>
      <w:pPr>
        <w:spacing w:after="0" w:line="225" w:lineRule="exact"/>
        <w:rPr>
          <w:sz w:val="20"/>
          <w:szCs w:val="20"/>
          <w:color w:val="auto"/>
        </w:rPr>
      </w:pPr>
    </w:p>
    <w:p>
      <w:pPr>
        <w:spacing w:after="0"/>
        <w:tabs>
          <w:tab w:leader="none" w:pos="7560" w:val="left"/>
        </w:tabs>
        <w:rPr>
          <w:sz w:val="20"/>
          <w:szCs w:val="20"/>
          <w:color w:val="auto"/>
        </w:rPr>
      </w:pPr>
      <w:r>
        <w:rPr>
          <w:rFonts w:ascii="Times New Roman" w:cs="Times New Roman" w:eastAsia="Times New Roman" w:hAnsi="Times New Roman"/>
          <w:sz w:val="18"/>
          <w:szCs w:val="18"/>
          <w:color w:val="auto"/>
        </w:rPr>
        <w:t>Date: December 11, 2024</w:t>
      </w:r>
      <w:r>
        <w:rPr>
          <w:sz w:val="20"/>
          <w:szCs w:val="20"/>
          <w:color w:val="auto"/>
        </w:rPr>
        <w:tab/>
      </w:r>
      <w:r>
        <w:rPr>
          <w:rFonts w:ascii="Times New Roman" w:cs="Times New Roman" w:eastAsia="Times New Roman" w:hAnsi="Times New Roman"/>
          <w:sz w:val="18"/>
          <w:szCs w:val="18"/>
          <w:color w:val="auto"/>
        </w:rPr>
        <w:t>/s/ Keith R. Dolliver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4"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Keith R. Dolliver</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Corporate Secretary</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2024-12-11T15:09:12Z</dcterms:created>
  <dcterms:modified xsi:type="dcterms:W3CDTF">2024-12-11T15:09:12Z</dcterms:modified>
</cp:coreProperties>
</file>