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STANTON JOHN W</w:t>
              </w:r>
            </w:hyperlink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MICROSOFT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MSFT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80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MICROSOFT CORPORATION</w:t>
            </w: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MICROSOFT WAY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REDMOND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98052-6399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145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78,905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3,622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stock award which is fully vested on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Julia Stark,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John W. Stanton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September 16, 2024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and Exchange Commission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100 F Street, N.E.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8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Washington, D.C.</w:t>
        <w:tab/>
        <w:t>20549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7"/>
          <w:szCs w:val="17"/>
          <w:color w:val="auto"/>
        </w:rPr>
        <w:t>Microsoft Corporation - Power of Attorney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 whom it may concern: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539"/>
        <w:spacing w:after="0" w:line="26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 revoke my prior Microsoft Corporation - Power of Attorney. This will confirm that, effective as of the date above, I have granted each of the individuals listed below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53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authority to, on my behalf, execute and file the Statement of Changes in Beneficial Ownership of Securities (Form 4) and the Annual Statement of Changes in Beneficial Ownership (Form 5),</w:t>
      </w:r>
    </w:p>
    <w:p>
      <w:pPr>
        <w:ind w:right="2919"/>
        <w:spacing w:after="0" w:line="26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 connection with transactions in Microsoft Corporation securities, as my Attorney-In-Fact. Such power of attorney shall remain in full force and effect until either (i) I am no longer subject to the reporting requirements under Section 16 of the Securities Act of 1933, as amended or (ii) I have provided you with written notice withdrawing this authority.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right="3339"/>
        <w:spacing w:after="0" w:line="37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individuals who are authorized to act as my Attorney-In-Fact under this Power of Attorney are as follows: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Julia Stark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Benjamin O. Orndorff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Michael Pressman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Keith R. Dolliver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Christyne Mayberry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2819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Power of Attorney is effective immediately upon filing with the Securities Exchange Commission and for purposes of my future Form 4 and Form 5 filings relating to Microsoft securities and transactions. Sincerely,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/s/ John W. Stanton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John W. Stanton</w:t>
      </w:r>
    </w:p>
    <w:sectPr>
      <w:pgSz w:w="11900" w:h="16838" w:orient="portrait"/>
      <w:cols w:equalWidth="0" w:num="1">
        <w:col w:w="9999"/>
      </w:cols>
      <w:pgMar w:left="460" w:top="909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0904858" TargetMode="External"/><Relationship Id="rId14" Type="http://schemas.openxmlformats.org/officeDocument/2006/relationships/hyperlink" Target="http://www.sec.gov/cgi-bin/browse-edgar?action=getcompany&amp;CIK=0000789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2026-02-03T17:06:36Z</dcterms:created>
  <dcterms:modified xsi:type="dcterms:W3CDTF">2026-02-03T17:06:36Z</dcterms:modified>
</cp:coreProperties>
</file>