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897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89712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Johnston Hugh F</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362"/>
              <w:spacing w:after="0"/>
              <w:rPr>
                <w:sz w:val="20"/>
                <w:szCs w:val="20"/>
                <w:color w:val="auto"/>
              </w:rPr>
            </w:pPr>
            <w:r>
              <w:rPr>
                <w:rFonts w:ascii="Times New Roman" w:cs="Times New Roman" w:eastAsia="Times New Roman" w:hAnsi="Times New Roman"/>
                <w:sz w:val="17"/>
                <w:szCs w:val="17"/>
                <w:color w:val="0000FF"/>
              </w:rPr>
              <w:t>7,750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right="402"/>
              <w:spacing w:after="0" w:line="309" w:lineRule="exact"/>
              <w:rPr>
                <w:sz w:val="20"/>
                <w:szCs w:val="20"/>
                <w:color w:val="auto"/>
              </w:rPr>
            </w:pPr>
            <w:r>
              <w:rPr>
                <w:rFonts w:ascii="Times New Roman" w:cs="Times New Roman" w:eastAsia="Times New Roman" w:hAnsi="Times New Roman"/>
                <w:sz w:val="33"/>
                <w:szCs w:val="33"/>
                <w:color w:val="0000FF"/>
                <w:vertAlign w:val="subscript"/>
              </w:rPr>
              <w:t>68</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4.975</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4.975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2,139.555</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6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40" w:right="18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in 5 equal annual installments commencing 30 days after the date of the reporting person's separation from service to the Board of Directors.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74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4295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748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2026-06-12T17:05:04Z</dcterms:created>
  <dcterms:modified xsi:type="dcterms:W3CDTF">2026-06-12T17:05:04Z</dcterms:modified>
</cp:coreProperties>
</file>