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MacGregor Catherine</w:t>
              </w:r>
            </w:hyperlink>
          </w:p>
        </w:tc>
        <w:tc>
          <w:tcPr>
            <w:tcW w:w="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780" w:type="dxa"/>
            <w:vAlign w:val="bottom"/>
            <w:tcBorders>
              <w:bottom w:val="single" w:sz="8" w:color="0000EE"/>
            </w:tcBorders>
            <w:gridSpan w:val="2"/>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780" w:type="dxa"/>
            <w:vAlign w:val="bottom"/>
            <w:gridSpan w:val="2"/>
          </w:tcPr>
          <w:p>
            <w:pPr>
              <w:spacing w:after="0"/>
              <w:rPr>
                <w:sz w:val="6"/>
                <w:szCs w:val="6"/>
                <w:color w:val="auto"/>
              </w:rPr>
            </w:pPr>
          </w:p>
        </w:tc>
        <w:tc>
          <w:tcPr>
            <w:tcW w:w="6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245.998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245.998</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2,174.565</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6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Catherine MacGregor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919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948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318" w:lineRule="auto"/>
        <w:rPr>
          <w:sz w:val="20"/>
          <w:szCs w:val="20"/>
          <w:color w:val="auto"/>
        </w:rPr>
      </w:pPr>
      <w:r>
        <w:rPr>
          <w:rFonts w:ascii="Courier New" w:cs="Courier New" w:eastAsia="Courier New" w:hAnsi="Courier New"/>
          <w:sz w:val="16"/>
          <w:szCs w:val="16"/>
          <w:color w:val="auto"/>
        </w:rPr>
        <w:t>This Power of Attorney is effective immediately upon filing with the Securities Exchange Commission and for purposes of my future Form 4 and Form 5 filings relating to Microsoft securities and transactions.</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Sincerely,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Catherine MacGregor</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Catherine MacGregor</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5757"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2026-06-09T17:05:00Z</dcterms:created>
  <dcterms:modified xsi:type="dcterms:W3CDTF">2026-06-09T17:05:00Z</dcterms:modified>
</cp:coreProperties>
</file>