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Althoff Judson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MICROSOFT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MICROSOFT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REDMOND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98052-6399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MICROSOFT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1"/>
        <w:gridCol w:w="897"/>
        <w:gridCol w:w="771"/>
        <w:gridCol w:w="596"/>
        <w:gridCol w:w="331"/>
        <w:gridCol w:w="1223"/>
        <w:gridCol w:w="407"/>
        <w:gridCol w:w="825"/>
        <w:gridCol w:w="1409"/>
        <w:gridCol w:w="938"/>
        <w:gridCol w:w="89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8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29,724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130,171.434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1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18,080.548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513.53</w:t>
            </w:r>
          </w:p>
        </w:tc>
        <w:tc>
          <w:tcPr>
            <w:tcW w:w="1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112,090.886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 vesting of shares earned under a performance stock award granted in September 2023 under the Microsoft Corporation Executive Incentive Plan for the 3-year performance period that ended on June 30,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Julia Stark, Attorney-in-Fact for Judson Althoff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8758" TargetMode="External"/><Relationship Id="rId5" Type="http://schemas.openxmlformats.org/officeDocument/2006/relationships/hyperlink" Target="http://www.sec.gov/cgi-bin/browse-edgar?action=getcompany&amp;CIK=00007890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3349</Characters>
  <CharactersWithSpaces>3882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