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143510</wp:posOffset>
            </wp:positionV>
            <wp:extent cx="1817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11-K</w:t>
      </w:r>
    </w:p>
    <w:p>
      <w:pPr>
        <w:spacing w:after="0" w:line="257"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21"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104" w:lineRule="exact"/>
        <w:rPr>
          <w:sz w:val="24"/>
          <w:szCs w:val="24"/>
          <w:color w:val="auto"/>
        </w:rPr>
      </w:pPr>
    </w:p>
    <w:p>
      <w:pPr>
        <w:jc w:val="center"/>
        <w:ind w:left="420"/>
        <w:spacing w:after="0"/>
        <w:rPr>
          <w:sz w:val="20"/>
          <w:szCs w:val="20"/>
          <w:color w:val="auto"/>
        </w:rPr>
      </w:pPr>
      <w:r>
        <w:rPr>
          <w:rFonts w:ascii="Arial" w:cs="Arial" w:eastAsia="Arial" w:hAnsi="Arial"/>
          <w:sz w:val="18"/>
          <w:szCs w:val="18"/>
          <w:b w:val="1"/>
          <w:bCs w:val="1"/>
          <w:color w:val="auto"/>
        </w:rPr>
        <w:t>OR</w:t>
      </w:r>
    </w:p>
    <w:p>
      <w:pPr>
        <w:spacing w:after="0" w:line="229"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33" w:lineRule="exact"/>
        <w:rPr>
          <w:sz w:val="24"/>
          <w:szCs w:val="24"/>
          <w:color w:val="auto"/>
        </w:rPr>
      </w:pPr>
    </w:p>
    <w:p>
      <w:pPr>
        <w:ind w:left="560"/>
        <w:spacing w:after="0"/>
        <w:tabs>
          <w:tab w:leader="none" w:pos="40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234315</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001-37845</w:t>
      </w:r>
    </w:p>
    <w:p>
      <w:pPr>
        <w:spacing w:after="0" w:line="261" w:lineRule="exact"/>
        <w:rPr>
          <w:sz w:val="24"/>
          <w:szCs w:val="24"/>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165" w:lineRule="exact"/>
        <w:rPr>
          <w:sz w:val="24"/>
          <w:szCs w:val="24"/>
          <w:color w:val="auto"/>
        </w:rPr>
      </w:pPr>
    </w:p>
    <w:p>
      <w:pPr>
        <w:ind w:left="1040"/>
        <w:spacing w:after="0"/>
        <w:rPr>
          <w:sz w:val="20"/>
          <w:szCs w:val="20"/>
          <w:color w:val="auto"/>
        </w:rPr>
      </w:pPr>
      <w:r>
        <w:rPr>
          <w:rFonts w:ascii="Arial" w:cs="Arial" w:eastAsia="Arial" w:hAnsi="Arial"/>
          <w:sz w:val="36"/>
          <w:szCs w:val="36"/>
          <w:b w:val="1"/>
          <w:bCs w:val="1"/>
          <w:color w:val="auto"/>
        </w:rPr>
        <w:t>ONE MICROSOFT PUERTO RICO RETIREMENT PLAN</w:t>
      </w:r>
    </w:p>
    <w:p>
      <w:pPr>
        <w:spacing w:after="0" w:line="294" w:lineRule="exact"/>
        <w:rPr>
          <w:sz w:val="24"/>
          <w:szCs w:val="24"/>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Microsoft Corporation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One Microsoft Way</w:t>
      </w:r>
    </w:p>
    <w:p>
      <w:pPr>
        <w:jc w:val="center"/>
        <w:ind w:right="-119"/>
        <w:spacing w:after="0"/>
        <w:rPr>
          <w:sz w:val="20"/>
          <w:szCs w:val="20"/>
          <w:color w:val="auto"/>
        </w:rPr>
      </w:pPr>
      <w:r>
        <w:rPr>
          <w:rFonts w:ascii="Arial" w:cs="Arial" w:eastAsia="Arial" w:hAnsi="Arial"/>
          <w:sz w:val="18"/>
          <w:szCs w:val="18"/>
          <w:b w:val="1"/>
          <w:bCs w:val="1"/>
          <w:color w:val="auto"/>
        </w:rPr>
        <w:t>Redmond, Washington 98052-6399</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REQUIRED INFORMATION</w:t>
      </w:r>
    </w:p>
    <w:p>
      <w:pPr>
        <w:spacing w:after="0" w:line="234" w:lineRule="exact"/>
        <w:rPr>
          <w:sz w:val="24"/>
          <w:szCs w:val="24"/>
          <w:color w:val="auto"/>
        </w:rPr>
      </w:pPr>
    </w:p>
    <w:p>
      <w:pPr>
        <w:jc w:val="both"/>
        <w:ind w:left="120"/>
        <w:spacing w:after="0" w:line="238" w:lineRule="auto"/>
        <w:rPr>
          <w:sz w:val="20"/>
          <w:szCs w:val="20"/>
          <w:color w:val="auto"/>
        </w:rPr>
      </w:pPr>
      <w:r>
        <w:rPr>
          <w:rFonts w:ascii="Arial" w:cs="Arial" w:eastAsia="Arial" w:hAnsi="Arial"/>
          <w:sz w:val="18"/>
          <w:szCs w:val="18"/>
          <w:color w:val="auto"/>
        </w:rPr>
        <w:t>The One Microsoft Puerto Rico Retirement Plan (the “Plan”) is subject to the Employee Retirement Income Security Act of 1974 (“ERISA”). Therefore, in lieu of the required information outlined as Items 1-3 of the Form 11-K, the statements of net assets available for benefits and the related statements of changes in net assets available for benefits as of and for the years ended December 31, 2020 and 2019, which have been prepared in accordance with the financial reporting requirements of ERISA, are attached hereto as Appendix 1 and incorporated herein by this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left="120"/>
        <w:spacing w:after="0" w:line="267"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 plan) have duly caused this annual report to be signed on its behalf by the undersigned hereunto duly authorized.</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5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w w:val="99"/>
              </w:rPr>
              <w:t>One Microsoft Puerto Rico Retirement Plan</w:t>
            </w:r>
          </w:p>
        </w:tc>
      </w:tr>
      <w:tr>
        <w:trPr>
          <w:trHeight w:val="405"/>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100"/>
              <w:spacing w:after="0"/>
              <w:rPr>
                <w:sz w:val="20"/>
                <w:szCs w:val="20"/>
                <w:color w:val="auto"/>
              </w:rPr>
            </w:pPr>
            <w:r>
              <w:rPr>
                <w:rFonts w:ascii="Arial" w:cs="Arial" w:eastAsia="Arial" w:hAnsi="Arial"/>
                <w:sz w:val="18"/>
                <w:szCs w:val="18"/>
                <w:color w:val="auto"/>
              </w:rPr>
              <w:t>June 24, 2021</w:t>
            </w:r>
          </w:p>
        </w:tc>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IGDALIA</w:t>
            </w:r>
            <w:r>
              <w:rPr>
                <w:rFonts w:ascii="Arial" w:cs="Arial" w:eastAsia="Arial" w:hAnsi="Arial"/>
                <w:sz w:val="18"/>
                <w:szCs w:val="18"/>
                <w:color w:val="auto"/>
              </w:rPr>
              <w:t xml:space="preserve"> B</w:t>
            </w:r>
            <w:r>
              <w:rPr>
                <w:rFonts w:ascii="Arial" w:cs="Arial" w:eastAsia="Arial" w:hAnsi="Arial"/>
                <w:sz w:val="14"/>
                <w:szCs w:val="14"/>
                <w:color w:val="auto"/>
              </w:rPr>
              <w:t>ONILLA</w:t>
            </w:r>
          </w:p>
        </w:tc>
        <w:tc>
          <w:tcPr>
            <w:tcW w:w="680" w:type="dxa"/>
            <w:vAlign w:val="bottom"/>
          </w:tcPr>
          <w:p>
            <w:pPr>
              <w:spacing w:after="0"/>
              <w:rPr>
                <w:sz w:val="24"/>
                <w:szCs w:val="24"/>
                <w:color w:val="auto"/>
              </w:rPr>
            </w:pPr>
          </w:p>
        </w:tc>
      </w:tr>
      <w:tr>
        <w:trPr>
          <w:trHeight w:val="209"/>
        </w:trPr>
        <w:tc>
          <w:tcPr>
            <w:tcW w:w="5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Migdalia Bonilla</w:t>
            </w:r>
          </w:p>
        </w:tc>
      </w:tr>
      <w:tr>
        <w:trPr>
          <w:trHeight w:val="217"/>
        </w:trPr>
        <w:tc>
          <w:tcPr>
            <w:tcW w:w="5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General Manager</w:t>
            </w:r>
          </w:p>
        </w:tc>
      </w:tr>
      <w:tr>
        <w:trPr>
          <w:trHeight w:val="405"/>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100"/>
              <w:spacing w:after="0"/>
              <w:rPr>
                <w:sz w:val="20"/>
                <w:szCs w:val="20"/>
                <w:color w:val="auto"/>
              </w:rPr>
            </w:pPr>
            <w:r>
              <w:rPr>
                <w:rFonts w:ascii="Arial" w:cs="Arial" w:eastAsia="Arial" w:hAnsi="Arial"/>
                <w:sz w:val="18"/>
                <w:szCs w:val="18"/>
                <w:color w:val="auto"/>
              </w:rPr>
              <w:t>June 24, 2021</w:t>
            </w:r>
          </w:p>
        </w:tc>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w:t>
            </w:r>
            <w:r>
              <w:rPr>
                <w:rFonts w:ascii="Arial" w:cs="Arial" w:eastAsia="Arial" w:hAnsi="Arial"/>
                <w:sz w:val="14"/>
                <w:szCs w:val="14"/>
                <w:color w:val="auto"/>
              </w:rPr>
              <w:t>IMARI</w:t>
            </w:r>
            <w:r>
              <w:rPr>
                <w:rFonts w:ascii="Arial" w:cs="Arial" w:eastAsia="Arial" w:hAnsi="Arial"/>
                <w:sz w:val="18"/>
                <w:szCs w:val="18"/>
                <w:color w:val="auto"/>
              </w:rPr>
              <w:t xml:space="preserve"> C</w:t>
            </w:r>
            <w:r>
              <w:rPr>
                <w:rFonts w:ascii="Arial" w:cs="Arial" w:eastAsia="Arial" w:hAnsi="Arial"/>
                <w:sz w:val="14"/>
                <w:szCs w:val="14"/>
                <w:color w:val="auto"/>
              </w:rPr>
              <w:t>LAUDIO</w:t>
            </w:r>
            <w:r>
              <w:rPr>
                <w:rFonts w:ascii="Arial" w:cs="Arial" w:eastAsia="Arial" w:hAnsi="Arial"/>
                <w:sz w:val="18"/>
                <w:szCs w:val="18"/>
                <w:color w:val="auto"/>
              </w:rPr>
              <w:t xml:space="preserve"> M</w:t>
            </w:r>
            <w:r>
              <w:rPr>
                <w:rFonts w:ascii="Arial" w:cs="Arial" w:eastAsia="Arial" w:hAnsi="Arial"/>
                <w:sz w:val="14"/>
                <w:szCs w:val="14"/>
                <w:color w:val="auto"/>
              </w:rPr>
              <w:t>ARRERO</w:t>
            </w:r>
          </w:p>
        </w:tc>
        <w:tc>
          <w:tcPr>
            <w:tcW w:w="680" w:type="dxa"/>
            <w:vAlign w:val="bottom"/>
          </w:tcPr>
          <w:p>
            <w:pPr>
              <w:spacing w:after="0"/>
              <w:rPr>
                <w:sz w:val="24"/>
                <w:szCs w:val="24"/>
                <w:color w:val="auto"/>
              </w:rPr>
            </w:pPr>
          </w:p>
        </w:tc>
      </w:tr>
      <w:tr>
        <w:trPr>
          <w:trHeight w:val="209"/>
        </w:trPr>
        <w:tc>
          <w:tcPr>
            <w:tcW w:w="5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Yimari Claudio Marrero</w:t>
            </w:r>
          </w:p>
        </w:tc>
      </w:tr>
      <w:tr>
        <w:trPr>
          <w:trHeight w:val="217"/>
        </w:trPr>
        <w:tc>
          <w:tcPr>
            <w:tcW w:w="5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Controller</w:t>
            </w:r>
          </w:p>
        </w:tc>
      </w:tr>
      <w:tr>
        <w:trPr>
          <w:trHeight w:val="405"/>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100"/>
              <w:spacing w:after="0"/>
              <w:rPr>
                <w:sz w:val="20"/>
                <w:szCs w:val="20"/>
                <w:color w:val="auto"/>
              </w:rPr>
            </w:pPr>
            <w:r>
              <w:rPr>
                <w:rFonts w:ascii="Arial" w:cs="Arial" w:eastAsia="Arial" w:hAnsi="Arial"/>
                <w:sz w:val="18"/>
                <w:szCs w:val="18"/>
                <w:color w:val="auto"/>
              </w:rPr>
              <w:t>June 24, 2021</w:t>
            </w:r>
          </w:p>
        </w:tc>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ILDRED</w:t>
            </w:r>
            <w:r>
              <w:rPr>
                <w:rFonts w:ascii="Arial" w:cs="Arial" w:eastAsia="Arial" w:hAnsi="Arial"/>
                <w:sz w:val="18"/>
                <w:szCs w:val="18"/>
                <w:color w:val="auto"/>
              </w:rPr>
              <w:t xml:space="preserve"> S</w:t>
            </w:r>
            <w:r>
              <w:rPr>
                <w:rFonts w:ascii="Arial" w:cs="Arial" w:eastAsia="Arial" w:hAnsi="Arial"/>
                <w:sz w:val="14"/>
                <w:szCs w:val="14"/>
                <w:color w:val="auto"/>
              </w:rPr>
              <w:t>EIN</w:t>
            </w:r>
            <w:r>
              <w:rPr>
                <w:rFonts w:ascii="Arial" w:cs="Arial" w:eastAsia="Arial" w:hAnsi="Arial"/>
                <w:sz w:val="18"/>
                <w:szCs w:val="18"/>
                <w:color w:val="auto"/>
              </w:rPr>
              <w:t xml:space="preserve"> H</w:t>
            </w:r>
            <w:r>
              <w:rPr>
                <w:rFonts w:ascii="Arial" w:cs="Arial" w:eastAsia="Arial" w:hAnsi="Arial"/>
                <w:sz w:val="14"/>
                <w:szCs w:val="14"/>
                <w:color w:val="auto"/>
              </w:rPr>
              <w:t>ERNANDEZ</w:t>
            </w:r>
          </w:p>
        </w:tc>
        <w:tc>
          <w:tcPr>
            <w:tcW w:w="680" w:type="dxa"/>
            <w:vAlign w:val="bottom"/>
          </w:tcPr>
          <w:p>
            <w:pPr>
              <w:spacing w:after="0"/>
              <w:rPr>
                <w:sz w:val="24"/>
                <w:szCs w:val="24"/>
                <w:color w:val="auto"/>
              </w:rPr>
            </w:pPr>
          </w:p>
        </w:tc>
      </w:tr>
      <w:tr>
        <w:trPr>
          <w:trHeight w:val="209"/>
        </w:trPr>
        <w:tc>
          <w:tcPr>
            <w:tcW w:w="5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Mildred Sein Hernandez</w:t>
            </w:r>
          </w:p>
        </w:tc>
      </w:tr>
      <w:tr>
        <w:trPr>
          <w:trHeight w:val="217"/>
        </w:trPr>
        <w:tc>
          <w:tcPr>
            <w:tcW w:w="5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Human Resources Manager</w:t>
            </w:r>
          </w:p>
        </w:tc>
      </w:tr>
    </w:tbl>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APPENDIX 1</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ONE MICROSOFT PUERTO RICO RETIREMENT PLAN</w:t>
      </w:r>
    </w:p>
    <w:p>
      <w:pPr>
        <w:spacing w:after="0" w:line="25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REPORT OF INDEPENDENT REGISTERED PUBLIC ACCOUNTING FIRM;</w:t>
      </w:r>
    </w:p>
    <w:p>
      <w:pPr>
        <w:jc w:val="center"/>
        <w:ind w:right="-1100"/>
        <w:spacing w:after="0"/>
        <w:rPr>
          <w:sz w:val="20"/>
          <w:szCs w:val="20"/>
          <w:color w:val="auto"/>
        </w:rPr>
      </w:pPr>
      <w:r>
        <w:rPr>
          <w:rFonts w:ascii="Arial" w:cs="Arial" w:eastAsia="Arial" w:hAnsi="Arial"/>
          <w:sz w:val="17"/>
          <w:szCs w:val="17"/>
          <w:color w:val="auto"/>
        </w:rPr>
        <w:t>FINANCIAL STATEMENTS AS OF AND FOR THE YEARS ENDED DECEMBER 31, 2020 AND 2019;</w:t>
      </w:r>
    </w:p>
    <w:p>
      <w:pPr>
        <w:spacing w:after="0" w:line="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NOTES TO FINANCIAL STATEMENTS; AND</w:t>
      </w:r>
    </w:p>
    <w:p>
      <w:pPr>
        <w:jc w:val="center"/>
        <w:ind w:right="-1100"/>
        <w:spacing w:after="0"/>
        <w:rPr>
          <w:sz w:val="20"/>
          <w:szCs w:val="20"/>
          <w:color w:val="auto"/>
        </w:rPr>
      </w:pPr>
      <w:r>
        <w:rPr>
          <w:rFonts w:ascii="Arial" w:cs="Arial" w:eastAsia="Arial" w:hAnsi="Arial"/>
          <w:sz w:val="18"/>
          <w:szCs w:val="18"/>
          <w:color w:val="auto"/>
        </w:rPr>
        <w:t>SUPPLEMENTAL SCHEDULES AS OF AND FOR THE YEAR ENDED DECEMBER 31, 2020</w:t>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ONE MICROSOFT PUERTO RICO RETIREMENT PLAN</w:t>
      </w: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200025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168"/>
        </w:trPr>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0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313"/>
        </w:trPr>
        <w:tc>
          <w:tcPr>
            <w:tcW w:w="4140" w:type="dxa"/>
            <w:vAlign w:val="bottom"/>
            <w:tcBorders>
              <w:bottom w:val="single" w:sz="8" w:color="0000EE"/>
            </w:tcBorders>
            <w:gridSpan w:val="4"/>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Report of Independent Registered Public Accounting Firm</w:t>
              </w:r>
            </w:hyperlink>
          </w:p>
        </w:tc>
        <w:tc>
          <w:tcPr>
            <w:tcW w:w="3940" w:type="dxa"/>
            <w:vAlign w:val="bottom"/>
            <w:gridSpan w:val="5"/>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66"/>
        </w:trPr>
        <w:tc>
          <w:tcPr>
            <w:tcW w:w="8080" w:type="dxa"/>
            <w:vAlign w:val="bottom"/>
            <w:gridSpan w:val="9"/>
          </w:tcPr>
          <w:p>
            <w:pPr>
              <w:spacing w:after="0"/>
              <w:rPr>
                <w:sz w:val="20"/>
                <w:szCs w:val="20"/>
                <w:color w:val="auto"/>
              </w:rPr>
            </w:pPr>
            <w:r>
              <w:rPr>
                <w:rFonts w:ascii="Arial" w:cs="Arial" w:eastAsia="Arial" w:hAnsi="Arial"/>
                <w:sz w:val="16"/>
                <w:szCs w:val="16"/>
                <w:color w:val="auto"/>
              </w:rPr>
              <w:t>Financial Statements:</w:t>
            </w:r>
          </w:p>
        </w:tc>
        <w:tc>
          <w:tcPr>
            <w:tcW w:w="2900" w:type="dxa"/>
            <w:vAlign w:val="bottom"/>
          </w:tcPr>
          <w:p>
            <w:pPr>
              <w:spacing w:after="0"/>
              <w:rPr>
                <w:sz w:val="24"/>
                <w:szCs w:val="24"/>
                <w:color w:val="auto"/>
              </w:rPr>
            </w:pPr>
          </w:p>
        </w:tc>
      </w:tr>
      <w:tr>
        <w:trPr>
          <w:trHeight w:val="316"/>
        </w:trPr>
        <w:tc>
          <w:tcPr>
            <w:tcW w:w="160" w:type="dxa"/>
            <w:vAlign w:val="bottom"/>
          </w:tcPr>
          <w:p>
            <w:pPr>
              <w:spacing w:after="0"/>
              <w:rPr>
                <w:sz w:val="24"/>
                <w:szCs w:val="24"/>
                <w:color w:val="auto"/>
              </w:rPr>
            </w:pPr>
          </w:p>
        </w:tc>
        <w:tc>
          <w:tcPr>
            <w:tcW w:w="5980" w:type="dxa"/>
            <w:vAlign w:val="bottom"/>
            <w:tcBorders>
              <w:bottom w:val="single" w:sz="8" w:color="0000EE"/>
            </w:tcBorders>
            <w:gridSpan w:val="6"/>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Statements of Net Assets Available for Benefits as of December 31, 2020 and 2019</w:t>
              </w:r>
            </w:hyperlink>
          </w:p>
        </w:tc>
        <w:tc>
          <w:tcPr>
            <w:tcW w:w="1940" w:type="dxa"/>
            <w:vAlign w:val="bottom"/>
            <w:gridSpan w:val="2"/>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1"/>
        </w:trPr>
        <w:tc>
          <w:tcPr>
            <w:tcW w:w="160" w:type="dxa"/>
            <w:vAlign w:val="bottom"/>
          </w:tcPr>
          <w:p>
            <w:pPr>
              <w:spacing w:after="0"/>
              <w:rPr>
                <w:sz w:val="24"/>
                <w:szCs w:val="24"/>
                <w:color w:val="auto"/>
              </w:rPr>
            </w:pPr>
          </w:p>
        </w:tc>
        <w:tc>
          <w:tcPr>
            <w:tcW w:w="7920" w:type="dxa"/>
            <w:vAlign w:val="bottom"/>
            <w:tcBorders>
              <w:bottom w:val="single" w:sz="8" w:color="0000EE"/>
            </w:tcBorders>
            <w:gridSpan w:val="8"/>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Statements of Changes in Net Assets Available for Benefits for the Years Ended December 31, 2020 and 2019</w:t>
              </w:r>
            </w:hyperlink>
          </w:p>
        </w:tc>
        <w:tc>
          <w:tcPr>
            <w:tcW w:w="2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1"/>
        </w:trPr>
        <w:tc>
          <w:tcPr>
            <w:tcW w:w="160" w:type="dxa"/>
            <w:vAlign w:val="bottom"/>
          </w:tcPr>
          <w:p>
            <w:pPr>
              <w:spacing w:after="0"/>
              <w:rPr>
                <w:sz w:val="24"/>
                <w:szCs w:val="24"/>
                <w:color w:val="auto"/>
              </w:rPr>
            </w:pPr>
          </w:p>
        </w:tc>
        <w:tc>
          <w:tcPr>
            <w:tcW w:w="2160" w:type="dxa"/>
            <w:vAlign w:val="bottom"/>
            <w:tcBorders>
              <w:bottom w:val="single" w:sz="8" w:color="0000EE"/>
            </w:tcBorders>
            <w:gridSpan w:val="2"/>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Notes to Financial Statements</w:t>
              </w:r>
            </w:hyperlink>
          </w:p>
        </w:tc>
        <w:tc>
          <w:tcPr>
            <w:tcW w:w="5760" w:type="dxa"/>
            <w:vAlign w:val="bottom"/>
            <w:gridSpan w:val="6"/>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66"/>
        </w:trPr>
        <w:tc>
          <w:tcPr>
            <w:tcW w:w="8080" w:type="dxa"/>
            <w:vAlign w:val="bottom"/>
            <w:gridSpan w:val="9"/>
          </w:tcPr>
          <w:p>
            <w:pPr>
              <w:spacing w:after="0"/>
              <w:rPr>
                <w:sz w:val="20"/>
                <w:szCs w:val="20"/>
                <w:color w:val="auto"/>
              </w:rPr>
            </w:pPr>
            <w:r>
              <w:rPr>
                <w:rFonts w:ascii="Arial" w:cs="Arial" w:eastAsia="Arial" w:hAnsi="Arial"/>
                <w:sz w:val="16"/>
                <w:szCs w:val="16"/>
                <w:color w:val="auto"/>
              </w:rPr>
              <w:t>Supplemental Schedules:</w:t>
            </w:r>
          </w:p>
        </w:tc>
        <w:tc>
          <w:tcPr>
            <w:tcW w:w="2900" w:type="dxa"/>
            <w:vAlign w:val="bottom"/>
          </w:tcPr>
          <w:p>
            <w:pPr>
              <w:spacing w:after="0"/>
              <w:rPr>
                <w:sz w:val="24"/>
                <w:szCs w:val="24"/>
                <w:color w:val="auto"/>
              </w:rPr>
            </w:pPr>
          </w:p>
        </w:tc>
      </w:tr>
      <w:tr>
        <w:trPr>
          <w:trHeight w:val="316"/>
        </w:trPr>
        <w:tc>
          <w:tcPr>
            <w:tcW w:w="160" w:type="dxa"/>
            <w:vAlign w:val="bottom"/>
          </w:tcPr>
          <w:p>
            <w:pPr>
              <w:spacing w:after="0"/>
              <w:rPr>
                <w:sz w:val="24"/>
                <w:szCs w:val="24"/>
                <w:color w:val="auto"/>
              </w:rPr>
            </w:pPr>
          </w:p>
        </w:tc>
        <w:tc>
          <w:tcPr>
            <w:tcW w:w="5840" w:type="dxa"/>
            <w:vAlign w:val="bottom"/>
            <w:tcBorders>
              <w:bottom w:val="single" w:sz="8" w:color="0000EE"/>
            </w:tcBorders>
            <w:gridSpan w:val="5"/>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Supplemental Schedule of Assets (Held at End of Year) as of December 31, 2020</w:t>
              </w:r>
            </w:hyperlink>
          </w:p>
        </w:tc>
        <w:tc>
          <w:tcPr>
            <w:tcW w:w="2080" w:type="dxa"/>
            <w:vAlign w:val="bottom"/>
            <w:gridSpan w:val="3"/>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1"/>
        </w:trPr>
        <w:tc>
          <w:tcPr>
            <w:tcW w:w="160" w:type="dxa"/>
            <w:vAlign w:val="bottom"/>
          </w:tcPr>
          <w:p>
            <w:pPr>
              <w:spacing w:after="0"/>
              <w:rPr>
                <w:sz w:val="24"/>
                <w:szCs w:val="24"/>
                <w:color w:val="auto"/>
              </w:rPr>
            </w:pPr>
          </w:p>
        </w:tc>
        <w:tc>
          <w:tcPr>
            <w:tcW w:w="7380" w:type="dxa"/>
            <w:vAlign w:val="bottom"/>
            <w:tcBorders>
              <w:bottom w:val="single" w:sz="8" w:color="0000EE"/>
            </w:tcBorders>
            <w:gridSpan w:val="7"/>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Supplemental Schedule of Delinquent Participant Contributions for the Year Ended December 31, 2020</w:t>
              </w:r>
            </w:hyperlink>
          </w:p>
        </w:tc>
        <w:tc>
          <w:tcPr>
            <w:tcW w:w="54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12"/>
        </w:trPr>
        <w:tc>
          <w:tcPr>
            <w:tcW w:w="70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1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17"/>
        </w:trPr>
        <w:tc>
          <w:tcPr>
            <w:tcW w:w="160" w:type="dxa"/>
            <w:vAlign w:val="bottom"/>
          </w:tcPr>
          <w:p>
            <w:pPr>
              <w:spacing w:after="0"/>
              <w:rPr>
                <w:sz w:val="24"/>
                <w:szCs w:val="24"/>
                <w:color w:val="auto"/>
              </w:rPr>
            </w:pPr>
          </w:p>
        </w:tc>
        <w:tc>
          <w:tcPr>
            <w:tcW w:w="4260" w:type="dxa"/>
            <w:vAlign w:val="bottom"/>
            <w:tcBorders>
              <w:bottom w:val="single" w:sz="8" w:color="0000EE"/>
            </w:tcBorders>
            <w:gridSpan w:val="4"/>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Consent of Independent Registered Public Accounting Firm</w:t>
              </w:r>
            </w:hyperlink>
          </w:p>
        </w:tc>
        <w:tc>
          <w:tcPr>
            <w:tcW w:w="3660" w:type="dxa"/>
            <w:vAlign w:val="bottom"/>
            <w:gridSpan w:val="4"/>
          </w:tcPr>
          <w:p>
            <w:pPr>
              <w:spacing w:after="0"/>
              <w:rPr>
                <w:sz w:val="24"/>
                <w:szCs w:val="24"/>
                <w:color w:val="auto"/>
              </w:rPr>
            </w:pPr>
          </w:p>
        </w:tc>
        <w:tc>
          <w:tcPr>
            <w:tcW w:w="2900" w:type="dxa"/>
            <w:vAlign w:val="bottom"/>
          </w:tcPr>
          <w:p>
            <w:pPr>
              <w:spacing w:after="0"/>
              <w:rPr>
                <w:sz w:val="24"/>
                <w:szCs w:val="24"/>
                <w:color w:val="auto"/>
              </w:rPr>
            </w:pPr>
          </w:p>
        </w:tc>
      </w:tr>
      <w:tr>
        <w:trPr>
          <w:trHeight w:val="697"/>
        </w:trPr>
        <w:tc>
          <w:tcPr>
            <w:tcW w:w="700" w:type="dxa"/>
            <w:vAlign w:val="bottom"/>
            <w:gridSpan w:val="2"/>
          </w:tcPr>
          <w:p>
            <w:pPr>
              <w:spacing w:after="0"/>
              <w:rPr>
                <w:sz w:val="20"/>
                <w:szCs w:val="20"/>
                <w:color w:val="auto"/>
              </w:rPr>
            </w:pPr>
            <w:r>
              <w:rPr>
                <w:rFonts w:ascii="Arial" w:cs="Arial" w:eastAsia="Arial" w:hAnsi="Arial"/>
                <w:sz w:val="16"/>
                <w:szCs w:val="16"/>
                <w:color w:val="auto"/>
              </w:rPr>
              <w:t>NOTE:</w:t>
            </w:r>
          </w:p>
        </w:tc>
        <w:tc>
          <w:tcPr>
            <w:tcW w:w="10280" w:type="dxa"/>
            <w:vAlign w:val="bottom"/>
            <w:gridSpan w:val="8"/>
          </w:tcPr>
          <w:p>
            <w:pPr>
              <w:ind w:left="180"/>
              <w:spacing w:after="0"/>
              <w:rPr>
                <w:sz w:val="20"/>
                <w:szCs w:val="20"/>
                <w:color w:val="auto"/>
              </w:rPr>
            </w:pPr>
            <w:r>
              <w:rPr>
                <w:rFonts w:ascii="Arial" w:cs="Arial" w:eastAsia="Arial" w:hAnsi="Arial"/>
                <w:sz w:val="16"/>
                <w:szCs w:val="16"/>
                <w:color w:val="auto"/>
              </w:rPr>
              <w:t>All other schedules required by Section 2520.103-10 of the Department of Labor’s Rules and Regulations for Reporting and Disclosure under</w:t>
            </w:r>
          </w:p>
        </w:tc>
      </w:tr>
      <w:tr>
        <w:trPr>
          <w:trHeight w:val="195"/>
        </w:trPr>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380" w:type="dxa"/>
            <w:vAlign w:val="bottom"/>
            <w:gridSpan w:val="7"/>
          </w:tcPr>
          <w:p>
            <w:pPr>
              <w:ind w:left="180"/>
              <w:spacing w:after="0"/>
              <w:rPr>
                <w:sz w:val="20"/>
                <w:szCs w:val="20"/>
                <w:color w:val="auto"/>
              </w:rPr>
            </w:pPr>
            <w:r>
              <w:rPr>
                <w:rFonts w:ascii="Arial" w:cs="Arial" w:eastAsia="Arial" w:hAnsi="Arial"/>
                <w:sz w:val="16"/>
                <w:szCs w:val="16"/>
                <w:color w:val="auto"/>
              </w:rPr>
              <w:t>ERISA have been omitted because they are not applicable.</w:t>
            </w:r>
          </w:p>
        </w:tc>
        <w:tc>
          <w:tcPr>
            <w:tcW w:w="2900" w:type="dxa"/>
            <w:vAlign w:val="bottom"/>
          </w:tcPr>
          <w:p>
            <w:pPr>
              <w:spacing w:after="0"/>
              <w:rPr>
                <w:sz w:val="16"/>
                <w:szCs w:val="16"/>
                <w:color w:val="auto"/>
              </w:rPr>
            </w:pPr>
          </w:p>
        </w:tc>
      </w:tr>
      <w:tr>
        <w:trPr>
          <w:trHeight w:val="318"/>
        </w:trPr>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00" w:type="dxa"/>
            <w:vAlign w:val="bottom"/>
            <w:gridSpan w:val="4"/>
          </w:tcPr>
          <w:p>
            <w:pPr>
              <w:jc w:val="right"/>
              <w:ind w:right="460"/>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Plan Participants and Plan Administrator of One Microsoft Puerto Rico Retirement Plan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4"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7"/>
          <w:szCs w:val="17"/>
          <w:color w:val="auto"/>
        </w:rPr>
        <w:t>We have audited the accompanying statements of net assets available for benefits of One Microsoft Puerto Rico Retirement Plan (the “Plan”) as of December 31, 2020 and 2019,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2020 and 2019, and the changes in net assets available for benefits for the years then ended, in conformity with accounting principles generally accepted in the United States of America.</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23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on Supplemental Schedules</w:t>
      </w:r>
    </w:p>
    <w:p>
      <w:pPr>
        <w:spacing w:after="0" w:line="234"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The supplemental schedules listed in the table of contents have been subjected to audit procedures performed in conjunction with the audit of the Plan’s financial statements. The supplemental schedules are the responsibility of the Plan’s management. Our audit procedures included determining whether the supplemental schedules reconcile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are presented in compliance with the Department of Labor’s Rules and Regulations for Reporting and Disclosure under the Employee Retirement Income Security Act of 1974. In our opinion, such schedules are fairly stated, in all material respects, in relation to the financial statements as a whole.</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Seattle, Washington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24, 2021</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auditor of the Plan since 1999.</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200025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168"/>
        </w:trPr>
        <w:tc>
          <w:tcPr>
            <w:tcW w:w="8500" w:type="dxa"/>
            <w:vAlign w:val="bottom"/>
          </w:tcPr>
          <w:p>
            <w:pPr>
              <w:spacing w:after="0"/>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2019</w:t>
            </w:r>
          </w:p>
        </w:tc>
      </w:tr>
      <w:tr>
        <w:trPr>
          <w:trHeight w:val="97"/>
        </w:trPr>
        <w:tc>
          <w:tcPr>
            <w:tcW w:w="8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89"/>
        </w:trPr>
        <w:tc>
          <w:tcPr>
            <w:tcW w:w="850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r>
      <w:tr>
        <w:trPr>
          <w:trHeight w:val="189"/>
        </w:trPr>
        <w:tc>
          <w:tcPr>
            <w:tcW w:w="8500" w:type="dxa"/>
            <w:vAlign w:val="bottom"/>
          </w:tcPr>
          <w:p>
            <w:pPr>
              <w:spacing w:after="0"/>
              <w:rPr>
                <w:sz w:val="20"/>
                <w:szCs w:val="20"/>
                <w:color w:val="auto"/>
              </w:rPr>
            </w:pPr>
            <w:r>
              <w:rPr>
                <w:rFonts w:ascii="Arial" w:cs="Arial" w:eastAsia="Arial" w:hAnsi="Arial"/>
                <w:sz w:val="16"/>
                <w:szCs w:val="16"/>
                <w:color w:val="auto"/>
              </w:rPr>
              <w:t>Investments held by trustee, at fair value</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27,533,410</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23,199,864</w:t>
            </w:r>
          </w:p>
        </w:tc>
      </w:tr>
      <w:tr>
        <w:trPr>
          <w:trHeight w:val="189"/>
        </w:trPr>
        <w:tc>
          <w:tcPr>
            <w:tcW w:w="8500" w:type="dxa"/>
            <w:vAlign w:val="bottom"/>
            <w:shd w:val="clear" w:color="auto" w:fill="E5E5E5"/>
          </w:tcPr>
          <w:p>
            <w:pPr>
              <w:spacing w:after="0"/>
              <w:rPr>
                <w:sz w:val="20"/>
                <w:szCs w:val="20"/>
                <w:color w:val="auto"/>
              </w:rPr>
            </w:pPr>
            <w:r>
              <w:rPr>
                <w:rFonts w:ascii="Arial" w:cs="Arial" w:eastAsia="Arial" w:hAnsi="Arial"/>
                <w:sz w:val="16"/>
                <w:szCs w:val="16"/>
                <w:color w:val="auto"/>
              </w:rPr>
              <w:t>Receivables:</w:t>
            </w:r>
          </w:p>
        </w:tc>
        <w:tc>
          <w:tcPr>
            <w:tcW w:w="1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r>
      <w:tr>
        <w:trPr>
          <w:trHeight w:val="189"/>
        </w:trPr>
        <w:tc>
          <w:tcPr>
            <w:tcW w:w="8500" w:type="dxa"/>
            <w:vAlign w:val="bottom"/>
          </w:tcPr>
          <w:p>
            <w:pPr>
              <w:ind w:left="320"/>
              <w:spacing w:after="0"/>
              <w:rPr>
                <w:sz w:val="20"/>
                <w:szCs w:val="20"/>
                <w:color w:val="auto"/>
              </w:rPr>
            </w:pPr>
            <w:r>
              <w:rPr>
                <w:rFonts w:ascii="Arial" w:cs="Arial" w:eastAsia="Arial" w:hAnsi="Arial"/>
                <w:sz w:val="16"/>
                <w:szCs w:val="16"/>
                <w:color w:val="auto"/>
              </w:rPr>
              <w:t>Participant loans</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375,031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515,087</w:t>
            </w:r>
          </w:p>
        </w:tc>
      </w:tr>
      <w:tr>
        <w:trPr>
          <w:trHeight w:val="189"/>
        </w:trPr>
        <w:tc>
          <w:tcPr>
            <w:tcW w:w="8500" w:type="dxa"/>
            <w:vAlign w:val="bottom"/>
            <w:shd w:val="clear" w:color="auto" w:fill="E5E5E5"/>
          </w:tcPr>
          <w:p>
            <w:pPr>
              <w:ind w:left="320"/>
              <w:spacing w:after="0"/>
              <w:rPr>
                <w:sz w:val="20"/>
                <w:szCs w:val="20"/>
                <w:color w:val="auto"/>
              </w:rPr>
            </w:pPr>
            <w:r>
              <w:rPr>
                <w:rFonts w:ascii="Arial" w:cs="Arial" w:eastAsia="Arial" w:hAnsi="Arial"/>
                <w:sz w:val="16"/>
                <w:szCs w:val="16"/>
                <w:color w:val="auto"/>
              </w:rPr>
              <w:t>Participant contributions</w:t>
            </w:r>
          </w:p>
        </w:tc>
        <w:tc>
          <w:tcPr>
            <w:tcW w:w="180" w:type="dxa"/>
            <w:vAlign w:val="bottom"/>
            <w:shd w:val="clear" w:color="auto" w:fill="E5E5E5"/>
          </w:tcPr>
          <w:p>
            <w:pPr>
              <w:spacing w:after="0"/>
              <w:rPr>
                <w:sz w:val="16"/>
                <w:szCs w:val="16"/>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28,648</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29,606</w:t>
            </w:r>
          </w:p>
        </w:tc>
      </w:tr>
      <w:tr>
        <w:trPr>
          <w:trHeight w:val="189"/>
        </w:trPr>
        <w:tc>
          <w:tcPr>
            <w:tcW w:w="8500" w:type="dxa"/>
            <w:vAlign w:val="bottom"/>
          </w:tcPr>
          <w:p>
            <w:pPr>
              <w:ind w:left="320"/>
              <w:spacing w:after="0"/>
              <w:rPr>
                <w:sz w:val="20"/>
                <w:szCs w:val="20"/>
                <w:color w:val="auto"/>
              </w:rPr>
            </w:pPr>
            <w:r>
              <w:rPr>
                <w:rFonts w:ascii="Arial" w:cs="Arial" w:eastAsia="Arial" w:hAnsi="Arial"/>
                <w:sz w:val="16"/>
                <w:szCs w:val="16"/>
                <w:color w:val="auto"/>
              </w:rPr>
              <w:t>Employer contributions</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10,188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11,424</w:t>
            </w:r>
          </w:p>
        </w:tc>
      </w:tr>
      <w:tr>
        <w:trPr>
          <w:trHeight w:val="189"/>
        </w:trPr>
        <w:tc>
          <w:tcPr>
            <w:tcW w:w="850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6"/>
                <w:szCs w:val="16"/>
                <w:color w:val="auto"/>
              </w:rPr>
              <w:t>Interest and other</w:t>
            </w:r>
          </w:p>
        </w:tc>
        <w:tc>
          <w:tcPr>
            <w:tcW w:w="180" w:type="dxa"/>
            <w:vAlign w:val="bottom"/>
            <w:tcBorders>
              <w:bottom w:val="single" w:sz="8" w:color="auto"/>
            </w:tcBorders>
            <w:shd w:val="clear" w:color="auto" w:fill="E5E5E5"/>
          </w:tcPr>
          <w:p>
            <w:pPr>
              <w:spacing w:after="0"/>
              <w:rPr>
                <w:sz w:val="16"/>
                <w:szCs w:val="16"/>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30</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200" w:type="dxa"/>
            <w:vAlign w:val="bottom"/>
            <w:tcBorders>
              <w:bottom w:val="single" w:sz="8" w:color="auto"/>
            </w:tcBorders>
            <w:shd w:val="clear" w:color="auto" w:fill="E5E5E5"/>
          </w:tcPr>
          <w:p>
            <w:pPr>
              <w:spacing w:after="0"/>
              <w:rPr>
                <w:sz w:val="16"/>
                <w:szCs w:val="16"/>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30</w:t>
            </w:r>
          </w:p>
        </w:tc>
        <w:tc>
          <w:tcPr>
            <w:tcW w:w="60" w:type="dxa"/>
            <w:vAlign w:val="bottom"/>
            <w:shd w:val="clear" w:color="auto" w:fill="E5E5E5"/>
          </w:tcPr>
          <w:p>
            <w:pPr>
              <w:spacing w:after="0"/>
              <w:rPr>
                <w:sz w:val="16"/>
                <w:szCs w:val="16"/>
                <w:color w:val="auto"/>
              </w:rPr>
            </w:pPr>
          </w:p>
        </w:tc>
      </w:tr>
      <w:tr>
        <w:trPr>
          <w:trHeight w:val="203"/>
        </w:trPr>
        <w:tc>
          <w:tcPr>
            <w:tcW w:w="85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Total receivables</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413,897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556,147</w:t>
            </w:r>
          </w:p>
        </w:tc>
        <w:tc>
          <w:tcPr>
            <w:tcW w:w="60" w:type="dxa"/>
            <w:vAlign w:val="bottom"/>
          </w:tcPr>
          <w:p>
            <w:pPr>
              <w:spacing w:after="0"/>
              <w:rPr>
                <w:sz w:val="17"/>
                <w:szCs w:val="17"/>
                <w:color w:val="auto"/>
              </w:rPr>
            </w:pPr>
          </w:p>
        </w:tc>
      </w:tr>
      <w:tr>
        <w:trPr>
          <w:trHeight w:val="196"/>
        </w:trPr>
        <w:tc>
          <w:tcPr>
            <w:tcW w:w="850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NET ASSETS AVAILABLE FOR BENEFITS</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27,947,307</w:t>
            </w:r>
          </w:p>
        </w:tc>
        <w:tc>
          <w:tcPr>
            <w:tcW w:w="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20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23,756,011</w:t>
            </w:r>
          </w:p>
        </w:tc>
        <w:tc>
          <w:tcPr>
            <w:tcW w:w="60" w:type="dxa"/>
            <w:vAlign w:val="bottom"/>
            <w:shd w:val="clear" w:color="auto" w:fill="E5E5E5"/>
          </w:tcPr>
          <w:p>
            <w:pPr>
              <w:spacing w:after="0"/>
              <w:rPr>
                <w:sz w:val="17"/>
                <w:szCs w:val="17"/>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Refer to accompanying notes.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CHANGES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200025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168"/>
        </w:trPr>
        <w:tc>
          <w:tcPr>
            <w:tcW w:w="8500" w:type="dxa"/>
            <w:vAlign w:val="bottom"/>
          </w:tcPr>
          <w:p>
            <w:pPr>
              <w:spacing w:after="0"/>
              <w:rPr>
                <w:sz w:val="20"/>
                <w:szCs w:val="20"/>
                <w:color w:val="auto"/>
              </w:rPr>
            </w:pPr>
            <w:r>
              <w:rPr>
                <w:rFonts w:ascii="Arial" w:cs="Arial" w:eastAsia="Arial" w:hAnsi="Arial"/>
                <w:sz w:val="13"/>
                <w:szCs w:val="13"/>
                <w:b w:val="1"/>
                <w:bCs w:val="1"/>
                <w:color w:val="auto"/>
              </w:rPr>
              <w:t>Year Ended December 31,</w:t>
            </w:r>
          </w:p>
        </w:tc>
        <w:tc>
          <w:tcPr>
            <w:tcW w:w="18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2019</w:t>
            </w:r>
          </w:p>
        </w:tc>
      </w:tr>
      <w:tr>
        <w:trPr>
          <w:trHeight w:val="97"/>
        </w:trPr>
        <w:tc>
          <w:tcPr>
            <w:tcW w:w="8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89"/>
        </w:trPr>
        <w:tc>
          <w:tcPr>
            <w:tcW w:w="850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ADDITIONS</w:t>
            </w:r>
          </w:p>
        </w:tc>
        <w:tc>
          <w:tcPr>
            <w:tcW w:w="1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r>
      <w:tr>
        <w:trPr>
          <w:trHeight w:val="189"/>
        </w:trPr>
        <w:tc>
          <w:tcPr>
            <w:tcW w:w="8500" w:type="dxa"/>
            <w:vAlign w:val="bottom"/>
          </w:tcPr>
          <w:p>
            <w:pPr>
              <w:spacing w:after="0"/>
              <w:rPr>
                <w:sz w:val="20"/>
                <w:szCs w:val="20"/>
                <w:color w:val="auto"/>
              </w:rPr>
            </w:pPr>
            <w:r>
              <w:rPr>
                <w:rFonts w:ascii="Arial" w:cs="Arial" w:eastAsia="Arial" w:hAnsi="Arial"/>
                <w:sz w:val="16"/>
                <w:szCs w:val="16"/>
                <w:b w:val="1"/>
                <w:bCs w:val="1"/>
                <w:color w:val="auto"/>
              </w:rPr>
              <w:t>Net investment income:</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8500" w:type="dxa"/>
            <w:vAlign w:val="bottom"/>
            <w:shd w:val="clear" w:color="auto" w:fill="E5E5E5"/>
          </w:tcPr>
          <w:p>
            <w:pPr>
              <w:spacing w:after="0"/>
              <w:rPr>
                <w:sz w:val="20"/>
                <w:szCs w:val="20"/>
                <w:color w:val="auto"/>
              </w:rPr>
            </w:pPr>
            <w:r>
              <w:rPr>
                <w:rFonts w:ascii="Arial" w:cs="Arial" w:eastAsia="Arial" w:hAnsi="Arial"/>
                <w:sz w:val="16"/>
                <w:szCs w:val="16"/>
                <w:color w:val="auto"/>
              </w:rPr>
              <w:t>Interest and dividends</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203,150</w:t>
            </w:r>
          </w:p>
        </w:tc>
        <w:tc>
          <w:tcPr>
            <w:tcW w:w="20" w:type="dxa"/>
            <w:vAlign w:val="bottom"/>
            <w:shd w:val="clear" w:color="auto" w:fill="E5E5E5"/>
          </w:tcPr>
          <w:p>
            <w:pPr>
              <w:spacing w:after="0"/>
              <w:rPr>
                <w:sz w:val="16"/>
                <w:szCs w:val="16"/>
                <w:color w:val="auto"/>
              </w:rPr>
            </w:pPr>
          </w:p>
        </w:tc>
        <w:tc>
          <w:tcPr>
            <w:tcW w:w="440" w:type="dxa"/>
            <w:vAlign w:val="bottom"/>
            <w:gridSpan w:val="2"/>
            <w:shd w:val="clear" w:color="auto" w:fill="E5E5E5"/>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314,215</w:t>
            </w:r>
          </w:p>
        </w:tc>
      </w:tr>
      <w:tr>
        <w:trPr>
          <w:trHeight w:val="196"/>
        </w:trPr>
        <w:tc>
          <w:tcPr>
            <w:tcW w:w="8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increase in fair value of investments</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4,341,762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4,905,103</w:t>
            </w:r>
          </w:p>
        </w:tc>
        <w:tc>
          <w:tcPr>
            <w:tcW w:w="60" w:type="dxa"/>
            <w:vAlign w:val="bottom"/>
          </w:tcPr>
          <w:p>
            <w:pPr>
              <w:spacing w:after="0"/>
              <w:rPr>
                <w:sz w:val="17"/>
                <w:szCs w:val="17"/>
                <w:color w:val="auto"/>
              </w:rPr>
            </w:pPr>
          </w:p>
        </w:tc>
      </w:tr>
      <w:tr>
        <w:trPr>
          <w:trHeight w:val="189"/>
        </w:trPr>
        <w:tc>
          <w:tcPr>
            <w:tcW w:w="85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Net investment income</w:t>
            </w:r>
          </w:p>
        </w:tc>
        <w:tc>
          <w:tcPr>
            <w:tcW w:w="1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4,544,912</w:t>
            </w:r>
          </w:p>
        </w:tc>
        <w:tc>
          <w:tcPr>
            <w:tcW w:w="2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5,219,318</w:t>
            </w:r>
          </w:p>
        </w:tc>
      </w:tr>
      <w:tr>
        <w:trPr>
          <w:trHeight w:val="304"/>
        </w:trPr>
        <w:tc>
          <w:tcPr>
            <w:tcW w:w="8500" w:type="dxa"/>
            <w:vAlign w:val="bottom"/>
          </w:tcPr>
          <w:p>
            <w:pPr>
              <w:spacing w:after="0"/>
              <w:rPr>
                <w:sz w:val="20"/>
                <w:szCs w:val="20"/>
                <w:color w:val="auto"/>
              </w:rPr>
            </w:pPr>
            <w:r>
              <w:rPr>
                <w:rFonts w:ascii="Arial" w:cs="Arial" w:eastAsia="Arial" w:hAnsi="Arial"/>
                <w:sz w:val="16"/>
                <w:szCs w:val="16"/>
                <w:b w:val="1"/>
                <w:bCs w:val="1"/>
                <w:color w:val="auto"/>
              </w:rPr>
              <w:t>Contributions:</w:t>
            </w: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8500" w:type="dxa"/>
            <w:vAlign w:val="bottom"/>
            <w:shd w:val="clear" w:color="auto" w:fill="E5E5E5"/>
          </w:tcPr>
          <w:p>
            <w:pPr>
              <w:spacing w:after="0"/>
              <w:rPr>
                <w:sz w:val="20"/>
                <w:szCs w:val="20"/>
                <w:color w:val="auto"/>
              </w:rPr>
            </w:pPr>
            <w:r>
              <w:rPr>
                <w:rFonts w:ascii="Arial" w:cs="Arial" w:eastAsia="Arial" w:hAnsi="Arial"/>
                <w:sz w:val="16"/>
                <w:szCs w:val="16"/>
                <w:color w:val="auto"/>
              </w:rPr>
              <w:t>Participant contributions</w:t>
            </w:r>
          </w:p>
        </w:tc>
        <w:tc>
          <w:tcPr>
            <w:tcW w:w="1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1,447,511</w:t>
            </w:r>
          </w:p>
        </w:tc>
        <w:tc>
          <w:tcPr>
            <w:tcW w:w="2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1,715,657</w:t>
            </w:r>
          </w:p>
        </w:tc>
      </w:tr>
      <w:tr>
        <w:trPr>
          <w:trHeight w:val="196"/>
        </w:trPr>
        <w:tc>
          <w:tcPr>
            <w:tcW w:w="8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Employer contributions</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406,798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473,321</w:t>
            </w:r>
          </w:p>
        </w:tc>
        <w:tc>
          <w:tcPr>
            <w:tcW w:w="60" w:type="dxa"/>
            <w:vAlign w:val="bottom"/>
          </w:tcPr>
          <w:p>
            <w:pPr>
              <w:spacing w:after="0"/>
              <w:rPr>
                <w:sz w:val="17"/>
                <w:szCs w:val="17"/>
                <w:color w:val="auto"/>
              </w:rPr>
            </w:pPr>
          </w:p>
        </w:tc>
      </w:tr>
      <w:tr>
        <w:trPr>
          <w:trHeight w:val="189"/>
        </w:trPr>
        <w:tc>
          <w:tcPr>
            <w:tcW w:w="85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Total contributions</w:t>
            </w:r>
          </w:p>
        </w:tc>
        <w:tc>
          <w:tcPr>
            <w:tcW w:w="1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1,854,309</w:t>
            </w:r>
          </w:p>
        </w:tc>
        <w:tc>
          <w:tcPr>
            <w:tcW w:w="2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2,188,978</w:t>
            </w:r>
          </w:p>
        </w:tc>
      </w:tr>
      <w:tr>
        <w:trPr>
          <w:trHeight w:val="196"/>
        </w:trPr>
        <w:tc>
          <w:tcPr>
            <w:tcW w:w="85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85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6"/>
                <w:szCs w:val="16"/>
                <w:color w:val="auto"/>
              </w:rPr>
              <w:t>Interest income on participant loans</w:t>
            </w:r>
          </w:p>
        </w:tc>
        <w:tc>
          <w:tcPr>
            <w:tcW w:w="180" w:type="dxa"/>
            <w:vAlign w:val="bottom"/>
            <w:tcBorders>
              <w:bottom w:val="single" w:sz="8" w:color="auto"/>
            </w:tcBorders>
            <w:shd w:val="clear" w:color="auto" w:fill="E5E5E5"/>
          </w:tcPr>
          <w:p>
            <w:pPr>
              <w:spacing w:after="0"/>
              <w:rPr>
                <w:sz w:val="16"/>
                <w:szCs w:val="16"/>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20,818</w:t>
            </w:r>
          </w:p>
        </w:tc>
        <w:tc>
          <w:tcPr>
            <w:tcW w:w="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200" w:type="dxa"/>
            <w:vAlign w:val="bottom"/>
            <w:tcBorders>
              <w:bottom w:val="single" w:sz="8" w:color="auto"/>
            </w:tcBorders>
            <w:shd w:val="clear" w:color="auto" w:fill="E5E5E5"/>
          </w:tcPr>
          <w:p>
            <w:pPr>
              <w:spacing w:after="0"/>
              <w:rPr>
                <w:sz w:val="16"/>
                <w:szCs w:val="16"/>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21,873</w:t>
            </w:r>
          </w:p>
        </w:tc>
        <w:tc>
          <w:tcPr>
            <w:tcW w:w="60" w:type="dxa"/>
            <w:vAlign w:val="bottom"/>
            <w:shd w:val="clear" w:color="auto" w:fill="E5E5E5"/>
          </w:tcPr>
          <w:p>
            <w:pPr>
              <w:spacing w:after="0"/>
              <w:rPr>
                <w:sz w:val="16"/>
                <w:szCs w:val="16"/>
                <w:color w:val="auto"/>
              </w:rPr>
            </w:pPr>
          </w:p>
        </w:tc>
      </w:tr>
      <w:tr>
        <w:trPr>
          <w:trHeight w:val="196"/>
        </w:trPr>
        <w:tc>
          <w:tcPr>
            <w:tcW w:w="8500" w:type="dxa"/>
            <w:vAlign w:val="bottom"/>
          </w:tcPr>
          <w:p>
            <w:pPr>
              <w:ind w:left="540"/>
              <w:spacing w:after="0"/>
              <w:rPr>
                <w:sz w:val="20"/>
                <w:szCs w:val="20"/>
                <w:color w:val="auto"/>
              </w:rPr>
            </w:pPr>
            <w:r>
              <w:rPr>
                <w:rFonts w:ascii="Arial" w:cs="Arial" w:eastAsia="Arial" w:hAnsi="Arial"/>
                <w:sz w:val="16"/>
                <w:szCs w:val="16"/>
                <w:color w:val="auto"/>
              </w:rPr>
              <w:t>Total additions</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6,420,039</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7,430,169</w:t>
            </w:r>
          </w:p>
        </w:tc>
      </w:tr>
      <w:tr>
        <w:trPr>
          <w:trHeight w:val="115"/>
        </w:trPr>
        <w:tc>
          <w:tcPr>
            <w:tcW w:w="85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89"/>
        </w:trPr>
        <w:tc>
          <w:tcPr>
            <w:tcW w:w="850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DEDUCTIONS</w:t>
            </w:r>
          </w:p>
        </w:tc>
        <w:tc>
          <w:tcPr>
            <w:tcW w:w="1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r>
      <w:tr>
        <w:trPr>
          <w:trHeight w:val="189"/>
        </w:trPr>
        <w:tc>
          <w:tcPr>
            <w:tcW w:w="8500" w:type="dxa"/>
            <w:vAlign w:val="bottom"/>
          </w:tcPr>
          <w:p>
            <w:pPr>
              <w:spacing w:after="0"/>
              <w:rPr>
                <w:sz w:val="20"/>
                <w:szCs w:val="20"/>
                <w:color w:val="auto"/>
              </w:rPr>
            </w:pPr>
            <w:r>
              <w:rPr>
                <w:rFonts w:ascii="Arial" w:cs="Arial" w:eastAsia="Arial" w:hAnsi="Arial"/>
                <w:sz w:val="16"/>
                <w:szCs w:val="16"/>
                <w:color w:val="auto"/>
              </w:rPr>
              <w:t>Benefits paid to participants</w:t>
            </w:r>
          </w:p>
        </w:tc>
        <w:tc>
          <w:tcPr>
            <w:tcW w:w="1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2,227,243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4,003,512</w:t>
            </w:r>
          </w:p>
        </w:tc>
      </w:tr>
      <w:tr>
        <w:trPr>
          <w:trHeight w:val="189"/>
        </w:trPr>
        <w:tc>
          <w:tcPr>
            <w:tcW w:w="85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6"/>
                <w:szCs w:val="16"/>
                <w:color w:val="auto"/>
              </w:rPr>
              <w:t>Administrative expenses</w:t>
            </w:r>
          </w:p>
        </w:tc>
        <w:tc>
          <w:tcPr>
            <w:tcW w:w="180" w:type="dxa"/>
            <w:vAlign w:val="bottom"/>
            <w:tcBorders>
              <w:bottom w:val="single" w:sz="8" w:color="auto"/>
            </w:tcBorders>
            <w:shd w:val="clear" w:color="auto" w:fill="E5E5E5"/>
          </w:tcPr>
          <w:p>
            <w:pPr>
              <w:spacing w:after="0"/>
              <w:rPr>
                <w:sz w:val="16"/>
                <w:szCs w:val="16"/>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1,500</w:t>
            </w:r>
          </w:p>
        </w:tc>
        <w:tc>
          <w:tcPr>
            <w:tcW w:w="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200" w:type="dxa"/>
            <w:vAlign w:val="bottom"/>
            <w:tcBorders>
              <w:bottom w:val="single" w:sz="8" w:color="auto"/>
            </w:tcBorders>
            <w:shd w:val="clear" w:color="auto" w:fill="E5E5E5"/>
          </w:tcPr>
          <w:p>
            <w:pPr>
              <w:spacing w:after="0"/>
              <w:rPr>
                <w:sz w:val="16"/>
                <w:szCs w:val="16"/>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3,250</w:t>
            </w:r>
          </w:p>
        </w:tc>
        <w:tc>
          <w:tcPr>
            <w:tcW w:w="60" w:type="dxa"/>
            <w:vAlign w:val="bottom"/>
            <w:shd w:val="clear" w:color="auto" w:fill="E5E5E5"/>
          </w:tcPr>
          <w:p>
            <w:pPr>
              <w:spacing w:after="0"/>
              <w:rPr>
                <w:sz w:val="16"/>
                <w:szCs w:val="16"/>
                <w:color w:val="auto"/>
              </w:rPr>
            </w:pPr>
          </w:p>
        </w:tc>
      </w:tr>
      <w:tr>
        <w:trPr>
          <w:trHeight w:val="203"/>
        </w:trPr>
        <w:tc>
          <w:tcPr>
            <w:tcW w:w="8500" w:type="dxa"/>
            <w:vAlign w:val="bottom"/>
          </w:tcPr>
          <w:p>
            <w:pPr>
              <w:ind w:left="540"/>
              <w:spacing w:after="0"/>
              <w:rPr>
                <w:sz w:val="20"/>
                <w:szCs w:val="20"/>
                <w:color w:val="auto"/>
              </w:rPr>
            </w:pPr>
            <w:r>
              <w:rPr>
                <w:rFonts w:ascii="Arial" w:cs="Arial" w:eastAsia="Arial" w:hAnsi="Arial"/>
                <w:sz w:val="16"/>
                <w:szCs w:val="16"/>
                <w:color w:val="auto"/>
              </w:rPr>
              <w:t>Total deductions</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2,228,743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4,006,762</w:t>
            </w:r>
          </w:p>
        </w:tc>
        <w:tc>
          <w:tcPr>
            <w:tcW w:w="60" w:type="dxa"/>
            <w:vAlign w:val="bottom"/>
          </w:tcPr>
          <w:p>
            <w:pPr>
              <w:spacing w:after="0"/>
              <w:rPr>
                <w:sz w:val="17"/>
                <w:szCs w:val="17"/>
                <w:color w:val="auto"/>
              </w:rPr>
            </w:pPr>
          </w:p>
        </w:tc>
      </w:tr>
      <w:tr>
        <w:trPr>
          <w:trHeight w:val="189"/>
        </w:trPr>
        <w:tc>
          <w:tcPr>
            <w:tcW w:w="850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NET INCREASE IN NET ASSETS AVAILABLE FOR BENEFITS</w:t>
            </w:r>
          </w:p>
        </w:tc>
        <w:tc>
          <w:tcPr>
            <w:tcW w:w="18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4,191,296</w:t>
            </w:r>
          </w:p>
        </w:tc>
        <w:tc>
          <w:tcPr>
            <w:tcW w:w="2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3,423,407</w:t>
            </w:r>
          </w:p>
        </w:tc>
      </w:tr>
      <w:tr>
        <w:trPr>
          <w:trHeight w:val="297"/>
        </w:trPr>
        <w:tc>
          <w:tcPr>
            <w:tcW w:w="8500" w:type="dxa"/>
            <w:vAlign w:val="bottom"/>
          </w:tcPr>
          <w:p>
            <w:pPr>
              <w:spacing w:after="0"/>
              <w:rPr>
                <w:sz w:val="20"/>
                <w:szCs w:val="20"/>
                <w:color w:val="auto"/>
              </w:rPr>
            </w:pPr>
            <w:r>
              <w:rPr>
                <w:rFonts w:ascii="Arial" w:cs="Arial" w:eastAsia="Arial" w:hAnsi="Arial"/>
                <w:sz w:val="16"/>
                <w:szCs w:val="16"/>
                <w:b w:val="1"/>
                <w:bCs w:val="1"/>
                <w:color w:val="auto"/>
              </w:rPr>
              <w:t>NET ASSETS AVAILABLE FOR BENEFITS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85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6"/>
                <w:szCs w:val="16"/>
                <w:color w:val="auto"/>
              </w:rPr>
              <w:t>Beginning of year</w:t>
            </w:r>
          </w:p>
        </w:tc>
        <w:tc>
          <w:tcPr>
            <w:tcW w:w="180" w:type="dxa"/>
            <w:vAlign w:val="bottom"/>
            <w:tcBorders>
              <w:bottom w:val="single" w:sz="8" w:color="auto"/>
            </w:tcBorders>
            <w:shd w:val="clear" w:color="auto" w:fill="E5E5E5"/>
          </w:tcPr>
          <w:p>
            <w:pPr>
              <w:spacing w:after="0"/>
              <w:rPr>
                <w:sz w:val="16"/>
                <w:szCs w:val="16"/>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23,756,011</w:t>
            </w:r>
          </w:p>
        </w:tc>
        <w:tc>
          <w:tcPr>
            <w:tcW w:w="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200" w:type="dxa"/>
            <w:vAlign w:val="bottom"/>
            <w:tcBorders>
              <w:bottom w:val="single" w:sz="8" w:color="auto"/>
            </w:tcBorders>
            <w:shd w:val="clear" w:color="auto" w:fill="E5E5E5"/>
          </w:tcPr>
          <w:p>
            <w:pPr>
              <w:spacing w:after="0"/>
              <w:rPr>
                <w:sz w:val="16"/>
                <w:szCs w:val="16"/>
                <w:color w:val="auto"/>
              </w:rPr>
            </w:pP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20,332,604</w:t>
            </w:r>
          </w:p>
        </w:tc>
        <w:tc>
          <w:tcPr>
            <w:tcW w:w="60" w:type="dxa"/>
            <w:vAlign w:val="bottom"/>
            <w:shd w:val="clear" w:color="auto" w:fill="E5E5E5"/>
          </w:tcPr>
          <w:p>
            <w:pPr>
              <w:spacing w:after="0"/>
              <w:rPr>
                <w:sz w:val="16"/>
                <w:szCs w:val="16"/>
                <w:color w:val="auto"/>
              </w:rPr>
            </w:pPr>
          </w:p>
        </w:tc>
      </w:tr>
      <w:tr>
        <w:trPr>
          <w:trHeight w:val="203"/>
        </w:trPr>
        <w:tc>
          <w:tcPr>
            <w:tcW w:w="8500" w:type="dxa"/>
            <w:vAlign w:val="bottom"/>
          </w:tcPr>
          <w:p>
            <w:pPr>
              <w:spacing w:after="0"/>
              <w:rPr>
                <w:sz w:val="20"/>
                <w:szCs w:val="20"/>
                <w:color w:val="auto"/>
              </w:rPr>
            </w:pPr>
            <w:r>
              <w:rPr>
                <w:rFonts w:ascii="Arial" w:cs="Arial" w:eastAsia="Arial" w:hAnsi="Arial"/>
                <w:sz w:val="16"/>
                <w:szCs w:val="16"/>
                <w:color w:val="auto"/>
              </w:rPr>
              <w:t>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27,947,307</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23,756,011</w:t>
            </w:r>
          </w:p>
        </w:tc>
        <w:tc>
          <w:tcPr>
            <w:tcW w:w="60" w:type="dxa"/>
            <w:vAlign w:val="bottom"/>
          </w:tcPr>
          <w:p>
            <w:pPr>
              <w:spacing w:after="0"/>
              <w:rPr>
                <w:sz w:val="17"/>
                <w:szCs w:val="17"/>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Refer to accompanying notes.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200025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NOTE 1 — DESCRIPTION OF THE PLAN AND ACCOUNTING POLICIES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Plan Description</w:t>
      </w:r>
    </w:p>
    <w:p>
      <w:pPr>
        <w:spacing w:after="0" w:line="23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One Microsoft Puerto Rico Retirement Plan (the “Plan”), a defined contribution retirement plan, is sponsored by Microsoft Operations Puerto Rico, LLC, Microsoft Caribbean, Inc., and Microsoft Retail Store-Puerto Rico, LLC (collectively, the “Sponsors”). The Sponsors are wholly-owned subsidiaries of Microsoft Corporation. The Plan year is January 1 through December 31. The Plan is administered by the Administrative Committee (the “Plan Administrator”) and subject to the provisions of the Employee Retirement Income Security Act of 1974 (“ERISA”) and Puerto Rico income tax laws. The Plan’s trustee and recordkeeper is Banco Popular de Puerto Rico – Fiduciary Services Division. The information below summarizes certain aspects of the Plan as in effect during 2020 and 2019, and is intended to be a summary only. Plan participants should refer to the Summary Plan Description for more complete information.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Principles</w:t>
      </w:r>
    </w:p>
    <w:p>
      <w:pPr>
        <w:spacing w:after="0" w:line="234"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financial statements and accompanying notes are prepared in accordance with accounting principles generally accepted in the United States of America (“GAAP”).</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Eligibility</w:t>
      </w:r>
    </w:p>
    <w:p>
      <w:pPr>
        <w:spacing w:after="0" w:line="23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Regular and retail services employees of participating employers who are on the Sponsor’s payroll, have reached age 18, and are residents of Puerto Rico may enroll in the Plan at any time. Eligible employees may become a participant in the Plan immediately on their hire date since there is no service requirement to become a Plan participant.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Eligible Compensation</w:t>
      </w:r>
    </w:p>
    <w:p>
      <w:pPr>
        <w:spacing w:after="0" w:line="23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Eligible compensation represents total compensation paid to participants that is included in income for income tax purposes. Eligible compensation excludes car allowance, Christmas bonus, severance package, relocation package, signing bonus, rewards, and recognitions.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Contributions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Participant Contributions</w:t>
      </w:r>
    </w:p>
    <w:p>
      <w:pPr>
        <w:spacing w:after="0" w:line="230"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Participants may contribute to the Plan on a pre-tax basis using eligible compensation each pay period. Participants reaching age 50 or older by the end of the Plan year may also elect to make additional catch-up contributions to the Plan on a pre-tax basis. Additionally, participants may make contributions on an after-tax basis which may not exceed 10 percent of the aggregate compensation paid to the employee during all the years they have been a Plan participant. Participants may also choose to make rollover contributions representing distributions from other Puerto Rico qualified plans. All contributions are subject to certain Puerto Rico Internal Revenue Code (“PRIRC”) limitations and the limitations set forth in the Plan document.</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Effective July 2016, the investment of new contributions or transfer of existing account holdings into Microsoft Common Stock within the Plan was discontinued. Participant accounts with existing Microsoft Common Stock can retain those holdings, and dividends on Microsoft Common Stock can continue to be reinvested.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Employer Contributions</w:t>
      </w:r>
    </w:p>
    <w:p>
      <w:pPr>
        <w:spacing w:after="0" w:line="230"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Sponsors provide participants with a matching contribution on eligible pre-tax contributions up to 50 percent of the amount of the participant’s contribution. The maximum participant contribution amount eligible to be matched is 6 percent of eligible compensation as defined by the Plan. Participants do not receive a match on after-tax contributions.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Participant Accounts</w:t>
      </w:r>
    </w:p>
    <w:p>
      <w:pPr>
        <w:spacing w:after="0" w:line="23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Each participant’s account is credited with (a) participant contributions and employer contributions, and (b) the allocation of Plan earnings and expenses, based on participant earnings or account balances, as defined. The benefit to which a participant is entitled is the benefit that can be provided from the participant’s vested account. All amounts in participant accounts are participant-directed. Participants may invest in various instruments including common stock and mutual funds.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Vesting</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Participants are fully vested in Plan accounts at all times.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Active participants may take a withdrawal from the Plan in the event of a financial hardship. A hardship withdrawal is limited to pre-tax and catch-up contribution accounts. A hardship withdrawal will generally result in a twelve-month suspension of pre-tax and after-tax contributions to the Plan.</w:t>
      </w:r>
    </w:p>
    <w:p>
      <w:pPr>
        <w:spacing w:after="0" w:line="20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 xml:space="preserve">After reaching age 59 </w:t>
      </w:r>
      <w:r>
        <w:rPr>
          <w:rFonts w:ascii="Arial" w:cs="Arial" w:eastAsia="Arial" w:hAnsi="Arial"/>
          <w:sz w:val="14"/>
          <w:szCs w:val="14"/>
          <w:color w:val="auto"/>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 active participants may withdraw all, or any portion, of the balance in their accounts, including withdrawals from their rollover and after-tax account types within the Plan, without meeting one of the hardship criteria.</w:t>
      </w:r>
    </w:p>
    <w:p>
      <w:pPr>
        <w:spacing w:after="0" w:line="197"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In April 2020, the Plan was amended to allow financial hardship in-service withdrawals of up to $50,000 from the participant’s vested balance by reason of the January 2020 earthquake and COVID-19 pandemic as provided in the Puerto Rico Treasury Department (“PRTD”) Circular Letter No. 20-09, No. 20-23, and No. 20-29 (the “Circular Letters”). The eligible period for the financial hardship in-service withdrawals ended on December 31, 2020. During 2020, in-service withdrawals related to the amendment were $505,947, of which $14,645 were tax withholdings directly remitted to the PRTD.</w:t>
      </w:r>
    </w:p>
    <w:p>
      <w:pPr>
        <w:spacing w:after="0" w:line="202"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Distributions, in full or any portion, may also occur if the participant terminates employment, retires, becomes permanently disabled, or dies. Distributions of investments are in the form of cash and are normally made in a lump-sum, unless periodic payments are elected (monthly, quarterly, semiannual, or annual installments of substantially equal amounts over a period not to exceed 10 years). There were no participants who elected to withdraw from the Plan that had not yet been paid as of December 31, 2020 or 2019.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Administrative Expenses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Plan administrative expenses are paid by the Sponsors to the extent not paid or offset by the Plan, as provided in the Plan document.</w:t>
      </w:r>
    </w:p>
    <w:p>
      <w:pPr>
        <w:ind w:left="120"/>
        <w:spacing w:after="0"/>
        <w:rPr>
          <w:sz w:val="20"/>
          <w:szCs w:val="20"/>
          <w:color w:val="auto"/>
        </w:rPr>
      </w:pPr>
      <w:r>
        <w:rPr>
          <w:rFonts w:ascii="Arial" w:cs="Arial" w:eastAsia="Arial" w:hAnsi="Arial"/>
          <w:sz w:val="18"/>
          <w:szCs w:val="18"/>
          <w:color w:val="auto"/>
        </w:rPr>
        <w:t>Participants are responsible for fees associated with certain transactions such as loan originations and maintenance.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Plan Amendment and Termination</w:t>
      </w:r>
    </w:p>
    <w:p>
      <w:pPr>
        <w:spacing w:after="0" w:line="234"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Sponsors have the right to amend or terminate the Plan. If the Plan is terminated, all account balances will be distributed in the form and manner determined by the Plan Administrator.</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and Uncertainties</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Plan utilizes various investment instruments, including common stock and mutual funds. Investment securities, in general, are exposed to various risks, such as interest rate risk, credit risk, and overall market volatility. Due to the level of risk associated with certain investment securities, including systemic market disruptions, it is reasonably possible that changes in the values of investment securities will occur in the near term and that such changes could materially affect the amounts reported in the financial statements.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In March 2020, the World Health Organization declared the outbreak of COVID-19 to be a pandemic. The ongoing COVID-19 pandemic has had widespread, rapidly evolving, and unpredictable impacts on global society, economies, financial markets, and business practices, and there is substantial uncertainty in the nature and degree of its continued effects over time. The extent to which COVID-19 impacts the Plan going forward will depend on numerous evolving factors which cannot be reliably predicted, and management is not able to estimate the impact the pandemic may have on the Plan’s financial statements.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Estimates and Assumptions</w:t>
      </w:r>
    </w:p>
    <w:p>
      <w:pPr>
        <w:spacing w:after="0" w:line="23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changes therein. Actual results and outcomes may differ from management’s estimates and assumptions due to risks and uncertainties, including uncertainty in the current economic environment due to COVID-19. The Plan has no contingent assets or liabilities for any periods presented in these financial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Valuation of Investments and Income (Loss) Recognition</w:t>
      </w:r>
    </w:p>
    <w:p>
      <w:pPr>
        <w:spacing w:after="0" w:line="23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Investments are recorded at fair value. Security transactions are accounted for as of the trade date. Dividend income is recorded on the ex-dividend date, and interest income is recorded as earned. Net increase (decrease) in fair value of investments includes the Plan’s gains and losses on investments bought, sold, and held during the year.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Participant Loans</w:t>
      </w:r>
    </w:p>
    <w:p>
      <w:pPr>
        <w:spacing w:after="0" w:line="126"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Participant loans are measured at their unpaid principal balance plus any accrued but unpaid interest, and participant loans deemed distributed due to default are included in benefits paid to participants on the statements of changes in net assets available for benefits.</w:t>
      </w: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NOTE 2 — FINANCIAL INSTRUMENTS</w:t>
      </w:r>
    </w:p>
    <w:p>
      <w:pPr>
        <w:spacing w:after="0" w:line="21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Plan accounts for certain assets at fair value. The hierarchy below lists three levels of fair value based on the extent to which inputs used in measuring fair value are observable in the market. The Plan categorizes each of its fair value measurements in one of these three levels based on the lowest level input that is significant to the fair value measurement in its entirety. These levels are:</w:t>
      </w:r>
    </w:p>
    <w:p>
      <w:pPr>
        <w:spacing w:after="0" w:line="108" w:lineRule="exact"/>
        <w:rPr>
          <w:sz w:val="20"/>
          <w:szCs w:val="20"/>
          <w:color w:val="auto"/>
        </w:rPr>
      </w:pPr>
    </w:p>
    <w:p>
      <w:pPr>
        <w:ind w:left="1080" w:right="20" w:hanging="424"/>
        <w:spacing w:after="0" w:line="24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1—inputs are based upon unadjusted quoted prices for identical instruments in active markets. The Plan’s Level 1 investments primarily include mutual funds, Microsoft Common Stock, and money market funds.</w:t>
      </w:r>
    </w:p>
    <w:p>
      <w:pPr>
        <w:spacing w:after="0" w:line="102" w:lineRule="exact"/>
        <w:rPr>
          <w:rFonts w:ascii="Arial" w:cs="Arial" w:eastAsia="Arial" w:hAnsi="Arial"/>
          <w:sz w:val="18"/>
          <w:szCs w:val="18"/>
          <w:color w:val="auto"/>
        </w:rPr>
      </w:pPr>
    </w:p>
    <w:p>
      <w:pPr>
        <w:jc w:val="both"/>
        <w:ind w:left="1080" w:right="20" w:hanging="424"/>
        <w:spacing w:after="0" w:line="23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2—inputs are based upon quoted prices for similar instruments in active markets, quoted prices for identical or similar 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and commodities. The Plan’s Level 2 investments consist of certificates of deposit.</w:t>
      </w:r>
    </w:p>
    <w:p>
      <w:pPr>
        <w:spacing w:after="0" w:line="110" w:lineRule="exact"/>
        <w:rPr>
          <w:rFonts w:ascii="Arial" w:cs="Arial" w:eastAsia="Arial" w:hAnsi="Arial"/>
          <w:sz w:val="18"/>
          <w:szCs w:val="18"/>
          <w:color w:val="auto"/>
        </w:rPr>
      </w:pPr>
    </w:p>
    <w:p>
      <w:pPr>
        <w:jc w:val="both"/>
        <w:ind w:left="1080" w:hanging="424"/>
        <w:spacing w:after="0" w:line="23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3—inputs are generally unobservable and typically reflect management’s estimates of assumptions that market participants would use in pricing the asset. The fair values are therefore determined using model-based techniques, including option pricing models and discounted cash flow models. As of December 31, 2020 and 2019, the Plan did not hold any financial instruments categorized as Level 3.</w:t>
      </w:r>
    </w:p>
    <w:p>
      <w:pPr>
        <w:spacing w:after="0" w:line="205"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Mutual funds and money market funds are valued at the closing price as reported by the fund. Common stocks are valued at the closing price reported on the active markets on which the individual securities are traded.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Instruments Measured at Fair Value</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7440" w:type="dxa"/>
            <w:vAlign w:val="bottom"/>
          </w:tcPr>
          <w:p>
            <w:pPr>
              <w:spacing w:after="0"/>
              <w:rPr>
                <w:sz w:val="20"/>
                <w:szCs w:val="20"/>
                <w:color w:val="auto"/>
              </w:rPr>
            </w:pPr>
            <w:r>
              <w:rPr>
                <w:rFonts w:ascii="Arial" w:cs="Arial" w:eastAsia="Arial" w:hAnsi="Arial"/>
                <w:sz w:val="13"/>
                <w:szCs w:val="13"/>
                <w:b w:val="1"/>
                <w:bCs w:val="1"/>
                <w:color w:val="auto"/>
              </w:rPr>
              <w:t>December 31, 2020</w:t>
            </w:r>
          </w:p>
        </w:tc>
        <w:tc>
          <w:tcPr>
            <w:tcW w:w="20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Level 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160"/>
              <w:spacing w:after="0"/>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tcPr>
          <w:p>
            <w:pPr>
              <w:ind w:left="600"/>
              <w:spacing w:after="0"/>
              <w:rPr>
                <w:sz w:val="20"/>
                <w:szCs w:val="20"/>
                <w:color w:val="auto"/>
              </w:rPr>
            </w:pPr>
            <w:r>
              <w:rPr>
                <w:rFonts w:ascii="Arial" w:cs="Arial" w:eastAsia="Arial" w:hAnsi="Arial"/>
                <w:sz w:val="13"/>
                <w:szCs w:val="13"/>
                <w:b w:val="1"/>
                <w:bCs w:val="1"/>
                <w:color w:val="auto"/>
              </w:rPr>
              <w:t>Total</w:t>
            </w:r>
          </w:p>
        </w:tc>
      </w:tr>
      <w:tr>
        <w:trPr>
          <w:trHeight w:val="196"/>
        </w:trPr>
        <w:tc>
          <w:tcPr>
            <w:tcW w:w="74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Mutual funds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22,381,738</w:t>
            </w:r>
          </w:p>
        </w:tc>
        <w:tc>
          <w:tcPr>
            <w:tcW w:w="440" w:type="dxa"/>
            <w:vAlign w:val="bottom"/>
            <w:tcBorders>
              <w:top w:val="single" w:sz="8" w:color="auto"/>
            </w:tcBorders>
            <w:gridSpan w:val="2"/>
          </w:tcPr>
          <w:p>
            <w:pPr>
              <w:jc w:val="right"/>
              <w:ind w:right="24"/>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34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22,381,738</w:t>
            </w:r>
          </w:p>
        </w:tc>
        <w:tc>
          <w:tcPr>
            <w:tcW w:w="40" w:type="dxa"/>
            <w:vAlign w:val="bottom"/>
          </w:tcPr>
          <w:p>
            <w:pPr>
              <w:spacing w:after="0"/>
              <w:rPr>
                <w:sz w:val="17"/>
                <w:szCs w:val="17"/>
                <w:color w:val="auto"/>
              </w:rPr>
            </w:pPr>
          </w:p>
        </w:tc>
      </w:tr>
      <w:tr>
        <w:trPr>
          <w:trHeight w:val="189"/>
        </w:trPr>
        <w:tc>
          <w:tcPr>
            <w:tcW w:w="7440" w:type="dxa"/>
            <w:vAlign w:val="bottom"/>
            <w:shd w:val="clear" w:color="auto" w:fill="E5E5E5"/>
          </w:tcPr>
          <w:p>
            <w:pPr>
              <w:spacing w:after="0"/>
              <w:rPr>
                <w:sz w:val="20"/>
                <w:szCs w:val="20"/>
                <w:color w:val="auto"/>
              </w:rPr>
            </w:pPr>
            <w:r>
              <w:rPr>
                <w:rFonts w:ascii="Arial" w:cs="Arial" w:eastAsia="Arial" w:hAnsi="Arial"/>
                <w:sz w:val="16"/>
                <w:szCs w:val="16"/>
                <w:color w:val="auto"/>
              </w:rPr>
              <w:t>Microsoft Common Stock</w:t>
            </w: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4,386,567</w:t>
            </w:r>
          </w:p>
        </w:tc>
        <w:tc>
          <w:tcPr>
            <w:tcW w:w="2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2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0</w:t>
            </w:r>
          </w:p>
        </w:tc>
        <w:tc>
          <w:tcPr>
            <w:tcW w:w="1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4,386,567</w:t>
            </w:r>
          </w:p>
        </w:tc>
        <w:tc>
          <w:tcPr>
            <w:tcW w:w="40" w:type="dxa"/>
            <w:vAlign w:val="bottom"/>
            <w:shd w:val="clear" w:color="auto" w:fill="E5E5E5"/>
          </w:tcPr>
          <w:p>
            <w:pPr>
              <w:spacing w:after="0"/>
              <w:rPr>
                <w:sz w:val="16"/>
                <w:szCs w:val="16"/>
                <w:color w:val="auto"/>
              </w:rPr>
            </w:pP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Money market funds</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682,744</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682,744</w:t>
            </w:r>
          </w:p>
        </w:tc>
        <w:tc>
          <w:tcPr>
            <w:tcW w:w="40" w:type="dxa"/>
            <w:vAlign w:val="bottom"/>
          </w:tcPr>
          <w:p>
            <w:pPr>
              <w:spacing w:after="0"/>
              <w:rPr>
                <w:sz w:val="16"/>
                <w:szCs w:val="16"/>
                <w:color w:val="auto"/>
              </w:rPr>
            </w:pPr>
          </w:p>
        </w:tc>
      </w:tr>
      <w:tr>
        <w:trPr>
          <w:trHeight w:val="189"/>
        </w:trPr>
        <w:tc>
          <w:tcPr>
            <w:tcW w:w="7440" w:type="dxa"/>
            <w:vAlign w:val="bottom"/>
            <w:shd w:val="clear" w:color="auto" w:fill="E5E5E5"/>
          </w:tcPr>
          <w:p>
            <w:pPr>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0</w:t>
            </w:r>
          </w:p>
        </w:tc>
        <w:tc>
          <w:tcPr>
            <w:tcW w:w="2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82,361</w:t>
            </w:r>
          </w:p>
        </w:tc>
        <w:tc>
          <w:tcPr>
            <w:tcW w:w="1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82,361</w:t>
            </w:r>
          </w:p>
        </w:tc>
        <w:tc>
          <w:tcPr>
            <w:tcW w:w="40" w:type="dxa"/>
            <w:vAlign w:val="bottom"/>
            <w:shd w:val="clear" w:color="auto" w:fill="E5E5E5"/>
          </w:tcPr>
          <w:p>
            <w:pPr>
              <w:spacing w:after="0"/>
              <w:rPr>
                <w:sz w:val="16"/>
                <w:szCs w:val="16"/>
                <w:color w:val="auto"/>
              </w:rPr>
            </w:pPr>
          </w:p>
        </w:tc>
      </w:tr>
      <w:tr>
        <w:trPr>
          <w:trHeight w:val="203"/>
        </w:trPr>
        <w:tc>
          <w:tcPr>
            <w:tcW w:w="74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27,451,049</w:t>
            </w:r>
          </w:p>
        </w:tc>
        <w:tc>
          <w:tcPr>
            <w:tcW w:w="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82,361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27,533,410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1"/>
        </w:trPr>
        <w:tc>
          <w:tcPr>
            <w:tcW w:w="7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December 31, 2019</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Level 1</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auto"/>
                <w:w w:val="89"/>
              </w:rPr>
              <w:t>Total</w:t>
            </w:r>
          </w:p>
        </w:tc>
        <w:tc>
          <w:tcPr>
            <w:tcW w:w="60" w:type="dxa"/>
            <w:vAlign w:val="bottom"/>
            <w:gridSpan w:val="2"/>
          </w:tcPr>
          <w:p>
            <w:pPr>
              <w:spacing w:after="0"/>
              <w:rPr>
                <w:sz w:val="24"/>
                <w:szCs w:val="24"/>
                <w:color w:val="auto"/>
              </w:rPr>
            </w:pPr>
          </w:p>
        </w:tc>
      </w:tr>
      <w:tr>
        <w:trPr>
          <w:trHeight w:val="189"/>
        </w:trPr>
        <w:tc>
          <w:tcPr>
            <w:tcW w:w="7440" w:type="dxa"/>
            <w:vAlign w:val="bottom"/>
            <w:shd w:val="clear" w:color="auto" w:fill="E5E5E5"/>
          </w:tcPr>
          <w:p>
            <w:pPr>
              <w:spacing w:after="0"/>
              <w:rPr>
                <w:sz w:val="20"/>
                <w:szCs w:val="20"/>
                <w:color w:val="auto"/>
              </w:rPr>
            </w:pPr>
            <w:r>
              <w:rPr>
                <w:rFonts w:ascii="Arial" w:cs="Arial" w:eastAsia="Arial" w:hAnsi="Arial"/>
                <w:sz w:val="16"/>
                <w:szCs w:val="16"/>
                <w:color w:val="auto"/>
              </w:rPr>
              <w:t>Mutual funds</w:t>
            </w:r>
          </w:p>
        </w:tc>
        <w:tc>
          <w:tcPr>
            <w:tcW w:w="20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18,819,132</w:t>
            </w:r>
          </w:p>
        </w:tc>
        <w:tc>
          <w:tcPr>
            <w:tcW w:w="440" w:type="dxa"/>
            <w:vAlign w:val="bottom"/>
            <w:gridSpan w:val="2"/>
            <w:shd w:val="clear" w:color="auto" w:fill="E5E5E5"/>
          </w:tcPr>
          <w:p>
            <w:pPr>
              <w:jc w:val="right"/>
              <w:ind w:right="24"/>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0</w:t>
            </w:r>
          </w:p>
        </w:tc>
        <w:tc>
          <w:tcPr>
            <w:tcW w:w="340" w:type="dxa"/>
            <w:vAlign w:val="bottom"/>
            <w:gridSpan w:val="2"/>
            <w:shd w:val="clear" w:color="auto" w:fill="E5E5E5"/>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18,819,132</w:t>
            </w:r>
          </w:p>
        </w:tc>
        <w:tc>
          <w:tcPr>
            <w:tcW w:w="40" w:type="dxa"/>
            <w:vAlign w:val="bottom"/>
            <w:shd w:val="clear" w:color="auto" w:fill="E5E5E5"/>
          </w:tcPr>
          <w:p>
            <w:pPr>
              <w:spacing w:after="0"/>
              <w:rPr>
                <w:sz w:val="16"/>
                <w:szCs w:val="16"/>
                <w:color w:val="auto"/>
              </w:rPr>
            </w:pP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Microsoft Common Stock</w:t>
            </w:r>
          </w:p>
        </w:tc>
        <w:tc>
          <w:tcPr>
            <w:tcW w:w="2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3,708,316</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3,708,316</w:t>
            </w:r>
          </w:p>
        </w:tc>
        <w:tc>
          <w:tcPr>
            <w:tcW w:w="40" w:type="dxa"/>
            <w:vAlign w:val="bottom"/>
          </w:tcPr>
          <w:p>
            <w:pPr>
              <w:spacing w:after="0"/>
              <w:rPr>
                <w:sz w:val="16"/>
                <w:szCs w:val="16"/>
                <w:color w:val="auto"/>
              </w:rPr>
            </w:pPr>
          </w:p>
        </w:tc>
      </w:tr>
      <w:tr>
        <w:trPr>
          <w:trHeight w:val="189"/>
        </w:trPr>
        <w:tc>
          <w:tcPr>
            <w:tcW w:w="7440" w:type="dxa"/>
            <w:vAlign w:val="bottom"/>
            <w:shd w:val="clear" w:color="auto" w:fill="E5E5E5"/>
          </w:tcPr>
          <w:p>
            <w:pPr>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658,699</w:t>
            </w:r>
          </w:p>
        </w:tc>
        <w:tc>
          <w:tcPr>
            <w:tcW w:w="2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2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0</w:t>
            </w:r>
          </w:p>
        </w:tc>
        <w:tc>
          <w:tcPr>
            <w:tcW w:w="1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658,699</w:t>
            </w:r>
          </w:p>
        </w:tc>
        <w:tc>
          <w:tcPr>
            <w:tcW w:w="40" w:type="dxa"/>
            <w:vAlign w:val="bottom"/>
            <w:shd w:val="clear" w:color="auto" w:fill="E5E5E5"/>
          </w:tcPr>
          <w:p>
            <w:pPr>
              <w:spacing w:after="0"/>
              <w:rPr>
                <w:sz w:val="16"/>
                <w:szCs w:val="16"/>
                <w:color w:val="auto"/>
              </w:rPr>
            </w:pPr>
          </w:p>
        </w:tc>
      </w:tr>
      <w:tr>
        <w:trPr>
          <w:trHeight w:val="196"/>
        </w:trPr>
        <w:tc>
          <w:tcPr>
            <w:tcW w:w="7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744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Total</w:t>
            </w:r>
          </w:p>
        </w:tc>
        <w:tc>
          <w:tcPr>
            <w:tcW w:w="20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23,186,147</w:t>
            </w:r>
          </w:p>
        </w:tc>
        <w:tc>
          <w:tcPr>
            <w:tcW w:w="20" w:type="dxa"/>
            <w:vAlign w:val="bottom"/>
            <w:shd w:val="clear" w:color="auto" w:fill="E5E5E5"/>
          </w:tcPr>
          <w:p>
            <w:pPr>
              <w:spacing w:after="0"/>
              <w:rPr>
                <w:sz w:val="16"/>
                <w:szCs w:val="16"/>
                <w:color w:val="auto"/>
              </w:rPr>
            </w:pPr>
          </w:p>
        </w:tc>
        <w:tc>
          <w:tcPr>
            <w:tcW w:w="440" w:type="dxa"/>
            <w:vAlign w:val="bottom"/>
            <w:gridSpan w:val="2"/>
            <w:shd w:val="clear" w:color="auto" w:fill="E5E5E5"/>
          </w:tcPr>
          <w:p>
            <w:pPr>
              <w:jc w:val="right"/>
              <w:ind w:right="24"/>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13,717</w:t>
            </w:r>
          </w:p>
        </w:tc>
        <w:tc>
          <w:tcPr>
            <w:tcW w:w="340" w:type="dxa"/>
            <w:vAlign w:val="bottom"/>
            <w:gridSpan w:val="2"/>
            <w:shd w:val="clear" w:color="auto" w:fill="E5E5E5"/>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23,199,864</w:t>
            </w:r>
          </w:p>
        </w:tc>
        <w:tc>
          <w:tcPr>
            <w:tcW w:w="40" w:type="dxa"/>
            <w:vAlign w:val="bottom"/>
            <w:shd w:val="clear" w:color="auto" w:fill="E5E5E5"/>
          </w:tcPr>
          <w:p>
            <w:pPr>
              <w:spacing w:after="0"/>
              <w:rPr>
                <w:sz w:val="16"/>
                <w:szCs w:val="16"/>
                <w:color w:val="auto"/>
              </w:rPr>
            </w:pPr>
          </w:p>
        </w:tc>
      </w:tr>
      <w:tr>
        <w:trPr>
          <w:trHeight w:val="27"/>
        </w:trPr>
        <w:tc>
          <w:tcPr>
            <w:tcW w:w="7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NOTE 3 — PARTICIPANT LOANS</w:t>
      </w:r>
    </w:p>
    <w:p>
      <w:pPr>
        <w:spacing w:after="0" w:line="21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Participants may borrow from their accounts up to a maximum loan amount equal to the lesser of (a) 50 percent of the vested account balance; or (b) $50,000, reduced by: (1) the current outstanding balance of all other loans from the Plan, and (2) the excess (if any) of all Plan loans during the previous 12 months over the current outstanding balance of Plan loans. The minimum amount that a participant can borrow is $500. Participants are limited to two loans outstanding at a time – one Primary Residence Loan and one General Purpose Loan. Subject to approval of the Plan Administrator and a natural disaster (as defined in the Plan document), participants may also have an Emergency Loan outstanding.</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term of a Primary Residence Loan may not exceed 15 years. The term of a General Purpose Loan may not exceed five years or be less than 12 months. The interest rate for participant loans is one percent over the prime rate, determined on a monthly basis. The range of interest rates for outstanding Primary Residence Loans as of December 31, 2020 was 4.25 percent to 6.50 percent, maturing at various dates through July 2034. The range of interest rates for outstanding General Purpose Loans as of December 31, 2020 was 4.25 percent to 6.50 percent, maturing at various dates through December 2025. There were no Emergency Loans outstanding as of December 31, 2020 or 2019.</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Loan repayments are made through after-tax payroll deductions. Terminated employees generally have 90 days to elect to continue to make loan repayments or pay off the loan in full. Failure of the terminated employee to establish a loan repayment service or payoff the loan in full during this 90-day window generally results in a default of the loan, which is taxable income to the participant.</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NOTE 4 — TAX STATUS</w:t>
      </w:r>
    </w:p>
    <w:p>
      <w:pPr>
        <w:spacing w:after="0" w:line="212"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PRTD has determined and informed the Plan, by a letter dated June 2, 2014, that the Plan is qualified as a tax-exempt plan under the appropriate sections of the PRIRC. The determination letter covered Plan amendments adopted through April 1, 2013. The Plan has been amended since receiving the determination letter; however, the Plan Administrator believes that the Plan is currently designed and operated in compliance with the applicable requirements of the PRIRC. Therefore, the Plan is tax-exempt as of the financial statement date and no provision for income taxes has been recorded in the financial statements.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NOTE 5 — PARTY-IN-INTEREST TRANSACTIONS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Exempt Party-In-Interest Transactions</w:t>
      </w:r>
    </w:p>
    <w:p>
      <w:pPr>
        <w:spacing w:after="0" w:line="23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Microsoft Corporation is the parent company of the Sponsors. Accordingly, transactions in Microsoft Common Stock qualify as exempt party-in-interest transactions. As of December 31, 2020 and 2019, the Plan held 19,722 shares of Microsoft Common Stock valued at $4,386,567 and 23,515 shares valued at $3,708,316, respectively. During the years ended December 31, 2020 and 2019, the Plan recorded Microsoft Common Stock dividend income of $41,340 and $47,794,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Nonexempt Party-In-Interest Transactions</w:t>
      </w:r>
    </w:p>
    <w:p>
      <w:pPr>
        <w:spacing w:after="0" w:line="23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Department of Labor Regulation 2510.3-102 requires remittances of various participant contributions to the trustee be made within three business days; however, in certain instances the Plan remittances took four days or longer. To remediate these late remittances, the impacted participant accounts were credited by an amount representing investment income that would have been earned had the participant contributions been remitted on a timely basis. Late contributions of $326,500 related to various loan repayments and employee catch-up contributions from 2013 to 2018 were remediated during 2019, resulting in credits to participant accounts of $ 158. During 2019, late contributions of $73,671 were made, of which $73,354 were remediated in 2019 and $317 were remediated in 2020, resulting in credits to participant accounts of $25 in 2019 and $1 in 2020. There were no late contributions during 2020.</w:t>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NOTE 6 — RELATED PARTY TRANSACTIONS</w:t>
      </w:r>
    </w:p>
    <w:p>
      <w:pPr>
        <w:spacing w:after="0" w:line="21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Certain general and administrative expenses are paid by the Sponsors on behalf of the Plan. During the years ended December 31, 2020 and 2019, these expenses amounted to $79,669 and $77,903, respectively.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ONE MICROSOFT PUERTO RICO RETIREMENT PLAN</w:t>
      </w:r>
    </w:p>
    <w:p>
      <w:pPr>
        <w:spacing w:after="0" w:line="108" w:lineRule="exact"/>
        <w:rPr>
          <w:sz w:val="20"/>
          <w:szCs w:val="20"/>
          <w:color w:val="auto"/>
        </w:rPr>
      </w:pPr>
    </w:p>
    <w:p>
      <w:pPr>
        <w:jc w:val="center"/>
        <w:ind w:left="440" w:right="2620"/>
        <w:spacing w:after="0" w:line="253" w:lineRule="auto"/>
        <w:rPr>
          <w:sz w:val="20"/>
          <w:szCs w:val="20"/>
          <w:color w:val="auto"/>
        </w:rPr>
      </w:pPr>
      <w:r>
        <w:rPr>
          <w:rFonts w:ascii="Arial" w:cs="Arial" w:eastAsia="Arial" w:hAnsi="Arial"/>
          <w:sz w:val="18"/>
          <w:szCs w:val="18"/>
          <w:b w:val="1"/>
          <w:bCs w:val="1"/>
          <w:color w:val="auto"/>
        </w:rPr>
        <w:t>Employer ID No: 98-0459037, Plan No: 001 SUPPLEMENTAL SCHEDULE OF ASSETS (HELD AT END OF YEAR)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173355</wp:posOffset>
            </wp:positionV>
            <wp:extent cx="6995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220" w:type="dxa"/>
            <w:vAlign w:val="bottom"/>
          </w:tcPr>
          <w:p>
            <w:pPr>
              <w:spacing w:after="0"/>
              <w:rPr>
                <w:sz w:val="13"/>
                <w:szCs w:val="13"/>
                <w:color w:val="auto"/>
              </w:rPr>
            </w:pPr>
          </w:p>
        </w:tc>
        <w:tc>
          <w:tcPr>
            <w:tcW w:w="2720" w:type="dxa"/>
            <w:vAlign w:val="bottom"/>
          </w:tcPr>
          <w:p>
            <w:pPr>
              <w:ind w:left="180"/>
              <w:spacing w:after="0"/>
              <w:rPr>
                <w:sz w:val="20"/>
                <w:szCs w:val="20"/>
                <w:color w:val="auto"/>
              </w:rPr>
            </w:pPr>
            <w:r>
              <w:rPr>
                <w:rFonts w:ascii="Arial" w:cs="Arial" w:eastAsia="Arial" w:hAnsi="Arial"/>
                <w:sz w:val="13"/>
                <w:szCs w:val="13"/>
                <w:b w:val="1"/>
                <w:bCs w:val="1"/>
                <w:color w:val="auto"/>
              </w:rPr>
              <w:t>Description of Investment,</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35"/>
        </w:trPr>
        <w:tc>
          <w:tcPr>
            <w:tcW w:w="6220" w:type="dxa"/>
            <w:vAlign w:val="bottom"/>
          </w:tcPr>
          <w:p>
            <w:pPr>
              <w:spacing w:after="0"/>
              <w:rPr>
                <w:sz w:val="11"/>
                <w:szCs w:val="11"/>
                <w:color w:val="auto"/>
              </w:rPr>
            </w:pPr>
          </w:p>
        </w:tc>
        <w:tc>
          <w:tcPr>
            <w:tcW w:w="2720" w:type="dxa"/>
            <w:vAlign w:val="bottom"/>
          </w:tcPr>
          <w:p>
            <w:pPr>
              <w:ind w:left="180"/>
              <w:spacing w:after="0" w:line="135" w:lineRule="exact"/>
              <w:rPr>
                <w:sz w:val="20"/>
                <w:szCs w:val="20"/>
                <w:color w:val="auto"/>
              </w:rPr>
            </w:pPr>
            <w:r>
              <w:rPr>
                <w:rFonts w:ascii="Arial" w:cs="Arial" w:eastAsia="Arial" w:hAnsi="Arial"/>
                <w:sz w:val="13"/>
                <w:szCs w:val="13"/>
                <w:b w:val="1"/>
                <w:bCs w:val="1"/>
                <w:color w:val="auto"/>
              </w:rPr>
              <w:t>Including Maturity Date and</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70"/>
        </w:trPr>
        <w:tc>
          <w:tcPr>
            <w:tcW w:w="6220" w:type="dxa"/>
            <w:vAlign w:val="bottom"/>
          </w:tcPr>
          <w:p>
            <w:pPr>
              <w:spacing w:after="0"/>
              <w:rPr>
                <w:sz w:val="20"/>
                <w:szCs w:val="20"/>
                <w:color w:val="auto"/>
              </w:rPr>
            </w:pPr>
            <w:r>
              <w:rPr>
                <w:rFonts w:ascii="Arial" w:cs="Arial" w:eastAsia="Arial" w:hAnsi="Arial"/>
                <w:sz w:val="13"/>
                <w:szCs w:val="13"/>
                <w:b w:val="1"/>
                <w:bCs w:val="1"/>
                <w:color w:val="auto"/>
              </w:rPr>
              <w:t>Identity of Issue, Borrower, Lessor, or Similar Party</w:t>
            </w:r>
          </w:p>
        </w:tc>
        <w:tc>
          <w:tcPr>
            <w:tcW w:w="2720" w:type="dxa"/>
            <w:vAlign w:val="bottom"/>
          </w:tcPr>
          <w:p>
            <w:pPr>
              <w:ind w:left="180"/>
              <w:spacing w:after="0"/>
              <w:rPr>
                <w:sz w:val="20"/>
                <w:szCs w:val="20"/>
                <w:color w:val="auto"/>
              </w:rPr>
            </w:pPr>
            <w:r>
              <w:rPr>
                <w:rFonts w:ascii="Arial" w:cs="Arial" w:eastAsia="Arial" w:hAnsi="Arial"/>
                <w:sz w:val="13"/>
                <w:szCs w:val="13"/>
                <w:b w:val="1"/>
                <w:bCs w:val="1"/>
                <w:color w:val="auto"/>
              </w:rPr>
              <w:t>Rate of Interest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Cost**</w:t>
            </w: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rPr>
              <w:t>Current Value</w:t>
            </w:r>
          </w:p>
        </w:tc>
      </w:tr>
      <w:tr>
        <w:trPr>
          <w:trHeight w:val="189"/>
        </w:trPr>
        <w:tc>
          <w:tcPr>
            <w:tcW w:w="6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6"/>
                <w:szCs w:val="16"/>
                <w:b w:val="1"/>
                <w:bCs w:val="1"/>
                <w:color w:val="auto"/>
              </w:rPr>
              <w:t>MUTUAL FUNDS</w:t>
            </w:r>
          </w:p>
        </w:tc>
        <w:tc>
          <w:tcPr>
            <w:tcW w:w="27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r>
      <w:tr>
        <w:trPr>
          <w:trHeight w:val="196"/>
        </w:trPr>
        <w:tc>
          <w:tcPr>
            <w:tcW w:w="6220" w:type="dxa"/>
            <w:vAlign w:val="bottom"/>
          </w:tcPr>
          <w:p>
            <w:pPr>
              <w:spacing w:after="0"/>
              <w:rPr>
                <w:sz w:val="20"/>
                <w:szCs w:val="20"/>
                <w:color w:val="auto"/>
              </w:rPr>
            </w:pPr>
            <w:r>
              <w:rPr>
                <w:rFonts w:ascii="Arial" w:cs="Arial" w:eastAsia="Arial" w:hAnsi="Arial"/>
                <w:sz w:val="16"/>
                <w:szCs w:val="16"/>
                <w:color w:val="auto"/>
              </w:rPr>
              <w:t>American New Perspective Fund - Class R-4</w:t>
            </w:r>
          </w:p>
        </w:tc>
        <w:tc>
          <w:tcPr>
            <w:tcW w:w="2720" w:type="dxa"/>
            <w:vAlign w:val="bottom"/>
          </w:tcPr>
          <w:p>
            <w:pPr>
              <w:ind w:left="160"/>
              <w:spacing w:after="0"/>
              <w:rPr>
                <w:sz w:val="20"/>
                <w:szCs w:val="20"/>
                <w:color w:val="auto"/>
              </w:rPr>
            </w:pPr>
            <w:r>
              <w:rPr>
                <w:rFonts w:ascii="Arial" w:cs="Arial" w:eastAsia="Arial" w:hAnsi="Arial"/>
                <w:sz w:val="16"/>
                <w:szCs w:val="16"/>
                <w:color w:val="auto"/>
              </w:rPr>
              <w:t>Registered Investment Company</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787,966</w:t>
            </w:r>
          </w:p>
        </w:tc>
        <w:tc>
          <w:tcPr>
            <w:tcW w:w="340" w:type="dxa"/>
            <w:vAlign w:val="bottom"/>
          </w:tcPr>
          <w:p>
            <w:pPr>
              <w:spacing w:after="0"/>
              <w:rPr>
                <w:sz w:val="17"/>
                <w:szCs w:val="17"/>
                <w:color w:val="auto"/>
              </w:rPr>
            </w:pPr>
          </w:p>
        </w:tc>
      </w:tr>
      <w:tr>
        <w:trPr>
          <w:trHeight w:val="189"/>
        </w:trPr>
        <w:tc>
          <w:tcPr>
            <w:tcW w:w="6220" w:type="dxa"/>
            <w:vAlign w:val="bottom"/>
            <w:shd w:val="clear" w:color="auto" w:fill="E5E5E5"/>
          </w:tcPr>
          <w:p>
            <w:pPr>
              <w:spacing w:after="0"/>
              <w:rPr>
                <w:sz w:val="20"/>
                <w:szCs w:val="20"/>
                <w:color w:val="auto"/>
              </w:rPr>
            </w:pPr>
            <w:r>
              <w:rPr>
                <w:rFonts w:ascii="Arial" w:cs="Arial" w:eastAsia="Arial" w:hAnsi="Arial"/>
                <w:sz w:val="16"/>
                <w:szCs w:val="16"/>
                <w:color w:val="auto"/>
              </w:rPr>
              <w:t>BlackRock Total Return Fund</w:t>
            </w:r>
          </w:p>
        </w:tc>
        <w:tc>
          <w:tcPr>
            <w:tcW w:w="27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Registered Investment Company</w:t>
            </w:r>
          </w:p>
        </w:tc>
        <w:tc>
          <w:tcPr>
            <w:tcW w:w="7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1,819,139</w:t>
            </w:r>
          </w:p>
        </w:tc>
        <w:tc>
          <w:tcPr>
            <w:tcW w:w="340" w:type="dxa"/>
            <w:vAlign w:val="bottom"/>
            <w:shd w:val="clear" w:color="auto" w:fill="E5E5E5"/>
          </w:tcPr>
          <w:p>
            <w:pPr>
              <w:spacing w:after="0"/>
              <w:rPr>
                <w:sz w:val="16"/>
                <w:szCs w:val="16"/>
                <w:color w:val="auto"/>
              </w:rPr>
            </w:pPr>
          </w:p>
        </w:tc>
      </w:tr>
      <w:tr>
        <w:trPr>
          <w:trHeight w:val="189"/>
        </w:trPr>
        <w:tc>
          <w:tcPr>
            <w:tcW w:w="6220" w:type="dxa"/>
            <w:vAlign w:val="bottom"/>
          </w:tcPr>
          <w:p>
            <w:pPr>
              <w:spacing w:after="0"/>
              <w:rPr>
                <w:sz w:val="20"/>
                <w:szCs w:val="20"/>
                <w:color w:val="auto"/>
              </w:rPr>
            </w:pPr>
            <w:r>
              <w:rPr>
                <w:rFonts w:ascii="Arial" w:cs="Arial" w:eastAsia="Arial" w:hAnsi="Arial"/>
                <w:sz w:val="16"/>
                <w:szCs w:val="16"/>
                <w:color w:val="auto"/>
              </w:rPr>
              <w:t>Columbia Small Cap Index Fund - Class A</w:t>
            </w:r>
          </w:p>
        </w:tc>
        <w:tc>
          <w:tcPr>
            <w:tcW w:w="2720" w:type="dxa"/>
            <w:vAlign w:val="bottom"/>
          </w:tcPr>
          <w:p>
            <w:pPr>
              <w:ind w:left="160"/>
              <w:spacing w:after="0"/>
              <w:rPr>
                <w:sz w:val="20"/>
                <w:szCs w:val="20"/>
                <w:color w:val="auto"/>
              </w:rPr>
            </w:pPr>
            <w:r>
              <w:rPr>
                <w:rFonts w:ascii="Arial" w:cs="Arial" w:eastAsia="Arial" w:hAnsi="Arial"/>
                <w:sz w:val="16"/>
                <w:szCs w:val="16"/>
                <w:color w:val="auto"/>
              </w:rPr>
              <w:t>Registered Investment Company</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910,158</w:t>
            </w:r>
          </w:p>
        </w:tc>
        <w:tc>
          <w:tcPr>
            <w:tcW w:w="340" w:type="dxa"/>
            <w:vAlign w:val="bottom"/>
          </w:tcPr>
          <w:p>
            <w:pPr>
              <w:spacing w:after="0"/>
              <w:rPr>
                <w:sz w:val="16"/>
                <w:szCs w:val="16"/>
                <w:color w:val="auto"/>
              </w:rPr>
            </w:pPr>
          </w:p>
        </w:tc>
      </w:tr>
      <w:tr>
        <w:trPr>
          <w:trHeight w:val="189"/>
        </w:trPr>
        <w:tc>
          <w:tcPr>
            <w:tcW w:w="6220" w:type="dxa"/>
            <w:vAlign w:val="bottom"/>
            <w:shd w:val="clear" w:color="auto" w:fill="E5E5E5"/>
          </w:tcPr>
          <w:p>
            <w:pPr>
              <w:spacing w:after="0"/>
              <w:rPr>
                <w:sz w:val="20"/>
                <w:szCs w:val="20"/>
                <w:color w:val="auto"/>
              </w:rPr>
            </w:pPr>
            <w:r>
              <w:rPr>
                <w:rFonts w:ascii="Arial" w:cs="Arial" w:eastAsia="Arial" w:hAnsi="Arial"/>
                <w:sz w:val="16"/>
                <w:szCs w:val="16"/>
                <w:color w:val="auto"/>
              </w:rPr>
              <w:t>MFS Research International Fund - Class A</w:t>
            </w:r>
          </w:p>
        </w:tc>
        <w:tc>
          <w:tcPr>
            <w:tcW w:w="27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Registered Investment Company</w:t>
            </w:r>
          </w:p>
        </w:tc>
        <w:tc>
          <w:tcPr>
            <w:tcW w:w="7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176,288</w:t>
            </w:r>
          </w:p>
        </w:tc>
        <w:tc>
          <w:tcPr>
            <w:tcW w:w="340" w:type="dxa"/>
            <w:vAlign w:val="bottom"/>
            <w:shd w:val="clear" w:color="auto" w:fill="E5E5E5"/>
          </w:tcPr>
          <w:p>
            <w:pPr>
              <w:spacing w:after="0"/>
              <w:rPr>
                <w:sz w:val="16"/>
                <w:szCs w:val="16"/>
                <w:color w:val="auto"/>
              </w:rPr>
            </w:pPr>
          </w:p>
        </w:tc>
      </w:tr>
      <w:tr>
        <w:trPr>
          <w:trHeight w:val="189"/>
        </w:trPr>
        <w:tc>
          <w:tcPr>
            <w:tcW w:w="6220" w:type="dxa"/>
            <w:vAlign w:val="bottom"/>
          </w:tcPr>
          <w:p>
            <w:pPr>
              <w:spacing w:after="0"/>
              <w:rPr>
                <w:sz w:val="20"/>
                <w:szCs w:val="20"/>
                <w:color w:val="auto"/>
              </w:rPr>
            </w:pPr>
            <w:r>
              <w:rPr>
                <w:rFonts w:ascii="Arial" w:cs="Arial" w:eastAsia="Arial" w:hAnsi="Arial"/>
                <w:sz w:val="16"/>
                <w:szCs w:val="16"/>
                <w:color w:val="auto"/>
              </w:rPr>
              <w:t>T Rowe Price Growth Stock Fund - Advisor Class</w:t>
            </w:r>
          </w:p>
        </w:tc>
        <w:tc>
          <w:tcPr>
            <w:tcW w:w="2720" w:type="dxa"/>
            <w:vAlign w:val="bottom"/>
          </w:tcPr>
          <w:p>
            <w:pPr>
              <w:ind w:left="160"/>
              <w:spacing w:after="0"/>
              <w:rPr>
                <w:sz w:val="20"/>
                <w:szCs w:val="20"/>
                <w:color w:val="auto"/>
              </w:rPr>
            </w:pPr>
            <w:r>
              <w:rPr>
                <w:rFonts w:ascii="Arial" w:cs="Arial" w:eastAsia="Arial" w:hAnsi="Arial"/>
                <w:sz w:val="16"/>
                <w:szCs w:val="16"/>
                <w:color w:val="auto"/>
              </w:rPr>
              <w:t>Registered Investment Company</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3,423,234</w:t>
            </w:r>
          </w:p>
        </w:tc>
        <w:tc>
          <w:tcPr>
            <w:tcW w:w="340" w:type="dxa"/>
            <w:vAlign w:val="bottom"/>
          </w:tcPr>
          <w:p>
            <w:pPr>
              <w:spacing w:after="0"/>
              <w:rPr>
                <w:sz w:val="16"/>
                <w:szCs w:val="16"/>
                <w:color w:val="auto"/>
              </w:rPr>
            </w:pPr>
          </w:p>
        </w:tc>
      </w:tr>
      <w:tr>
        <w:trPr>
          <w:trHeight w:val="189"/>
        </w:trPr>
        <w:tc>
          <w:tcPr>
            <w:tcW w:w="6220" w:type="dxa"/>
            <w:vAlign w:val="bottom"/>
            <w:shd w:val="clear" w:color="auto" w:fill="E5E5E5"/>
          </w:tcPr>
          <w:p>
            <w:pPr>
              <w:spacing w:after="0"/>
              <w:rPr>
                <w:sz w:val="20"/>
                <w:szCs w:val="20"/>
                <w:color w:val="auto"/>
              </w:rPr>
            </w:pPr>
            <w:r>
              <w:rPr>
                <w:rFonts w:ascii="Arial" w:cs="Arial" w:eastAsia="Arial" w:hAnsi="Arial"/>
                <w:sz w:val="16"/>
                <w:szCs w:val="16"/>
                <w:color w:val="auto"/>
              </w:rPr>
              <w:t>T Rowe Price Retirement 2010 Fund - Advisor Class</w:t>
            </w:r>
          </w:p>
        </w:tc>
        <w:tc>
          <w:tcPr>
            <w:tcW w:w="27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Registered Investment Company</w:t>
            </w:r>
          </w:p>
        </w:tc>
        <w:tc>
          <w:tcPr>
            <w:tcW w:w="7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379,261</w:t>
            </w:r>
          </w:p>
        </w:tc>
        <w:tc>
          <w:tcPr>
            <w:tcW w:w="340" w:type="dxa"/>
            <w:vAlign w:val="bottom"/>
            <w:shd w:val="clear" w:color="auto" w:fill="E5E5E5"/>
          </w:tcPr>
          <w:p>
            <w:pPr>
              <w:spacing w:after="0"/>
              <w:rPr>
                <w:sz w:val="16"/>
                <w:szCs w:val="16"/>
                <w:color w:val="auto"/>
              </w:rPr>
            </w:pPr>
          </w:p>
        </w:tc>
      </w:tr>
      <w:tr>
        <w:trPr>
          <w:trHeight w:val="189"/>
        </w:trPr>
        <w:tc>
          <w:tcPr>
            <w:tcW w:w="6220" w:type="dxa"/>
            <w:vAlign w:val="bottom"/>
          </w:tcPr>
          <w:p>
            <w:pPr>
              <w:spacing w:after="0"/>
              <w:rPr>
                <w:sz w:val="20"/>
                <w:szCs w:val="20"/>
                <w:color w:val="auto"/>
              </w:rPr>
            </w:pPr>
            <w:r>
              <w:rPr>
                <w:rFonts w:ascii="Arial" w:cs="Arial" w:eastAsia="Arial" w:hAnsi="Arial"/>
                <w:sz w:val="16"/>
                <w:szCs w:val="16"/>
                <w:color w:val="auto"/>
              </w:rPr>
              <w:t>T Rowe Price Retirement 2015 Fund – Advisor Class</w:t>
            </w:r>
          </w:p>
        </w:tc>
        <w:tc>
          <w:tcPr>
            <w:tcW w:w="2720" w:type="dxa"/>
            <w:vAlign w:val="bottom"/>
          </w:tcPr>
          <w:p>
            <w:pPr>
              <w:ind w:left="160"/>
              <w:spacing w:after="0"/>
              <w:rPr>
                <w:sz w:val="20"/>
                <w:szCs w:val="20"/>
                <w:color w:val="auto"/>
              </w:rPr>
            </w:pPr>
            <w:r>
              <w:rPr>
                <w:rFonts w:ascii="Arial" w:cs="Arial" w:eastAsia="Arial" w:hAnsi="Arial"/>
                <w:sz w:val="16"/>
                <w:szCs w:val="16"/>
                <w:color w:val="auto"/>
              </w:rPr>
              <w:t>Registered Investment Company</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19,036</w:t>
            </w:r>
          </w:p>
        </w:tc>
        <w:tc>
          <w:tcPr>
            <w:tcW w:w="340" w:type="dxa"/>
            <w:vAlign w:val="bottom"/>
          </w:tcPr>
          <w:p>
            <w:pPr>
              <w:spacing w:after="0"/>
              <w:rPr>
                <w:sz w:val="16"/>
                <w:szCs w:val="16"/>
                <w:color w:val="auto"/>
              </w:rPr>
            </w:pPr>
          </w:p>
        </w:tc>
      </w:tr>
      <w:tr>
        <w:trPr>
          <w:trHeight w:val="189"/>
        </w:trPr>
        <w:tc>
          <w:tcPr>
            <w:tcW w:w="6220" w:type="dxa"/>
            <w:vAlign w:val="bottom"/>
            <w:shd w:val="clear" w:color="auto" w:fill="E5E5E5"/>
          </w:tcPr>
          <w:p>
            <w:pPr>
              <w:spacing w:after="0"/>
              <w:rPr>
                <w:sz w:val="20"/>
                <w:szCs w:val="20"/>
                <w:color w:val="auto"/>
              </w:rPr>
            </w:pPr>
            <w:r>
              <w:rPr>
                <w:rFonts w:ascii="Arial" w:cs="Arial" w:eastAsia="Arial" w:hAnsi="Arial"/>
                <w:sz w:val="16"/>
                <w:szCs w:val="16"/>
                <w:color w:val="auto"/>
              </w:rPr>
              <w:t>T Rowe Price Retirement 2020 Fund - Advisor Class</w:t>
            </w:r>
          </w:p>
        </w:tc>
        <w:tc>
          <w:tcPr>
            <w:tcW w:w="27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Registered Investment Company</w:t>
            </w:r>
          </w:p>
        </w:tc>
        <w:tc>
          <w:tcPr>
            <w:tcW w:w="7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1,882,657</w:t>
            </w:r>
          </w:p>
        </w:tc>
        <w:tc>
          <w:tcPr>
            <w:tcW w:w="340" w:type="dxa"/>
            <w:vAlign w:val="bottom"/>
            <w:shd w:val="clear" w:color="auto" w:fill="E5E5E5"/>
          </w:tcPr>
          <w:p>
            <w:pPr>
              <w:spacing w:after="0"/>
              <w:rPr>
                <w:sz w:val="16"/>
                <w:szCs w:val="16"/>
                <w:color w:val="auto"/>
              </w:rPr>
            </w:pPr>
          </w:p>
        </w:tc>
      </w:tr>
      <w:tr>
        <w:trPr>
          <w:trHeight w:val="189"/>
        </w:trPr>
        <w:tc>
          <w:tcPr>
            <w:tcW w:w="6220" w:type="dxa"/>
            <w:vAlign w:val="bottom"/>
          </w:tcPr>
          <w:p>
            <w:pPr>
              <w:spacing w:after="0"/>
              <w:rPr>
                <w:sz w:val="20"/>
                <w:szCs w:val="20"/>
                <w:color w:val="auto"/>
              </w:rPr>
            </w:pPr>
            <w:r>
              <w:rPr>
                <w:rFonts w:ascii="Arial" w:cs="Arial" w:eastAsia="Arial" w:hAnsi="Arial"/>
                <w:sz w:val="16"/>
                <w:szCs w:val="16"/>
                <w:color w:val="auto"/>
              </w:rPr>
              <w:t>T Rowe Price Retirement 2025 Fund - Advisor Class</w:t>
            </w:r>
          </w:p>
        </w:tc>
        <w:tc>
          <w:tcPr>
            <w:tcW w:w="2720" w:type="dxa"/>
            <w:vAlign w:val="bottom"/>
          </w:tcPr>
          <w:p>
            <w:pPr>
              <w:ind w:left="160"/>
              <w:spacing w:after="0"/>
              <w:rPr>
                <w:sz w:val="20"/>
                <w:szCs w:val="20"/>
                <w:color w:val="auto"/>
              </w:rPr>
            </w:pPr>
            <w:r>
              <w:rPr>
                <w:rFonts w:ascii="Arial" w:cs="Arial" w:eastAsia="Arial" w:hAnsi="Arial"/>
                <w:sz w:val="16"/>
                <w:szCs w:val="16"/>
                <w:color w:val="auto"/>
              </w:rPr>
              <w:t>Registered Investment Company</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290,913</w:t>
            </w:r>
          </w:p>
        </w:tc>
        <w:tc>
          <w:tcPr>
            <w:tcW w:w="340" w:type="dxa"/>
            <w:vAlign w:val="bottom"/>
          </w:tcPr>
          <w:p>
            <w:pPr>
              <w:spacing w:after="0"/>
              <w:rPr>
                <w:sz w:val="16"/>
                <w:szCs w:val="16"/>
                <w:color w:val="auto"/>
              </w:rPr>
            </w:pPr>
          </w:p>
        </w:tc>
      </w:tr>
      <w:tr>
        <w:trPr>
          <w:trHeight w:val="189"/>
        </w:trPr>
        <w:tc>
          <w:tcPr>
            <w:tcW w:w="6220" w:type="dxa"/>
            <w:vAlign w:val="bottom"/>
            <w:shd w:val="clear" w:color="auto" w:fill="E5E5E5"/>
          </w:tcPr>
          <w:p>
            <w:pPr>
              <w:spacing w:after="0"/>
              <w:rPr>
                <w:sz w:val="20"/>
                <w:szCs w:val="20"/>
                <w:color w:val="auto"/>
              </w:rPr>
            </w:pPr>
            <w:r>
              <w:rPr>
                <w:rFonts w:ascii="Arial" w:cs="Arial" w:eastAsia="Arial" w:hAnsi="Arial"/>
                <w:sz w:val="16"/>
                <w:szCs w:val="16"/>
                <w:color w:val="auto"/>
              </w:rPr>
              <w:t>T Rowe Price Retirement 2030 Fund - Advisor Class</w:t>
            </w:r>
          </w:p>
        </w:tc>
        <w:tc>
          <w:tcPr>
            <w:tcW w:w="27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Registered Investment Company</w:t>
            </w:r>
          </w:p>
        </w:tc>
        <w:tc>
          <w:tcPr>
            <w:tcW w:w="7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4,419,098</w:t>
            </w:r>
          </w:p>
        </w:tc>
        <w:tc>
          <w:tcPr>
            <w:tcW w:w="340" w:type="dxa"/>
            <w:vAlign w:val="bottom"/>
            <w:shd w:val="clear" w:color="auto" w:fill="E5E5E5"/>
          </w:tcPr>
          <w:p>
            <w:pPr>
              <w:spacing w:after="0"/>
              <w:rPr>
                <w:sz w:val="16"/>
                <w:szCs w:val="16"/>
                <w:color w:val="auto"/>
              </w:rPr>
            </w:pPr>
          </w:p>
        </w:tc>
      </w:tr>
      <w:tr>
        <w:trPr>
          <w:trHeight w:val="189"/>
        </w:trPr>
        <w:tc>
          <w:tcPr>
            <w:tcW w:w="6220" w:type="dxa"/>
            <w:vAlign w:val="bottom"/>
          </w:tcPr>
          <w:p>
            <w:pPr>
              <w:spacing w:after="0"/>
              <w:rPr>
                <w:sz w:val="20"/>
                <w:szCs w:val="20"/>
                <w:color w:val="auto"/>
              </w:rPr>
            </w:pPr>
            <w:r>
              <w:rPr>
                <w:rFonts w:ascii="Arial" w:cs="Arial" w:eastAsia="Arial" w:hAnsi="Arial"/>
                <w:sz w:val="16"/>
                <w:szCs w:val="16"/>
                <w:color w:val="auto"/>
              </w:rPr>
              <w:t>T Rowe Price Retirement 2035 Fund - Advisor Class</w:t>
            </w:r>
          </w:p>
        </w:tc>
        <w:tc>
          <w:tcPr>
            <w:tcW w:w="2720" w:type="dxa"/>
            <w:vAlign w:val="bottom"/>
          </w:tcPr>
          <w:p>
            <w:pPr>
              <w:ind w:left="160"/>
              <w:spacing w:after="0"/>
              <w:rPr>
                <w:sz w:val="20"/>
                <w:szCs w:val="20"/>
                <w:color w:val="auto"/>
              </w:rPr>
            </w:pPr>
            <w:r>
              <w:rPr>
                <w:rFonts w:ascii="Arial" w:cs="Arial" w:eastAsia="Arial" w:hAnsi="Arial"/>
                <w:sz w:val="16"/>
                <w:szCs w:val="16"/>
                <w:color w:val="auto"/>
              </w:rPr>
              <w:t>Registered Investment Company</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479,917</w:t>
            </w:r>
          </w:p>
        </w:tc>
        <w:tc>
          <w:tcPr>
            <w:tcW w:w="340" w:type="dxa"/>
            <w:vAlign w:val="bottom"/>
          </w:tcPr>
          <w:p>
            <w:pPr>
              <w:spacing w:after="0"/>
              <w:rPr>
                <w:sz w:val="16"/>
                <w:szCs w:val="16"/>
                <w:color w:val="auto"/>
              </w:rPr>
            </w:pPr>
          </w:p>
        </w:tc>
      </w:tr>
      <w:tr>
        <w:trPr>
          <w:trHeight w:val="189"/>
        </w:trPr>
        <w:tc>
          <w:tcPr>
            <w:tcW w:w="6220" w:type="dxa"/>
            <w:vAlign w:val="bottom"/>
            <w:shd w:val="clear" w:color="auto" w:fill="E5E5E5"/>
          </w:tcPr>
          <w:p>
            <w:pPr>
              <w:spacing w:after="0"/>
              <w:rPr>
                <w:sz w:val="20"/>
                <w:szCs w:val="20"/>
                <w:color w:val="auto"/>
              </w:rPr>
            </w:pPr>
            <w:r>
              <w:rPr>
                <w:rFonts w:ascii="Arial" w:cs="Arial" w:eastAsia="Arial" w:hAnsi="Arial"/>
                <w:sz w:val="16"/>
                <w:szCs w:val="16"/>
                <w:color w:val="auto"/>
              </w:rPr>
              <w:t>T Rowe Price Retirement 2040 Fund - Advisor Class</w:t>
            </w:r>
          </w:p>
        </w:tc>
        <w:tc>
          <w:tcPr>
            <w:tcW w:w="27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Registered Investment Company</w:t>
            </w:r>
          </w:p>
        </w:tc>
        <w:tc>
          <w:tcPr>
            <w:tcW w:w="7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3,588,232</w:t>
            </w:r>
          </w:p>
        </w:tc>
        <w:tc>
          <w:tcPr>
            <w:tcW w:w="340" w:type="dxa"/>
            <w:vAlign w:val="bottom"/>
            <w:shd w:val="clear" w:color="auto" w:fill="E5E5E5"/>
          </w:tcPr>
          <w:p>
            <w:pPr>
              <w:spacing w:after="0"/>
              <w:rPr>
                <w:sz w:val="16"/>
                <w:szCs w:val="16"/>
                <w:color w:val="auto"/>
              </w:rPr>
            </w:pPr>
          </w:p>
        </w:tc>
      </w:tr>
      <w:tr>
        <w:trPr>
          <w:trHeight w:val="189"/>
        </w:trPr>
        <w:tc>
          <w:tcPr>
            <w:tcW w:w="6220" w:type="dxa"/>
            <w:vAlign w:val="bottom"/>
          </w:tcPr>
          <w:p>
            <w:pPr>
              <w:spacing w:after="0"/>
              <w:rPr>
                <w:sz w:val="20"/>
                <w:szCs w:val="20"/>
                <w:color w:val="auto"/>
              </w:rPr>
            </w:pPr>
            <w:r>
              <w:rPr>
                <w:rFonts w:ascii="Arial" w:cs="Arial" w:eastAsia="Arial" w:hAnsi="Arial"/>
                <w:sz w:val="16"/>
                <w:szCs w:val="16"/>
                <w:color w:val="auto"/>
              </w:rPr>
              <w:t>T Rowe Price Retirement 2045 Fund - Advisor Class</w:t>
            </w:r>
          </w:p>
        </w:tc>
        <w:tc>
          <w:tcPr>
            <w:tcW w:w="2720" w:type="dxa"/>
            <w:vAlign w:val="bottom"/>
          </w:tcPr>
          <w:p>
            <w:pPr>
              <w:ind w:left="160"/>
              <w:spacing w:after="0"/>
              <w:rPr>
                <w:sz w:val="20"/>
                <w:szCs w:val="20"/>
                <w:color w:val="auto"/>
              </w:rPr>
            </w:pPr>
            <w:r>
              <w:rPr>
                <w:rFonts w:ascii="Arial" w:cs="Arial" w:eastAsia="Arial" w:hAnsi="Arial"/>
                <w:sz w:val="16"/>
                <w:szCs w:val="16"/>
                <w:color w:val="auto"/>
              </w:rPr>
              <w:t>Registered Investment Company</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563,141</w:t>
            </w:r>
          </w:p>
        </w:tc>
        <w:tc>
          <w:tcPr>
            <w:tcW w:w="340" w:type="dxa"/>
            <w:vAlign w:val="bottom"/>
          </w:tcPr>
          <w:p>
            <w:pPr>
              <w:spacing w:after="0"/>
              <w:rPr>
                <w:sz w:val="16"/>
                <w:szCs w:val="16"/>
                <w:color w:val="auto"/>
              </w:rPr>
            </w:pPr>
          </w:p>
        </w:tc>
      </w:tr>
      <w:tr>
        <w:trPr>
          <w:trHeight w:val="189"/>
        </w:trPr>
        <w:tc>
          <w:tcPr>
            <w:tcW w:w="6220" w:type="dxa"/>
            <w:vAlign w:val="bottom"/>
            <w:shd w:val="clear" w:color="auto" w:fill="E5E5E5"/>
          </w:tcPr>
          <w:p>
            <w:pPr>
              <w:spacing w:after="0"/>
              <w:rPr>
                <w:sz w:val="20"/>
                <w:szCs w:val="20"/>
                <w:color w:val="auto"/>
              </w:rPr>
            </w:pPr>
            <w:r>
              <w:rPr>
                <w:rFonts w:ascii="Arial" w:cs="Arial" w:eastAsia="Arial" w:hAnsi="Arial"/>
                <w:sz w:val="16"/>
                <w:szCs w:val="16"/>
                <w:color w:val="auto"/>
              </w:rPr>
              <w:t>T Rowe Price Retirement 2050 Fund - Advisor Class</w:t>
            </w:r>
          </w:p>
        </w:tc>
        <w:tc>
          <w:tcPr>
            <w:tcW w:w="27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Registered Investment Company</w:t>
            </w:r>
          </w:p>
        </w:tc>
        <w:tc>
          <w:tcPr>
            <w:tcW w:w="7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1,256,935</w:t>
            </w:r>
          </w:p>
        </w:tc>
        <w:tc>
          <w:tcPr>
            <w:tcW w:w="340" w:type="dxa"/>
            <w:vAlign w:val="bottom"/>
            <w:shd w:val="clear" w:color="auto" w:fill="E5E5E5"/>
          </w:tcPr>
          <w:p>
            <w:pPr>
              <w:spacing w:after="0"/>
              <w:rPr>
                <w:sz w:val="16"/>
                <w:szCs w:val="16"/>
                <w:color w:val="auto"/>
              </w:rPr>
            </w:pPr>
          </w:p>
        </w:tc>
      </w:tr>
      <w:tr>
        <w:trPr>
          <w:trHeight w:val="189"/>
        </w:trPr>
        <w:tc>
          <w:tcPr>
            <w:tcW w:w="6220" w:type="dxa"/>
            <w:vAlign w:val="bottom"/>
          </w:tcPr>
          <w:p>
            <w:pPr>
              <w:spacing w:after="0"/>
              <w:rPr>
                <w:sz w:val="20"/>
                <w:szCs w:val="20"/>
                <w:color w:val="auto"/>
              </w:rPr>
            </w:pPr>
            <w:r>
              <w:rPr>
                <w:rFonts w:ascii="Arial" w:cs="Arial" w:eastAsia="Arial" w:hAnsi="Arial"/>
                <w:sz w:val="16"/>
                <w:szCs w:val="16"/>
                <w:color w:val="auto"/>
              </w:rPr>
              <w:t>T Rowe Price Retirement 2055 Fund - Advisor Class</w:t>
            </w:r>
          </w:p>
        </w:tc>
        <w:tc>
          <w:tcPr>
            <w:tcW w:w="2720" w:type="dxa"/>
            <w:vAlign w:val="bottom"/>
          </w:tcPr>
          <w:p>
            <w:pPr>
              <w:ind w:left="160"/>
              <w:spacing w:after="0"/>
              <w:rPr>
                <w:sz w:val="20"/>
                <w:szCs w:val="20"/>
                <w:color w:val="auto"/>
              </w:rPr>
            </w:pPr>
            <w:r>
              <w:rPr>
                <w:rFonts w:ascii="Arial" w:cs="Arial" w:eastAsia="Arial" w:hAnsi="Arial"/>
                <w:sz w:val="16"/>
                <w:szCs w:val="16"/>
                <w:color w:val="auto"/>
              </w:rPr>
              <w:t>Registered Investment Company</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216,042</w:t>
            </w:r>
          </w:p>
        </w:tc>
        <w:tc>
          <w:tcPr>
            <w:tcW w:w="340" w:type="dxa"/>
            <w:vAlign w:val="bottom"/>
          </w:tcPr>
          <w:p>
            <w:pPr>
              <w:spacing w:after="0"/>
              <w:rPr>
                <w:sz w:val="16"/>
                <w:szCs w:val="16"/>
                <w:color w:val="auto"/>
              </w:rPr>
            </w:pPr>
          </w:p>
        </w:tc>
      </w:tr>
      <w:tr>
        <w:trPr>
          <w:trHeight w:val="189"/>
        </w:trPr>
        <w:tc>
          <w:tcPr>
            <w:tcW w:w="6220" w:type="dxa"/>
            <w:vAlign w:val="bottom"/>
            <w:shd w:val="clear" w:color="auto" w:fill="E5E5E5"/>
          </w:tcPr>
          <w:p>
            <w:pPr>
              <w:spacing w:after="0"/>
              <w:rPr>
                <w:sz w:val="20"/>
                <w:szCs w:val="20"/>
                <w:color w:val="auto"/>
              </w:rPr>
            </w:pPr>
            <w:r>
              <w:rPr>
                <w:rFonts w:ascii="Arial" w:cs="Arial" w:eastAsia="Arial" w:hAnsi="Arial"/>
                <w:sz w:val="16"/>
                <w:szCs w:val="16"/>
                <w:color w:val="auto"/>
              </w:rPr>
              <w:t>T Rowe Price Retirement 2060 Fund - Advisor Class</w:t>
            </w:r>
          </w:p>
        </w:tc>
        <w:tc>
          <w:tcPr>
            <w:tcW w:w="27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Registered Investment Company</w:t>
            </w:r>
          </w:p>
        </w:tc>
        <w:tc>
          <w:tcPr>
            <w:tcW w:w="7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33,617</w:t>
            </w:r>
          </w:p>
        </w:tc>
        <w:tc>
          <w:tcPr>
            <w:tcW w:w="340" w:type="dxa"/>
            <w:vAlign w:val="bottom"/>
            <w:shd w:val="clear" w:color="auto" w:fill="E5E5E5"/>
          </w:tcPr>
          <w:p>
            <w:pPr>
              <w:spacing w:after="0"/>
              <w:rPr>
                <w:sz w:val="16"/>
                <w:szCs w:val="16"/>
                <w:color w:val="auto"/>
              </w:rPr>
            </w:pPr>
          </w:p>
        </w:tc>
      </w:tr>
      <w:tr>
        <w:trPr>
          <w:trHeight w:val="189"/>
        </w:trPr>
        <w:tc>
          <w:tcPr>
            <w:tcW w:w="6220" w:type="dxa"/>
            <w:vAlign w:val="bottom"/>
          </w:tcPr>
          <w:p>
            <w:pPr>
              <w:spacing w:after="0"/>
              <w:rPr>
                <w:sz w:val="20"/>
                <w:szCs w:val="20"/>
                <w:color w:val="auto"/>
              </w:rPr>
            </w:pPr>
            <w:r>
              <w:rPr>
                <w:rFonts w:ascii="Arial" w:cs="Arial" w:eastAsia="Arial" w:hAnsi="Arial"/>
                <w:sz w:val="16"/>
                <w:szCs w:val="16"/>
                <w:color w:val="auto"/>
              </w:rPr>
              <w:t>T Rowe Price Retirement Income – Advisor Class</w:t>
            </w:r>
          </w:p>
        </w:tc>
        <w:tc>
          <w:tcPr>
            <w:tcW w:w="2720" w:type="dxa"/>
            <w:vAlign w:val="bottom"/>
          </w:tcPr>
          <w:p>
            <w:pPr>
              <w:ind w:left="160"/>
              <w:spacing w:after="0"/>
              <w:rPr>
                <w:sz w:val="20"/>
                <w:szCs w:val="20"/>
                <w:color w:val="auto"/>
              </w:rPr>
            </w:pPr>
            <w:r>
              <w:rPr>
                <w:rFonts w:ascii="Arial" w:cs="Arial" w:eastAsia="Arial" w:hAnsi="Arial"/>
                <w:sz w:val="16"/>
                <w:szCs w:val="16"/>
                <w:color w:val="auto"/>
              </w:rPr>
              <w:t>Registered Investment Company</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6,861</w:t>
            </w:r>
          </w:p>
        </w:tc>
        <w:tc>
          <w:tcPr>
            <w:tcW w:w="340" w:type="dxa"/>
            <w:vAlign w:val="bottom"/>
          </w:tcPr>
          <w:p>
            <w:pPr>
              <w:spacing w:after="0"/>
              <w:rPr>
                <w:sz w:val="16"/>
                <w:szCs w:val="16"/>
                <w:color w:val="auto"/>
              </w:rPr>
            </w:pPr>
          </w:p>
        </w:tc>
      </w:tr>
      <w:tr>
        <w:trPr>
          <w:trHeight w:val="189"/>
        </w:trPr>
        <w:tc>
          <w:tcPr>
            <w:tcW w:w="6220" w:type="dxa"/>
            <w:vAlign w:val="bottom"/>
            <w:shd w:val="clear" w:color="auto" w:fill="E5E5E5"/>
          </w:tcPr>
          <w:p>
            <w:pPr>
              <w:spacing w:after="0"/>
              <w:rPr>
                <w:sz w:val="20"/>
                <w:szCs w:val="20"/>
                <w:color w:val="auto"/>
              </w:rPr>
            </w:pPr>
            <w:r>
              <w:rPr>
                <w:rFonts w:ascii="Arial" w:cs="Arial" w:eastAsia="Arial" w:hAnsi="Arial"/>
                <w:sz w:val="16"/>
                <w:szCs w:val="16"/>
                <w:color w:val="auto"/>
              </w:rPr>
              <w:t>Vanguard Windsor II Fund Investor Shares</w:t>
            </w:r>
          </w:p>
        </w:tc>
        <w:tc>
          <w:tcPr>
            <w:tcW w:w="27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Registered Investment Company</w:t>
            </w:r>
          </w:p>
        </w:tc>
        <w:tc>
          <w:tcPr>
            <w:tcW w:w="7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2,071,949</w:t>
            </w:r>
          </w:p>
        </w:tc>
        <w:tc>
          <w:tcPr>
            <w:tcW w:w="340" w:type="dxa"/>
            <w:vAlign w:val="bottom"/>
            <w:shd w:val="clear" w:color="auto" w:fill="E5E5E5"/>
          </w:tcPr>
          <w:p>
            <w:pPr>
              <w:spacing w:after="0"/>
              <w:rPr>
                <w:sz w:val="16"/>
                <w:szCs w:val="16"/>
                <w:color w:val="auto"/>
              </w:rPr>
            </w:pPr>
          </w:p>
        </w:tc>
      </w:tr>
      <w:tr>
        <w:trPr>
          <w:trHeight w:val="197"/>
        </w:trPr>
        <w:tc>
          <w:tcPr>
            <w:tcW w:w="6220" w:type="dxa"/>
            <w:vAlign w:val="bottom"/>
          </w:tcPr>
          <w:p>
            <w:pPr>
              <w:spacing w:after="0"/>
              <w:rPr>
                <w:sz w:val="20"/>
                <w:szCs w:val="20"/>
                <w:color w:val="auto"/>
              </w:rPr>
            </w:pPr>
            <w:r>
              <w:rPr>
                <w:rFonts w:ascii="Arial" w:cs="Arial" w:eastAsia="Arial" w:hAnsi="Arial"/>
                <w:sz w:val="16"/>
                <w:szCs w:val="16"/>
                <w:color w:val="auto"/>
              </w:rPr>
              <w:t>Western Asset Core Bond Fund</w:t>
            </w:r>
          </w:p>
        </w:tc>
        <w:tc>
          <w:tcPr>
            <w:tcW w:w="2720" w:type="dxa"/>
            <w:vAlign w:val="bottom"/>
          </w:tcPr>
          <w:p>
            <w:pPr>
              <w:ind w:left="160"/>
              <w:spacing w:after="0"/>
              <w:rPr>
                <w:sz w:val="20"/>
                <w:szCs w:val="20"/>
                <w:color w:val="auto"/>
              </w:rPr>
            </w:pPr>
            <w:r>
              <w:rPr>
                <w:rFonts w:ascii="Arial" w:cs="Arial" w:eastAsia="Arial" w:hAnsi="Arial"/>
                <w:sz w:val="16"/>
                <w:szCs w:val="16"/>
                <w:color w:val="auto"/>
              </w:rPr>
              <w:t>Registered Investment Company</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57,294</w:t>
            </w:r>
          </w:p>
        </w:tc>
        <w:tc>
          <w:tcPr>
            <w:tcW w:w="340" w:type="dxa"/>
            <w:vAlign w:val="bottom"/>
          </w:tcPr>
          <w:p>
            <w:pPr>
              <w:spacing w:after="0"/>
              <w:rPr>
                <w:sz w:val="17"/>
                <w:szCs w:val="17"/>
                <w:color w:val="auto"/>
              </w:rPr>
            </w:pPr>
          </w:p>
        </w:tc>
      </w:tr>
      <w:tr>
        <w:trPr>
          <w:trHeight w:val="168"/>
        </w:trPr>
        <w:tc>
          <w:tcPr>
            <w:tcW w:w="6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89"/>
        </w:trPr>
        <w:tc>
          <w:tcPr>
            <w:tcW w:w="6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6"/>
                <w:szCs w:val="16"/>
                <w:b w:val="1"/>
                <w:bCs w:val="1"/>
                <w:color w:val="auto"/>
              </w:rPr>
              <w:t>PLAN SPONSOR STOCK</w:t>
            </w:r>
          </w:p>
        </w:tc>
        <w:tc>
          <w:tcPr>
            <w:tcW w:w="27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6"/>
                <w:szCs w:val="16"/>
                <w:color w:val="auto"/>
              </w:rPr>
              <w:t>Microsoft Corporation *</w:t>
            </w:r>
          </w:p>
        </w:tc>
        <w:tc>
          <w:tcPr>
            <w:tcW w:w="272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4,386,567</w:t>
            </w:r>
          </w:p>
        </w:tc>
        <w:tc>
          <w:tcPr>
            <w:tcW w:w="340" w:type="dxa"/>
            <w:vAlign w:val="bottom"/>
          </w:tcPr>
          <w:p>
            <w:pPr>
              <w:spacing w:after="0"/>
              <w:rPr>
                <w:sz w:val="17"/>
                <w:szCs w:val="17"/>
                <w:color w:val="auto"/>
              </w:rPr>
            </w:pPr>
          </w:p>
        </w:tc>
      </w:tr>
      <w:tr>
        <w:trPr>
          <w:trHeight w:val="168"/>
        </w:trPr>
        <w:tc>
          <w:tcPr>
            <w:tcW w:w="6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89"/>
        </w:trPr>
        <w:tc>
          <w:tcPr>
            <w:tcW w:w="6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6"/>
                <w:szCs w:val="16"/>
                <w:b w:val="1"/>
                <w:bCs w:val="1"/>
                <w:color w:val="auto"/>
              </w:rPr>
              <w:t>MONEY MARKET FUNDS</w:t>
            </w:r>
          </w:p>
        </w:tc>
        <w:tc>
          <w:tcPr>
            <w:tcW w:w="27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6"/>
                <w:szCs w:val="16"/>
                <w:color w:val="auto"/>
              </w:rPr>
              <w:t>Federated Trust for U.S. Treasury Obligations Fund - Institutional Shares</w:t>
            </w:r>
          </w:p>
        </w:tc>
        <w:tc>
          <w:tcPr>
            <w:tcW w:w="2720" w:type="dxa"/>
            <w:vAlign w:val="bottom"/>
          </w:tcPr>
          <w:p>
            <w:pPr>
              <w:ind w:left="160"/>
              <w:spacing w:after="0"/>
              <w:rPr>
                <w:sz w:val="20"/>
                <w:szCs w:val="20"/>
                <w:color w:val="auto"/>
              </w:rPr>
            </w:pPr>
            <w:r>
              <w:rPr>
                <w:rFonts w:ascii="Arial" w:cs="Arial" w:eastAsia="Arial" w:hAnsi="Arial"/>
                <w:sz w:val="16"/>
                <w:szCs w:val="16"/>
                <w:color w:val="auto"/>
              </w:rPr>
              <w:t>Registered Investment Company</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682,744</w:t>
            </w:r>
          </w:p>
        </w:tc>
        <w:tc>
          <w:tcPr>
            <w:tcW w:w="340" w:type="dxa"/>
            <w:vAlign w:val="bottom"/>
          </w:tcPr>
          <w:p>
            <w:pPr>
              <w:spacing w:after="0"/>
              <w:rPr>
                <w:sz w:val="17"/>
                <w:szCs w:val="17"/>
                <w:color w:val="auto"/>
              </w:rPr>
            </w:pPr>
          </w:p>
        </w:tc>
      </w:tr>
      <w:tr>
        <w:trPr>
          <w:trHeight w:val="168"/>
        </w:trPr>
        <w:tc>
          <w:tcPr>
            <w:tcW w:w="6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89"/>
        </w:trPr>
        <w:tc>
          <w:tcPr>
            <w:tcW w:w="6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6"/>
                <w:szCs w:val="16"/>
                <w:b w:val="1"/>
                <w:bCs w:val="1"/>
                <w:color w:val="auto"/>
              </w:rPr>
              <w:t>TIME DEPOSITS</w:t>
            </w:r>
          </w:p>
        </w:tc>
        <w:tc>
          <w:tcPr>
            <w:tcW w:w="27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6"/>
                <w:szCs w:val="16"/>
                <w:color w:val="auto"/>
              </w:rPr>
              <w:t>Banco Popular de Puerto Rico * Interest 0.100% - 0.200% as of December 31, 2020</w:t>
            </w:r>
          </w:p>
        </w:tc>
        <w:tc>
          <w:tcPr>
            <w:tcW w:w="2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82,361</w:t>
            </w:r>
          </w:p>
        </w:tc>
        <w:tc>
          <w:tcPr>
            <w:tcW w:w="340" w:type="dxa"/>
            <w:vAlign w:val="bottom"/>
          </w:tcPr>
          <w:p>
            <w:pPr>
              <w:spacing w:after="0"/>
              <w:rPr>
                <w:sz w:val="17"/>
                <w:szCs w:val="17"/>
                <w:color w:val="auto"/>
              </w:rPr>
            </w:pPr>
          </w:p>
        </w:tc>
      </w:tr>
      <w:tr>
        <w:trPr>
          <w:trHeight w:val="209"/>
        </w:trPr>
        <w:tc>
          <w:tcPr>
            <w:tcW w:w="6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189"/>
        </w:trPr>
        <w:tc>
          <w:tcPr>
            <w:tcW w:w="6220" w:type="dxa"/>
            <w:vAlign w:val="bottom"/>
            <w:shd w:val="clear" w:color="auto" w:fill="E5E5E5"/>
          </w:tcPr>
          <w:p>
            <w:pPr>
              <w:spacing w:after="0"/>
              <w:rPr>
                <w:sz w:val="20"/>
                <w:szCs w:val="20"/>
                <w:color w:val="auto"/>
              </w:rPr>
            </w:pPr>
            <w:r>
              <w:rPr>
                <w:rFonts w:ascii="Arial" w:cs="Arial" w:eastAsia="Arial" w:hAnsi="Arial"/>
                <w:sz w:val="16"/>
                <w:szCs w:val="16"/>
                <w:b w:val="1"/>
                <w:bCs w:val="1"/>
                <w:color w:val="auto"/>
              </w:rPr>
              <w:t xml:space="preserve">Participant Loans * </w:t>
            </w:r>
            <w:r>
              <w:rPr>
                <w:rFonts w:ascii="Arial" w:cs="Arial" w:eastAsia="Arial" w:hAnsi="Arial"/>
                <w:sz w:val="16"/>
                <w:szCs w:val="16"/>
                <w:color w:val="auto"/>
              </w:rPr>
              <w:t>Interest 4.25% - 6.50%, maturing through 2034</w:t>
            </w:r>
          </w:p>
        </w:tc>
        <w:tc>
          <w:tcPr>
            <w:tcW w:w="27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40" w:type="dxa"/>
            <w:vAlign w:val="bottom"/>
            <w:tcBorders>
              <w:bottom w:val="single" w:sz="8" w:color="auto"/>
            </w:tcBorders>
            <w:shd w:val="clear" w:color="auto" w:fill="E5E5E5"/>
          </w:tcPr>
          <w:p>
            <w:pPr>
              <w:spacing w:after="0"/>
              <w:rPr>
                <w:sz w:val="16"/>
                <w:szCs w:val="16"/>
                <w:color w:val="auto"/>
              </w:rPr>
            </w:pPr>
          </w:p>
        </w:tc>
        <w:tc>
          <w:tcPr>
            <w:tcW w:w="8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375,031</w:t>
            </w:r>
          </w:p>
        </w:tc>
        <w:tc>
          <w:tcPr>
            <w:tcW w:w="340" w:type="dxa"/>
            <w:vAlign w:val="bottom"/>
            <w:shd w:val="clear" w:color="auto" w:fill="E5E5E5"/>
          </w:tcPr>
          <w:p>
            <w:pPr>
              <w:spacing w:after="0"/>
              <w:rPr>
                <w:sz w:val="16"/>
                <w:szCs w:val="16"/>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6"/>
                <w:szCs w:val="16"/>
                <w:color w:val="auto"/>
              </w:rPr>
              <w:t>Total Investments</w:t>
            </w:r>
          </w:p>
        </w:tc>
        <w:tc>
          <w:tcPr>
            <w:tcW w:w="27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27,908,441</w:t>
            </w:r>
          </w:p>
        </w:tc>
        <w:tc>
          <w:tcPr>
            <w:tcW w:w="340" w:type="dxa"/>
            <w:vAlign w:val="bottom"/>
          </w:tcPr>
          <w:p>
            <w:pPr>
              <w:spacing w:after="0"/>
              <w:rPr>
                <w:sz w:val="18"/>
                <w:szCs w:val="18"/>
                <w:color w:val="auto"/>
              </w:rPr>
            </w:pPr>
          </w:p>
        </w:tc>
      </w:tr>
      <w:tr>
        <w:trPr>
          <w:trHeight w:val="27"/>
        </w:trPr>
        <w:tc>
          <w:tcPr>
            <w:tcW w:w="6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bl>
    <w:p>
      <w:pPr>
        <w:spacing w:after="0" w:line="197" w:lineRule="exact"/>
        <w:rPr>
          <w:sz w:val="20"/>
          <w:szCs w:val="20"/>
          <w:color w:val="auto"/>
        </w:rPr>
      </w:pPr>
    </w:p>
    <w:p>
      <w:pPr>
        <w:ind w:left="460" w:hanging="344"/>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Party-in-interest</w:t>
      </w:r>
    </w:p>
    <w:p>
      <w:pPr>
        <w:spacing w:after="0" w:line="117" w:lineRule="exact"/>
        <w:rPr>
          <w:sz w:val="20"/>
          <w:szCs w:val="20"/>
          <w:color w:val="auto"/>
        </w:rPr>
      </w:pPr>
    </w:p>
    <w:p>
      <w:pPr>
        <w:ind w:left="480" w:hanging="364"/>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Information not presented because investments are participant-directed</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See accompanying Report of Independent Registered Public Accounting Firm.</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ONE MICROSOFT PUERTO RICO RETIREMENT PLAN</w:t>
      </w:r>
    </w:p>
    <w:p>
      <w:pPr>
        <w:spacing w:after="0" w:line="108" w:lineRule="exact"/>
        <w:rPr>
          <w:sz w:val="20"/>
          <w:szCs w:val="20"/>
          <w:color w:val="auto"/>
        </w:rPr>
      </w:pPr>
    </w:p>
    <w:p>
      <w:pPr>
        <w:jc w:val="center"/>
        <w:ind w:left="420" w:right="2120"/>
        <w:spacing w:after="0" w:line="253" w:lineRule="auto"/>
        <w:rPr>
          <w:sz w:val="20"/>
          <w:szCs w:val="20"/>
          <w:color w:val="auto"/>
        </w:rPr>
      </w:pPr>
      <w:r>
        <w:rPr>
          <w:rFonts w:ascii="Arial" w:cs="Arial" w:eastAsia="Arial" w:hAnsi="Arial"/>
          <w:sz w:val="18"/>
          <w:szCs w:val="18"/>
          <w:b w:val="1"/>
          <w:bCs w:val="1"/>
          <w:color w:val="auto"/>
        </w:rPr>
        <w:t>Employer ID No: 98-0459037, Plan No: 001 SUPPLEMENTAL SCHEDULE OF DELINQUENT PARTICIPANT CONTRIBUTIONS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173355</wp:posOffset>
            </wp:positionV>
            <wp:extent cx="6995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Participant</w:t>
            </w:r>
          </w:p>
        </w:tc>
        <w:tc>
          <w:tcPr>
            <w:tcW w:w="1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35"/>
        </w:trPr>
        <w:tc>
          <w:tcPr>
            <w:tcW w:w="1480" w:type="dxa"/>
            <w:vAlign w:val="bottom"/>
          </w:tcPr>
          <w:p>
            <w:pPr>
              <w:spacing w:after="0"/>
              <w:rPr>
                <w:sz w:val="11"/>
                <w:szCs w:val="11"/>
                <w:color w:val="auto"/>
              </w:rPr>
            </w:pPr>
          </w:p>
        </w:tc>
        <w:tc>
          <w:tcPr>
            <w:tcW w:w="960" w:type="dxa"/>
            <w:vAlign w:val="bottom"/>
            <w:gridSpan w:val="3"/>
          </w:tcPr>
          <w:p>
            <w:pPr>
              <w:jc w:val="right"/>
              <w:ind w:right="120"/>
              <w:spacing w:after="0" w:line="135" w:lineRule="exact"/>
              <w:rPr>
                <w:sz w:val="20"/>
                <w:szCs w:val="20"/>
                <w:color w:val="auto"/>
              </w:rPr>
            </w:pPr>
            <w:r>
              <w:rPr>
                <w:rFonts w:ascii="Arial" w:cs="Arial" w:eastAsia="Arial" w:hAnsi="Arial"/>
                <w:sz w:val="13"/>
                <w:szCs w:val="13"/>
                <w:b w:val="1"/>
                <w:bCs w:val="1"/>
                <w:color w:val="auto"/>
                <w:w w:val="96"/>
              </w:rPr>
              <w:t>Contributions</w:t>
            </w:r>
          </w:p>
        </w:tc>
        <w:tc>
          <w:tcPr>
            <w:tcW w:w="1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2440" w:type="dxa"/>
            <w:vAlign w:val="bottom"/>
            <w:gridSpan w:val="4"/>
          </w:tcPr>
          <w:p>
            <w:pPr>
              <w:jc w:val="right"/>
              <w:ind w:right="120"/>
              <w:spacing w:after="0" w:line="135" w:lineRule="exact"/>
              <w:rPr>
                <w:sz w:val="20"/>
                <w:szCs w:val="20"/>
                <w:color w:val="auto"/>
              </w:rPr>
            </w:pPr>
            <w:r>
              <w:rPr>
                <w:rFonts w:ascii="Arial" w:cs="Arial" w:eastAsia="Arial" w:hAnsi="Arial"/>
                <w:sz w:val="13"/>
                <w:szCs w:val="13"/>
                <w:b w:val="1"/>
                <w:bCs w:val="1"/>
                <w:color w:val="auto"/>
              </w:rPr>
              <w:t>Transferred Late to</w:t>
            </w:r>
          </w:p>
        </w:tc>
        <w:tc>
          <w:tcPr>
            <w:tcW w:w="1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8"/>
        </w:trPr>
        <w:tc>
          <w:tcPr>
            <w:tcW w:w="148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Plan</w:t>
            </w:r>
          </w:p>
        </w:tc>
        <w:tc>
          <w:tcPr>
            <w:tcW w:w="136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b w:val="1"/>
                <w:bCs w:val="1"/>
                <w:color w:val="auto"/>
              </w:rPr>
              <w:t>Total That Constitute Non-exempt Prohibited Transactions</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09"/>
        </w:trPr>
        <w:tc>
          <w:tcPr>
            <w:tcW w:w="2320" w:type="dxa"/>
            <w:vAlign w:val="bottom"/>
            <w:tcBorders>
              <w:top w:val="single" w:sz="8" w:color="auto"/>
            </w:tcBorders>
            <w:gridSpan w:val="2"/>
          </w:tcPr>
          <w:p>
            <w:pPr>
              <w:jc w:val="right"/>
              <w:spacing w:after="0" w:line="109" w:lineRule="exact"/>
              <w:rPr>
                <w:sz w:val="20"/>
                <w:szCs w:val="20"/>
                <w:color w:val="auto"/>
              </w:rPr>
            </w:pPr>
            <w:r>
              <w:rPr>
                <w:rFonts w:ascii="Arial" w:cs="Arial" w:eastAsia="Arial" w:hAnsi="Arial"/>
                <w:sz w:val="12"/>
                <w:szCs w:val="12"/>
                <w:b w:val="1"/>
                <w:bCs w:val="1"/>
                <w:color w:val="auto"/>
              </w:rPr>
              <w:t>Check here if Late</w:t>
            </w:r>
          </w:p>
        </w:tc>
        <w:tc>
          <w:tcPr>
            <w:tcW w:w="120" w:type="dxa"/>
            <w:vAlign w:val="bottom"/>
            <w:gridSpan w:val="2"/>
          </w:tcPr>
          <w:p>
            <w:pPr>
              <w:spacing w:after="0"/>
              <w:rPr>
                <w:sz w:val="9"/>
                <w:szCs w:val="9"/>
                <w:color w:val="auto"/>
              </w:rPr>
            </w:pPr>
          </w:p>
        </w:tc>
        <w:tc>
          <w:tcPr>
            <w:tcW w:w="13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43"/>
        </w:trPr>
        <w:tc>
          <w:tcPr>
            <w:tcW w:w="2440" w:type="dxa"/>
            <w:vAlign w:val="bottom"/>
            <w:gridSpan w:val="4"/>
          </w:tcPr>
          <w:p>
            <w:pPr>
              <w:jc w:val="right"/>
              <w:ind w:right="120"/>
              <w:spacing w:after="0" w:line="144" w:lineRule="exact"/>
              <w:rPr>
                <w:sz w:val="20"/>
                <w:szCs w:val="20"/>
                <w:color w:val="auto"/>
              </w:rPr>
            </w:pPr>
            <w:r>
              <w:rPr>
                <w:rFonts w:ascii="Arial" w:cs="Arial" w:eastAsia="Arial" w:hAnsi="Arial"/>
                <w:sz w:val="13"/>
                <w:szCs w:val="13"/>
                <w:b w:val="1"/>
                <w:bCs w:val="1"/>
                <w:color w:val="auto"/>
              </w:rPr>
              <w:t>Participant Loan</w:t>
            </w: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760" w:type="dxa"/>
            <w:vAlign w:val="bottom"/>
            <w:gridSpan w:val="3"/>
          </w:tcPr>
          <w:p>
            <w:pPr>
              <w:jc w:val="right"/>
              <w:ind w:right="860"/>
              <w:spacing w:after="0" w:line="144" w:lineRule="exact"/>
              <w:rPr>
                <w:sz w:val="20"/>
                <w:szCs w:val="20"/>
                <w:color w:val="auto"/>
              </w:rPr>
            </w:pPr>
            <w:r>
              <w:rPr>
                <w:rFonts w:ascii="Arial" w:cs="Arial" w:eastAsia="Arial" w:hAnsi="Arial"/>
                <w:sz w:val="13"/>
                <w:szCs w:val="13"/>
                <w:b w:val="1"/>
                <w:bCs w:val="1"/>
                <w:color w:val="auto"/>
              </w:rPr>
              <w:t>Contributions</w:t>
            </w:r>
          </w:p>
        </w:tc>
        <w:tc>
          <w:tcPr>
            <w:tcW w:w="1440" w:type="dxa"/>
            <w:vAlign w:val="bottom"/>
            <w:gridSpan w:val="3"/>
          </w:tcPr>
          <w:p>
            <w:pPr>
              <w:jc w:val="right"/>
              <w:ind w:right="100"/>
              <w:spacing w:after="0" w:line="144" w:lineRule="exact"/>
              <w:rPr>
                <w:sz w:val="20"/>
                <w:szCs w:val="20"/>
                <w:color w:val="auto"/>
              </w:rPr>
            </w:pPr>
            <w:r>
              <w:rPr>
                <w:rFonts w:ascii="Arial" w:cs="Arial" w:eastAsia="Arial" w:hAnsi="Arial"/>
                <w:sz w:val="13"/>
                <w:szCs w:val="13"/>
                <w:b w:val="1"/>
                <w:bCs w:val="1"/>
                <w:color w:val="auto"/>
              </w:rPr>
              <w:t>Contributions</w:t>
            </w:r>
          </w:p>
        </w:tc>
        <w:tc>
          <w:tcPr>
            <w:tcW w:w="126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Total Fully</w:t>
            </w:r>
          </w:p>
        </w:tc>
      </w:tr>
      <w:tr>
        <w:trPr>
          <w:trHeight w:val="135"/>
        </w:trPr>
        <w:tc>
          <w:tcPr>
            <w:tcW w:w="2440" w:type="dxa"/>
            <w:vAlign w:val="bottom"/>
            <w:gridSpan w:val="4"/>
          </w:tcPr>
          <w:p>
            <w:pPr>
              <w:jc w:val="right"/>
              <w:ind w:right="120"/>
              <w:spacing w:after="0" w:line="135" w:lineRule="exact"/>
              <w:rPr>
                <w:sz w:val="20"/>
                <w:szCs w:val="20"/>
                <w:color w:val="auto"/>
              </w:rPr>
            </w:pPr>
            <w:r>
              <w:rPr>
                <w:rFonts w:ascii="Arial" w:cs="Arial" w:eastAsia="Arial" w:hAnsi="Arial"/>
                <w:sz w:val="13"/>
                <w:szCs w:val="13"/>
                <w:b w:val="1"/>
                <w:bCs w:val="1"/>
                <w:color w:val="auto"/>
              </w:rPr>
              <w:t>Repayments are</w:t>
            </w:r>
          </w:p>
        </w:tc>
        <w:tc>
          <w:tcPr>
            <w:tcW w:w="2200" w:type="dxa"/>
            <w:vAlign w:val="bottom"/>
            <w:gridSpan w:val="3"/>
          </w:tcPr>
          <w:p>
            <w:pPr>
              <w:jc w:val="right"/>
              <w:ind w:right="100"/>
              <w:spacing w:after="0" w:line="135" w:lineRule="exact"/>
              <w:rPr>
                <w:sz w:val="20"/>
                <w:szCs w:val="20"/>
                <w:color w:val="auto"/>
              </w:rPr>
            </w:pPr>
            <w:r>
              <w:rPr>
                <w:rFonts w:ascii="Arial" w:cs="Arial" w:eastAsia="Arial" w:hAnsi="Arial"/>
                <w:sz w:val="13"/>
                <w:szCs w:val="13"/>
                <w:b w:val="1"/>
                <w:bCs w:val="1"/>
                <w:color w:val="auto"/>
              </w:rPr>
              <w:t>Contributions Not</w:t>
            </w:r>
          </w:p>
        </w:tc>
        <w:tc>
          <w:tcPr>
            <w:tcW w:w="2960" w:type="dxa"/>
            <w:vAlign w:val="bottom"/>
            <w:gridSpan w:val="4"/>
          </w:tcPr>
          <w:p>
            <w:pPr>
              <w:jc w:val="right"/>
              <w:ind w:right="860"/>
              <w:spacing w:after="0" w:line="135" w:lineRule="exact"/>
              <w:rPr>
                <w:sz w:val="20"/>
                <w:szCs w:val="20"/>
                <w:color w:val="auto"/>
              </w:rPr>
            </w:pPr>
            <w:r>
              <w:rPr>
                <w:rFonts w:ascii="Arial" w:cs="Arial" w:eastAsia="Arial" w:hAnsi="Arial"/>
                <w:sz w:val="13"/>
                <w:szCs w:val="13"/>
                <w:b w:val="1"/>
                <w:bCs w:val="1"/>
                <w:color w:val="auto"/>
              </w:rPr>
              <w:t>Corrected Outside</w:t>
            </w:r>
          </w:p>
        </w:tc>
        <w:tc>
          <w:tcPr>
            <w:tcW w:w="1440" w:type="dxa"/>
            <w:vAlign w:val="bottom"/>
            <w:gridSpan w:val="3"/>
          </w:tcPr>
          <w:p>
            <w:pPr>
              <w:jc w:val="right"/>
              <w:ind w:right="100"/>
              <w:spacing w:after="0" w:line="135" w:lineRule="exact"/>
              <w:rPr>
                <w:sz w:val="20"/>
                <w:szCs w:val="20"/>
                <w:color w:val="auto"/>
              </w:rPr>
            </w:pPr>
            <w:r>
              <w:rPr>
                <w:rFonts w:ascii="Arial" w:cs="Arial" w:eastAsia="Arial" w:hAnsi="Arial"/>
                <w:sz w:val="13"/>
                <w:szCs w:val="13"/>
                <w:b w:val="1"/>
                <w:bCs w:val="1"/>
                <w:color w:val="auto"/>
              </w:rPr>
              <w:t>Pending Correction</w:t>
            </w:r>
          </w:p>
        </w:tc>
        <w:tc>
          <w:tcPr>
            <w:tcW w:w="19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Corrected VFCP</w:t>
            </w:r>
          </w:p>
        </w:tc>
      </w:tr>
      <w:tr>
        <w:trPr>
          <w:trHeight w:val="176"/>
        </w:trPr>
        <w:tc>
          <w:tcPr>
            <w:tcW w:w="1480" w:type="dxa"/>
            <w:vAlign w:val="bottom"/>
          </w:tcPr>
          <w:p>
            <w:pPr>
              <w:spacing w:after="0"/>
              <w:rPr>
                <w:sz w:val="15"/>
                <w:szCs w:val="15"/>
                <w:color w:val="auto"/>
              </w:rPr>
            </w:pPr>
          </w:p>
        </w:tc>
        <w:tc>
          <w:tcPr>
            <w:tcW w:w="960" w:type="dxa"/>
            <w:vAlign w:val="bottom"/>
            <w:gridSpan w:val="3"/>
          </w:tcPr>
          <w:p>
            <w:pPr>
              <w:jc w:val="right"/>
              <w:ind w:right="120"/>
              <w:spacing w:after="0" w:line="150" w:lineRule="exact"/>
              <w:rPr>
                <w:sz w:val="20"/>
                <w:szCs w:val="20"/>
                <w:color w:val="auto"/>
              </w:rPr>
            </w:pPr>
            <w:r>
              <w:rPr>
                <w:rFonts w:ascii="Arial" w:cs="Arial" w:eastAsia="Arial" w:hAnsi="Arial"/>
                <w:sz w:val="13"/>
                <w:szCs w:val="13"/>
                <w:b w:val="1"/>
                <w:bCs w:val="1"/>
                <w:color w:val="auto"/>
              </w:rPr>
              <w:t xml:space="preserve">included: </w:t>
            </w:r>
            <w:r>
              <w:rPr>
                <w:rFonts w:ascii="MS PGothic" w:cs="MS PGothic" w:eastAsia="MS PGothic" w:hAnsi="MS PGothic"/>
                <w:sz w:val="13"/>
                <w:szCs w:val="13"/>
                <w:color w:val="auto"/>
              </w:rPr>
              <w:t>☒</w:t>
            </w:r>
          </w:p>
        </w:tc>
        <w:tc>
          <w:tcPr>
            <w:tcW w:w="13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Corrected</w:t>
            </w:r>
          </w:p>
        </w:tc>
        <w:tc>
          <w:tcPr>
            <w:tcW w:w="1200" w:type="dxa"/>
            <w:vAlign w:val="bottom"/>
          </w:tcPr>
          <w:p>
            <w:pPr>
              <w:spacing w:after="0"/>
              <w:rPr>
                <w:sz w:val="15"/>
                <w:szCs w:val="15"/>
                <w:color w:val="auto"/>
              </w:rPr>
            </w:pPr>
          </w:p>
        </w:tc>
        <w:tc>
          <w:tcPr>
            <w:tcW w:w="1760" w:type="dxa"/>
            <w:vAlign w:val="bottom"/>
            <w:gridSpan w:val="3"/>
          </w:tcPr>
          <w:p>
            <w:pPr>
              <w:jc w:val="right"/>
              <w:ind w:right="860"/>
              <w:spacing w:after="0"/>
              <w:rPr>
                <w:sz w:val="20"/>
                <w:szCs w:val="20"/>
                <w:color w:val="auto"/>
              </w:rPr>
            </w:pPr>
            <w:r>
              <w:rPr>
                <w:rFonts w:ascii="Arial" w:cs="Arial" w:eastAsia="Arial" w:hAnsi="Arial"/>
                <w:sz w:val="13"/>
                <w:szCs w:val="13"/>
                <w:b w:val="1"/>
                <w:bCs w:val="1"/>
                <w:color w:val="auto"/>
              </w:rPr>
              <w:t>VFCP</w:t>
            </w:r>
          </w:p>
        </w:tc>
        <w:tc>
          <w:tcPr>
            <w:tcW w:w="6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 VFCP</w:t>
            </w:r>
          </w:p>
        </w:tc>
        <w:tc>
          <w:tcPr>
            <w:tcW w:w="1980" w:type="dxa"/>
            <w:vAlign w:val="bottom"/>
            <w:gridSpan w:val="2"/>
          </w:tcPr>
          <w:p>
            <w:pPr>
              <w:jc w:val="right"/>
              <w:spacing w:after="0"/>
              <w:rPr>
                <w:sz w:val="20"/>
                <w:szCs w:val="20"/>
                <w:color w:val="auto"/>
              </w:rPr>
            </w:pPr>
            <w:r>
              <w:rPr>
                <w:rFonts w:ascii="Arial" w:cs="Arial" w:eastAsia="Arial" w:hAnsi="Arial"/>
                <w:sz w:val="13"/>
                <w:szCs w:val="13"/>
                <w:b w:val="1"/>
                <w:bCs w:val="1"/>
                <w:color w:val="auto"/>
              </w:rPr>
              <w:t>and PTE 2002-51</w:t>
            </w:r>
          </w:p>
        </w:tc>
      </w:tr>
      <w:tr>
        <w:trPr>
          <w:trHeight w:val="277"/>
        </w:trPr>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 *</w:t>
            </w:r>
          </w:p>
        </w:tc>
        <w:tc>
          <w:tcPr>
            <w:tcW w:w="100" w:type="dxa"/>
            <w:vAlign w:val="bottom"/>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w:t>
            </w:r>
          </w:p>
        </w:tc>
      </w:tr>
    </w:tbl>
    <w:p>
      <w:pPr>
        <w:spacing w:after="0" w:line="197" w:lineRule="exact"/>
        <w:rPr>
          <w:sz w:val="20"/>
          <w:szCs w:val="20"/>
          <w:color w:val="auto"/>
        </w:rPr>
      </w:pPr>
    </w:p>
    <w:p>
      <w:pPr>
        <w:ind w:left="480" w:hanging="364"/>
        <w:spacing w:after="0" w:line="267" w:lineRule="auto"/>
        <w:tabs>
          <w:tab w:leader="none" w:pos="471"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delinquent participant contributions and loan repayments of $317 from 2019 pay periods. The Plan Sponsor remitted lost earnings in 2020.</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140"/>
          </w:cols>
          <w:pgMar w:left="320" w:top="459" w:right="4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rPr>
        <w:t>Exhibit 23.1</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We consent to the incorporation by reference in Registration Statement No. 333-109185 on Form S-8 of our report dated June 24, 2021, relating to the financial statements and supplemental schedules of One Microsoft Puerto Rico Retirement Plan appearing in this Annual Report on Form 11-K of One Microsoft Puerto Rico Retirement Plan for the year ended December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June 24, 2021</w:t>
      </w:r>
    </w:p>
    <w:sectPr>
      <w:pgSz w:w="11900" w:h="16838" w:orient="portrait"/>
      <w:cols w:equalWidth="0" w:num="1">
        <w:col w:w="11020"/>
      </w:cols>
      <w:pgMar w:left="440" w:top="1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1"/>
    </w:lvl>
  </w:abstractNum>
  <w:abstractNum w:abstractNumId="3">
    <w:nsid w:val="507ED7AB"/>
    <w:multiLevelType w:val="hybridMultilevel"/>
    <w:lvl w:ilvl="0">
      <w:lvlJc w:val="left"/>
      <w:lvlText w:val="%1."/>
      <w:numFmt w:val="upperLetter"/>
      <w:start w:val="2"/>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2021-06-24T16:09:40Z</dcterms:created>
  <dcterms:modified xsi:type="dcterms:W3CDTF">2021-06-24T16:09:40Z</dcterms:modified>
</cp:coreProperties>
</file>